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الدروس الشرعیه فی فقه الامامیه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1213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71215_383068932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71217_3830689328">
            <w:r>
              <w:rPr>
                <w:webHidden/>
                <w:rStyle w:val="IndexLink"/>
                <w:rtl w:val="true"/>
              </w:rPr>
              <w:t>کتاب المزار</w:t>
            </w:r>
            <w:r>
              <w:rPr>
                <w:rStyle w:val="IndexLink"/>
                <w:rtl w:val="true"/>
              </w:rPr>
              <w:tab/>
            </w:r>
            <w:r>
              <w:rPr>
                <w:rStyle w:val="IndexLink"/>
              </w:rPr>
              <w:t>12</w:t>
            </w:r>
          </w:hyperlink>
        </w:p>
        <w:p>
          <w:pPr>
            <w:pStyle w:val="Contents3"/>
            <w:tabs>
              <w:tab w:val="clear" w:pos="8459"/>
              <w:tab w:val="right" w:pos="9026" w:leader="dot"/>
            </w:tabs>
            <w:rPr/>
          </w:pPr>
          <w:hyperlink w:anchor="__RefHeading___Toc2071219_3830689328">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71221_3830689328">
            <w:r>
              <w:rPr>
                <w:webHidden/>
                <w:rStyle w:val="IndexLink"/>
                <w:rtl w:val="true"/>
              </w:rPr>
              <w:t xml:space="preserve">درس </w:t>
            </w:r>
            <w:r>
              <w:rPr>
                <w:rStyle w:val="IndexLink"/>
                <w:rtl w:val="true"/>
              </w:rPr>
              <w:t>(</w:t>
            </w:r>
            <w:r>
              <w:rPr>
                <w:rStyle w:val="IndexLink"/>
              </w:rPr>
              <w:t>127</w:t>
            </w:r>
            <w:r>
              <w:rPr>
                <w:rStyle w:val="IndexLink"/>
                <w:rtl w:val="true"/>
              </w:rPr>
              <w:t>)</w:t>
              <w:tab/>
            </w:r>
            <w:r>
              <w:rPr>
                <w:rStyle w:val="IndexLink"/>
              </w:rPr>
              <w:t>31</w:t>
            </w:r>
          </w:hyperlink>
        </w:p>
        <w:p>
          <w:pPr>
            <w:pStyle w:val="Contents3"/>
            <w:tabs>
              <w:tab w:val="clear" w:pos="8459"/>
              <w:tab w:val="right" w:pos="9026" w:leader="dot"/>
            </w:tabs>
            <w:rPr/>
          </w:pPr>
          <w:hyperlink w:anchor="__RefHeading___Toc2071223_3830689328">
            <w:r>
              <w:rPr>
                <w:webHidden/>
                <w:rStyle w:val="IndexLink"/>
                <w:rtl w:val="true"/>
              </w:rPr>
              <w:t xml:space="preserve">درس </w:t>
            </w:r>
            <w:r>
              <w:rPr>
                <w:rStyle w:val="IndexLink"/>
                <w:rtl w:val="true"/>
              </w:rPr>
              <w:t>(</w:t>
            </w:r>
            <w:r>
              <w:rPr>
                <w:rStyle w:val="IndexLink"/>
              </w:rPr>
              <w:t>128</w:t>
            </w:r>
            <w:r>
              <w:rPr>
                <w:rStyle w:val="IndexLink"/>
                <w:rtl w:val="true"/>
              </w:rPr>
              <w:t>)</w:t>
              <w:tab/>
            </w:r>
            <w:r>
              <w:rPr>
                <w:rStyle w:val="IndexLink"/>
              </w:rPr>
              <w:t>34</w:t>
            </w:r>
          </w:hyperlink>
        </w:p>
        <w:p>
          <w:pPr>
            <w:pStyle w:val="Contents2"/>
            <w:tabs>
              <w:tab w:val="clear" w:pos="8743"/>
              <w:tab w:val="right" w:pos="9026" w:leader="dot"/>
            </w:tabs>
            <w:rPr/>
          </w:pPr>
          <w:hyperlink w:anchor="__RefHeading___Toc2071225_3830689328">
            <w:r>
              <w:rPr>
                <w:webHidden/>
                <w:rStyle w:val="IndexLink"/>
                <w:rtl w:val="true"/>
              </w:rPr>
              <w:t>کتاب الجهاد</w:t>
            </w:r>
            <w:r>
              <w:rPr>
                <w:rStyle w:val="IndexLink"/>
                <w:rtl w:val="true"/>
              </w:rPr>
              <w:tab/>
            </w:r>
            <w:r>
              <w:rPr>
                <w:rStyle w:val="IndexLink"/>
              </w:rPr>
              <w:t>40</w:t>
            </w:r>
          </w:hyperlink>
        </w:p>
        <w:p>
          <w:pPr>
            <w:pStyle w:val="Contents3"/>
            <w:tabs>
              <w:tab w:val="clear" w:pos="8459"/>
              <w:tab w:val="right" w:pos="9026" w:leader="dot"/>
            </w:tabs>
            <w:rPr/>
          </w:pPr>
          <w:hyperlink w:anchor="__RefHeading___Toc2071227_3830689328">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071229_3830689328">
            <w:r>
              <w:rPr>
                <w:webHidden/>
                <w:rStyle w:val="IndexLink"/>
                <w:rtl w:val="true"/>
              </w:rPr>
              <w:t xml:space="preserve">درس </w:t>
            </w:r>
            <w:r>
              <w:rPr>
                <w:rStyle w:val="IndexLink"/>
                <w:rtl w:val="true"/>
              </w:rPr>
              <w:t>(</w:t>
            </w:r>
            <w:r>
              <w:rPr>
                <w:rStyle w:val="IndexLink"/>
              </w:rPr>
              <w:t>129</w:t>
            </w:r>
            <w:r>
              <w:rPr>
                <w:rStyle w:val="IndexLink"/>
                <w:rtl w:val="true"/>
              </w:rPr>
              <w:t>)</w:t>
              <w:tab/>
            </w:r>
            <w:r>
              <w:rPr>
                <w:rStyle w:val="IndexLink"/>
              </w:rPr>
              <w:t>47</w:t>
            </w:r>
          </w:hyperlink>
        </w:p>
        <w:p>
          <w:pPr>
            <w:pStyle w:val="Contents3"/>
            <w:tabs>
              <w:tab w:val="clear" w:pos="8459"/>
              <w:tab w:val="right" w:pos="9026" w:leader="dot"/>
            </w:tabs>
            <w:rPr/>
          </w:pPr>
          <w:hyperlink w:anchor="__RefHeading___Toc2071231_3830689328">
            <w:r>
              <w:rPr>
                <w:webHidden/>
                <w:rStyle w:val="IndexLink"/>
                <w:rtl w:val="true"/>
              </w:rPr>
              <w:t xml:space="preserve">درس </w:t>
            </w:r>
            <w:r>
              <w:rPr>
                <w:rStyle w:val="IndexLink"/>
                <w:rtl w:val="true"/>
              </w:rPr>
              <w:t>(</w:t>
            </w:r>
            <w:r>
              <w:rPr>
                <w:rStyle w:val="IndexLink"/>
              </w:rPr>
              <w:t>130</w:t>
            </w:r>
            <w:r>
              <w:rPr>
                <w:rStyle w:val="IndexLink"/>
                <w:rtl w:val="true"/>
              </w:rPr>
              <w:t>)</w:t>
              <w:tab/>
            </w:r>
            <w:r>
              <w:rPr>
                <w:rStyle w:val="IndexLink"/>
              </w:rPr>
              <w:t>50</w:t>
            </w:r>
          </w:hyperlink>
        </w:p>
        <w:p>
          <w:pPr>
            <w:pStyle w:val="Contents3"/>
            <w:tabs>
              <w:tab w:val="clear" w:pos="8459"/>
              <w:tab w:val="right" w:pos="9026" w:leader="dot"/>
            </w:tabs>
            <w:rPr/>
          </w:pPr>
          <w:hyperlink w:anchor="__RefHeading___Toc2071233_3830689328">
            <w:r>
              <w:rPr>
                <w:webHidden/>
                <w:rStyle w:val="IndexLink"/>
                <w:rtl w:val="true"/>
              </w:rPr>
              <w:t xml:space="preserve">درس </w:t>
            </w:r>
            <w:r>
              <w:rPr>
                <w:rStyle w:val="IndexLink"/>
                <w:rtl w:val="true"/>
              </w:rPr>
              <w:t>(</w:t>
            </w:r>
            <w:r>
              <w:rPr>
                <w:rStyle w:val="IndexLink"/>
              </w:rPr>
              <w:t>131</w:t>
            </w:r>
            <w:r>
              <w:rPr>
                <w:rStyle w:val="IndexLink"/>
                <w:rtl w:val="true"/>
              </w:rPr>
              <w:t>)</w:t>
              <w:tab/>
            </w:r>
            <w:r>
              <w:rPr>
                <w:rStyle w:val="IndexLink"/>
              </w:rPr>
              <w:t>52</w:t>
            </w:r>
          </w:hyperlink>
        </w:p>
        <w:p>
          <w:pPr>
            <w:pStyle w:val="Contents3"/>
            <w:tabs>
              <w:tab w:val="clear" w:pos="8459"/>
              <w:tab w:val="right" w:pos="9026" w:leader="dot"/>
            </w:tabs>
            <w:rPr/>
          </w:pPr>
          <w:hyperlink w:anchor="__RefHeading___Toc2071235_3830689328">
            <w:r>
              <w:rPr>
                <w:webHidden/>
                <w:rStyle w:val="IndexLink"/>
                <w:rtl w:val="true"/>
              </w:rPr>
              <w:t xml:space="preserve">درس </w:t>
            </w:r>
            <w:r>
              <w:rPr>
                <w:rStyle w:val="IndexLink"/>
                <w:rtl w:val="true"/>
              </w:rPr>
              <w:t>(</w:t>
            </w:r>
            <w:r>
              <w:rPr>
                <w:rStyle w:val="IndexLink"/>
              </w:rPr>
              <w:t>132</w:t>
            </w:r>
            <w:r>
              <w:rPr>
                <w:rStyle w:val="IndexLink"/>
                <w:rtl w:val="true"/>
              </w:rPr>
              <w:t>)</w:t>
              <w:tab/>
            </w:r>
            <w:r>
              <w:rPr>
                <w:rStyle w:val="IndexLink"/>
              </w:rPr>
              <w:t>57</w:t>
            </w:r>
          </w:hyperlink>
        </w:p>
        <w:p>
          <w:pPr>
            <w:pStyle w:val="Contents2"/>
            <w:tabs>
              <w:tab w:val="clear" w:pos="8743"/>
              <w:tab w:val="right" w:pos="9026" w:leader="dot"/>
            </w:tabs>
            <w:rPr/>
          </w:pPr>
          <w:hyperlink w:anchor="__RefHeading___Toc2071237_3830689328">
            <w:r>
              <w:rPr>
                <w:webHidden/>
                <w:rStyle w:val="IndexLink"/>
                <w:rtl w:val="true"/>
              </w:rPr>
              <w:t>کتاب الحِسْبَة</w:t>
            </w:r>
            <w:r>
              <w:rPr>
                <w:rStyle w:val="IndexLink"/>
                <w:rtl w:val="true"/>
              </w:rPr>
              <w:tab/>
            </w:r>
            <w:r>
              <w:rPr>
                <w:rStyle w:val="IndexLink"/>
              </w:rPr>
              <w:t>62</w:t>
            </w:r>
          </w:hyperlink>
        </w:p>
        <w:p>
          <w:pPr>
            <w:pStyle w:val="Contents2"/>
            <w:tabs>
              <w:tab w:val="clear" w:pos="8743"/>
              <w:tab w:val="right" w:pos="9026" w:leader="dot"/>
            </w:tabs>
            <w:rPr/>
          </w:pPr>
          <w:hyperlink w:anchor="__RefHeading___Toc2071239_3830689328">
            <w:r>
              <w:rPr>
                <w:webHidden/>
                <w:rStyle w:val="IndexLink"/>
                <w:rtl w:val="true"/>
              </w:rPr>
              <w:t>کتاب المرتدّ</w:t>
            </w:r>
            <w:r>
              <w:rPr>
                <w:rStyle w:val="IndexLink"/>
                <w:rtl w:val="true"/>
              </w:rPr>
              <w:tab/>
            </w:r>
            <w:r>
              <w:rPr>
                <w:rStyle w:val="IndexLink"/>
              </w:rPr>
              <w:t>68</w:t>
            </w:r>
          </w:hyperlink>
        </w:p>
        <w:p>
          <w:pPr>
            <w:pStyle w:val="Contents2"/>
            <w:tabs>
              <w:tab w:val="clear" w:pos="8743"/>
              <w:tab w:val="right" w:pos="9026" w:leader="dot"/>
            </w:tabs>
            <w:rPr/>
          </w:pPr>
          <w:hyperlink w:anchor="__RefHeading___Toc2071241_3830689328">
            <w:r>
              <w:rPr>
                <w:webHidden/>
                <w:rStyle w:val="IndexLink"/>
                <w:rtl w:val="true"/>
              </w:rPr>
              <w:t>کتاب المحارب</w:t>
            </w:r>
            <w:r>
              <w:rPr>
                <w:rStyle w:val="IndexLink"/>
                <w:rtl w:val="true"/>
              </w:rPr>
              <w:tab/>
            </w:r>
            <w:r>
              <w:rPr>
                <w:rStyle w:val="IndexLink"/>
              </w:rPr>
              <w:t>76</w:t>
            </w:r>
          </w:hyperlink>
        </w:p>
        <w:p>
          <w:pPr>
            <w:pStyle w:val="Contents2"/>
            <w:tabs>
              <w:tab w:val="clear" w:pos="8743"/>
              <w:tab w:val="right" w:pos="9026" w:leader="dot"/>
            </w:tabs>
            <w:rPr/>
          </w:pPr>
          <w:hyperlink w:anchor="__RefHeading___Toc2071243_3830689328">
            <w:r>
              <w:rPr>
                <w:webHidden/>
                <w:rStyle w:val="IndexLink"/>
                <w:rtl w:val="true"/>
              </w:rPr>
              <w:t>کتاب القضاء</w:t>
            </w:r>
            <w:r>
              <w:rPr>
                <w:rStyle w:val="IndexLink"/>
                <w:rtl w:val="true"/>
              </w:rPr>
              <w:tab/>
            </w:r>
            <w:r>
              <w:rPr>
                <w:rStyle w:val="IndexLink"/>
              </w:rPr>
              <w:t>82</w:t>
            </w:r>
          </w:hyperlink>
        </w:p>
        <w:p>
          <w:pPr>
            <w:pStyle w:val="Contents3"/>
            <w:tabs>
              <w:tab w:val="clear" w:pos="8459"/>
              <w:tab w:val="right" w:pos="9026" w:leader="dot"/>
            </w:tabs>
            <w:rPr/>
          </w:pPr>
          <w:hyperlink w:anchor="__RefHeading___Toc2071245_3830689328">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071247_3830689328">
            <w:r>
              <w:rPr>
                <w:webHidden/>
                <w:rStyle w:val="IndexLink"/>
                <w:rtl w:val="true"/>
              </w:rPr>
              <w:t xml:space="preserve">درس </w:t>
            </w:r>
            <w:r>
              <w:rPr>
                <w:rStyle w:val="IndexLink"/>
                <w:rtl w:val="true"/>
              </w:rPr>
              <w:t>(</w:t>
            </w:r>
            <w:r>
              <w:rPr>
                <w:rStyle w:val="IndexLink"/>
              </w:rPr>
              <w:t>133</w:t>
            </w:r>
            <w:r>
              <w:rPr>
                <w:rStyle w:val="IndexLink"/>
                <w:rtl w:val="true"/>
              </w:rPr>
              <w:t>)</w:t>
              <w:tab/>
            </w:r>
            <w:r>
              <w:rPr>
                <w:rStyle w:val="IndexLink"/>
              </w:rPr>
              <w:t>87</w:t>
            </w:r>
          </w:hyperlink>
        </w:p>
        <w:p>
          <w:pPr>
            <w:pStyle w:val="Contents3"/>
            <w:tabs>
              <w:tab w:val="clear" w:pos="8459"/>
              <w:tab w:val="right" w:pos="9026" w:leader="dot"/>
            </w:tabs>
            <w:rPr/>
          </w:pPr>
          <w:hyperlink w:anchor="__RefHeading___Toc2071249_3830689328">
            <w:r>
              <w:rPr>
                <w:webHidden/>
                <w:rStyle w:val="IndexLink"/>
                <w:rtl w:val="true"/>
              </w:rPr>
              <w:t xml:space="preserve">درس </w:t>
            </w:r>
            <w:r>
              <w:rPr>
                <w:rStyle w:val="IndexLink"/>
                <w:rtl w:val="true"/>
              </w:rPr>
              <w:t>(</w:t>
            </w:r>
            <w:r>
              <w:rPr>
                <w:rStyle w:val="IndexLink"/>
              </w:rPr>
              <w:t>134</w:t>
            </w:r>
            <w:r>
              <w:rPr>
                <w:rStyle w:val="IndexLink"/>
                <w:rtl w:val="true"/>
              </w:rPr>
              <w:t>)</w:t>
              <w:tab/>
            </w:r>
            <w:r>
              <w:rPr>
                <w:rStyle w:val="IndexLink"/>
              </w:rPr>
              <w:t>90</w:t>
            </w:r>
          </w:hyperlink>
        </w:p>
        <w:p>
          <w:pPr>
            <w:pStyle w:val="Contents3"/>
            <w:tabs>
              <w:tab w:val="clear" w:pos="8459"/>
              <w:tab w:val="right" w:pos="9026" w:leader="dot"/>
            </w:tabs>
            <w:rPr/>
          </w:pPr>
          <w:hyperlink w:anchor="__RefHeading___Toc2071251_3830689328">
            <w:r>
              <w:rPr>
                <w:webHidden/>
                <w:rStyle w:val="IndexLink"/>
                <w:rtl w:val="true"/>
              </w:rPr>
              <w:t xml:space="preserve">درس </w:t>
            </w:r>
            <w:r>
              <w:rPr>
                <w:rStyle w:val="IndexLink"/>
                <w:rtl w:val="true"/>
              </w:rPr>
              <w:t>(</w:t>
            </w:r>
            <w:r>
              <w:rPr>
                <w:rStyle w:val="IndexLink"/>
              </w:rPr>
              <w:t>135</w:t>
            </w:r>
            <w:r>
              <w:rPr>
                <w:rStyle w:val="IndexLink"/>
                <w:rtl w:val="true"/>
              </w:rPr>
              <w:t>)</w:t>
              <w:tab/>
            </w:r>
            <w:r>
              <w:rPr>
                <w:rStyle w:val="IndexLink"/>
              </w:rPr>
              <w:t>94</w:t>
            </w:r>
          </w:hyperlink>
        </w:p>
        <w:p>
          <w:pPr>
            <w:pStyle w:val="Contents3"/>
            <w:tabs>
              <w:tab w:val="clear" w:pos="8459"/>
              <w:tab w:val="right" w:pos="9026" w:leader="dot"/>
            </w:tabs>
            <w:rPr/>
          </w:pPr>
          <w:hyperlink w:anchor="__RefHeading___Toc2071253_3830689328">
            <w:r>
              <w:rPr>
                <w:webHidden/>
                <w:rStyle w:val="IndexLink"/>
                <w:rtl w:val="true"/>
              </w:rPr>
              <w:t xml:space="preserve">درس </w:t>
            </w:r>
            <w:r>
              <w:rPr>
                <w:rStyle w:val="IndexLink"/>
                <w:rtl w:val="true"/>
              </w:rPr>
              <w:t>(</w:t>
            </w:r>
            <w:r>
              <w:rPr>
                <w:rStyle w:val="IndexLink"/>
              </w:rPr>
              <w:t>136</w:t>
            </w:r>
            <w:r>
              <w:rPr>
                <w:rStyle w:val="IndexLink"/>
                <w:rtl w:val="true"/>
              </w:rPr>
              <w:t>)</w:t>
              <w:tab/>
            </w:r>
            <w:r>
              <w:rPr>
                <w:rStyle w:val="IndexLink"/>
              </w:rPr>
              <w:t>98</w:t>
            </w:r>
          </w:hyperlink>
        </w:p>
        <w:p>
          <w:pPr>
            <w:pStyle w:val="Contents2"/>
            <w:tabs>
              <w:tab w:val="clear" w:pos="8743"/>
              <w:tab w:val="right" w:pos="9026" w:leader="dot"/>
            </w:tabs>
            <w:rPr/>
          </w:pPr>
          <w:hyperlink w:anchor="__RefHeading___Toc2071255_3830689328">
            <w:r>
              <w:rPr>
                <w:webHidden/>
                <w:rStyle w:val="IndexLink"/>
                <w:rtl w:val="true"/>
              </w:rPr>
              <w:t>کتاب الدعوی و توابعها</w:t>
            </w:r>
            <w:r>
              <w:rPr>
                <w:rStyle w:val="IndexLink"/>
                <w:rtl w:val="true"/>
              </w:rPr>
              <w:tab/>
            </w:r>
            <w:r>
              <w:rPr>
                <w:rStyle w:val="IndexLink"/>
              </w:rPr>
              <w:t>102</w:t>
            </w:r>
          </w:hyperlink>
        </w:p>
        <w:p>
          <w:pPr>
            <w:pStyle w:val="Contents3"/>
            <w:tabs>
              <w:tab w:val="clear" w:pos="8459"/>
              <w:tab w:val="right" w:pos="9026" w:leader="dot"/>
            </w:tabs>
            <w:rPr/>
          </w:pPr>
          <w:hyperlink w:anchor="__RefHeading___Toc2071257_3830689328">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071259_3830689328">
            <w:r>
              <w:rPr>
                <w:webHidden/>
                <w:rStyle w:val="IndexLink"/>
                <w:rtl w:val="true"/>
              </w:rPr>
              <w:t xml:space="preserve">درس </w:t>
            </w:r>
            <w:r>
              <w:rPr>
                <w:rStyle w:val="IndexLink"/>
                <w:rtl w:val="true"/>
              </w:rPr>
              <w:t>(</w:t>
            </w:r>
            <w:r>
              <w:rPr>
                <w:rStyle w:val="IndexLink"/>
              </w:rPr>
              <w:t>137</w:t>
            </w:r>
            <w:r>
              <w:rPr>
                <w:rStyle w:val="IndexLink"/>
                <w:rtl w:val="true"/>
              </w:rPr>
              <w:t>)</w:t>
              <w:tab/>
            </w:r>
            <w:r>
              <w:rPr>
                <w:rStyle w:val="IndexLink"/>
              </w:rPr>
              <w:t>106</w:t>
            </w:r>
          </w:hyperlink>
        </w:p>
        <w:p>
          <w:pPr>
            <w:pStyle w:val="Contents3"/>
            <w:tabs>
              <w:tab w:val="clear" w:pos="8459"/>
              <w:tab w:val="right" w:pos="9026" w:leader="dot"/>
            </w:tabs>
            <w:rPr/>
          </w:pPr>
          <w:hyperlink w:anchor="__RefHeading___Toc2071261_3830689328">
            <w:r>
              <w:rPr>
                <w:webHidden/>
                <w:rStyle w:val="IndexLink"/>
                <w:rtl w:val="true"/>
              </w:rPr>
              <w:t xml:space="preserve">درس </w:t>
            </w:r>
            <w:r>
              <w:rPr>
                <w:rStyle w:val="IndexLink"/>
                <w:rtl w:val="true"/>
              </w:rPr>
              <w:t>(</w:t>
            </w:r>
            <w:r>
              <w:rPr>
                <w:rStyle w:val="IndexLink"/>
              </w:rPr>
              <w:t>138</w:t>
            </w:r>
            <w:r>
              <w:rPr>
                <w:rStyle w:val="IndexLink"/>
                <w:rtl w:val="true"/>
              </w:rPr>
              <w:t>)</w:t>
              <w:tab/>
            </w:r>
            <w:r>
              <w:rPr>
                <w:rStyle w:val="IndexLink"/>
              </w:rPr>
              <w:t>108</w:t>
            </w:r>
          </w:hyperlink>
        </w:p>
        <w:p>
          <w:pPr>
            <w:pStyle w:val="Contents3"/>
            <w:tabs>
              <w:tab w:val="clear" w:pos="8459"/>
              <w:tab w:val="right" w:pos="9026" w:leader="dot"/>
            </w:tabs>
            <w:rPr/>
          </w:pPr>
          <w:hyperlink w:anchor="__RefHeading___Toc2071263_3830689328">
            <w:r>
              <w:rPr>
                <w:webHidden/>
                <w:rStyle w:val="IndexLink"/>
                <w:rtl w:val="true"/>
              </w:rPr>
              <w:t xml:space="preserve">درس </w:t>
            </w:r>
            <w:r>
              <w:rPr>
                <w:rStyle w:val="IndexLink"/>
                <w:rtl w:val="true"/>
              </w:rPr>
              <w:t>(</w:t>
            </w:r>
            <w:r>
              <w:rPr>
                <w:rStyle w:val="IndexLink"/>
              </w:rPr>
              <w:t>139</w:t>
            </w:r>
            <w:r>
              <w:rPr>
                <w:rStyle w:val="IndexLink"/>
                <w:rtl w:val="true"/>
              </w:rPr>
              <w:t>)</w:t>
              <w:tab/>
            </w:r>
            <w:r>
              <w:rPr>
                <w:rStyle w:val="IndexLink"/>
              </w:rPr>
              <w:t>113</w:t>
            </w:r>
          </w:hyperlink>
        </w:p>
        <w:p>
          <w:pPr>
            <w:pStyle w:val="Contents3"/>
            <w:tabs>
              <w:tab w:val="clear" w:pos="8459"/>
              <w:tab w:val="right" w:pos="9026" w:leader="dot"/>
            </w:tabs>
            <w:rPr/>
          </w:pPr>
          <w:hyperlink w:anchor="__RefHeading___Toc2071265_3830689328">
            <w:r>
              <w:rPr>
                <w:webHidden/>
                <w:rStyle w:val="IndexLink"/>
                <w:rtl w:val="true"/>
              </w:rPr>
              <w:t xml:space="preserve">درس </w:t>
            </w:r>
            <w:r>
              <w:rPr>
                <w:rStyle w:val="IndexLink"/>
                <w:rtl w:val="true"/>
              </w:rPr>
              <w:t>(</w:t>
            </w:r>
            <w:r>
              <w:rPr>
                <w:rStyle w:val="IndexLink"/>
              </w:rPr>
              <w:t>140</w:t>
            </w:r>
            <w:r>
              <w:rPr>
                <w:rStyle w:val="IndexLink"/>
                <w:rtl w:val="true"/>
              </w:rPr>
              <w:t>)</w:t>
              <w:tab/>
            </w:r>
            <w:r>
              <w:rPr>
                <w:rStyle w:val="IndexLink"/>
              </w:rPr>
              <w:t>115</w:t>
            </w:r>
          </w:hyperlink>
        </w:p>
        <w:p>
          <w:pPr>
            <w:pStyle w:val="Contents3"/>
            <w:tabs>
              <w:tab w:val="clear" w:pos="8459"/>
              <w:tab w:val="right" w:pos="9026" w:leader="dot"/>
            </w:tabs>
            <w:rPr/>
          </w:pPr>
          <w:hyperlink w:anchor="__RefHeading___Toc2071267_3830689328">
            <w:r>
              <w:rPr>
                <w:webHidden/>
                <w:rStyle w:val="IndexLink"/>
                <w:rtl w:val="true"/>
              </w:rPr>
              <w:t xml:space="preserve">درس </w:t>
            </w:r>
            <w:r>
              <w:rPr>
                <w:rStyle w:val="IndexLink"/>
                <w:rtl w:val="true"/>
              </w:rPr>
              <w:t>(</w:t>
            </w:r>
            <w:r>
              <w:rPr>
                <w:rStyle w:val="IndexLink"/>
              </w:rPr>
              <w:t>141</w:t>
            </w:r>
            <w:r>
              <w:rPr>
                <w:rStyle w:val="IndexLink"/>
                <w:rtl w:val="true"/>
              </w:rPr>
              <w:t>)</w:t>
              <w:tab/>
            </w:r>
            <w:r>
              <w:rPr>
                <w:rStyle w:val="IndexLink"/>
              </w:rPr>
              <w:t>119</w:t>
            </w:r>
          </w:hyperlink>
        </w:p>
        <w:p>
          <w:pPr>
            <w:pStyle w:val="Contents3"/>
            <w:tabs>
              <w:tab w:val="clear" w:pos="8459"/>
              <w:tab w:val="right" w:pos="9026" w:leader="dot"/>
            </w:tabs>
            <w:rPr/>
          </w:pPr>
          <w:hyperlink w:anchor="__RefHeading___Toc2071269_3830689328">
            <w:r>
              <w:rPr>
                <w:webHidden/>
                <w:rStyle w:val="IndexLink"/>
                <w:rtl w:val="true"/>
              </w:rPr>
              <w:t xml:space="preserve">درس </w:t>
            </w:r>
            <w:r>
              <w:rPr>
                <w:rStyle w:val="IndexLink"/>
                <w:rtl w:val="true"/>
              </w:rPr>
              <w:t>(</w:t>
            </w:r>
            <w:r>
              <w:rPr>
                <w:rStyle w:val="IndexLink"/>
              </w:rPr>
              <w:t>142</w:t>
            </w:r>
            <w:r>
              <w:rPr>
                <w:rStyle w:val="IndexLink"/>
                <w:rtl w:val="true"/>
              </w:rPr>
              <w:t>)</w:t>
              <w:tab/>
            </w:r>
            <w:r>
              <w:rPr>
                <w:rStyle w:val="IndexLink"/>
              </w:rPr>
              <w:t>123</w:t>
            </w:r>
          </w:hyperlink>
        </w:p>
        <w:p>
          <w:pPr>
            <w:pStyle w:val="Contents3"/>
            <w:tabs>
              <w:tab w:val="clear" w:pos="8459"/>
              <w:tab w:val="right" w:pos="9026" w:leader="dot"/>
            </w:tabs>
            <w:rPr/>
          </w:pPr>
          <w:hyperlink w:anchor="__RefHeading___Toc2071271_3830689328">
            <w:r>
              <w:rPr>
                <w:webHidden/>
                <w:rStyle w:val="IndexLink"/>
                <w:rtl w:val="true"/>
              </w:rPr>
              <w:t xml:space="preserve">درس </w:t>
            </w:r>
            <w:r>
              <w:rPr>
                <w:rStyle w:val="IndexLink"/>
                <w:rtl w:val="true"/>
              </w:rPr>
              <w:t>(</w:t>
            </w:r>
            <w:r>
              <w:rPr>
                <w:rStyle w:val="IndexLink"/>
              </w:rPr>
              <w:t>143</w:t>
            </w:r>
            <w:r>
              <w:rPr>
                <w:rStyle w:val="IndexLink"/>
                <w:rtl w:val="true"/>
              </w:rPr>
              <w:t>)</w:t>
              <w:tab/>
            </w:r>
            <w:r>
              <w:rPr>
                <w:rStyle w:val="IndexLink"/>
              </w:rPr>
              <w:t>128</w:t>
            </w:r>
          </w:hyperlink>
        </w:p>
        <w:p>
          <w:pPr>
            <w:pStyle w:val="Contents3"/>
            <w:tabs>
              <w:tab w:val="clear" w:pos="8459"/>
              <w:tab w:val="right" w:pos="9026" w:leader="dot"/>
            </w:tabs>
            <w:rPr/>
          </w:pPr>
          <w:hyperlink w:anchor="__RefHeading___Toc2071273_3830689328">
            <w:r>
              <w:rPr>
                <w:webHidden/>
                <w:rStyle w:val="IndexLink"/>
                <w:rtl w:val="true"/>
              </w:rPr>
              <w:t xml:space="preserve">درس </w:t>
            </w:r>
            <w:r>
              <w:rPr>
                <w:rStyle w:val="IndexLink"/>
                <w:rtl w:val="true"/>
              </w:rPr>
              <w:t>(</w:t>
            </w:r>
            <w:r>
              <w:rPr>
                <w:rStyle w:val="IndexLink"/>
              </w:rPr>
              <w:t>144</w:t>
            </w:r>
            <w:r>
              <w:rPr>
                <w:rStyle w:val="IndexLink"/>
                <w:rtl w:val="true"/>
              </w:rPr>
              <w:t>)</w:t>
              <w:tab/>
            </w:r>
            <w:r>
              <w:rPr>
                <w:rStyle w:val="IndexLink"/>
              </w:rPr>
              <w:t>131</w:t>
            </w:r>
          </w:hyperlink>
        </w:p>
        <w:p>
          <w:pPr>
            <w:pStyle w:val="Contents3"/>
            <w:tabs>
              <w:tab w:val="clear" w:pos="8459"/>
              <w:tab w:val="right" w:pos="9026" w:leader="dot"/>
            </w:tabs>
            <w:rPr/>
          </w:pPr>
          <w:hyperlink w:anchor="__RefHeading___Toc2071275_3830689328">
            <w:r>
              <w:rPr>
                <w:webHidden/>
                <w:rStyle w:val="IndexLink"/>
                <w:rtl w:val="true"/>
              </w:rPr>
              <w:t xml:space="preserve">درس </w:t>
            </w:r>
            <w:r>
              <w:rPr>
                <w:rStyle w:val="IndexLink"/>
                <w:rtl w:val="true"/>
              </w:rPr>
              <w:t>(</w:t>
            </w:r>
            <w:r>
              <w:rPr>
                <w:rStyle w:val="IndexLink"/>
              </w:rPr>
              <w:t>145</w:t>
            </w:r>
            <w:r>
              <w:rPr>
                <w:rStyle w:val="IndexLink"/>
                <w:rtl w:val="true"/>
              </w:rPr>
              <w:t>)</w:t>
              <w:tab/>
            </w:r>
            <w:r>
              <w:rPr>
                <w:rStyle w:val="IndexLink"/>
              </w:rPr>
              <w:t>135</w:t>
            </w:r>
          </w:hyperlink>
        </w:p>
        <w:p>
          <w:pPr>
            <w:pStyle w:val="Contents2"/>
            <w:tabs>
              <w:tab w:val="clear" w:pos="8743"/>
              <w:tab w:val="right" w:pos="9026" w:leader="dot"/>
            </w:tabs>
            <w:rPr/>
          </w:pPr>
          <w:hyperlink w:anchor="__RefHeading___Toc2071277_3830689328">
            <w:r>
              <w:rPr>
                <w:webHidden/>
                <w:rStyle w:val="IndexLink"/>
                <w:rtl w:val="true"/>
              </w:rPr>
              <w:t>کتاب القسمة</w:t>
            </w:r>
            <w:r>
              <w:rPr>
                <w:rStyle w:val="IndexLink"/>
                <w:rtl w:val="true"/>
              </w:rPr>
              <w:tab/>
            </w:r>
            <w:r>
              <w:rPr>
                <w:rStyle w:val="IndexLink"/>
              </w:rPr>
              <w:t>140</w:t>
            </w:r>
          </w:hyperlink>
        </w:p>
        <w:p>
          <w:pPr>
            <w:pStyle w:val="Contents2"/>
            <w:tabs>
              <w:tab w:val="clear" w:pos="8743"/>
              <w:tab w:val="right" w:pos="9026" w:leader="dot"/>
            </w:tabs>
            <w:rPr/>
          </w:pPr>
          <w:hyperlink w:anchor="__RefHeading___Toc2071279_3830689328">
            <w:r>
              <w:rPr>
                <w:webHidden/>
                <w:rStyle w:val="IndexLink"/>
                <w:rtl w:val="true"/>
              </w:rPr>
              <w:t>کتاب الشهادات</w:t>
            </w:r>
            <w:r>
              <w:rPr>
                <w:rStyle w:val="IndexLink"/>
                <w:rtl w:val="true"/>
              </w:rPr>
              <w:tab/>
            </w:r>
            <w:r>
              <w:rPr>
                <w:rStyle w:val="IndexLink"/>
              </w:rPr>
              <w:t>146</w:t>
            </w:r>
          </w:hyperlink>
        </w:p>
        <w:p>
          <w:pPr>
            <w:pStyle w:val="Contents3"/>
            <w:tabs>
              <w:tab w:val="clear" w:pos="8459"/>
              <w:tab w:val="right" w:pos="9026" w:leader="dot"/>
            </w:tabs>
            <w:rPr/>
          </w:pPr>
          <w:hyperlink w:anchor="__RefHeading___Toc2071281_3830689328">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071283_3830689328">
            <w:r>
              <w:rPr>
                <w:webHidden/>
                <w:rStyle w:val="IndexLink"/>
                <w:rtl w:val="true"/>
              </w:rPr>
              <w:t xml:space="preserve">درس </w:t>
            </w:r>
            <w:r>
              <w:rPr>
                <w:rStyle w:val="IndexLink"/>
                <w:rtl w:val="true"/>
              </w:rPr>
              <w:t>(</w:t>
            </w:r>
            <w:r>
              <w:rPr>
                <w:rStyle w:val="IndexLink"/>
              </w:rPr>
              <w:t>146</w:t>
            </w:r>
            <w:r>
              <w:rPr>
                <w:rStyle w:val="IndexLink"/>
                <w:rtl w:val="true"/>
              </w:rPr>
              <w:t>)</w:t>
              <w:tab/>
            </w:r>
            <w:r>
              <w:rPr>
                <w:rStyle w:val="IndexLink"/>
              </w:rPr>
              <w:t>152</w:t>
            </w:r>
          </w:hyperlink>
        </w:p>
        <w:p>
          <w:pPr>
            <w:pStyle w:val="Contents3"/>
            <w:tabs>
              <w:tab w:val="clear" w:pos="8459"/>
              <w:tab w:val="right" w:pos="9026" w:leader="dot"/>
            </w:tabs>
            <w:rPr/>
          </w:pPr>
          <w:hyperlink w:anchor="__RefHeading___Toc2071285_3830689328">
            <w:r>
              <w:rPr>
                <w:webHidden/>
                <w:rStyle w:val="IndexLink"/>
                <w:rtl w:val="true"/>
              </w:rPr>
              <w:t xml:space="preserve">درس </w:t>
            </w:r>
            <w:r>
              <w:rPr>
                <w:rStyle w:val="IndexLink"/>
                <w:rtl w:val="true"/>
              </w:rPr>
              <w:t>(</w:t>
            </w:r>
            <w:r>
              <w:rPr>
                <w:rStyle w:val="IndexLink"/>
              </w:rPr>
              <w:t>147</w:t>
            </w:r>
            <w:r>
              <w:rPr>
                <w:rStyle w:val="IndexLink"/>
                <w:rtl w:val="true"/>
              </w:rPr>
              <w:t>)</w:t>
              <w:tab/>
            </w:r>
            <w:r>
              <w:rPr>
                <w:rStyle w:val="IndexLink"/>
              </w:rPr>
              <w:t>160</w:t>
            </w:r>
          </w:hyperlink>
        </w:p>
        <w:p>
          <w:pPr>
            <w:pStyle w:val="Contents3"/>
            <w:tabs>
              <w:tab w:val="clear" w:pos="8459"/>
              <w:tab w:val="right" w:pos="9026" w:leader="dot"/>
            </w:tabs>
            <w:rPr/>
          </w:pPr>
          <w:hyperlink w:anchor="__RefHeading___Toc2071287_3830689328">
            <w:r>
              <w:rPr>
                <w:webHidden/>
                <w:rStyle w:val="IndexLink"/>
                <w:rtl w:val="true"/>
              </w:rPr>
              <w:t xml:space="preserve">درس </w:t>
            </w:r>
            <w:r>
              <w:rPr>
                <w:rStyle w:val="IndexLink"/>
                <w:rtl w:val="true"/>
              </w:rPr>
              <w:t>(</w:t>
            </w:r>
            <w:r>
              <w:rPr>
                <w:rStyle w:val="IndexLink"/>
              </w:rPr>
              <w:t>148</w:t>
            </w:r>
            <w:r>
              <w:rPr>
                <w:rStyle w:val="IndexLink"/>
                <w:rtl w:val="true"/>
              </w:rPr>
              <w:t>)</w:t>
              <w:tab/>
            </w:r>
            <w:r>
              <w:rPr>
                <w:rStyle w:val="IndexLink"/>
              </w:rPr>
              <w:t>163</w:t>
            </w:r>
          </w:hyperlink>
        </w:p>
        <w:p>
          <w:pPr>
            <w:pStyle w:val="Contents3"/>
            <w:tabs>
              <w:tab w:val="clear" w:pos="8459"/>
              <w:tab w:val="right" w:pos="9026" w:leader="dot"/>
            </w:tabs>
            <w:rPr/>
          </w:pPr>
          <w:hyperlink w:anchor="__RefHeading___Toc2071289_3830689328">
            <w:r>
              <w:rPr>
                <w:webHidden/>
                <w:rStyle w:val="IndexLink"/>
                <w:rtl w:val="true"/>
              </w:rPr>
              <w:t xml:space="preserve">درس </w:t>
            </w:r>
            <w:r>
              <w:rPr>
                <w:rStyle w:val="IndexLink"/>
                <w:rtl w:val="true"/>
              </w:rPr>
              <w:t>(</w:t>
            </w:r>
            <w:r>
              <w:rPr>
                <w:rStyle w:val="IndexLink"/>
              </w:rPr>
              <w:t>149</w:t>
            </w:r>
            <w:r>
              <w:rPr>
                <w:rStyle w:val="IndexLink"/>
                <w:rtl w:val="true"/>
              </w:rPr>
              <w:t>)</w:t>
              <w:tab/>
            </w:r>
            <w:r>
              <w:rPr>
                <w:rStyle w:val="IndexLink"/>
              </w:rPr>
              <w:t>170</w:t>
            </w:r>
          </w:hyperlink>
        </w:p>
        <w:p>
          <w:pPr>
            <w:pStyle w:val="Contents3"/>
            <w:tabs>
              <w:tab w:val="clear" w:pos="8459"/>
              <w:tab w:val="right" w:pos="9026" w:leader="dot"/>
            </w:tabs>
            <w:rPr/>
          </w:pPr>
          <w:hyperlink w:anchor="__RefHeading___Toc2071291_3830689328">
            <w:r>
              <w:rPr>
                <w:webHidden/>
                <w:rStyle w:val="IndexLink"/>
                <w:rtl w:val="true"/>
              </w:rPr>
              <w:t xml:space="preserve">درس </w:t>
            </w:r>
            <w:r>
              <w:rPr>
                <w:rStyle w:val="IndexLink"/>
                <w:rtl w:val="true"/>
              </w:rPr>
              <w:t>(</w:t>
            </w:r>
            <w:r>
              <w:rPr>
                <w:rStyle w:val="IndexLink"/>
              </w:rPr>
              <w:t>150</w:t>
            </w:r>
            <w:r>
              <w:rPr>
                <w:rStyle w:val="IndexLink"/>
                <w:rtl w:val="true"/>
              </w:rPr>
              <w:t>)</w:t>
              <w:tab/>
            </w:r>
            <w:r>
              <w:rPr>
                <w:rStyle w:val="IndexLink"/>
              </w:rPr>
              <w:t>172</w:t>
            </w:r>
          </w:hyperlink>
        </w:p>
        <w:p>
          <w:pPr>
            <w:pStyle w:val="Contents2"/>
            <w:tabs>
              <w:tab w:val="clear" w:pos="8743"/>
              <w:tab w:val="right" w:pos="9026" w:leader="dot"/>
            </w:tabs>
            <w:rPr/>
          </w:pPr>
          <w:hyperlink w:anchor="__RefHeading___Toc2071293_3830689328">
            <w:r>
              <w:rPr>
                <w:webHidden/>
                <w:rStyle w:val="IndexLink"/>
                <w:rtl w:val="true"/>
              </w:rPr>
              <w:t>کتاب النذر و العهد</w:t>
            </w:r>
            <w:r>
              <w:rPr>
                <w:rStyle w:val="IndexLink"/>
                <w:rtl w:val="true"/>
              </w:rPr>
              <w:tab/>
            </w:r>
            <w:r>
              <w:rPr>
                <w:rStyle w:val="IndexLink"/>
              </w:rPr>
              <w:t>176</w:t>
            </w:r>
          </w:hyperlink>
        </w:p>
        <w:p>
          <w:pPr>
            <w:pStyle w:val="Contents3"/>
            <w:tabs>
              <w:tab w:val="clear" w:pos="8459"/>
              <w:tab w:val="right" w:pos="9026" w:leader="dot"/>
            </w:tabs>
            <w:rPr/>
          </w:pPr>
          <w:hyperlink w:anchor="__RefHeading___Toc2071295_3830689328">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071297_3830689328">
            <w:r>
              <w:rPr>
                <w:webHidden/>
                <w:rStyle w:val="IndexLink"/>
                <w:rtl w:val="true"/>
              </w:rPr>
              <w:t xml:space="preserve">درس </w:t>
            </w:r>
            <w:r>
              <w:rPr>
                <w:rStyle w:val="IndexLink"/>
                <w:rtl w:val="true"/>
              </w:rPr>
              <w:t>(</w:t>
            </w:r>
            <w:r>
              <w:rPr>
                <w:rStyle w:val="IndexLink"/>
              </w:rPr>
              <w:t>151</w:t>
            </w:r>
            <w:r>
              <w:rPr>
                <w:rStyle w:val="IndexLink"/>
                <w:rtl w:val="true"/>
              </w:rPr>
              <w:t>)</w:t>
              <w:tab/>
            </w:r>
            <w:r>
              <w:rPr>
                <w:rStyle w:val="IndexLink"/>
              </w:rPr>
              <w:t>183</w:t>
            </w:r>
          </w:hyperlink>
        </w:p>
        <w:p>
          <w:pPr>
            <w:pStyle w:val="Contents2"/>
            <w:tabs>
              <w:tab w:val="clear" w:pos="8743"/>
              <w:tab w:val="right" w:pos="9026" w:leader="dot"/>
            </w:tabs>
            <w:rPr/>
          </w:pPr>
          <w:hyperlink w:anchor="__RefHeading___Toc2071299_3830689328">
            <w:r>
              <w:rPr>
                <w:webHidden/>
                <w:rStyle w:val="IndexLink"/>
                <w:rtl w:val="true"/>
              </w:rPr>
              <w:t>کتاب الیمین</w:t>
            </w:r>
            <w:r>
              <w:rPr>
                <w:rStyle w:val="IndexLink"/>
                <w:rtl w:val="true"/>
              </w:rPr>
              <w:tab/>
            </w:r>
            <w:r>
              <w:rPr>
                <w:rStyle w:val="IndexLink"/>
              </w:rPr>
              <w:t>190</w:t>
            </w:r>
          </w:hyperlink>
        </w:p>
        <w:p>
          <w:pPr>
            <w:pStyle w:val="Contents3"/>
            <w:tabs>
              <w:tab w:val="clear" w:pos="8459"/>
              <w:tab w:val="right" w:pos="9026" w:leader="dot"/>
            </w:tabs>
            <w:rPr/>
          </w:pPr>
          <w:hyperlink w:anchor="__RefHeading___Toc2071301_3830689328">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2071303_3830689328">
            <w:r>
              <w:rPr>
                <w:webHidden/>
                <w:rStyle w:val="IndexLink"/>
                <w:rtl w:val="true"/>
              </w:rPr>
              <w:t xml:space="preserve">درس </w:t>
            </w:r>
            <w:r>
              <w:rPr>
                <w:rStyle w:val="IndexLink"/>
                <w:rtl w:val="true"/>
              </w:rPr>
              <w:t>(</w:t>
            </w:r>
            <w:r>
              <w:rPr>
                <w:rStyle w:val="IndexLink"/>
              </w:rPr>
              <w:t>152</w:t>
            </w:r>
            <w:r>
              <w:rPr>
                <w:rStyle w:val="IndexLink"/>
                <w:rtl w:val="true"/>
              </w:rPr>
              <w:t>)</w:t>
              <w:tab/>
            </w:r>
            <w:r>
              <w:rPr>
                <w:rStyle w:val="IndexLink"/>
              </w:rPr>
              <w:t>196</w:t>
            </w:r>
          </w:hyperlink>
        </w:p>
        <w:p>
          <w:pPr>
            <w:pStyle w:val="Contents3"/>
            <w:tabs>
              <w:tab w:val="clear" w:pos="8459"/>
              <w:tab w:val="right" w:pos="9026" w:leader="dot"/>
            </w:tabs>
            <w:rPr/>
          </w:pPr>
          <w:hyperlink w:anchor="__RefHeading___Toc2071305_3830689328">
            <w:r>
              <w:rPr>
                <w:webHidden/>
                <w:rStyle w:val="IndexLink"/>
                <w:rtl w:val="true"/>
              </w:rPr>
              <w:t xml:space="preserve">درس </w:t>
            </w:r>
            <w:r>
              <w:rPr>
                <w:rStyle w:val="IndexLink"/>
                <w:rtl w:val="true"/>
              </w:rPr>
              <w:t>(</w:t>
            </w:r>
            <w:r>
              <w:rPr>
                <w:rStyle w:val="IndexLink"/>
              </w:rPr>
              <w:t>153</w:t>
            </w:r>
            <w:r>
              <w:rPr>
                <w:rStyle w:val="IndexLink"/>
                <w:rtl w:val="true"/>
              </w:rPr>
              <w:t>)</w:t>
              <w:tab/>
            </w:r>
            <w:r>
              <w:rPr>
                <w:rStyle w:val="IndexLink"/>
              </w:rPr>
              <w:t>200</w:t>
            </w:r>
          </w:hyperlink>
        </w:p>
        <w:p>
          <w:pPr>
            <w:pStyle w:val="Contents3"/>
            <w:tabs>
              <w:tab w:val="clear" w:pos="8459"/>
              <w:tab w:val="right" w:pos="9026" w:leader="dot"/>
            </w:tabs>
            <w:rPr/>
          </w:pPr>
          <w:hyperlink w:anchor="__RefHeading___Toc2071307_3830689328">
            <w:r>
              <w:rPr>
                <w:webHidden/>
                <w:rStyle w:val="IndexLink"/>
                <w:rtl w:val="true"/>
              </w:rPr>
              <w:t xml:space="preserve">درس </w:t>
            </w:r>
            <w:r>
              <w:rPr>
                <w:rStyle w:val="IndexLink"/>
                <w:rtl w:val="true"/>
              </w:rPr>
              <w:t>(</w:t>
            </w:r>
            <w:r>
              <w:rPr>
                <w:rStyle w:val="IndexLink"/>
              </w:rPr>
              <w:t>154</w:t>
            </w:r>
            <w:r>
              <w:rPr>
                <w:rStyle w:val="IndexLink"/>
                <w:rtl w:val="true"/>
              </w:rPr>
              <w:t>)</w:t>
              <w:tab/>
            </w:r>
            <w:r>
              <w:rPr>
                <w:rStyle w:val="IndexLink"/>
              </w:rPr>
              <w:t>204</w:t>
            </w:r>
          </w:hyperlink>
        </w:p>
        <w:p>
          <w:pPr>
            <w:pStyle w:val="Contents2"/>
            <w:tabs>
              <w:tab w:val="clear" w:pos="8743"/>
              <w:tab w:val="right" w:pos="9026" w:leader="dot"/>
            </w:tabs>
            <w:rPr/>
          </w:pPr>
          <w:hyperlink w:anchor="__RefHeading___Toc2071309_3830689328">
            <w:r>
              <w:rPr>
                <w:webHidden/>
                <w:rStyle w:val="IndexLink"/>
                <w:rtl w:val="true"/>
              </w:rPr>
              <w:t>کتاب الکفّارات</w:t>
            </w:r>
            <w:r>
              <w:rPr>
                <w:rStyle w:val="IndexLink"/>
                <w:rtl w:val="true"/>
              </w:rPr>
              <w:tab/>
            </w:r>
            <w:r>
              <w:rPr>
                <w:rStyle w:val="IndexLink"/>
              </w:rPr>
              <w:t>208</w:t>
            </w:r>
          </w:hyperlink>
        </w:p>
        <w:p>
          <w:pPr>
            <w:pStyle w:val="Contents3"/>
            <w:tabs>
              <w:tab w:val="clear" w:pos="8459"/>
              <w:tab w:val="right" w:pos="9026" w:leader="dot"/>
            </w:tabs>
            <w:rPr/>
          </w:pPr>
          <w:hyperlink w:anchor="__RefHeading___Toc2071311_3830689328">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071313_3830689328">
            <w:r>
              <w:rPr>
                <w:webHidden/>
                <w:rStyle w:val="IndexLink"/>
                <w:rtl w:val="true"/>
              </w:rPr>
              <w:t xml:space="preserve">درس </w:t>
            </w:r>
            <w:r>
              <w:rPr>
                <w:rStyle w:val="IndexLink"/>
                <w:rtl w:val="true"/>
              </w:rPr>
              <w:t>(</w:t>
            </w:r>
            <w:r>
              <w:rPr>
                <w:rStyle w:val="IndexLink"/>
              </w:rPr>
              <w:t>155</w:t>
            </w:r>
            <w:r>
              <w:rPr>
                <w:rStyle w:val="IndexLink"/>
                <w:rtl w:val="true"/>
              </w:rPr>
              <w:t>)</w:t>
              <w:tab/>
            </w:r>
            <w:r>
              <w:rPr>
                <w:rStyle w:val="IndexLink"/>
              </w:rPr>
              <w:t>214</w:t>
            </w:r>
          </w:hyperlink>
        </w:p>
        <w:p>
          <w:pPr>
            <w:pStyle w:val="Contents3"/>
            <w:tabs>
              <w:tab w:val="clear" w:pos="8459"/>
              <w:tab w:val="right" w:pos="9026" w:leader="dot"/>
            </w:tabs>
            <w:rPr/>
          </w:pPr>
          <w:hyperlink w:anchor="__RefHeading___Toc2071315_3830689328">
            <w:r>
              <w:rPr>
                <w:webHidden/>
                <w:rStyle w:val="IndexLink"/>
                <w:rtl w:val="true"/>
              </w:rPr>
              <w:t xml:space="preserve">درس </w:t>
            </w:r>
            <w:r>
              <w:rPr>
                <w:rStyle w:val="IndexLink"/>
                <w:rtl w:val="true"/>
              </w:rPr>
              <w:t>(</w:t>
            </w:r>
            <w:r>
              <w:rPr>
                <w:rStyle w:val="IndexLink"/>
              </w:rPr>
              <w:t>156</w:t>
            </w:r>
            <w:r>
              <w:rPr>
                <w:rStyle w:val="IndexLink"/>
                <w:rtl w:val="true"/>
              </w:rPr>
              <w:t>)</w:t>
              <w:tab/>
            </w:r>
            <w:r>
              <w:rPr>
                <w:rStyle w:val="IndexLink"/>
              </w:rPr>
              <w:t>219</w:t>
            </w:r>
          </w:hyperlink>
        </w:p>
        <w:p>
          <w:pPr>
            <w:pStyle w:val="Contents2"/>
            <w:tabs>
              <w:tab w:val="clear" w:pos="8743"/>
              <w:tab w:val="right" w:pos="9026" w:leader="dot"/>
            </w:tabs>
            <w:rPr/>
          </w:pPr>
          <w:hyperlink w:anchor="__RefHeading___Toc2071317_3830689328">
            <w:r>
              <w:rPr>
                <w:webHidden/>
                <w:rStyle w:val="IndexLink"/>
                <w:rtl w:val="true"/>
              </w:rPr>
              <w:t>کتاب العتق</w:t>
            </w:r>
            <w:r>
              <w:rPr>
                <w:rStyle w:val="IndexLink"/>
                <w:rtl w:val="true"/>
              </w:rPr>
              <w:tab/>
            </w:r>
            <w:r>
              <w:rPr>
                <w:rStyle w:val="IndexLink"/>
              </w:rPr>
              <w:t>226</w:t>
            </w:r>
          </w:hyperlink>
        </w:p>
        <w:p>
          <w:pPr>
            <w:pStyle w:val="Contents3"/>
            <w:tabs>
              <w:tab w:val="clear" w:pos="8459"/>
              <w:tab w:val="right" w:pos="9026" w:leader="dot"/>
            </w:tabs>
            <w:rPr/>
          </w:pPr>
          <w:hyperlink w:anchor="__RefHeading___Toc2071319_3830689328">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2071321_3830689328">
            <w:r>
              <w:rPr>
                <w:webHidden/>
                <w:rStyle w:val="IndexLink"/>
                <w:rtl w:val="true"/>
              </w:rPr>
              <w:t xml:space="preserve">درس </w:t>
            </w:r>
            <w:r>
              <w:rPr>
                <w:rStyle w:val="IndexLink"/>
                <w:rtl w:val="true"/>
              </w:rPr>
              <w:t>(</w:t>
            </w:r>
            <w:r>
              <w:rPr>
                <w:rStyle w:val="IndexLink"/>
              </w:rPr>
              <w:t>157</w:t>
            </w:r>
            <w:r>
              <w:rPr>
                <w:rStyle w:val="IndexLink"/>
                <w:rtl w:val="true"/>
              </w:rPr>
              <w:t>)</w:t>
              <w:tab/>
            </w:r>
            <w:r>
              <w:rPr>
                <w:rStyle w:val="IndexLink"/>
              </w:rPr>
              <w:t>231</w:t>
            </w:r>
          </w:hyperlink>
        </w:p>
        <w:p>
          <w:pPr>
            <w:pStyle w:val="Contents3"/>
            <w:tabs>
              <w:tab w:val="clear" w:pos="8459"/>
              <w:tab w:val="right" w:pos="9026" w:leader="dot"/>
            </w:tabs>
            <w:rPr/>
          </w:pPr>
          <w:hyperlink w:anchor="__RefHeading___Toc2071323_3830689328">
            <w:r>
              <w:rPr>
                <w:webHidden/>
                <w:rStyle w:val="IndexLink"/>
                <w:rtl w:val="true"/>
              </w:rPr>
              <w:t xml:space="preserve">درس </w:t>
            </w:r>
            <w:r>
              <w:rPr>
                <w:rStyle w:val="IndexLink"/>
                <w:rtl w:val="true"/>
              </w:rPr>
              <w:t>(</w:t>
            </w:r>
            <w:r>
              <w:rPr>
                <w:rStyle w:val="IndexLink"/>
              </w:rPr>
              <w:t>158</w:t>
            </w:r>
            <w:r>
              <w:rPr>
                <w:rStyle w:val="IndexLink"/>
                <w:rtl w:val="true"/>
              </w:rPr>
              <w:t>)</w:t>
              <w:tab/>
            </w:r>
            <w:r>
              <w:rPr>
                <w:rStyle w:val="IndexLink"/>
              </w:rPr>
              <w:t>236</w:t>
            </w:r>
          </w:hyperlink>
        </w:p>
        <w:p>
          <w:pPr>
            <w:pStyle w:val="Contents3"/>
            <w:tabs>
              <w:tab w:val="clear" w:pos="8459"/>
              <w:tab w:val="right" w:pos="9026" w:leader="dot"/>
            </w:tabs>
            <w:rPr/>
          </w:pPr>
          <w:hyperlink w:anchor="__RefHeading___Toc2071325_3830689328">
            <w:r>
              <w:rPr>
                <w:webHidden/>
                <w:rStyle w:val="IndexLink"/>
                <w:rtl w:val="true"/>
              </w:rPr>
              <w:t xml:space="preserve">درس </w:t>
            </w:r>
            <w:r>
              <w:rPr>
                <w:rStyle w:val="IndexLink"/>
                <w:rtl w:val="true"/>
              </w:rPr>
              <w:t>(</w:t>
            </w:r>
            <w:r>
              <w:rPr>
                <w:rStyle w:val="IndexLink"/>
              </w:rPr>
              <w:t>159</w:t>
            </w:r>
            <w:r>
              <w:rPr>
                <w:rStyle w:val="IndexLink"/>
                <w:rtl w:val="true"/>
              </w:rPr>
              <w:t>)</w:t>
              <w:tab/>
            </w:r>
            <w:r>
              <w:rPr>
                <w:rStyle w:val="IndexLink"/>
              </w:rPr>
              <w:t>239</w:t>
            </w:r>
          </w:hyperlink>
        </w:p>
        <w:p>
          <w:pPr>
            <w:pStyle w:val="Contents3"/>
            <w:tabs>
              <w:tab w:val="clear" w:pos="8459"/>
              <w:tab w:val="right" w:pos="9026" w:leader="dot"/>
            </w:tabs>
            <w:rPr/>
          </w:pPr>
          <w:hyperlink w:anchor="__RefHeading___Toc2071327_3830689328">
            <w:r>
              <w:rPr>
                <w:webHidden/>
                <w:rStyle w:val="IndexLink"/>
                <w:rtl w:val="true"/>
              </w:rPr>
              <w:t xml:space="preserve">درس </w:t>
            </w:r>
            <w:r>
              <w:rPr>
                <w:rStyle w:val="IndexLink"/>
                <w:rtl w:val="true"/>
              </w:rPr>
              <w:t>(</w:t>
            </w:r>
            <w:r>
              <w:rPr>
                <w:rStyle w:val="IndexLink"/>
              </w:rPr>
              <w:t>160</w:t>
            </w:r>
            <w:r>
              <w:rPr>
                <w:rStyle w:val="IndexLink"/>
                <w:rtl w:val="true"/>
              </w:rPr>
              <w:t>)</w:t>
              <w:tab/>
            </w:r>
            <w:r>
              <w:rPr>
                <w:rStyle w:val="IndexLink"/>
              </w:rPr>
              <w:t>244</w:t>
            </w:r>
          </w:hyperlink>
        </w:p>
        <w:p>
          <w:pPr>
            <w:pStyle w:val="Contents3"/>
            <w:tabs>
              <w:tab w:val="clear" w:pos="8459"/>
              <w:tab w:val="right" w:pos="9026" w:leader="dot"/>
            </w:tabs>
            <w:rPr/>
          </w:pPr>
          <w:hyperlink w:anchor="__RefHeading___Toc2071329_3830689328">
            <w:r>
              <w:rPr>
                <w:webHidden/>
                <w:rStyle w:val="IndexLink"/>
                <w:rtl w:val="true"/>
              </w:rPr>
              <w:t xml:space="preserve">درس </w:t>
            </w:r>
            <w:r>
              <w:rPr>
                <w:rStyle w:val="IndexLink"/>
                <w:rtl w:val="true"/>
              </w:rPr>
              <w:t>(</w:t>
            </w:r>
            <w:r>
              <w:rPr>
                <w:rStyle w:val="IndexLink"/>
              </w:rPr>
              <w:t>161</w:t>
            </w:r>
            <w:r>
              <w:rPr>
                <w:rStyle w:val="IndexLink"/>
                <w:rtl w:val="true"/>
              </w:rPr>
              <w:t>)</w:t>
              <w:tab/>
            </w:r>
            <w:r>
              <w:rPr>
                <w:rStyle w:val="IndexLink"/>
              </w:rPr>
              <w:t>247</w:t>
            </w:r>
          </w:hyperlink>
        </w:p>
        <w:p>
          <w:pPr>
            <w:pStyle w:val="Contents3"/>
            <w:tabs>
              <w:tab w:val="clear" w:pos="8459"/>
              <w:tab w:val="right" w:pos="9026" w:leader="dot"/>
            </w:tabs>
            <w:rPr/>
          </w:pPr>
          <w:hyperlink w:anchor="__RefHeading___Toc2071331_3830689328">
            <w:r>
              <w:rPr>
                <w:webHidden/>
                <w:rStyle w:val="IndexLink"/>
                <w:rtl w:val="true"/>
              </w:rPr>
              <w:t xml:space="preserve">درس </w:t>
            </w:r>
            <w:r>
              <w:rPr>
                <w:rStyle w:val="IndexLink"/>
                <w:rtl w:val="true"/>
              </w:rPr>
              <w:t>(</w:t>
            </w:r>
            <w:r>
              <w:rPr>
                <w:rStyle w:val="IndexLink"/>
              </w:rPr>
              <w:t>162</w:t>
            </w:r>
            <w:r>
              <w:rPr>
                <w:rStyle w:val="IndexLink"/>
                <w:rtl w:val="true"/>
              </w:rPr>
              <w:t>)</w:t>
              <w:tab/>
            </w:r>
            <w:r>
              <w:rPr>
                <w:rStyle w:val="IndexLink"/>
              </w:rPr>
              <w:t>252</w:t>
            </w:r>
          </w:hyperlink>
        </w:p>
        <w:p>
          <w:pPr>
            <w:pStyle w:val="Contents2"/>
            <w:tabs>
              <w:tab w:val="clear" w:pos="8743"/>
              <w:tab w:val="right" w:pos="9026" w:leader="dot"/>
            </w:tabs>
            <w:rPr/>
          </w:pPr>
          <w:hyperlink w:anchor="__RefHeading___Toc2071333_3830689328">
            <w:r>
              <w:rPr>
                <w:webHidden/>
                <w:rStyle w:val="IndexLink"/>
                <w:rtl w:val="true"/>
              </w:rPr>
              <w:t>کتاب أُمّ الولد</w:t>
            </w:r>
            <w:r>
              <w:rPr>
                <w:rStyle w:val="IndexLink"/>
                <w:rtl w:val="true"/>
              </w:rPr>
              <w:tab/>
            </w:r>
            <w:r>
              <w:rPr>
                <w:rStyle w:val="IndexLink"/>
              </w:rPr>
              <w:t>258</w:t>
            </w:r>
          </w:hyperlink>
        </w:p>
        <w:p>
          <w:pPr>
            <w:pStyle w:val="Contents2"/>
            <w:tabs>
              <w:tab w:val="clear" w:pos="8743"/>
              <w:tab w:val="right" w:pos="9026" w:leader="dot"/>
            </w:tabs>
            <w:rPr/>
          </w:pPr>
          <w:hyperlink w:anchor="__RefHeading___Toc2071335_3830689328">
            <w:r>
              <w:rPr>
                <w:webHidden/>
                <w:rStyle w:val="IndexLink"/>
                <w:rtl w:val="true"/>
              </w:rPr>
              <w:t>کتاب المدبّر</w:t>
            </w:r>
            <w:r>
              <w:rPr>
                <w:rStyle w:val="IndexLink"/>
                <w:rtl w:val="true"/>
              </w:rPr>
              <w:tab/>
            </w:r>
            <w:r>
              <w:rPr>
                <w:rStyle w:val="IndexLink"/>
              </w:rPr>
              <w:t>266</w:t>
            </w:r>
          </w:hyperlink>
        </w:p>
        <w:p>
          <w:pPr>
            <w:pStyle w:val="Contents3"/>
            <w:tabs>
              <w:tab w:val="clear" w:pos="8459"/>
              <w:tab w:val="right" w:pos="9026" w:leader="dot"/>
            </w:tabs>
            <w:rPr/>
          </w:pPr>
          <w:hyperlink w:anchor="__RefHeading___Toc2071337_3830689328">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2071339_3830689328">
            <w:r>
              <w:rPr>
                <w:webHidden/>
                <w:rStyle w:val="IndexLink"/>
                <w:rtl w:val="true"/>
              </w:rPr>
              <w:t xml:space="preserve">درس </w:t>
            </w:r>
            <w:r>
              <w:rPr>
                <w:rStyle w:val="IndexLink"/>
                <w:rtl w:val="true"/>
              </w:rPr>
              <w:t>(</w:t>
            </w:r>
            <w:r>
              <w:rPr>
                <w:rStyle w:val="IndexLink"/>
              </w:rPr>
              <w:t>163</w:t>
            </w:r>
            <w:r>
              <w:rPr>
                <w:rStyle w:val="IndexLink"/>
                <w:rtl w:val="true"/>
              </w:rPr>
              <w:t>)</w:t>
              <w:tab/>
            </w:r>
            <w:r>
              <w:rPr>
                <w:rStyle w:val="IndexLink"/>
              </w:rPr>
              <w:t>271</w:t>
            </w:r>
          </w:hyperlink>
        </w:p>
        <w:p>
          <w:pPr>
            <w:pStyle w:val="Contents2"/>
            <w:tabs>
              <w:tab w:val="clear" w:pos="8743"/>
              <w:tab w:val="right" w:pos="9026" w:leader="dot"/>
            </w:tabs>
            <w:rPr/>
          </w:pPr>
          <w:hyperlink w:anchor="__RefHeading___Toc2071341_3830689328">
            <w:r>
              <w:rPr>
                <w:webHidden/>
                <w:rStyle w:val="IndexLink"/>
                <w:rtl w:val="true"/>
              </w:rPr>
              <w:t>کتاب المکاتب</w:t>
            </w:r>
            <w:r>
              <w:rPr>
                <w:rStyle w:val="IndexLink"/>
                <w:rtl w:val="true"/>
              </w:rPr>
              <w:tab/>
            </w:r>
            <w:r>
              <w:rPr>
                <w:rStyle w:val="IndexLink"/>
              </w:rPr>
              <w:t>278</w:t>
            </w:r>
          </w:hyperlink>
        </w:p>
        <w:p>
          <w:pPr>
            <w:pStyle w:val="Contents3"/>
            <w:tabs>
              <w:tab w:val="clear" w:pos="8459"/>
              <w:tab w:val="right" w:pos="9026" w:leader="dot"/>
            </w:tabs>
            <w:rPr/>
          </w:pPr>
          <w:hyperlink w:anchor="__RefHeading___Toc2071343_3830689328">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2071345_3830689328">
            <w:r>
              <w:rPr>
                <w:webHidden/>
                <w:rStyle w:val="IndexLink"/>
                <w:rtl w:val="true"/>
              </w:rPr>
              <w:t xml:space="preserve">درس </w:t>
            </w:r>
            <w:r>
              <w:rPr>
                <w:rStyle w:val="IndexLink"/>
                <w:rtl w:val="true"/>
              </w:rPr>
              <w:t>(</w:t>
            </w:r>
            <w:r>
              <w:rPr>
                <w:rStyle w:val="IndexLink"/>
              </w:rPr>
              <w:t>164</w:t>
            </w:r>
            <w:r>
              <w:rPr>
                <w:rStyle w:val="IndexLink"/>
                <w:rtl w:val="true"/>
              </w:rPr>
              <w:t>)</w:t>
              <w:tab/>
            </w:r>
            <w:r>
              <w:rPr>
                <w:rStyle w:val="IndexLink"/>
              </w:rPr>
              <w:t>286</w:t>
            </w:r>
          </w:hyperlink>
        </w:p>
        <w:p>
          <w:pPr>
            <w:pStyle w:val="Contents3"/>
            <w:tabs>
              <w:tab w:val="clear" w:pos="8459"/>
              <w:tab w:val="right" w:pos="9026" w:leader="dot"/>
            </w:tabs>
            <w:rPr/>
          </w:pPr>
          <w:hyperlink w:anchor="__RefHeading___Toc2071347_3830689328">
            <w:r>
              <w:rPr>
                <w:webHidden/>
                <w:rStyle w:val="IndexLink"/>
                <w:rtl w:val="true"/>
              </w:rPr>
              <w:t xml:space="preserve">درس </w:t>
            </w:r>
            <w:r>
              <w:rPr>
                <w:rStyle w:val="IndexLink"/>
                <w:rtl w:val="true"/>
              </w:rPr>
              <w:t>(</w:t>
            </w:r>
            <w:r>
              <w:rPr>
                <w:rStyle w:val="IndexLink"/>
              </w:rPr>
              <w:t>165</w:t>
            </w:r>
            <w:r>
              <w:rPr>
                <w:rStyle w:val="IndexLink"/>
                <w:rtl w:val="true"/>
              </w:rPr>
              <w:t>)</w:t>
              <w:tab/>
            </w:r>
            <w:r>
              <w:rPr>
                <w:rStyle w:val="IndexLink"/>
              </w:rPr>
              <w:t>291</w:t>
            </w:r>
          </w:hyperlink>
        </w:p>
        <w:p>
          <w:pPr>
            <w:pStyle w:val="Contents3"/>
            <w:tabs>
              <w:tab w:val="clear" w:pos="8459"/>
              <w:tab w:val="right" w:pos="9026" w:leader="dot"/>
            </w:tabs>
            <w:rPr/>
          </w:pPr>
          <w:hyperlink w:anchor="__RefHeading___Toc2071349_3830689328">
            <w:r>
              <w:rPr>
                <w:webHidden/>
                <w:rStyle w:val="IndexLink"/>
                <w:rtl w:val="true"/>
              </w:rPr>
              <w:t xml:space="preserve">درس </w:t>
            </w:r>
            <w:r>
              <w:rPr>
                <w:rStyle w:val="IndexLink"/>
                <w:rtl w:val="true"/>
              </w:rPr>
              <w:t>(</w:t>
            </w:r>
            <w:r>
              <w:rPr>
                <w:rStyle w:val="IndexLink"/>
              </w:rPr>
              <w:t>166</w:t>
            </w:r>
            <w:r>
              <w:rPr>
                <w:rStyle w:val="IndexLink"/>
                <w:rtl w:val="true"/>
              </w:rPr>
              <w:t>)</w:t>
              <w:tab/>
            </w:r>
            <w:r>
              <w:rPr>
                <w:rStyle w:val="IndexLink"/>
              </w:rPr>
              <w:t>294</w:t>
            </w:r>
          </w:hyperlink>
        </w:p>
        <w:p>
          <w:pPr>
            <w:pStyle w:val="Contents3"/>
            <w:tabs>
              <w:tab w:val="clear" w:pos="8459"/>
              <w:tab w:val="right" w:pos="9026" w:leader="dot"/>
            </w:tabs>
            <w:rPr/>
          </w:pPr>
          <w:hyperlink w:anchor="__RefHeading___Toc2071351_3830689328">
            <w:r>
              <w:rPr>
                <w:webHidden/>
                <w:rStyle w:val="IndexLink"/>
                <w:rtl w:val="true"/>
              </w:rPr>
              <w:t xml:space="preserve">درس </w:t>
            </w:r>
            <w:r>
              <w:rPr>
                <w:rStyle w:val="IndexLink"/>
                <w:rtl w:val="true"/>
              </w:rPr>
              <w:t>(</w:t>
            </w:r>
            <w:r>
              <w:rPr>
                <w:rStyle w:val="IndexLink"/>
              </w:rPr>
              <w:t>167</w:t>
            </w:r>
            <w:r>
              <w:rPr>
                <w:rStyle w:val="IndexLink"/>
                <w:rtl w:val="true"/>
              </w:rPr>
              <w:t>)</w:t>
              <w:tab/>
            </w:r>
            <w:r>
              <w:rPr>
                <w:rStyle w:val="IndexLink"/>
              </w:rPr>
              <w:t>297</w:t>
            </w:r>
          </w:hyperlink>
        </w:p>
        <w:p>
          <w:pPr>
            <w:pStyle w:val="Contents3"/>
            <w:tabs>
              <w:tab w:val="clear" w:pos="8459"/>
              <w:tab w:val="right" w:pos="9026" w:leader="dot"/>
            </w:tabs>
            <w:rPr/>
          </w:pPr>
          <w:hyperlink w:anchor="__RefHeading___Toc2071353_3830689328">
            <w:r>
              <w:rPr>
                <w:webHidden/>
                <w:rStyle w:val="IndexLink"/>
                <w:rtl w:val="true"/>
              </w:rPr>
              <w:t xml:space="preserve">درس </w:t>
            </w:r>
            <w:r>
              <w:rPr>
                <w:rStyle w:val="IndexLink"/>
                <w:rtl w:val="true"/>
              </w:rPr>
              <w:t>(</w:t>
            </w:r>
            <w:r>
              <w:rPr>
                <w:rStyle w:val="IndexLink"/>
              </w:rPr>
              <w:t>168</w:t>
            </w:r>
            <w:r>
              <w:rPr>
                <w:rStyle w:val="IndexLink"/>
                <w:rtl w:val="true"/>
              </w:rPr>
              <w:t>)</w:t>
              <w:tab/>
            </w:r>
            <w:r>
              <w:rPr>
                <w:rStyle w:val="IndexLink"/>
              </w:rPr>
              <w:t>300</w:t>
            </w:r>
          </w:hyperlink>
        </w:p>
        <w:p>
          <w:pPr>
            <w:pStyle w:val="Contents2"/>
            <w:tabs>
              <w:tab w:val="clear" w:pos="8743"/>
              <w:tab w:val="right" w:pos="9026" w:leader="dot"/>
            </w:tabs>
            <w:rPr/>
          </w:pPr>
          <w:hyperlink w:anchor="__RefHeading___Toc2071355_3830689328">
            <w:r>
              <w:rPr>
                <w:webHidden/>
                <w:rStyle w:val="IndexLink"/>
                <w:rtl w:val="true"/>
              </w:rPr>
              <w:t>کتاب الوقف</w:t>
            </w:r>
            <w:r>
              <w:rPr>
                <w:rStyle w:val="IndexLink"/>
                <w:rtl w:val="true"/>
              </w:rPr>
              <w:tab/>
            </w:r>
            <w:r>
              <w:rPr>
                <w:rStyle w:val="IndexLink"/>
              </w:rPr>
              <w:t>304</w:t>
            </w:r>
          </w:hyperlink>
        </w:p>
        <w:p>
          <w:pPr>
            <w:pStyle w:val="Contents3"/>
            <w:tabs>
              <w:tab w:val="clear" w:pos="8459"/>
              <w:tab w:val="right" w:pos="9026" w:leader="dot"/>
            </w:tabs>
            <w:rPr/>
          </w:pPr>
          <w:hyperlink w:anchor="__RefHeading___Toc2071357_3830689328">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2071359_3830689328">
            <w:r>
              <w:rPr>
                <w:webHidden/>
                <w:rStyle w:val="IndexLink"/>
                <w:rtl w:val="true"/>
              </w:rPr>
              <w:t xml:space="preserve">درس </w:t>
            </w:r>
            <w:r>
              <w:rPr>
                <w:rStyle w:val="IndexLink"/>
                <w:rtl w:val="true"/>
              </w:rPr>
              <w:t>(</w:t>
            </w:r>
            <w:r>
              <w:rPr>
                <w:rStyle w:val="IndexLink"/>
              </w:rPr>
              <w:t>169</w:t>
            </w:r>
            <w:r>
              <w:rPr>
                <w:rStyle w:val="IndexLink"/>
                <w:rtl w:val="true"/>
              </w:rPr>
              <w:t>)</w:t>
              <w:tab/>
            </w:r>
            <w:r>
              <w:rPr>
                <w:rStyle w:val="IndexLink"/>
              </w:rPr>
              <w:t>310</w:t>
            </w:r>
          </w:hyperlink>
        </w:p>
        <w:p>
          <w:pPr>
            <w:pStyle w:val="Contents3"/>
            <w:tabs>
              <w:tab w:val="clear" w:pos="8459"/>
              <w:tab w:val="right" w:pos="9026" w:leader="dot"/>
            </w:tabs>
            <w:rPr/>
          </w:pPr>
          <w:hyperlink w:anchor="__RefHeading___Toc2071361_3830689328">
            <w:r>
              <w:rPr>
                <w:webHidden/>
                <w:rStyle w:val="IndexLink"/>
                <w:rtl w:val="true"/>
              </w:rPr>
              <w:t xml:space="preserve">درس </w:t>
            </w:r>
            <w:r>
              <w:rPr>
                <w:rStyle w:val="IndexLink"/>
                <w:rtl w:val="true"/>
              </w:rPr>
              <w:t>(</w:t>
            </w:r>
            <w:r>
              <w:rPr>
                <w:rStyle w:val="IndexLink"/>
              </w:rPr>
              <w:t>170</w:t>
            </w:r>
            <w:r>
              <w:rPr>
                <w:rStyle w:val="IndexLink"/>
                <w:rtl w:val="true"/>
              </w:rPr>
              <w:t>)</w:t>
              <w:tab/>
            </w:r>
            <w:r>
              <w:rPr>
                <w:rStyle w:val="IndexLink"/>
              </w:rPr>
              <w:t>315</w:t>
            </w:r>
          </w:hyperlink>
        </w:p>
        <w:p>
          <w:pPr>
            <w:pStyle w:val="Contents3"/>
            <w:tabs>
              <w:tab w:val="clear" w:pos="8459"/>
              <w:tab w:val="right" w:pos="9026" w:leader="dot"/>
            </w:tabs>
            <w:rPr/>
          </w:pPr>
          <w:hyperlink w:anchor="__RefHeading___Toc2071363_3830689328">
            <w:r>
              <w:rPr>
                <w:webHidden/>
                <w:rStyle w:val="IndexLink"/>
                <w:rtl w:val="true"/>
              </w:rPr>
              <w:t xml:space="preserve">درس </w:t>
            </w:r>
            <w:r>
              <w:rPr>
                <w:rStyle w:val="IndexLink"/>
                <w:rtl w:val="true"/>
              </w:rPr>
              <w:t>(</w:t>
            </w:r>
            <w:r>
              <w:rPr>
                <w:rStyle w:val="IndexLink"/>
              </w:rPr>
              <w:t>171</w:t>
            </w:r>
            <w:r>
              <w:rPr>
                <w:rStyle w:val="IndexLink"/>
                <w:rtl w:val="true"/>
              </w:rPr>
              <w:t>)</w:t>
              <w:tab/>
            </w:r>
            <w:r>
              <w:rPr>
                <w:rStyle w:val="IndexLink"/>
              </w:rPr>
              <w:t>318</w:t>
            </w:r>
          </w:hyperlink>
        </w:p>
        <w:p>
          <w:pPr>
            <w:pStyle w:val="Contents3"/>
            <w:tabs>
              <w:tab w:val="clear" w:pos="8459"/>
              <w:tab w:val="right" w:pos="9026" w:leader="dot"/>
            </w:tabs>
            <w:rPr/>
          </w:pPr>
          <w:hyperlink w:anchor="__RefHeading___Toc2071365_3830689328">
            <w:r>
              <w:rPr>
                <w:webHidden/>
                <w:rStyle w:val="IndexLink"/>
                <w:rtl w:val="true"/>
              </w:rPr>
              <w:t xml:space="preserve">درس </w:t>
            </w:r>
            <w:r>
              <w:rPr>
                <w:rStyle w:val="IndexLink"/>
                <w:rtl w:val="true"/>
              </w:rPr>
              <w:t>(</w:t>
            </w:r>
            <w:r>
              <w:rPr>
                <w:rStyle w:val="IndexLink"/>
              </w:rPr>
              <w:t>172</w:t>
            </w:r>
            <w:r>
              <w:rPr>
                <w:rStyle w:val="IndexLink"/>
                <w:rtl w:val="true"/>
              </w:rPr>
              <w:t>)</w:t>
              <w:tab/>
            </w:r>
            <w:r>
              <w:rPr>
                <w:rStyle w:val="IndexLink"/>
              </w:rPr>
              <w:t>322</w:t>
            </w:r>
          </w:hyperlink>
        </w:p>
        <w:p>
          <w:pPr>
            <w:pStyle w:val="Contents2"/>
            <w:tabs>
              <w:tab w:val="clear" w:pos="8743"/>
              <w:tab w:val="right" w:pos="9026" w:leader="dot"/>
            </w:tabs>
            <w:rPr/>
          </w:pPr>
          <w:hyperlink w:anchor="__RefHeading___Toc2071367_3830689328">
            <w:r>
              <w:rPr>
                <w:webHidden/>
                <w:rStyle w:val="IndexLink"/>
                <w:rtl w:val="true"/>
              </w:rPr>
              <w:t>کتاب الهبة</w:t>
            </w:r>
            <w:r>
              <w:rPr>
                <w:rStyle w:val="IndexLink"/>
                <w:rtl w:val="true"/>
              </w:rPr>
              <w:tab/>
            </w:r>
            <w:r>
              <w:rPr>
                <w:rStyle w:val="IndexLink"/>
              </w:rPr>
              <w:t>330</w:t>
            </w:r>
          </w:hyperlink>
        </w:p>
        <w:p>
          <w:pPr>
            <w:pStyle w:val="Contents3"/>
            <w:tabs>
              <w:tab w:val="clear" w:pos="8459"/>
              <w:tab w:val="right" w:pos="9026" w:leader="dot"/>
            </w:tabs>
            <w:rPr/>
          </w:pPr>
          <w:hyperlink w:anchor="__RefHeading___Toc2071369_3830689328">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2071371_3830689328">
            <w:r>
              <w:rPr>
                <w:webHidden/>
                <w:rStyle w:val="IndexLink"/>
                <w:rtl w:val="true"/>
              </w:rPr>
              <w:t xml:space="preserve">درس </w:t>
            </w:r>
            <w:r>
              <w:rPr>
                <w:rStyle w:val="IndexLink"/>
                <w:rtl w:val="true"/>
              </w:rPr>
              <w:t>(</w:t>
            </w:r>
            <w:r>
              <w:rPr>
                <w:rStyle w:val="IndexLink"/>
              </w:rPr>
              <w:t>173</w:t>
            </w:r>
            <w:r>
              <w:rPr>
                <w:rStyle w:val="IndexLink"/>
                <w:rtl w:val="true"/>
              </w:rPr>
              <w:t>)</w:t>
              <w:tab/>
            </w:r>
            <w:r>
              <w:rPr>
                <w:rStyle w:val="IndexLink"/>
              </w:rPr>
              <w:t>337</w:t>
            </w:r>
          </w:hyperlink>
        </w:p>
        <w:p>
          <w:pPr>
            <w:pStyle w:val="Contents2"/>
            <w:tabs>
              <w:tab w:val="clear" w:pos="8743"/>
              <w:tab w:val="right" w:pos="9026" w:leader="dot"/>
            </w:tabs>
            <w:rPr/>
          </w:pPr>
          <w:hyperlink w:anchor="__RefHeading___Toc2071373_3830689328">
            <w:r>
              <w:rPr>
                <w:webHidden/>
                <w:rStyle w:val="IndexLink"/>
                <w:rtl w:val="true"/>
              </w:rPr>
              <w:t>کتاب الوصیّة</w:t>
            </w:r>
            <w:r>
              <w:rPr>
                <w:rStyle w:val="IndexLink"/>
                <w:rtl w:val="true"/>
              </w:rPr>
              <w:tab/>
            </w:r>
            <w:r>
              <w:rPr>
                <w:rStyle w:val="IndexLink"/>
              </w:rPr>
              <w:t>342</w:t>
            </w:r>
          </w:hyperlink>
        </w:p>
        <w:p>
          <w:pPr>
            <w:pStyle w:val="Contents3"/>
            <w:tabs>
              <w:tab w:val="clear" w:pos="8459"/>
              <w:tab w:val="right" w:pos="9026" w:leader="dot"/>
            </w:tabs>
            <w:rPr/>
          </w:pPr>
          <w:hyperlink w:anchor="__RefHeading___Toc2071375_3830689328">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2071377_3830689328">
            <w:r>
              <w:rPr>
                <w:webHidden/>
                <w:rStyle w:val="IndexLink"/>
                <w:rtl w:val="true"/>
              </w:rPr>
              <w:t xml:space="preserve">درس </w:t>
            </w:r>
            <w:r>
              <w:rPr>
                <w:rStyle w:val="IndexLink"/>
                <w:rtl w:val="true"/>
              </w:rPr>
              <w:t>(</w:t>
            </w:r>
            <w:r>
              <w:rPr>
                <w:rStyle w:val="IndexLink"/>
              </w:rPr>
              <w:t>174</w:t>
            </w:r>
            <w:r>
              <w:rPr>
                <w:rStyle w:val="IndexLink"/>
                <w:rtl w:val="true"/>
              </w:rPr>
              <w:t>)</w:t>
              <w:tab/>
            </w:r>
            <w:r>
              <w:rPr>
                <w:rStyle w:val="IndexLink"/>
              </w:rPr>
              <w:t>348</w:t>
            </w:r>
          </w:hyperlink>
        </w:p>
        <w:p>
          <w:pPr>
            <w:pStyle w:val="Contents3"/>
            <w:tabs>
              <w:tab w:val="clear" w:pos="8459"/>
              <w:tab w:val="right" w:pos="9026" w:leader="dot"/>
            </w:tabs>
            <w:rPr/>
          </w:pPr>
          <w:hyperlink w:anchor="__RefHeading___Toc2071379_3830689328">
            <w:r>
              <w:rPr>
                <w:webHidden/>
                <w:rStyle w:val="IndexLink"/>
                <w:rtl w:val="true"/>
              </w:rPr>
              <w:t xml:space="preserve">درس </w:t>
            </w:r>
            <w:r>
              <w:rPr>
                <w:rStyle w:val="IndexLink"/>
                <w:rtl w:val="true"/>
              </w:rPr>
              <w:t>(</w:t>
            </w:r>
            <w:r>
              <w:rPr>
                <w:rStyle w:val="IndexLink"/>
              </w:rPr>
              <w:t>175</w:t>
            </w:r>
            <w:r>
              <w:rPr>
                <w:rStyle w:val="IndexLink"/>
                <w:rtl w:val="true"/>
              </w:rPr>
              <w:t>)</w:t>
              <w:tab/>
            </w:r>
            <w:r>
              <w:rPr>
                <w:rStyle w:val="IndexLink"/>
              </w:rPr>
              <w:t>353</w:t>
            </w:r>
          </w:hyperlink>
        </w:p>
        <w:p>
          <w:pPr>
            <w:pStyle w:val="Contents3"/>
            <w:tabs>
              <w:tab w:val="clear" w:pos="8459"/>
              <w:tab w:val="right" w:pos="9026" w:leader="dot"/>
            </w:tabs>
            <w:rPr/>
          </w:pPr>
          <w:hyperlink w:anchor="__RefHeading___Toc2071381_3830689328">
            <w:r>
              <w:rPr>
                <w:webHidden/>
                <w:rStyle w:val="IndexLink"/>
                <w:rtl w:val="true"/>
              </w:rPr>
              <w:t xml:space="preserve">درس </w:t>
            </w:r>
            <w:r>
              <w:rPr>
                <w:rStyle w:val="IndexLink"/>
                <w:rtl w:val="true"/>
              </w:rPr>
              <w:t>(</w:t>
            </w:r>
            <w:r>
              <w:rPr>
                <w:rStyle w:val="IndexLink"/>
              </w:rPr>
              <w:t>176</w:t>
            </w:r>
            <w:r>
              <w:rPr>
                <w:rStyle w:val="IndexLink"/>
                <w:rtl w:val="true"/>
              </w:rPr>
              <w:t>)</w:t>
              <w:tab/>
            </w:r>
            <w:r>
              <w:rPr>
                <w:rStyle w:val="IndexLink"/>
              </w:rPr>
              <w:t>357</w:t>
            </w:r>
          </w:hyperlink>
        </w:p>
        <w:p>
          <w:pPr>
            <w:pStyle w:val="Contents3"/>
            <w:tabs>
              <w:tab w:val="clear" w:pos="8459"/>
              <w:tab w:val="right" w:pos="9026" w:leader="dot"/>
            </w:tabs>
            <w:rPr/>
          </w:pPr>
          <w:hyperlink w:anchor="__RefHeading___Toc2071383_3830689328">
            <w:r>
              <w:rPr>
                <w:webHidden/>
                <w:rStyle w:val="IndexLink"/>
                <w:rtl w:val="true"/>
              </w:rPr>
              <w:t xml:space="preserve">درس </w:t>
            </w:r>
            <w:r>
              <w:rPr>
                <w:rStyle w:val="IndexLink"/>
                <w:rtl w:val="true"/>
              </w:rPr>
              <w:t>(</w:t>
            </w:r>
            <w:r>
              <w:rPr>
                <w:rStyle w:val="IndexLink"/>
              </w:rPr>
              <w:t>177</w:t>
            </w:r>
            <w:r>
              <w:rPr>
                <w:rStyle w:val="IndexLink"/>
                <w:rtl w:val="true"/>
              </w:rPr>
              <w:t>)</w:t>
              <w:tab/>
            </w:r>
            <w:r>
              <w:rPr>
                <w:rStyle w:val="IndexLink"/>
              </w:rPr>
              <w:t>360</w:t>
            </w:r>
          </w:hyperlink>
        </w:p>
        <w:p>
          <w:pPr>
            <w:pStyle w:val="Contents3"/>
            <w:tabs>
              <w:tab w:val="clear" w:pos="8459"/>
              <w:tab w:val="right" w:pos="9026" w:leader="dot"/>
            </w:tabs>
            <w:rPr/>
          </w:pPr>
          <w:hyperlink w:anchor="__RefHeading___Toc2071385_3830689328">
            <w:r>
              <w:rPr>
                <w:webHidden/>
                <w:rStyle w:val="IndexLink"/>
                <w:rtl w:val="true"/>
              </w:rPr>
              <w:t xml:space="preserve">درس </w:t>
            </w:r>
            <w:r>
              <w:rPr>
                <w:rStyle w:val="IndexLink"/>
                <w:rtl w:val="true"/>
              </w:rPr>
              <w:t>(</w:t>
            </w:r>
            <w:r>
              <w:rPr>
                <w:rStyle w:val="IndexLink"/>
              </w:rPr>
              <w:t>178</w:t>
            </w:r>
            <w:r>
              <w:rPr>
                <w:rStyle w:val="IndexLink"/>
                <w:rtl w:val="true"/>
              </w:rPr>
              <w:t>)</w:t>
              <w:tab/>
            </w:r>
            <w:r>
              <w:rPr>
                <w:rStyle w:val="IndexLink"/>
              </w:rPr>
              <w:t>364</w:t>
            </w:r>
          </w:hyperlink>
        </w:p>
        <w:p>
          <w:pPr>
            <w:pStyle w:val="Contents3"/>
            <w:tabs>
              <w:tab w:val="clear" w:pos="8459"/>
              <w:tab w:val="right" w:pos="9026" w:leader="dot"/>
            </w:tabs>
            <w:rPr/>
          </w:pPr>
          <w:hyperlink w:anchor="__RefHeading___Toc2071387_3830689328">
            <w:r>
              <w:rPr>
                <w:webHidden/>
                <w:rStyle w:val="IndexLink"/>
                <w:rtl w:val="true"/>
              </w:rPr>
              <w:t xml:space="preserve">درس </w:t>
            </w:r>
            <w:r>
              <w:rPr>
                <w:rStyle w:val="IndexLink"/>
                <w:rtl w:val="true"/>
              </w:rPr>
              <w:t>(</w:t>
            </w:r>
            <w:r>
              <w:rPr>
                <w:rStyle w:val="IndexLink"/>
              </w:rPr>
              <w:t>179</w:t>
            </w:r>
            <w:r>
              <w:rPr>
                <w:rStyle w:val="IndexLink"/>
                <w:rtl w:val="true"/>
              </w:rPr>
              <w:t>)</w:t>
              <w:tab/>
            </w:r>
            <w:r>
              <w:rPr>
                <w:rStyle w:val="IndexLink"/>
              </w:rPr>
              <w:t>367</w:t>
            </w:r>
          </w:hyperlink>
        </w:p>
        <w:p>
          <w:pPr>
            <w:pStyle w:val="Contents2"/>
            <w:tabs>
              <w:tab w:val="clear" w:pos="8743"/>
              <w:tab w:val="right" w:pos="9026" w:leader="dot"/>
            </w:tabs>
            <w:rPr/>
          </w:pPr>
          <w:hyperlink w:anchor="__RefHeading___Toc2071389_3830689328">
            <w:r>
              <w:rPr>
                <w:webHidden/>
                <w:rStyle w:val="IndexLink"/>
                <w:rtl w:val="true"/>
              </w:rPr>
              <w:t>کتاب الوصایة</w:t>
            </w:r>
            <w:r>
              <w:rPr>
                <w:rStyle w:val="IndexLink"/>
                <w:rtl w:val="true"/>
              </w:rPr>
              <w:tab/>
            </w:r>
            <w:r>
              <w:rPr>
                <w:rStyle w:val="IndexLink"/>
              </w:rPr>
              <w:t>372</w:t>
            </w:r>
          </w:hyperlink>
        </w:p>
        <w:p>
          <w:pPr>
            <w:pStyle w:val="Contents3"/>
            <w:tabs>
              <w:tab w:val="clear" w:pos="8459"/>
              <w:tab w:val="right" w:pos="9026" w:leader="dot"/>
            </w:tabs>
            <w:rPr/>
          </w:pPr>
          <w:hyperlink w:anchor="__RefHeading___Toc2071391_3830689328">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2071393_3830689328">
            <w:r>
              <w:rPr>
                <w:webHidden/>
                <w:rStyle w:val="IndexLink"/>
                <w:rtl w:val="true"/>
              </w:rPr>
              <w:t xml:space="preserve">درس </w:t>
            </w:r>
            <w:r>
              <w:rPr>
                <w:rStyle w:val="IndexLink"/>
                <w:rtl w:val="true"/>
              </w:rPr>
              <w:t>(</w:t>
            </w:r>
            <w:r>
              <w:rPr>
                <w:rStyle w:val="IndexLink"/>
              </w:rPr>
              <w:t>180</w:t>
            </w:r>
            <w:r>
              <w:rPr>
                <w:rStyle w:val="IndexLink"/>
                <w:rtl w:val="true"/>
              </w:rPr>
              <w:t>)</w:t>
              <w:tab/>
            </w:r>
            <w:r>
              <w:rPr>
                <w:rStyle w:val="IndexLink"/>
              </w:rPr>
              <w:t>379</w:t>
            </w:r>
          </w:hyperlink>
        </w:p>
        <w:p>
          <w:pPr>
            <w:pStyle w:val="Contents2"/>
            <w:tabs>
              <w:tab w:val="clear" w:pos="8743"/>
              <w:tab w:val="right" w:pos="9026" w:leader="dot"/>
            </w:tabs>
            <w:rPr/>
          </w:pPr>
          <w:hyperlink w:anchor="__RefHeading___Toc2071395_3830689328">
            <w:r>
              <w:rPr>
                <w:webHidden/>
                <w:rStyle w:val="IndexLink"/>
                <w:rtl w:val="true"/>
              </w:rPr>
              <w:t>کتاب المیراث</w:t>
            </w:r>
            <w:r>
              <w:rPr>
                <w:rStyle w:val="IndexLink"/>
                <w:rtl w:val="true"/>
              </w:rPr>
              <w:tab/>
            </w:r>
            <w:r>
              <w:rPr>
                <w:rStyle w:val="IndexLink"/>
              </w:rPr>
              <w:t>384</w:t>
            </w:r>
          </w:hyperlink>
        </w:p>
        <w:p>
          <w:pPr>
            <w:pStyle w:val="Contents3"/>
            <w:tabs>
              <w:tab w:val="clear" w:pos="8459"/>
              <w:tab w:val="right" w:pos="9026" w:leader="dot"/>
            </w:tabs>
            <w:rPr/>
          </w:pPr>
          <w:hyperlink w:anchor="__RefHeading___Toc2071397_3830689328">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2071399_3830689328">
            <w:r>
              <w:rPr>
                <w:webHidden/>
                <w:rStyle w:val="IndexLink"/>
                <w:rtl w:val="true"/>
              </w:rPr>
              <w:t xml:space="preserve">درس </w:t>
            </w:r>
            <w:r>
              <w:rPr>
                <w:rStyle w:val="IndexLink"/>
                <w:rtl w:val="true"/>
              </w:rPr>
              <w:t>(</w:t>
            </w:r>
            <w:r>
              <w:rPr>
                <w:rStyle w:val="IndexLink"/>
              </w:rPr>
              <w:t>181</w:t>
            </w:r>
            <w:r>
              <w:rPr>
                <w:rStyle w:val="IndexLink"/>
                <w:rtl w:val="true"/>
              </w:rPr>
              <w:t>)</w:t>
              <w:tab/>
            </w:r>
            <w:r>
              <w:rPr>
                <w:rStyle w:val="IndexLink"/>
              </w:rPr>
              <w:t>389</w:t>
            </w:r>
          </w:hyperlink>
        </w:p>
        <w:p>
          <w:pPr>
            <w:pStyle w:val="Contents3"/>
            <w:tabs>
              <w:tab w:val="clear" w:pos="8459"/>
              <w:tab w:val="right" w:pos="9026" w:leader="dot"/>
            </w:tabs>
            <w:rPr/>
          </w:pPr>
          <w:hyperlink w:anchor="__RefHeading___Toc2071401_3830689328">
            <w:r>
              <w:rPr>
                <w:webHidden/>
                <w:rStyle w:val="IndexLink"/>
                <w:rtl w:val="true"/>
              </w:rPr>
              <w:t xml:space="preserve">درس </w:t>
            </w:r>
            <w:r>
              <w:rPr>
                <w:rStyle w:val="IndexLink"/>
                <w:rtl w:val="true"/>
              </w:rPr>
              <w:t>(</w:t>
            </w:r>
            <w:r>
              <w:rPr>
                <w:rStyle w:val="IndexLink"/>
              </w:rPr>
              <w:t>182</w:t>
            </w:r>
            <w:r>
              <w:rPr>
                <w:rStyle w:val="IndexLink"/>
                <w:rtl w:val="true"/>
              </w:rPr>
              <w:t>)</w:t>
              <w:tab/>
            </w:r>
            <w:r>
              <w:rPr>
                <w:rStyle w:val="IndexLink"/>
              </w:rPr>
              <w:t>392</w:t>
            </w:r>
          </w:hyperlink>
        </w:p>
        <w:p>
          <w:pPr>
            <w:pStyle w:val="Contents3"/>
            <w:tabs>
              <w:tab w:val="clear" w:pos="8459"/>
              <w:tab w:val="right" w:pos="9026" w:leader="dot"/>
            </w:tabs>
            <w:rPr/>
          </w:pPr>
          <w:hyperlink w:anchor="__RefHeading___Toc2071403_3830689328">
            <w:r>
              <w:rPr>
                <w:webHidden/>
                <w:rStyle w:val="IndexLink"/>
                <w:rtl w:val="true"/>
              </w:rPr>
              <w:t xml:space="preserve">درس </w:t>
            </w:r>
            <w:r>
              <w:rPr>
                <w:rStyle w:val="IndexLink"/>
                <w:rtl w:val="true"/>
              </w:rPr>
              <w:t>(</w:t>
            </w:r>
            <w:r>
              <w:rPr>
                <w:rStyle w:val="IndexLink"/>
              </w:rPr>
              <w:t>183</w:t>
            </w:r>
            <w:r>
              <w:rPr>
                <w:rStyle w:val="IndexLink"/>
                <w:rtl w:val="true"/>
              </w:rPr>
              <w:t>)</w:t>
              <w:tab/>
            </w:r>
            <w:r>
              <w:rPr>
                <w:rStyle w:val="IndexLink"/>
              </w:rPr>
              <w:t>395</w:t>
            </w:r>
          </w:hyperlink>
        </w:p>
        <w:p>
          <w:pPr>
            <w:pStyle w:val="Contents3"/>
            <w:tabs>
              <w:tab w:val="clear" w:pos="8459"/>
              <w:tab w:val="right" w:pos="9026" w:leader="dot"/>
            </w:tabs>
            <w:rPr/>
          </w:pPr>
          <w:hyperlink w:anchor="__RefHeading___Toc2071405_3830689328">
            <w:r>
              <w:rPr>
                <w:webHidden/>
                <w:rStyle w:val="IndexLink"/>
                <w:rtl w:val="true"/>
              </w:rPr>
              <w:t xml:space="preserve">درس </w:t>
            </w:r>
            <w:r>
              <w:rPr>
                <w:rStyle w:val="IndexLink"/>
                <w:rtl w:val="true"/>
              </w:rPr>
              <w:t>(</w:t>
            </w:r>
            <w:r>
              <w:rPr>
                <w:rStyle w:val="IndexLink"/>
              </w:rPr>
              <w:t>184</w:t>
            </w:r>
            <w:r>
              <w:rPr>
                <w:rStyle w:val="IndexLink"/>
                <w:rtl w:val="true"/>
              </w:rPr>
              <w:t>)</w:t>
              <w:tab/>
            </w:r>
            <w:r>
              <w:rPr>
                <w:rStyle w:val="IndexLink"/>
              </w:rPr>
              <w:t>402</w:t>
            </w:r>
          </w:hyperlink>
        </w:p>
        <w:p>
          <w:pPr>
            <w:pStyle w:val="Contents3"/>
            <w:tabs>
              <w:tab w:val="clear" w:pos="8459"/>
              <w:tab w:val="right" w:pos="9026" w:leader="dot"/>
            </w:tabs>
            <w:rPr/>
          </w:pPr>
          <w:hyperlink w:anchor="__RefHeading___Toc2071407_3830689328">
            <w:r>
              <w:rPr>
                <w:webHidden/>
                <w:rStyle w:val="IndexLink"/>
                <w:rtl w:val="true"/>
              </w:rPr>
              <w:t xml:space="preserve">درس </w:t>
            </w:r>
            <w:r>
              <w:rPr>
                <w:rStyle w:val="IndexLink"/>
                <w:rtl w:val="true"/>
              </w:rPr>
              <w:t>(</w:t>
            </w:r>
            <w:r>
              <w:rPr>
                <w:rStyle w:val="IndexLink"/>
              </w:rPr>
              <w:t>185</w:t>
            </w:r>
            <w:r>
              <w:rPr>
                <w:rStyle w:val="IndexLink"/>
                <w:rtl w:val="true"/>
              </w:rPr>
              <w:t>)</w:t>
              <w:tab/>
            </w:r>
            <w:r>
              <w:rPr>
                <w:rStyle w:val="IndexLink"/>
              </w:rPr>
              <w:t>407</w:t>
            </w:r>
          </w:hyperlink>
        </w:p>
        <w:p>
          <w:pPr>
            <w:pStyle w:val="Contents3"/>
            <w:tabs>
              <w:tab w:val="clear" w:pos="8459"/>
              <w:tab w:val="right" w:pos="9026" w:leader="dot"/>
            </w:tabs>
            <w:rPr/>
          </w:pPr>
          <w:hyperlink w:anchor="__RefHeading___Toc2071409_3830689328">
            <w:r>
              <w:rPr>
                <w:webHidden/>
                <w:rStyle w:val="IndexLink"/>
                <w:rtl w:val="true"/>
              </w:rPr>
              <w:t xml:space="preserve">درس </w:t>
            </w:r>
            <w:r>
              <w:rPr>
                <w:rStyle w:val="IndexLink"/>
                <w:rtl w:val="true"/>
              </w:rPr>
              <w:t>(</w:t>
            </w:r>
            <w:r>
              <w:rPr>
                <w:rStyle w:val="IndexLink"/>
              </w:rPr>
              <w:t>186</w:t>
            </w:r>
            <w:r>
              <w:rPr>
                <w:rStyle w:val="IndexLink"/>
                <w:rtl w:val="true"/>
              </w:rPr>
              <w:t>)</w:t>
              <w:tab/>
            </w:r>
            <w:r>
              <w:rPr>
                <w:rStyle w:val="IndexLink"/>
              </w:rPr>
              <w:t>410</w:t>
            </w:r>
          </w:hyperlink>
        </w:p>
        <w:p>
          <w:pPr>
            <w:pStyle w:val="Contents3"/>
            <w:tabs>
              <w:tab w:val="clear" w:pos="8459"/>
              <w:tab w:val="right" w:pos="9026" w:leader="dot"/>
            </w:tabs>
            <w:rPr/>
          </w:pPr>
          <w:hyperlink w:anchor="__RefHeading___Toc2071411_3830689328">
            <w:r>
              <w:rPr>
                <w:webHidden/>
                <w:rStyle w:val="IndexLink"/>
                <w:rtl w:val="true"/>
              </w:rPr>
              <w:t xml:space="preserve">درس </w:t>
            </w:r>
            <w:r>
              <w:rPr>
                <w:rStyle w:val="IndexLink"/>
                <w:rtl w:val="true"/>
              </w:rPr>
              <w:t>(</w:t>
            </w:r>
            <w:r>
              <w:rPr>
                <w:rStyle w:val="IndexLink"/>
              </w:rPr>
              <w:t>187</w:t>
            </w:r>
            <w:r>
              <w:rPr>
                <w:rStyle w:val="IndexLink"/>
                <w:rtl w:val="true"/>
              </w:rPr>
              <w:t>)</w:t>
              <w:tab/>
            </w:r>
            <w:r>
              <w:rPr>
                <w:rStyle w:val="IndexLink"/>
              </w:rPr>
              <w:t>414</w:t>
            </w:r>
          </w:hyperlink>
        </w:p>
        <w:p>
          <w:pPr>
            <w:pStyle w:val="Contents3"/>
            <w:tabs>
              <w:tab w:val="clear" w:pos="8459"/>
              <w:tab w:val="right" w:pos="9026" w:leader="dot"/>
            </w:tabs>
            <w:rPr/>
          </w:pPr>
          <w:hyperlink w:anchor="__RefHeading___Toc2071413_3830689328">
            <w:r>
              <w:rPr>
                <w:webHidden/>
                <w:rStyle w:val="IndexLink"/>
                <w:rtl w:val="true"/>
              </w:rPr>
              <w:t xml:space="preserve">درس </w:t>
            </w:r>
            <w:r>
              <w:rPr>
                <w:rStyle w:val="IndexLink"/>
                <w:rtl w:val="true"/>
              </w:rPr>
              <w:t>(</w:t>
            </w:r>
            <w:r>
              <w:rPr>
                <w:rStyle w:val="IndexLink"/>
              </w:rPr>
              <w:t>188</w:t>
            </w:r>
            <w:r>
              <w:rPr>
                <w:rStyle w:val="IndexLink"/>
                <w:rtl w:val="true"/>
              </w:rPr>
              <w:t>)</w:t>
              <w:tab/>
            </w:r>
            <w:r>
              <w:rPr>
                <w:rStyle w:val="IndexLink"/>
              </w:rPr>
              <w:t>418</w:t>
            </w:r>
          </w:hyperlink>
        </w:p>
        <w:p>
          <w:pPr>
            <w:pStyle w:val="Contents3"/>
            <w:tabs>
              <w:tab w:val="clear" w:pos="8459"/>
              <w:tab w:val="right" w:pos="9026" w:leader="dot"/>
            </w:tabs>
            <w:rPr/>
          </w:pPr>
          <w:hyperlink w:anchor="__RefHeading___Toc2071415_3830689328">
            <w:r>
              <w:rPr>
                <w:webHidden/>
                <w:rStyle w:val="IndexLink"/>
                <w:rtl w:val="true"/>
              </w:rPr>
              <w:t xml:space="preserve">درس </w:t>
            </w:r>
            <w:r>
              <w:rPr>
                <w:rStyle w:val="IndexLink"/>
                <w:rtl w:val="true"/>
              </w:rPr>
              <w:t>(</w:t>
            </w:r>
            <w:r>
              <w:rPr>
                <w:rStyle w:val="IndexLink"/>
              </w:rPr>
              <w:t>189</w:t>
            </w:r>
            <w:r>
              <w:rPr>
                <w:rStyle w:val="IndexLink"/>
                <w:rtl w:val="true"/>
              </w:rPr>
              <w:t>)</w:t>
              <w:tab/>
            </w:r>
            <w:r>
              <w:rPr>
                <w:rStyle w:val="IndexLink"/>
              </w:rPr>
              <w:t>422</w:t>
            </w:r>
          </w:hyperlink>
        </w:p>
        <w:p>
          <w:pPr>
            <w:pStyle w:val="Contents3"/>
            <w:tabs>
              <w:tab w:val="clear" w:pos="8459"/>
              <w:tab w:val="right" w:pos="9026" w:leader="dot"/>
            </w:tabs>
            <w:rPr/>
          </w:pPr>
          <w:hyperlink w:anchor="__RefHeading___Toc2071417_3830689328">
            <w:r>
              <w:rPr>
                <w:webHidden/>
                <w:rStyle w:val="IndexLink"/>
                <w:rtl w:val="true"/>
              </w:rPr>
              <w:t xml:space="preserve">درس </w:t>
            </w:r>
            <w:r>
              <w:rPr>
                <w:rStyle w:val="IndexLink"/>
                <w:rtl w:val="true"/>
              </w:rPr>
              <w:t>(</w:t>
            </w:r>
            <w:r>
              <w:rPr>
                <w:rStyle w:val="IndexLink"/>
              </w:rPr>
              <w:t>190</w:t>
            </w:r>
            <w:r>
              <w:rPr>
                <w:rStyle w:val="IndexLink"/>
                <w:rtl w:val="true"/>
              </w:rPr>
              <w:t>)</w:t>
              <w:tab/>
            </w:r>
            <w:r>
              <w:rPr>
                <w:rStyle w:val="IndexLink"/>
              </w:rPr>
              <w:t>425</w:t>
            </w:r>
          </w:hyperlink>
        </w:p>
        <w:p>
          <w:pPr>
            <w:pStyle w:val="Contents3"/>
            <w:tabs>
              <w:tab w:val="clear" w:pos="8459"/>
              <w:tab w:val="right" w:pos="9026" w:leader="dot"/>
            </w:tabs>
            <w:rPr/>
          </w:pPr>
          <w:hyperlink w:anchor="__RefHeading___Toc2071419_3830689328">
            <w:r>
              <w:rPr>
                <w:webHidden/>
                <w:rStyle w:val="IndexLink"/>
                <w:rtl w:val="true"/>
              </w:rPr>
              <w:t xml:space="preserve">درس </w:t>
            </w:r>
            <w:r>
              <w:rPr>
                <w:rStyle w:val="IndexLink"/>
                <w:rtl w:val="true"/>
              </w:rPr>
              <w:t>(</w:t>
            </w:r>
            <w:r>
              <w:rPr>
                <w:rStyle w:val="IndexLink"/>
              </w:rPr>
              <w:t>191</w:t>
            </w:r>
            <w:r>
              <w:rPr>
                <w:rStyle w:val="IndexLink"/>
                <w:rtl w:val="true"/>
              </w:rPr>
              <w:t>)</w:t>
              <w:tab/>
            </w:r>
            <w:r>
              <w:rPr>
                <w:rStyle w:val="IndexLink"/>
              </w:rPr>
              <w:t>427</w:t>
            </w:r>
          </w:hyperlink>
        </w:p>
        <w:p>
          <w:pPr>
            <w:pStyle w:val="Contents3"/>
            <w:tabs>
              <w:tab w:val="clear" w:pos="8459"/>
              <w:tab w:val="right" w:pos="9026" w:leader="dot"/>
            </w:tabs>
            <w:rPr/>
          </w:pPr>
          <w:hyperlink w:anchor="__RefHeading___Toc2071421_3830689328">
            <w:r>
              <w:rPr>
                <w:webHidden/>
                <w:rStyle w:val="IndexLink"/>
                <w:rtl w:val="true"/>
              </w:rPr>
              <w:t xml:space="preserve">درس </w:t>
            </w:r>
            <w:r>
              <w:rPr>
                <w:rStyle w:val="IndexLink"/>
                <w:rtl w:val="true"/>
              </w:rPr>
              <w:t>(</w:t>
            </w:r>
            <w:r>
              <w:rPr>
                <w:rStyle w:val="IndexLink"/>
              </w:rPr>
              <w:t>192</w:t>
            </w:r>
            <w:r>
              <w:rPr>
                <w:rStyle w:val="IndexLink"/>
                <w:rtl w:val="true"/>
              </w:rPr>
              <w:t>)</w:t>
              <w:tab/>
            </w:r>
            <w:r>
              <w:rPr>
                <w:rStyle w:val="IndexLink"/>
              </w:rPr>
              <w:t>430</w:t>
            </w:r>
          </w:hyperlink>
        </w:p>
        <w:p>
          <w:pPr>
            <w:pStyle w:val="Contents3"/>
            <w:tabs>
              <w:tab w:val="clear" w:pos="8459"/>
              <w:tab w:val="right" w:pos="9026" w:leader="dot"/>
            </w:tabs>
            <w:rPr/>
          </w:pPr>
          <w:hyperlink w:anchor="__RefHeading___Toc2071423_3830689328">
            <w:r>
              <w:rPr>
                <w:webHidden/>
                <w:rStyle w:val="IndexLink"/>
                <w:rtl w:val="true"/>
              </w:rPr>
              <w:t xml:space="preserve">درس </w:t>
            </w:r>
            <w:r>
              <w:rPr>
                <w:rStyle w:val="IndexLink"/>
                <w:rtl w:val="true"/>
              </w:rPr>
              <w:t>(</w:t>
            </w:r>
            <w:r>
              <w:rPr>
                <w:rStyle w:val="IndexLink"/>
              </w:rPr>
              <w:t>193</w:t>
            </w:r>
            <w:r>
              <w:rPr>
                <w:rStyle w:val="IndexLink"/>
                <w:rtl w:val="true"/>
              </w:rPr>
              <w:t>)</w:t>
              <w:tab/>
            </w:r>
            <w:r>
              <w:rPr>
                <w:rStyle w:val="IndexLink"/>
              </w:rPr>
              <w:t>434</w:t>
            </w:r>
          </w:hyperlink>
        </w:p>
        <w:p>
          <w:pPr>
            <w:pStyle w:val="Contents3"/>
            <w:tabs>
              <w:tab w:val="clear" w:pos="8459"/>
              <w:tab w:val="right" w:pos="9026" w:leader="dot"/>
            </w:tabs>
            <w:rPr/>
          </w:pPr>
          <w:hyperlink w:anchor="__RefHeading___Toc2071425_3830689328">
            <w:r>
              <w:rPr>
                <w:webHidden/>
                <w:rStyle w:val="IndexLink"/>
                <w:rtl w:val="true"/>
              </w:rPr>
              <w:t xml:space="preserve">درس </w:t>
            </w:r>
            <w:r>
              <w:rPr>
                <w:rStyle w:val="IndexLink"/>
                <w:rtl w:val="true"/>
              </w:rPr>
              <w:t>(</w:t>
            </w:r>
            <w:r>
              <w:rPr>
                <w:rStyle w:val="IndexLink"/>
              </w:rPr>
              <w:t>194</w:t>
            </w:r>
            <w:r>
              <w:rPr>
                <w:rStyle w:val="IndexLink"/>
                <w:rtl w:val="true"/>
              </w:rPr>
              <w:t>)</w:t>
              <w:tab/>
            </w:r>
            <w:r>
              <w:rPr>
                <w:rStyle w:val="IndexLink"/>
              </w:rPr>
              <w:t>437</w:t>
            </w:r>
          </w:hyperlink>
        </w:p>
        <w:p>
          <w:pPr>
            <w:pStyle w:val="Contents3"/>
            <w:tabs>
              <w:tab w:val="clear" w:pos="8459"/>
              <w:tab w:val="right" w:pos="9026" w:leader="dot"/>
            </w:tabs>
            <w:rPr/>
          </w:pPr>
          <w:hyperlink w:anchor="__RefHeading___Toc2071427_3830689328">
            <w:r>
              <w:rPr>
                <w:webHidden/>
                <w:rStyle w:val="IndexLink"/>
                <w:rtl w:val="true"/>
              </w:rPr>
              <w:t xml:space="preserve">درس </w:t>
            </w:r>
            <w:r>
              <w:rPr>
                <w:rStyle w:val="IndexLink"/>
                <w:rtl w:val="true"/>
              </w:rPr>
              <w:t>(</w:t>
            </w:r>
            <w:r>
              <w:rPr>
                <w:rStyle w:val="IndexLink"/>
              </w:rPr>
              <w:t>195</w:t>
            </w:r>
            <w:r>
              <w:rPr>
                <w:rStyle w:val="IndexLink"/>
                <w:rtl w:val="true"/>
              </w:rPr>
              <w:t>)</w:t>
              <w:tab/>
            </w:r>
            <w:r>
              <w:rPr>
                <w:rStyle w:val="IndexLink"/>
              </w:rPr>
              <w:t>441</w:t>
            </w:r>
          </w:hyperlink>
        </w:p>
        <w:p>
          <w:pPr>
            <w:pStyle w:val="Contents3"/>
            <w:tabs>
              <w:tab w:val="clear" w:pos="8459"/>
              <w:tab w:val="right" w:pos="9026" w:leader="dot"/>
            </w:tabs>
            <w:rPr/>
          </w:pPr>
          <w:hyperlink w:anchor="__RefHeading___Toc2071429_3830689328">
            <w:r>
              <w:rPr>
                <w:webHidden/>
                <w:rStyle w:val="IndexLink"/>
                <w:rtl w:val="true"/>
              </w:rPr>
              <w:t xml:space="preserve">درس </w:t>
            </w:r>
            <w:r>
              <w:rPr>
                <w:rStyle w:val="IndexLink"/>
                <w:rtl w:val="true"/>
              </w:rPr>
              <w:t>(</w:t>
            </w:r>
            <w:r>
              <w:rPr>
                <w:rStyle w:val="IndexLink"/>
              </w:rPr>
              <w:t>196</w:t>
            </w:r>
            <w:r>
              <w:rPr>
                <w:rStyle w:val="IndexLink"/>
                <w:rtl w:val="true"/>
              </w:rPr>
              <w:t>)</w:t>
              <w:tab/>
            </w:r>
            <w:r>
              <w:rPr>
                <w:rStyle w:val="IndexLink"/>
              </w:rPr>
              <w:t>443</w:t>
            </w:r>
          </w:hyperlink>
        </w:p>
        <w:p>
          <w:pPr>
            <w:pStyle w:val="Contents3"/>
            <w:tabs>
              <w:tab w:val="clear" w:pos="8459"/>
              <w:tab w:val="right" w:pos="9026" w:leader="dot"/>
            </w:tabs>
            <w:rPr/>
          </w:pPr>
          <w:hyperlink w:anchor="__RefHeading___Toc2071431_3830689328">
            <w:r>
              <w:rPr>
                <w:webHidden/>
                <w:rStyle w:val="IndexLink"/>
                <w:rtl w:val="true"/>
              </w:rPr>
              <w:t xml:space="preserve">درس </w:t>
            </w:r>
            <w:r>
              <w:rPr>
                <w:rStyle w:val="IndexLink"/>
                <w:rtl w:val="true"/>
              </w:rPr>
              <w:t>(</w:t>
            </w:r>
            <w:r>
              <w:rPr>
                <w:rStyle w:val="IndexLink"/>
              </w:rPr>
              <w:t>197</w:t>
            </w:r>
            <w:r>
              <w:rPr>
                <w:rStyle w:val="IndexLink"/>
                <w:rtl w:val="true"/>
              </w:rPr>
              <w:t>)</w:t>
              <w:tab/>
            </w:r>
            <w:r>
              <w:rPr>
                <w:rStyle w:val="IndexLink"/>
              </w:rPr>
              <w:t>446</w:t>
            </w:r>
          </w:hyperlink>
        </w:p>
        <w:p>
          <w:pPr>
            <w:pStyle w:val="Contents2"/>
            <w:tabs>
              <w:tab w:val="clear" w:pos="8743"/>
              <w:tab w:val="right" w:pos="9026" w:leader="dot"/>
            </w:tabs>
            <w:rPr/>
          </w:pPr>
          <w:hyperlink w:anchor="__RefHeading___Toc2071433_3830689328">
            <w:r>
              <w:rPr>
                <w:webHidden/>
                <w:rStyle w:val="IndexLink"/>
                <w:rtl w:val="true"/>
              </w:rPr>
              <w:t>کتاب الصید</w:t>
            </w:r>
            <w:r>
              <w:rPr>
                <w:rStyle w:val="IndexLink"/>
                <w:rtl w:val="true"/>
              </w:rPr>
              <w:tab/>
            </w:r>
            <w:r>
              <w:rPr>
                <w:rStyle w:val="IndexLink"/>
              </w:rPr>
              <w:t>450</w:t>
            </w:r>
          </w:hyperlink>
        </w:p>
        <w:p>
          <w:pPr>
            <w:pStyle w:val="Contents3"/>
            <w:tabs>
              <w:tab w:val="clear" w:pos="8459"/>
              <w:tab w:val="right" w:pos="9026" w:leader="dot"/>
            </w:tabs>
            <w:rPr/>
          </w:pPr>
          <w:hyperlink w:anchor="__RefHeading___Toc2071435_3830689328">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2071437_3830689328">
            <w:r>
              <w:rPr>
                <w:webHidden/>
                <w:rStyle w:val="IndexLink"/>
                <w:rtl w:val="true"/>
              </w:rPr>
              <w:t xml:space="preserve">درس </w:t>
            </w:r>
            <w:r>
              <w:rPr>
                <w:rStyle w:val="IndexLink"/>
                <w:rtl w:val="true"/>
              </w:rPr>
              <w:t>(</w:t>
            </w:r>
            <w:r>
              <w:rPr>
                <w:rStyle w:val="IndexLink"/>
              </w:rPr>
              <w:t>198</w:t>
            </w:r>
            <w:r>
              <w:rPr>
                <w:rStyle w:val="IndexLink"/>
                <w:rtl w:val="true"/>
              </w:rPr>
              <w:t>)</w:t>
              <w:tab/>
            </w:r>
            <w:r>
              <w:rPr>
                <w:rStyle w:val="IndexLink"/>
              </w:rPr>
              <w:t>456</w:t>
            </w:r>
          </w:hyperlink>
        </w:p>
        <w:p>
          <w:pPr>
            <w:pStyle w:val="Contents3"/>
            <w:tabs>
              <w:tab w:val="clear" w:pos="8459"/>
              <w:tab w:val="right" w:pos="9026" w:leader="dot"/>
            </w:tabs>
            <w:rPr/>
          </w:pPr>
          <w:hyperlink w:anchor="__RefHeading___Toc2071439_3830689328">
            <w:r>
              <w:rPr>
                <w:webHidden/>
                <w:rStyle w:val="IndexLink"/>
                <w:rtl w:val="true"/>
              </w:rPr>
              <w:t xml:space="preserve">درس </w:t>
            </w:r>
            <w:r>
              <w:rPr>
                <w:rStyle w:val="IndexLink"/>
                <w:rtl w:val="true"/>
              </w:rPr>
              <w:t>(</w:t>
            </w:r>
            <w:r>
              <w:rPr>
                <w:rStyle w:val="IndexLink"/>
              </w:rPr>
              <w:t>199</w:t>
            </w:r>
            <w:r>
              <w:rPr>
                <w:rStyle w:val="IndexLink"/>
                <w:rtl w:val="true"/>
              </w:rPr>
              <w:t>)</w:t>
              <w:tab/>
            </w:r>
            <w:r>
              <w:rPr>
                <w:rStyle w:val="IndexLink"/>
              </w:rPr>
              <w:t>459</w:t>
            </w:r>
          </w:hyperlink>
        </w:p>
        <w:p>
          <w:pPr>
            <w:pStyle w:val="Contents3"/>
            <w:tabs>
              <w:tab w:val="clear" w:pos="8459"/>
              <w:tab w:val="right" w:pos="9026" w:leader="dot"/>
            </w:tabs>
            <w:rPr/>
          </w:pPr>
          <w:hyperlink w:anchor="__RefHeading___Toc2071441_3830689328">
            <w:r>
              <w:rPr>
                <w:webHidden/>
                <w:rStyle w:val="IndexLink"/>
                <w:rtl w:val="true"/>
              </w:rPr>
              <w:t xml:space="preserve">درس </w:t>
            </w:r>
            <w:r>
              <w:rPr>
                <w:rStyle w:val="IndexLink"/>
                <w:rtl w:val="true"/>
              </w:rPr>
              <w:t>(</w:t>
            </w:r>
            <w:r>
              <w:rPr>
                <w:rStyle w:val="IndexLink"/>
              </w:rPr>
              <w:t>200</w:t>
            </w:r>
            <w:r>
              <w:rPr>
                <w:rStyle w:val="IndexLink"/>
                <w:rtl w:val="true"/>
              </w:rPr>
              <w:t>)</w:t>
              <w:tab/>
            </w:r>
            <w:r>
              <w:rPr>
                <w:rStyle w:val="IndexLink"/>
              </w:rPr>
              <w:t>462</w:t>
            </w:r>
          </w:hyperlink>
        </w:p>
        <w:p>
          <w:pPr>
            <w:pStyle w:val="Contents2"/>
            <w:tabs>
              <w:tab w:val="clear" w:pos="8743"/>
              <w:tab w:val="right" w:pos="9026" w:leader="dot"/>
            </w:tabs>
            <w:rPr/>
          </w:pPr>
          <w:hyperlink w:anchor="__RefHeading___Toc2071443_3830689328">
            <w:r>
              <w:rPr>
                <w:webHidden/>
                <w:rStyle w:val="IndexLink"/>
                <w:rtl w:val="true"/>
              </w:rPr>
              <w:t>کتاب التذکیة</w:t>
            </w:r>
            <w:r>
              <w:rPr>
                <w:rStyle w:val="IndexLink"/>
                <w:rtl w:val="true"/>
              </w:rPr>
              <w:tab/>
            </w:r>
            <w:r>
              <w:rPr>
                <w:rStyle w:val="IndexLink"/>
              </w:rPr>
              <w:t>466</w:t>
            </w:r>
          </w:hyperlink>
        </w:p>
        <w:p>
          <w:pPr>
            <w:pStyle w:val="Contents3"/>
            <w:tabs>
              <w:tab w:val="clear" w:pos="8459"/>
              <w:tab w:val="right" w:pos="9026" w:leader="dot"/>
            </w:tabs>
            <w:rPr/>
          </w:pPr>
          <w:hyperlink w:anchor="__RefHeading___Toc2071445_3830689328">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2071447_3830689328">
            <w:r>
              <w:rPr>
                <w:webHidden/>
                <w:rStyle w:val="IndexLink"/>
                <w:rtl w:val="true"/>
              </w:rPr>
              <w:t xml:space="preserve">درس </w:t>
            </w:r>
            <w:r>
              <w:rPr>
                <w:rStyle w:val="IndexLink"/>
                <w:rtl w:val="true"/>
              </w:rPr>
              <w:t>(</w:t>
            </w:r>
            <w:r>
              <w:rPr>
                <w:rStyle w:val="IndexLink"/>
              </w:rPr>
              <w:t>201</w:t>
            </w:r>
            <w:r>
              <w:rPr>
                <w:rStyle w:val="IndexLink"/>
                <w:rtl w:val="true"/>
              </w:rPr>
              <w:t>)</w:t>
              <w:tab/>
            </w:r>
            <w:r>
              <w:rPr>
                <w:rStyle w:val="IndexLink"/>
              </w:rPr>
              <w:t>471</w:t>
            </w:r>
          </w:hyperlink>
        </w:p>
        <w:p>
          <w:pPr>
            <w:pStyle w:val="Contents3"/>
            <w:tabs>
              <w:tab w:val="clear" w:pos="8459"/>
              <w:tab w:val="right" w:pos="9026" w:leader="dot"/>
            </w:tabs>
            <w:rPr/>
          </w:pPr>
          <w:hyperlink w:anchor="__RefHeading___Toc2071449_3830689328">
            <w:r>
              <w:rPr>
                <w:webHidden/>
                <w:rStyle w:val="IndexLink"/>
                <w:rtl w:val="true"/>
              </w:rPr>
              <w:t xml:space="preserve">درس </w:t>
            </w:r>
            <w:r>
              <w:rPr>
                <w:rStyle w:val="IndexLink"/>
                <w:rtl w:val="true"/>
              </w:rPr>
              <w:t>(</w:t>
            </w:r>
            <w:r>
              <w:rPr>
                <w:rStyle w:val="IndexLink"/>
              </w:rPr>
              <w:t>202</w:t>
            </w:r>
            <w:r>
              <w:rPr>
                <w:rStyle w:val="IndexLink"/>
                <w:rtl w:val="true"/>
              </w:rPr>
              <w:t>)</w:t>
              <w:tab/>
            </w:r>
            <w:r>
              <w:rPr>
                <w:rStyle w:val="IndexLink"/>
              </w:rPr>
              <w:t>475</w:t>
            </w:r>
          </w:hyperlink>
        </w:p>
        <w:p>
          <w:pPr>
            <w:pStyle w:val="Contents2"/>
            <w:tabs>
              <w:tab w:val="clear" w:pos="8743"/>
              <w:tab w:val="right" w:pos="9026" w:leader="dot"/>
            </w:tabs>
            <w:rPr/>
          </w:pPr>
          <w:hyperlink w:anchor="__RefHeading___Toc2071451_3830689328">
            <w:r>
              <w:rPr>
                <w:webHidden/>
                <w:rStyle w:val="IndexLink"/>
                <w:rtl w:val="true"/>
              </w:rPr>
              <w:t>الفهارس العامّة</w:t>
            </w:r>
            <w:r>
              <w:rPr>
                <w:rStyle w:val="IndexLink"/>
                <w:rtl w:val="true"/>
              </w:rPr>
              <w:tab/>
            </w:r>
            <w:r>
              <w:rPr>
                <w:rStyle w:val="IndexLink"/>
              </w:rPr>
              <w:t>480</w:t>
            </w:r>
          </w:hyperlink>
        </w:p>
        <w:p>
          <w:pPr>
            <w:pStyle w:val="Contents3"/>
            <w:tabs>
              <w:tab w:val="clear" w:pos="8459"/>
              <w:tab w:val="right" w:pos="9026" w:leader="dot"/>
            </w:tabs>
            <w:rPr/>
          </w:pPr>
          <w:hyperlink w:anchor="__RefHeading___Toc2071453_3830689328">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2071455_3830689328">
            <w:r>
              <w:rPr>
                <w:webHidden/>
                <w:rStyle w:val="IndexLink"/>
                <w:rtl w:val="true"/>
              </w:rPr>
              <w:t>فهرس الآیات</w:t>
            </w:r>
            <w:r>
              <w:rPr>
                <w:rStyle w:val="IndexLink"/>
                <w:rtl w:val="true"/>
              </w:rPr>
              <w:tab/>
            </w:r>
            <w:r>
              <w:rPr>
                <w:rStyle w:val="IndexLink"/>
              </w:rPr>
              <w:t>482</w:t>
            </w:r>
          </w:hyperlink>
        </w:p>
        <w:p>
          <w:pPr>
            <w:pStyle w:val="Contents3"/>
            <w:tabs>
              <w:tab w:val="clear" w:pos="8459"/>
              <w:tab w:val="right" w:pos="9026" w:leader="dot"/>
            </w:tabs>
            <w:rPr/>
          </w:pPr>
          <w:hyperlink w:anchor="__RefHeading___Toc2071457_3830689328">
            <w:r>
              <w:rPr>
                <w:webHidden/>
                <w:rStyle w:val="IndexLink"/>
                <w:rtl w:val="true"/>
              </w:rPr>
              <w:t>فهرس االأدعیة</w:t>
            </w:r>
            <w:r>
              <w:rPr>
                <w:rStyle w:val="IndexLink"/>
                <w:rtl w:val="true"/>
              </w:rPr>
              <w:tab/>
            </w:r>
            <w:r>
              <w:rPr>
                <w:rStyle w:val="IndexLink"/>
              </w:rPr>
              <w:t>484</w:t>
            </w:r>
          </w:hyperlink>
        </w:p>
        <w:p>
          <w:pPr>
            <w:pStyle w:val="Contents3"/>
            <w:tabs>
              <w:tab w:val="clear" w:pos="8459"/>
              <w:tab w:val="right" w:pos="9026" w:leader="dot"/>
            </w:tabs>
            <w:rPr/>
          </w:pPr>
          <w:hyperlink w:anchor="__RefHeading___Toc2071459_3830689328">
            <w:r>
              <w:rPr>
                <w:webHidden/>
                <w:rStyle w:val="IndexLink"/>
                <w:rtl w:val="true"/>
              </w:rPr>
              <w:t>فهرس الأحادیث</w:t>
            </w:r>
            <w:r>
              <w:rPr>
                <w:rStyle w:val="IndexLink"/>
                <w:rtl w:val="true"/>
              </w:rPr>
              <w:tab/>
            </w:r>
            <w:r>
              <w:rPr>
                <w:rStyle w:val="IndexLink"/>
              </w:rPr>
              <w:t>485</w:t>
            </w:r>
          </w:hyperlink>
        </w:p>
        <w:p>
          <w:pPr>
            <w:pStyle w:val="Contents3"/>
            <w:tabs>
              <w:tab w:val="clear" w:pos="8459"/>
              <w:tab w:val="right" w:pos="9026" w:leader="dot"/>
            </w:tabs>
            <w:rPr/>
          </w:pPr>
          <w:hyperlink w:anchor="__RefHeading___Toc2071461_3830689328">
            <w:r>
              <w:rPr>
                <w:webHidden/>
                <w:rStyle w:val="IndexLink"/>
                <w:rtl w:val="true"/>
              </w:rPr>
              <w:t>فهرس الأماکن و البلدان</w:t>
            </w:r>
            <w:r>
              <w:rPr>
                <w:rStyle w:val="IndexLink"/>
                <w:rtl w:val="true"/>
              </w:rPr>
              <w:tab/>
            </w:r>
            <w:r>
              <w:rPr>
                <w:rStyle w:val="IndexLink"/>
              </w:rPr>
              <w:t>495</w:t>
            </w:r>
          </w:hyperlink>
        </w:p>
        <w:p>
          <w:pPr>
            <w:pStyle w:val="Contents3"/>
            <w:tabs>
              <w:tab w:val="clear" w:pos="8459"/>
              <w:tab w:val="right" w:pos="9026" w:leader="dot"/>
            </w:tabs>
            <w:rPr/>
          </w:pPr>
          <w:hyperlink w:anchor="__RefHeading___Toc2071463_3830689328">
            <w:r>
              <w:rPr>
                <w:webHidden/>
                <w:rStyle w:val="IndexLink"/>
                <w:rtl w:val="true"/>
              </w:rPr>
              <w:t>فهرس القبائل و الطوائف و الفرق</w:t>
            </w:r>
            <w:r>
              <w:rPr>
                <w:rStyle w:val="IndexLink"/>
                <w:rtl w:val="true"/>
              </w:rPr>
              <w:tab/>
            </w:r>
            <w:r>
              <w:rPr>
                <w:rStyle w:val="IndexLink"/>
              </w:rPr>
              <w:t>499</w:t>
            </w:r>
          </w:hyperlink>
        </w:p>
        <w:p>
          <w:pPr>
            <w:pStyle w:val="Contents3"/>
            <w:tabs>
              <w:tab w:val="clear" w:pos="8459"/>
              <w:tab w:val="right" w:pos="9026" w:leader="dot"/>
            </w:tabs>
            <w:rPr/>
          </w:pPr>
          <w:hyperlink w:anchor="__RefHeading___Toc2071465_3830689328">
            <w:r>
              <w:rPr>
                <w:webHidden/>
                <w:rStyle w:val="IndexLink"/>
                <w:rtl w:val="true"/>
              </w:rPr>
              <w:t>فهرس الکتب المذکورة فی المتن</w:t>
            </w:r>
            <w:r>
              <w:rPr>
                <w:rStyle w:val="IndexLink"/>
                <w:rtl w:val="true"/>
              </w:rPr>
              <w:tab/>
            </w:r>
            <w:r>
              <w:rPr>
                <w:rStyle w:val="IndexLink"/>
              </w:rPr>
              <w:t>503</w:t>
            </w:r>
          </w:hyperlink>
        </w:p>
        <w:p>
          <w:pPr>
            <w:pStyle w:val="Contents3"/>
            <w:tabs>
              <w:tab w:val="clear" w:pos="8459"/>
              <w:tab w:val="right" w:pos="9026" w:leader="dot"/>
            </w:tabs>
            <w:rPr/>
          </w:pPr>
          <w:hyperlink w:anchor="__RefHeading___Toc2071467_3830689328">
            <w:r>
              <w:rPr>
                <w:webHidden/>
                <w:rStyle w:val="IndexLink"/>
                <w:rtl w:val="true"/>
              </w:rPr>
              <w:t>فهرس أسماء المعصومین علیهم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2071469_3830689328">
            <w:r>
              <w:rPr>
                <w:webHidden/>
                <w:rStyle w:val="IndexLink"/>
                <w:rtl w:val="true"/>
              </w:rPr>
              <w:t>فهرس أعلام الکتاب</w:t>
            </w:r>
            <w:r>
              <w:rPr>
                <w:rStyle w:val="IndexLink"/>
                <w:rtl w:val="true"/>
              </w:rPr>
              <w:tab/>
            </w:r>
            <w:r>
              <w:rPr>
                <w:rStyle w:val="IndexLink"/>
              </w:rPr>
              <w:t>508</w:t>
            </w:r>
          </w:hyperlink>
        </w:p>
        <w:p>
          <w:pPr>
            <w:pStyle w:val="Contents3"/>
            <w:tabs>
              <w:tab w:val="clear" w:pos="8459"/>
              <w:tab w:val="right" w:pos="9026" w:leader="dot"/>
            </w:tabs>
            <w:rPr/>
          </w:pPr>
          <w:hyperlink w:anchor="__RefHeading___Toc2071471_3830689328">
            <w:r>
              <w:rPr>
                <w:webHidden/>
                <w:rStyle w:val="IndexLink"/>
                <w:rtl w:val="true"/>
              </w:rPr>
              <w:t>فهرس الموضوعات</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65_218915"/>
      <w:bookmarkStart w:id="1" w:name="pg13665_218915"/>
      <w:bookmarkEnd w:id="1"/>
    </w:p>
    <w:p>
      <w:pPr>
        <w:pStyle w:val="Heading2"/>
        <w:numPr>
          <w:ilvl w:val="1"/>
          <w:numId w:val="1"/>
        </w:numPr>
        <w:rPr/>
      </w:pPr>
      <w:bookmarkStart w:id="2" w:name="pg13665_218915"/>
      <w:bookmarkStart w:id="3" w:name="__RefHeading___Toc2071213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الشرعیه 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محمدبن مکی العاملی؛ تحقیق قسم الفقه فی مجمع البحوث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فقه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1215_383068932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الحمد للّه الذی أسبغ علینا نعمه ظاهرة و باطنة، و الصلاة و السلام علی سیّد الأنبیاء محمّد و عترته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فضل اللّه تبارک و تعالی علینا أن أعاننا، ببرکة مولانا أبی الحسن الرضا علیه‌السلام علی تحقیق الجزء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نشره بهذه الحلّة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نرجو اللّه عزّوجلّ أن یمنّ علینا بتوفیقه لمواصلة العمل فی هذا المشروع إلی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شارک فی تحقیق هذا الجزء من أعضاء قسم الفقه السادة الفضلاء الذین نرجو لهم من اللّه الکریم القبول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علیّ الاعتمادیّ</w:t>
      </w:r>
    </w:p>
    <w:p>
      <w:pPr>
        <w:pStyle w:val="BookText"/>
        <w:rPr/>
      </w:pPr>
      <w:r>
        <w:rPr>
          <w:rFonts w:ascii="IRNazanin" w:hAnsi="IRNazanin" w:eastAsia="IRNazanin"/>
          <w:color w:val="111111"/>
          <w:sz w:val="28"/>
          <w:sz w:val="28"/>
          <w:szCs w:val="28"/>
          <w:rtl w:val="true"/>
          <w:lang w:bidi="fa-IR"/>
        </w:rPr>
        <w:t>الشیخ نوروز علیّ الحاج آبادیّ</w:t>
      </w:r>
    </w:p>
    <w:p>
      <w:pPr>
        <w:pStyle w:val="BookText"/>
        <w:rPr/>
      </w:pPr>
      <w:r>
        <w:rPr>
          <w:rFonts w:ascii="Amiri" w:hAnsi="Amiri" w:eastAsia="Amiri" w:cs="Amiri"/>
          <w:color w:val="111111"/>
          <w:sz w:val="28"/>
          <w:sz w:val="28"/>
          <w:szCs w:val="28"/>
          <w:rtl w:val="true"/>
          <w:lang w:bidi="ar-SA"/>
        </w:rPr>
        <w:t xml:space="preserve">الشیخ عبّاس المعلّمیّ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الجلالینیا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الشیخ محمّد علیّ الملکیّ</w:t>
      </w:r>
    </w:p>
    <w:p>
      <w:pPr>
        <w:pStyle w:val="BookText"/>
        <w:rPr/>
      </w:pPr>
      <w:r>
        <w:rPr>
          <w:rFonts w:ascii="IRNazanin" w:hAnsi="IRNazanin" w:eastAsia="IRNazanin"/>
          <w:color w:val="111111"/>
          <w:sz w:val="28"/>
          <w:sz w:val="28"/>
          <w:szCs w:val="28"/>
          <w:rtl w:val="true"/>
          <w:lang w:bidi="fa-IR"/>
        </w:rPr>
        <w:t>الشیخ أبوالحسن الملکیّ</w:t>
      </w:r>
    </w:p>
    <w:p>
      <w:pPr>
        <w:pStyle w:val="BookText"/>
        <w:rPr/>
      </w:pPr>
      <w:r>
        <w:rPr>
          <w:rFonts w:ascii="IRNazanin" w:hAnsi="IRNazanin" w:eastAsia="IRNazanin"/>
          <w:color w:val="111111"/>
          <w:sz w:val="28"/>
          <w:sz w:val="28"/>
          <w:szCs w:val="28"/>
          <w:rtl w:val="true"/>
          <w:lang w:bidi="fa-IR"/>
        </w:rPr>
        <w:t>الأخ السیّد طالب الموسویّ</w:t>
      </w:r>
    </w:p>
    <w:p>
      <w:pPr>
        <w:pStyle w:val="BookText"/>
        <w:rPr/>
      </w:pPr>
      <w:r>
        <w:rPr>
          <w:rFonts w:ascii="IRNazanin" w:hAnsi="IRNazanin" w:eastAsia="IRNazanin"/>
          <w:color w:val="111111"/>
          <w:sz w:val="28"/>
          <w:sz w:val="28"/>
          <w:szCs w:val="28"/>
          <w:rtl w:val="true"/>
          <w:lang w:bidi="fa-IR"/>
        </w:rPr>
        <w:t>و نتقدّم بوافر الشکر و الامتنان لسماحة الأُستاذ حجّة الإسلام و المسلمین الشیخ علیّ أکبر إلهیّ الخراسانیّ إشرافه علی التحقیق، سائلین اللّه سبحانه له دوام</w:t>
      </w:r>
    </w:p>
    <w:p>
      <w:pPr>
        <w:pStyle w:val="BookText"/>
        <w:rPr/>
      </w:pPr>
      <w:r>
        <w:rPr>
          <w:rFonts w:ascii="IRNazanin" w:hAnsi="IRNazanin" w:eastAsia="IRNazanin"/>
          <w:color w:val="111111"/>
          <w:sz w:val="28"/>
          <w:sz w:val="28"/>
          <w:szCs w:val="28"/>
          <w:rtl w:val="true"/>
          <w:lang w:bidi="fa-IR"/>
        </w:rPr>
        <w:t>العافیة و مزید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نشکر بامتنان السادة العلماء و الإخوة الأعزّاء الذین ساعدونا فی مراجعة هذا الجزء و إعادة النظر فیه لطبعة الثانیة، و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حسن الخزاعیّ، الشیخ علیّ النمازیّ، الأخ عادل البدریّ، الأخ علیّ أصغر المولویّ، السیّد أبوالحسن الهاشمیّ، الأخ شکراللّه الأختریّ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نسأل‌اللّه جلّ‌جلاله بمنّه وکرمه لهم دوام التوفیق وحسن المآب؛ إنّه شاکر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الفقه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مجمع البحوث الإسلامیّة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65_218921"/>
      <w:bookmarkStart w:id="8" w:name="pg13665_218921"/>
      <w:bookmarkEnd w:id="8"/>
    </w:p>
    <w:p>
      <w:pPr>
        <w:pStyle w:val="Heading2"/>
        <w:numPr>
          <w:ilvl w:val="1"/>
          <w:numId w:val="1"/>
        </w:numPr>
        <w:rPr/>
      </w:pPr>
      <w:bookmarkStart w:id="9" w:name="pg13665_218921"/>
      <w:bookmarkStart w:id="10" w:name="__RefHeading___Toc2071217_3830689328"/>
      <w:bookmarkStart w:id="11" w:name="_Toc3"/>
      <w:bookmarkEnd w:id="9"/>
      <w:bookmarkEnd w:id="10"/>
      <w:r>
        <w:rPr>
          <w:rtl w:val="true"/>
        </w:rPr>
        <w:t>کتاب المزار</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071219_3830689328"/>
      <w:bookmarkStart w:id="13" w:name="_Toc4"/>
      <w:bookmarkEnd w:id="12"/>
      <w:r>
        <w:rPr>
          <w:rtl w:val="true"/>
        </w:rPr>
        <w:t>اشاره</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یستحبّ للحاجّ و غیرهم زیارة رسول‌اللّه صلّی‌اللّه علیه و آله بالمدینة استحباباً مؤکّداً، و یجبر الإمام الناس علی ذلک لو ترکوه ؛ لما فیه من الجفاء المحرّم، کما یجبرون علی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ابن إدریس</w:t>
      </w:r>
      <w:r>
        <w:rPr>
          <w:rStyle w:val="FootnoteAnchor"/>
          <w:rtl w:val="true"/>
        </w:rPr>
        <w:footnoteReference w:id="2"/>
      </w:r>
      <w:r>
        <w:rPr>
          <w:rFonts w:ascii="IRNazanin" w:hAnsi="IRNazanin" w:eastAsia="IRNazanin"/>
          <w:color w:val="111111"/>
          <w:sz w:val="28"/>
          <w:sz w:val="28"/>
          <w:szCs w:val="28"/>
          <w:rtl w:val="true"/>
          <w:lang w:bidi="fa-IR"/>
        </w:rPr>
        <w:t xml:space="preserve">ضعیف ؛ لقوله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مکّة حاجّاً و لم یزرنی إلی المدینة، جفوته یوم القیامة، و مَن أتانی زائراً، وجبت</w:t>
      </w:r>
    </w:p>
    <w:p>
      <w:pPr>
        <w:pStyle w:val="BookText"/>
        <w:rPr/>
      </w:pPr>
      <w:r>
        <w:rPr>
          <w:rFonts w:ascii="IRNazanin" w:hAnsi="IRNazanin" w:eastAsia="IRNazanin"/>
          <w:color w:val="111111"/>
          <w:sz w:val="28"/>
          <w:sz w:val="28"/>
          <w:szCs w:val="28"/>
          <w:rtl w:val="true"/>
          <w:lang w:bidi="fa-IR"/>
        </w:rPr>
        <w:t>له شفاعتی، و مَن وجبت له شفاعتی، وجبت له الجنّة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صلّی‌اللّه علیه و آله فی الترغیب فی زیارته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 موتی، کان کمن هاجر إلیّ فی حیاتی، فإن لم تستطیعوا، فابعثوا إلیّ بالسلام، فإنّه یبلغنی</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للحسین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مَن زارنی حیّاً أو میّتاً أو زار أباک أو زار أخاک أو زارک، کان حقّاً علیّ أن أزوره یوم القیامة و أُخلّصه من ذنوبه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رسول‌اللّه صلّی‌اللّه علیه و آله هو أبوالقاسم محمّد بن عبداللّه بن عبد المطّلب </w:t>
      </w:r>
    </w:p>
    <w:p>
      <w:pPr>
        <w:pStyle w:val="BookText"/>
        <w:rPr/>
      </w:pPr>
      <w:r>
        <w:rPr>
          <w:rFonts w:ascii="IRNazanin" w:hAnsi="IRNazanin" w:eastAsia="IRNazanin"/>
          <w:color w:val="111111"/>
          <w:sz w:val="28"/>
          <w:sz w:val="28"/>
          <w:szCs w:val="28"/>
          <w:rtl w:val="true"/>
          <w:lang w:bidi="fa-IR"/>
        </w:rPr>
        <w:t>بن هاشم بن عبد مناف، ولد بمکّة فی شعب أبی طالب یوم الجمعة بعد طلوع الفجر سابع عشر شهر ربیع الأوّل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حمل أُمّه آمنة بنت وهب بن عبد مناف بن زهرة بن کلاب به أیّام التشریق فی منزل أبیه عبداللّه بمنی عند الجمرة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صدع بالرسالة فی الیوم السابع و العشرین من رجب لأربعین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بالمدینة یوم الاثنین للیلتین بقیتا من صفر سنة إحدی عشرة من الهجرة</w:t>
      </w:r>
      <w:r>
        <w:rPr>
          <w:rStyle w:val="FootnoteAnchor"/>
          <w:rtl w:val="true"/>
        </w:rPr>
        <w:footnoteReference w:id="6"/>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لاثنتی عشرة لیلة بقیت من شهر ربیع‌الأوّل عن ثلاث و ستّین سنة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زیارة فاطمة علیهاالسلام ابنة رسول‌اللّه صلّی‌اللّه علیه و آله و زوجة</w:t>
      </w:r>
      <w:r>
        <w:rPr>
          <w:rStyle w:val="FootnoteAnchor"/>
          <w:rtl w:val="true"/>
        </w:rPr>
        <w:footnoteReference w:id="8"/>
      </w:r>
      <w:r>
        <w:rPr>
          <w:rFonts w:ascii="IRNazanin" w:hAnsi="IRNazanin" w:eastAsia="IRNazanin"/>
          <w:color w:val="111111"/>
          <w:sz w:val="28"/>
          <w:sz w:val="28"/>
          <w:szCs w:val="28"/>
          <w:rtl w:val="true"/>
          <w:lang w:bidi="fa-IR"/>
        </w:rPr>
        <w:t>أمیرالمؤمنین علیه‌السلام، و أُمّ الحسن و 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أبی أ نّه مَن سلّم علیه و علیّ ثلاثة أیّام أوجب اللّه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حیاتکما ؟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بعد موتنا</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لیزر بیتها و الروضة و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علیهاالسلام بعد المبعث بخمس سنین، و قبضت بعد أبیها صلّی‌اللّه علیه و آله بنحو مائة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زیارة الأئمّة الاثنی عشر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أبوالحسن علیّ بن أبی طالب بن عبدالمطّلب بن هاشم، و أبوطالب و عبداللّه أخوان للأبوین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أُمّه فاطمة بنت أسد بن هاشم، و هو و إخوته أوّل هاشمیّ ولد بین هاشمیّین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 یوم الجمعة ثالث عشر رجب، و روی سابع شعبان بعد مولد رسول‌اللّه صلّی‌اللّه علیه و آله بثلاثین سنة</w:t>
      </w:r>
      <w:r>
        <w:rPr>
          <w:rStyle w:val="FootnoteAnchor"/>
          <w:rtl w:val="true"/>
        </w:rPr>
        <w:footnoteReference w:id="10"/>
      </w:r>
      <w:r>
        <w:rPr>
          <w:rFonts w:ascii="IRNazanin" w:hAnsi="IRNazanin" w:eastAsia="IRNazanin"/>
          <w:color w:val="111111"/>
          <w:sz w:val="28"/>
          <w:sz w:val="28"/>
          <w:szCs w:val="28"/>
          <w:rtl w:val="true"/>
          <w:lang w:bidi="fa-IR"/>
        </w:rPr>
        <w:t>، و قبض قتیلاً بالکوفة لیلة الجمعة لتسع لیالٍ بقین من شهر رمضان سنة أربعین عن ثلاث و ستّین سنة، و دفن بالغریّ من نجف الکوفة بمشهده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أمیرالمؤمنین علیه‌السلام ماشیاً، کتب اللّه له بکلّ خطوة حجّة و عمرة، و إن رجع ماشیاً، کتب اللّه له بکلّ خطوة حجّتین و عمرتین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علیّ علیه‌السلام تعدل حجّتین و عمرتین، و زیارة الحسین علیه‌السلام تعدل حجّة و عمرة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أمیرالمؤمنین علیه‌السلام عارفاً بحقّه، کتب اللّه له بکلّ خطوة حجّة مقبولة و عمرة مبرورة، واللّه ما تطعم النار قدماً اغبرّت فی زیارة</w:t>
      </w:r>
    </w:p>
    <w:p>
      <w:pPr>
        <w:pStyle w:val="BookText"/>
        <w:rPr/>
      </w:pPr>
      <w:r>
        <w:rPr>
          <w:rFonts w:ascii="IRNazanin" w:hAnsi="IRNazanin" w:eastAsia="IRNazanin"/>
          <w:color w:val="111111"/>
          <w:sz w:val="28"/>
          <w:sz w:val="28"/>
          <w:szCs w:val="28"/>
          <w:rtl w:val="true"/>
          <w:lang w:bidi="fa-IR"/>
        </w:rPr>
        <w:t>أمیرالمؤمنین علیه‌السلام ماشیاً کان أو راکباً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زیارة آدم و نوح علیهماالسلام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زرت جانب النجف فزر عظام آدم و بدن نوح و جسم علیّ بن أبی طالب علیهم‌الصلاة و السلام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الرضا علیه‌السلام للبزنطیّ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احضر یوم الغدیر عند أمیرالمؤمنین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فإنّ اللّه یغفر لکلّ مؤمن و مؤمنة و مسلم و مسلمة ذنوب ستّین سنة، و یعتق من النار ضعف ما أعتق فی شهر رمضان، و فی لیلة القدر، و لیلة الفطر، </w:t>
      </w:r>
    </w:p>
    <w:p>
      <w:pPr>
        <w:pStyle w:val="BookText"/>
        <w:rPr/>
      </w:pPr>
      <w:r>
        <w:rPr>
          <w:rFonts w:ascii="IRNazanin" w:hAnsi="IRNazanin" w:eastAsia="IRNazanin"/>
          <w:color w:val="111111"/>
          <w:sz w:val="28"/>
          <w:sz w:val="28"/>
          <w:szCs w:val="28"/>
          <w:rtl w:val="true"/>
          <w:lang w:bidi="fa-IR"/>
        </w:rPr>
        <w:t>و الدرهم فیه بألف درهم لإخوانک العارفین، فأفضل علیهم فی هذا الیوم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الزکیّ، أبومحمّد الحسن بن علیّ علیهماالسلام سیّد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بالمدینة یوم الثلاثاء منتصف شهر رمضان، سنة اثنتین من الهجرة، 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w:t>
      </w:r>
      <w:r>
        <w:rPr>
          <w:rStyle w:val="FootnoteAnchor"/>
          <w:rtl w:val="true"/>
        </w:rPr>
        <w:footnoteReference w:id="16"/>
      </w:r>
      <w:r>
        <w:rPr>
          <w:rFonts w:ascii="IRNazanin" w:hAnsi="IRNazanin" w:eastAsia="IRNazanin"/>
          <w:color w:val="111111"/>
          <w:sz w:val="28"/>
          <w:sz w:val="28"/>
          <w:szCs w:val="28"/>
          <w:rtl w:val="true"/>
          <w:lang w:bidi="fa-IR"/>
        </w:rPr>
        <w:t>، و قبض بها مسموماً یوم الخمیس سابع صفر، سنة تسع و أربعین أو سنة خمسین من الهجرة عن سبع أو ثمان 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رسول‌اللّه ما لمن زارنا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حیّاً أو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أو</w:t>
      </w:r>
    </w:p>
    <w:p>
      <w:pPr>
        <w:pStyle w:val="BookText"/>
        <w:rPr/>
      </w:pPr>
      <w:r>
        <w:rPr>
          <w:rFonts w:ascii="Amiri" w:hAnsi="Amiri" w:eastAsia="Amiri" w:cs="Amiri"/>
          <w:color w:val="111111"/>
          <w:sz w:val="28"/>
          <w:sz w:val="28"/>
          <w:szCs w:val="28"/>
          <w:rtl w:val="true"/>
          <w:lang w:bidi="ar-SA"/>
        </w:rPr>
        <w:t>زار أباک حیّاً أو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أو زار أخاک حیّاً أو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أو زارک حیّاً أو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کان حقّاً علیّ أن أستنقذه یوم القیامة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واحداً منکم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زار رسول‌اللّه صلّی‌اللّه علیه و آله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الحدیث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إمام عهداً فی عنق أولیائهم و شیعتهم، و إنّ من تمام الوفاء بالعهد و حسن الأداء، زیارة قبورهم، فمن زارهم رغبة فی زیارتهم و تصدیقاً لما رغّبوا فیه، کان أئمّتهم شفعاءهم یوم القیامة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علیه‌السلام فی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و زاره و صلّی عنده رکعتین، کتب اللّه له حجّة مبرورة، فإن صلّی عنده أربع رکعات، کتب اللّه‌</w:t>
      </w:r>
      <w:r>
        <w:rPr>
          <w:rStyle w:val="FootnoteAnchor"/>
          <w:rtl w:val="true"/>
        </w:rPr>
        <w:footnoteReference w:id="20"/>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کلّ مَن زار إماماً مفترضة</w:t>
      </w:r>
      <w:r>
        <w:rPr>
          <w:rStyle w:val="FootnoteAnchor"/>
          <w:rtl w:val="true"/>
        </w:rPr>
        <w:footnoteReference w:id="21"/>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الشهید أبوعبداللّه الحسین بن علیّ بن أبی طالب علیهم‌السلام سیّد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بالمدینة آخر شهر ربیع‌الأوّل سنة ثلاث من الهجرة،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ثالث عشر شهر رمضان</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شعبان سنة أربع</w:t>
      </w:r>
      <w:r>
        <w:rPr>
          <w:rStyle w:val="FootnoteAnchor"/>
          <w:rtl w:val="true"/>
        </w:rPr>
        <w:footnoteReference w:id="24"/>
      </w:r>
      <w:r>
        <w:rPr>
          <w:rFonts w:ascii="IRNazanin" w:hAnsi="IRNazanin" w:eastAsia="IRNazanin"/>
          <w:color w:val="111111"/>
          <w:sz w:val="28"/>
          <w:sz w:val="28"/>
          <w:szCs w:val="28"/>
          <w:rtl w:val="true"/>
          <w:lang w:bidi="fa-IR"/>
        </w:rPr>
        <w:t>، و قتل بکربلاء یوم السبت عاشوراء سنة إحدی و ستّین عن ثمان و خمسین سنة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ثواب زیارته لا یحصی حتّی روی أنّ زیارته فرض علی کلّ مؤمن</w:t>
      </w:r>
      <w:r>
        <w:rPr>
          <w:rStyle w:val="FootnoteAnchor"/>
          <w:rtl w:val="true"/>
        </w:rPr>
        <w:footnoteReference w:id="25"/>
      </w:r>
      <w:r>
        <w:rPr>
          <w:rFonts w:ascii="Amiri" w:hAnsi="Amiri" w:eastAsia="Amiri" w:cs="Amiri"/>
          <w:color w:val="111111"/>
          <w:sz w:val="28"/>
          <w:sz w:val="28"/>
          <w:szCs w:val="28"/>
          <w:rtl w:val="true"/>
          <w:lang w:bidi="ar-SA"/>
        </w:rPr>
        <w:t>، و أنّ ترکها ترک حقّ للّه و لرسوله</w:t>
      </w:r>
      <w:r>
        <w:rPr>
          <w:rStyle w:val="FootnoteAnchor"/>
          <w:rtl w:val="true"/>
        </w:rPr>
        <w:footnoteReference w:id="26"/>
      </w:r>
      <w:r>
        <w:rPr>
          <w:rFonts w:ascii="Amiri" w:hAnsi="Amiri" w:eastAsia="Amiri" w:cs="Amiri"/>
          <w:color w:val="111111"/>
          <w:sz w:val="28"/>
          <w:sz w:val="28"/>
          <w:szCs w:val="28"/>
          <w:rtl w:val="true"/>
          <w:lang w:bidi="ar-SA"/>
        </w:rPr>
        <w:t>، و أنّ ترکها عقوق رسول‌اللّه صلّی‌اللّه علیه و آله</w:t>
      </w:r>
      <w:r>
        <w:rPr>
          <w:rStyle w:val="FootnoteAnchor"/>
          <w:rtl w:val="true"/>
        </w:rPr>
        <w:footnoteReference w:id="27"/>
      </w:r>
      <w:r>
        <w:rPr>
          <w:rFonts w:ascii="IRNazanin" w:hAnsi="IRNazanin" w:eastAsia="IRNazanin"/>
          <w:color w:val="111111"/>
          <w:sz w:val="28"/>
          <w:sz w:val="28"/>
          <w:szCs w:val="28"/>
          <w:rtl w:val="true"/>
          <w:lang w:bidi="fa-IR"/>
        </w:rPr>
        <w:t>، و انتقاص فی الإیمان و الدین</w:t>
      </w:r>
      <w:r>
        <w:rPr>
          <w:rStyle w:val="FootnoteAnchor"/>
          <w:rtl w:val="true"/>
        </w:rPr>
        <w:footnoteReference w:id="28"/>
      </w:r>
      <w:r>
        <w:rPr>
          <w:rFonts w:ascii="IRNazanin" w:hAnsi="IRNazanin" w:eastAsia="IRNazanin"/>
          <w:color w:val="111111"/>
          <w:sz w:val="28"/>
          <w:sz w:val="28"/>
          <w:szCs w:val="28"/>
          <w:rtl w:val="true"/>
          <w:lang w:bidi="fa-IR"/>
        </w:rPr>
        <w:t>، و أ نّه حقّ علی الغنیّ زیارته فی السنة مرّتین و الفقیر فی السنة مرّة</w:t>
      </w:r>
      <w:r>
        <w:rPr>
          <w:rStyle w:val="FootnoteAnchor"/>
          <w:rtl w:val="true"/>
        </w:rPr>
        <w:footnoteReference w:id="29"/>
      </w:r>
      <w:r>
        <w:rPr>
          <w:rFonts w:ascii="IRNazanin" w:hAnsi="IRNazanin" w:eastAsia="IRNazanin"/>
          <w:color w:val="111111"/>
          <w:sz w:val="28"/>
          <w:sz w:val="28"/>
          <w:szCs w:val="28"/>
          <w:rtl w:val="true"/>
          <w:lang w:bidi="fa-IR"/>
        </w:rPr>
        <w:t>، و أنّ مَن أتی علیه حول و لم یأت قبره، نقص من عمره حول، و أ نّها تطیل العمر</w:t>
      </w:r>
      <w:r>
        <w:rPr>
          <w:rStyle w:val="FootnoteAnchor"/>
          <w:rtl w:val="true"/>
        </w:rPr>
        <w:footnoteReference w:id="30"/>
      </w:r>
      <w:r>
        <w:rPr>
          <w:rFonts w:ascii="Amiri" w:hAnsi="Amiri" w:eastAsia="Amiri" w:cs="Amiri"/>
          <w:color w:val="111111"/>
          <w:sz w:val="28"/>
          <w:sz w:val="28"/>
          <w:szCs w:val="28"/>
          <w:rtl w:val="true"/>
          <w:lang w:bidi="ar-SA"/>
        </w:rPr>
        <w:t>، و أنّ أیّام زیارته لا تعدّ من الأجل</w:t>
      </w:r>
      <w:r>
        <w:rPr>
          <w:rStyle w:val="FootnoteAnchor"/>
          <w:rtl w:val="true"/>
        </w:rPr>
        <w:footnoteReference w:id="31"/>
      </w:r>
      <w:r>
        <w:rPr>
          <w:rFonts w:ascii="Amiri" w:hAnsi="Amiri" w:eastAsia="Amiri" w:cs="Amiri"/>
          <w:color w:val="111111"/>
          <w:sz w:val="28"/>
          <w:sz w:val="28"/>
          <w:szCs w:val="28"/>
          <w:rtl w:val="true"/>
          <w:lang w:bidi="ar-SA"/>
        </w:rPr>
        <w:t xml:space="preserve">، و تفرّج الغمّ، </w:t>
      </w:r>
    </w:p>
    <w:p>
      <w:pPr>
        <w:pStyle w:val="BookText"/>
        <w:rPr/>
      </w:pPr>
      <w:r>
        <w:rPr>
          <w:rFonts w:ascii="IRNazanin" w:hAnsi="IRNazanin" w:eastAsia="IRNazanin"/>
          <w:color w:val="111111"/>
          <w:sz w:val="28"/>
          <w:sz w:val="28"/>
          <w:szCs w:val="28"/>
          <w:rtl w:val="true"/>
          <w:lang w:bidi="fa-IR"/>
        </w:rPr>
        <w:t>و تمحّص الذنوب</w:t>
      </w:r>
      <w:r>
        <w:rPr>
          <w:rStyle w:val="FootnoteAnchor"/>
          <w:rtl w:val="true"/>
        </w:rPr>
        <w:footnoteReference w:id="32"/>
      </w:r>
      <w:r>
        <w:rPr>
          <w:rFonts w:ascii="Amiri" w:hAnsi="Amiri" w:eastAsia="Amiri" w:cs="Amiri"/>
          <w:color w:val="111111"/>
          <w:sz w:val="28"/>
          <w:sz w:val="28"/>
          <w:szCs w:val="28"/>
          <w:rtl w:val="true"/>
          <w:lang w:bidi="ar-SA"/>
        </w:rPr>
        <w:t>، و بکلّ</w:t>
      </w:r>
      <w:r>
        <w:rPr>
          <w:rStyle w:val="FootnoteAnchor"/>
          <w:rtl w:val="true"/>
        </w:rPr>
        <w:footnoteReference w:id="33"/>
      </w:r>
      <w:r>
        <w:rPr>
          <w:rFonts w:ascii="IRNazanin" w:hAnsi="IRNazanin" w:eastAsia="IRNazanin"/>
          <w:color w:val="111111"/>
          <w:sz w:val="28"/>
          <w:sz w:val="28"/>
          <w:szCs w:val="28"/>
          <w:rtl w:val="true"/>
          <w:lang w:bidi="fa-IR"/>
        </w:rPr>
        <w:t>خطوة حجّة مبرورة، و له بزیارته أجر عتق ألف نسمة، و حمل علی ألف فرس فی سبیل‌اللّه‌</w:t>
      </w:r>
      <w:r>
        <w:rPr>
          <w:rStyle w:val="FootnoteAnchor"/>
          <w:rtl w:val="true"/>
        </w:rPr>
        <w:footnoteReference w:id="34"/>
      </w:r>
      <w:r>
        <w:rPr>
          <w:rFonts w:ascii="IRNazanin" w:hAnsi="IRNazanin" w:eastAsia="IRNazanin"/>
          <w:color w:val="111111"/>
          <w:sz w:val="28"/>
          <w:sz w:val="28"/>
          <w:szCs w:val="28"/>
          <w:rtl w:val="true"/>
          <w:lang w:bidi="fa-IR"/>
        </w:rPr>
        <w:t>، و له بکلّ درهم أنفقه عشرة آلاف</w:t>
      </w:r>
    </w:p>
    <w:p>
      <w:pPr>
        <w:pStyle w:val="BookText"/>
        <w:rPr/>
      </w:pPr>
      <w:r>
        <w:rPr>
          <w:rFonts w:ascii="IRNazanin" w:hAnsi="IRNazanin" w:eastAsia="IRNazanin"/>
          <w:color w:val="111111"/>
          <w:sz w:val="28"/>
          <w:sz w:val="28"/>
          <w:szCs w:val="28"/>
          <w:rtl w:val="true"/>
          <w:lang w:bidi="fa-IR"/>
        </w:rPr>
        <w:t>درهم</w:t>
      </w:r>
      <w:r>
        <w:rPr>
          <w:rStyle w:val="FootnoteAnchor"/>
          <w:rtl w:val="true"/>
        </w:rPr>
        <w:footnoteReference w:id="35"/>
      </w:r>
      <w:r>
        <w:rPr>
          <w:rFonts w:ascii="Amiri" w:hAnsi="Amiri" w:eastAsia="Amiri" w:cs="Amiri"/>
          <w:color w:val="111111"/>
          <w:sz w:val="28"/>
          <w:sz w:val="28"/>
          <w:szCs w:val="28"/>
          <w:rtl w:val="true"/>
          <w:lang w:bidi="ar-SA"/>
        </w:rPr>
        <w:t>، و أنّ مَن أتی قبره عارفاً بحقّه، غفر اللّه له ما تقدّم من ذنبه و ما تأخّر</w:t>
      </w:r>
      <w:r>
        <w:rPr>
          <w:rStyle w:val="FootnoteAnchor"/>
          <w:rtl w:val="true"/>
        </w:rPr>
        <w:footnoteReference w:id="36"/>
      </w:r>
      <w:r>
        <w:rPr>
          <w:rFonts w:ascii="IRNazanin" w:hAnsi="IRNazanin" w:eastAsia="IRNazanin"/>
          <w:color w:val="111111"/>
          <w:sz w:val="28"/>
          <w:sz w:val="28"/>
          <w:szCs w:val="28"/>
          <w:rtl w:val="true"/>
          <w:lang w:bidi="fa-IR"/>
        </w:rPr>
        <w:t>، و أنّ زیارته یوم عرفة بعشرین حجّة، و عشرین عمرة مبرورة، و عشرین غزوة مع النبیّ صلّی‌اللّه علیه و آله أو الإمام علیه‌السّلام</w:t>
      </w:r>
      <w:r>
        <w:rPr>
          <w:rStyle w:val="FootnoteAnchor"/>
          <w:rtl w:val="true"/>
        </w:rPr>
        <w:footnoteReference w:id="37"/>
      </w:r>
      <w:r>
        <w:rPr>
          <w:rFonts w:ascii="IRNazanin" w:hAnsi="IRNazanin" w:eastAsia="IRNazanin"/>
          <w:color w:val="111111"/>
          <w:sz w:val="28"/>
          <w:sz w:val="28"/>
          <w:szCs w:val="28"/>
          <w:rtl w:val="true"/>
          <w:lang w:bidi="fa-IR"/>
        </w:rPr>
        <w:t>، بل روی أنّ مطلق زیارته خیر من</w:t>
      </w:r>
    </w:p>
    <w:p>
      <w:pPr>
        <w:pStyle w:val="BookText"/>
        <w:rPr/>
      </w:pPr>
      <w:r>
        <w:rPr>
          <w:rFonts w:ascii="Amiri" w:hAnsi="Amiri" w:eastAsia="Amiri" w:cs="Amiri"/>
          <w:color w:val="111111"/>
          <w:sz w:val="28"/>
          <w:sz w:val="28"/>
          <w:szCs w:val="28"/>
          <w:rtl w:val="true"/>
          <w:lang w:bidi="ar-SA"/>
        </w:rPr>
        <w:t>عشرین حجّة</w:t>
      </w:r>
      <w:r>
        <w:rPr>
          <w:rStyle w:val="FootnoteAnchor"/>
          <w:rtl w:val="true"/>
        </w:rPr>
        <w:footnoteReference w:id="38"/>
      </w:r>
      <w:r>
        <w:rPr>
          <w:rFonts w:ascii="IRNazanin" w:hAnsi="IRNazanin" w:eastAsia="IRNazanin"/>
          <w:color w:val="111111"/>
          <w:sz w:val="28"/>
          <w:sz w:val="28"/>
          <w:szCs w:val="28"/>
          <w:rtl w:val="true"/>
          <w:lang w:bidi="fa-IR"/>
        </w:rPr>
        <w:t>، و أنّ زیارته یوم عرفة مع المعرفة بحقّه بألف ألف حجّة و ألف ألف عمرة متقبّلات، و ألف غزوة مع نبیّ أو إمام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زیارته</w:t>
      </w:r>
      <w:r>
        <w:rPr>
          <w:rStyle w:val="FootnoteAnchor"/>
          <w:rtl w:val="true"/>
        </w:rPr>
        <w:footnoteReference w:id="40"/>
      </w:r>
      <w:r>
        <w:rPr>
          <w:rFonts w:ascii="Amiri" w:hAnsi="Amiri" w:eastAsia="Amiri" w:cs="Amiri"/>
          <w:color w:val="111111"/>
          <w:sz w:val="28"/>
          <w:sz w:val="28"/>
          <w:szCs w:val="28"/>
          <w:rtl w:val="true"/>
          <w:lang w:bidi="ar-SA"/>
        </w:rPr>
        <w:t>أوّل رجب مغفرة للذنب البتّة</w:t>
      </w:r>
      <w:r>
        <w:rPr>
          <w:rStyle w:val="FootnoteAnchor"/>
          <w:rtl w:val="true"/>
        </w:rPr>
        <w:footnoteReference w:id="41"/>
      </w:r>
      <w:r>
        <w:rPr>
          <w:rFonts w:ascii="IRNazanin" w:hAnsi="IRNazanin" w:eastAsia="IRNazanin"/>
          <w:color w:val="111111"/>
          <w:sz w:val="28"/>
          <w:sz w:val="28"/>
          <w:szCs w:val="28"/>
          <w:rtl w:val="true"/>
          <w:lang w:bidi="fa-IR"/>
        </w:rPr>
        <w:t>، و نصف شعبان یصافحه مائتا ألف نبیّ و عشرون ألف نبیّ</w:t>
      </w:r>
      <w:r>
        <w:rPr>
          <w:rStyle w:val="FootnoteAnchor"/>
          <w:rtl w:val="true"/>
        </w:rPr>
        <w:footnoteReference w:id="42"/>
      </w:r>
      <w:r>
        <w:rPr>
          <w:rFonts w:ascii="IRNazanin" w:hAnsi="IRNazanin" w:eastAsia="IRNazanin"/>
          <w:color w:val="111111"/>
          <w:sz w:val="28"/>
          <w:sz w:val="28"/>
          <w:szCs w:val="28"/>
          <w:rtl w:val="true"/>
          <w:lang w:bidi="fa-IR"/>
        </w:rPr>
        <w:t>، و لیلة القدر مغفرة للذنب</w:t>
      </w:r>
      <w:r>
        <w:rPr>
          <w:rStyle w:val="FootnoteAnchor"/>
          <w:rtl w:val="true"/>
        </w:rPr>
        <w:footnoteReference w:id="43"/>
      </w:r>
      <w:r>
        <w:rPr>
          <w:rFonts w:ascii="IRNazanin" w:hAnsi="IRNazanin" w:eastAsia="IRNazanin"/>
          <w:color w:val="111111"/>
          <w:sz w:val="28"/>
          <w:sz w:val="28"/>
          <w:szCs w:val="28"/>
          <w:rtl w:val="true"/>
          <w:lang w:bidi="fa-IR"/>
        </w:rPr>
        <w:t>، و أنّ الجمع فی سنة واحدة بین زیارته لیلة عرفة و الفطر و لیلة النصف من شعبان بثواب ألف حجّة مبرورة و ألف عمرة متقبّلة، و قضاء ألف حاجة للدنیا و الآخرة</w:t>
      </w:r>
      <w:r>
        <w:rPr>
          <w:rStyle w:val="FootnoteAnchor"/>
          <w:rtl w:val="true"/>
        </w:rPr>
        <w:footnoteReference w:id="44"/>
      </w:r>
      <w:r>
        <w:rPr>
          <w:rFonts w:ascii="IRNazanin" w:hAnsi="IRNazanin" w:eastAsia="IRNazanin"/>
          <w:color w:val="111111"/>
          <w:sz w:val="28"/>
          <w:sz w:val="28"/>
          <w:szCs w:val="28"/>
          <w:rtl w:val="true"/>
          <w:lang w:bidi="fa-IR"/>
        </w:rPr>
        <w:t xml:space="preserve">، و زیارته یوم </w:t>
      </w:r>
    </w:p>
    <w:p>
      <w:pPr>
        <w:pStyle w:val="BookText"/>
        <w:rPr/>
      </w:pPr>
      <w:r>
        <w:rPr>
          <w:rFonts w:ascii="IRNazanin" w:hAnsi="IRNazanin" w:eastAsia="IRNazanin"/>
          <w:color w:val="111111"/>
          <w:sz w:val="28"/>
          <w:sz w:val="28"/>
          <w:szCs w:val="28"/>
          <w:rtl w:val="true"/>
          <w:lang w:bidi="fa-IR"/>
        </w:rPr>
        <w:t>عاشوراء معرفةً بحقّه، کمن زار اللّه فوق عرشه</w:t>
      </w:r>
      <w:r>
        <w:rPr>
          <w:rStyle w:val="FootnoteAnchor"/>
          <w:rtl w:val="true"/>
        </w:rPr>
        <w:footnoteReference w:id="45"/>
      </w:r>
      <w:r>
        <w:rPr>
          <w:rFonts w:ascii="IRNazanin" w:hAnsi="IRNazanin" w:eastAsia="IRNazanin"/>
          <w:color w:val="111111"/>
          <w:sz w:val="28"/>
          <w:sz w:val="28"/>
          <w:szCs w:val="28"/>
          <w:rtl w:val="true"/>
          <w:lang w:bidi="fa-IR"/>
        </w:rPr>
        <w:t>، و هو کنایة عن کثرة الثواب و الإجلال بمثابة مَن رفعه اللّه إلی سمائه، و أدناه من عرشه، و أراه من خاصّة ملکه</w:t>
      </w:r>
    </w:p>
    <w:p>
      <w:pPr>
        <w:pStyle w:val="BookText"/>
        <w:rPr/>
      </w:pPr>
      <w:r>
        <w:rPr>
          <w:rFonts w:ascii="IRNazanin" w:hAnsi="IRNazanin" w:eastAsia="IRNazanin"/>
          <w:color w:val="111111"/>
          <w:sz w:val="28"/>
          <w:sz w:val="28"/>
          <w:szCs w:val="28"/>
          <w:rtl w:val="true"/>
          <w:lang w:bidi="fa-IR"/>
        </w:rPr>
        <w:t>ما یکون به توکید کرامته، و زیارته فی العشرین من صفر من علامات المؤمن</w:t>
      </w:r>
      <w:r>
        <w:rPr>
          <w:rStyle w:val="FootnoteAnchor"/>
          <w:rtl w:val="true"/>
        </w:rPr>
        <w:footnoteReference w:id="46"/>
      </w:r>
      <w:r>
        <w:rPr>
          <w:rFonts w:ascii="IRNazanin" w:hAnsi="IRNazanin" w:eastAsia="IRNazanin"/>
          <w:color w:val="111111"/>
          <w:sz w:val="28"/>
          <w:sz w:val="28"/>
          <w:szCs w:val="28"/>
          <w:rtl w:val="true"/>
          <w:lang w:bidi="fa-IR"/>
        </w:rPr>
        <w:t>، و زیارته فی کلّ شهر ثوابها ثواب مائة ألف شهید من شهداء بدر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بَعُد عنه و صعد علی سطحه، ثمّ رفع رأسه إلی السماء، ثمّ توجّه إلی قبره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أباعبداللّه، السّلام علیک و رحمه‌اللّه و برکاته، کتب اللّه له زورة، و الزورة حجّة و عمرة</w:t>
      </w:r>
      <w:r>
        <w:rPr>
          <w:rStyle w:val="FootnoteAnchor"/>
          <w:rtl w:val="true"/>
        </w:rPr>
        <w:footnoteReference w:id="48"/>
      </w:r>
      <w:r>
        <w:rPr>
          <w:rFonts w:ascii="IRNazanin" w:hAnsi="IRNazanin" w:eastAsia="IRNazanin"/>
          <w:color w:val="111111"/>
          <w:sz w:val="28"/>
          <w:sz w:val="28"/>
          <w:szCs w:val="28"/>
          <w:rtl w:val="true"/>
          <w:lang w:bidi="fa-IR"/>
        </w:rPr>
        <w:t>، و لو فعل ذلک</w:t>
      </w:r>
      <w:r>
        <w:rPr>
          <w:rStyle w:val="FootnoteAnchor"/>
          <w:rtl w:val="true"/>
        </w:rPr>
        <w:footnoteReference w:id="49"/>
      </w:r>
      <w:r>
        <w:rPr>
          <w:rFonts w:ascii="Amiri" w:hAnsi="Amiri" w:eastAsia="Amiri" w:cs="Amiri"/>
          <w:color w:val="111111"/>
          <w:sz w:val="28"/>
          <w:sz w:val="28"/>
          <w:szCs w:val="28"/>
          <w:rtl w:val="true"/>
          <w:lang w:bidi="ar-SA"/>
        </w:rPr>
        <w:t>کلّ یوم خمس مرّات، کتب اللّه له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زاره فلیزر ولده علیّ بن الحسین علیهماالسّلام و هو الأکبر علی الأصحّ</w:t>
      </w:r>
      <w:r>
        <w:rPr>
          <w:rStyle w:val="FootnoteAnchor"/>
          <w:rtl w:val="true"/>
        </w:rPr>
        <w:footnoteReference w:id="50"/>
      </w:r>
      <w:r>
        <w:rPr>
          <w:rFonts w:ascii="IRNazanin" w:hAnsi="IRNazanin" w:eastAsia="IRNazanin"/>
          <w:color w:val="111111"/>
          <w:sz w:val="28"/>
          <w:sz w:val="28"/>
          <w:szCs w:val="28"/>
          <w:rtl w:val="true"/>
          <w:lang w:bidi="fa-IR"/>
        </w:rPr>
        <w:t>، و لیزر الشهداء و أخاه العبّاس، و الحرّ بن یزید</w:t>
      </w:r>
      <w:r>
        <w:rPr>
          <w:rStyle w:val="FootnoteAnchor"/>
          <w:rtl w:val="true"/>
        </w:rPr>
        <w:footnoteReference w:id="51"/>
      </w:r>
      <w:r>
        <w:rPr>
          <w:rFonts w:ascii="IRNazanin" w:hAnsi="IRNazanin" w:eastAsia="IRNazanin"/>
          <w:color w:val="111111"/>
          <w:sz w:val="28"/>
          <w:sz w:val="28"/>
          <w:szCs w:val="28"/>
          <w:rtl w:val="true"/>
          <w:lang w:bidi="fa-IR"/>
        </w:rPr>
        <w:t xml:space="preserve">، و لیتمّ الصلاة عنده ندباً، و یستشفی بتربته من حریم قبره، و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فراسخ من أربعة جوانبه،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من کلّ جانب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 عشرین ذراعاً من ناحیة الرأس، و مثلها من ناحیة الرجلین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خمسة و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صحیح ؛ لأنّ ذراعاً مؤنّثة و قد تذکّر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 عشرون ذراعاً مکسّراً</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 علی الترتیب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المفضّل بن عمر، عن الصادق علیه‌السّلام فی الصلاة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رکعة بألف حجّة، و ألف عمرة، و عتق ألف رقبة، و ألف وقفة فی سبیل‌اللّه تعالی مع نبیّ مرسل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ابن أبی عمیر مرسلاً،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الفریضة عنده تعدل حجّة، و النافلة تعدل عمرة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تربته الشفاء من کلّ داء و هی الدواء الأکبر، رواه سلیمان البصریّ، عن الصادق علیه‌السّلام</w:t>
      </w:r>
      <w:r>
        <w:rPr>
          <w:rStyle w:val="FootnoteAnchor"/>
          <w:rtl w:val="true"/>
        </w:rPr>
        <w:footnoteReference w:id="57"/>
      </w:r>
      <w:r>
        <w:rPr>
          <w:rFonts w:ascii="IRNazanin" w:hAnsi="IRNazanin" w:eastAsia="IRNazanin"/>
          <w:color w:val="111111"/>
          <w:sz w:val="28"/>
          <w:sz w:val="28"/>
          <w:szCs w:val="28"/>
          <w:rtl w:val="true"/>
          <w:lang w:bidi="fa-IR"/>
        </w:rPr>
        <w:t>، و لیؤخذ من قبره إلی سبعین ذراعاً علی الأفضل، و حملها أیضاً أمان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حمل سبحة من طینه ثلاثاً و ثلاثین حبّة، فمن قلّبها ذاکراً للّه تعالی، فله بکلّ حبّة أربعون حسنة، و إن قلّبها ساهیاً، فعشرون حسنة، و ما سبّح اللّه بأفضل</w:t>
      </w:r>
    </w:p>
    <w:p>
      <w:pPr>
        <w:pStyle w:val="BookText"/>
        <w:rPr/>
      </w:pPr>
      <w:r>
        <w:rPr>
          <w:rFonts w:ascii="IRNazanin" w:hAnsi="IRNazanin" w:eastAsia="IRNazanin"/>
          <w:color w:val="111111"/>
          <w:sz w:val="28"/>
          <w:sz w:val="28"/>
          <w:szCs w:val="28"/>
          <w:rtl w:val="true"/>
          <w:lang w:bidi="fa-IR"/>
        </w:rPr>
        <w:t>من سبحة طینه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وضعها مع المیّت فی قبره و خلطها بحنوطه، رواه الحمیریّ، عن الفقیه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لزائره أن یأتیه محزوناً أشعث أغبر جائعاً عطشاناً، و لا یتّخذ فی طریقه السُّفر، و لا یتطیّب، و لا یدّهن، و لا یکتحل، و یأکل الخبز و اللبن، و یزوره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بالمأثور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أبومحمّد زین العابدین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یوم الأحد خامس شعبان سنة ثمان و ثلاثین، و قبض بها یوم السبت ثانی عشر المحرّم، سنة خمس و تسعین، عن سبع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شاه زنان بنت شیرویه بن کسری أبرویز</w:t>
      </w:r>
      <w:r>
        <w:rPr>
          <w:rStyle w:val="FootnoteAnchor"/>
          <w:rtl w:val="true"/>
        </w:rPr>
        <w:footnoteReference w:id="59"/>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یزدجرد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أبوجعفر محمّد بن علیّ علیهماالسّلام الباقر لعلم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بالمدینة یوم الاثنین ثالث صفر سنة سبع و خمسین، و قبض بها یوم الاثنین سابع ذی الحجّة سنة أربع عشرة و مائة،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عشرة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w:t>
      </w:r>
      <w:r>
        <w:rPr>
          <w:rStyle w:val="FootnoteAnchor"/>
          <w:rtl w:val="true"/>
        </w:rPr>
        <w:footnoteReference w:id="62"/>
      </w:r>
      <w:r>
        <w:rPr>
          <w:rFonts w:ascii="Amiri" w:hAnsi="Amiri" w:eastAsia="Amiri" w:cs="Amiri"/>
          <w:color w:val="111111"/>
          <w:sz w:val="28"/>
          <w:sz w:val="28"/>
          <w:szCs w:val="28"/>
          <w:rtl w:val="true"/>
          <w:lang w:bidi="ar-SA"/>
        </w:rPr>
        <w:t>أُمّ عبداللّه بنت الحسن بن علیّ علیهم‌السّلام، فهو علویّ بین علویّین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أبوعبداللّه جعفر بن محمّد الصادق علیهماالسّلام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یوم الاثنین سابع عشر شهر ربیع‌الأوّل، سنة ثلاث و ثمانین، و قبض بها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منتصف رجب یوم الاثنین سنة ثمان و أربعین و مائة، عن خمس و ستّین سنة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أُمّه أُمّ فروة ابنة القاسم الفقیه ابن محمّد النجیب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فاطمة، و کنیتها 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و قبر أبیه و جدّه و عمّه الحسن علیهم‌السّلام بالبقیع فی مکان واحد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أسد جدّتهم معهم فی تربتهم</w:t>
      </w:r>
      <w:r>
        <w:rPr>
          <w:rStyle w:val="FootnoteAnchor"/>
          <w:rtl w:val="true"/>
        </w:rPr>
        <w:footnoteReference w:id="6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الروایات فی زیارة الحسن علیه‌السّلام تدلّ علی فضیلة زیارتهم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محمّد الحسن بن علیّ العسکریّ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جعفراً و أباه، لم یشتک عینه، و لم یصبه سقم، و لم یمت مبتلی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غفرت له ذنوبه و لم یمت فقیراً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أبوالحسن و أبو إبراهیم و أبو علیّ موسی بن جعفر الصادق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حمیدة البربریّة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بالأبواء بین مکّة و المدینة سنة ثمان و عشرین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 عشرین و مائة یوم الأحد سابع صفر</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مسموماً ببغداد فی حبس السندیّ بن شاهک لستّ بقین من رجب، سنة ثلاث و ثمانین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لخمس خلون من رجب، سنة إحدی و ثمانین و مائة</w:t>
      </w:r>
      <w:r>
        <w:rPr>
          <w:rStyle w:val="FootnoteAnchor"/>
          <w:rtl w:val="true"/>
        </w:rPr>
        <w:footnoteReference w:id="69"/>
      </w:r>
      <w:r>
        <w:rPr>
          <w:rFonts w:ascii="IRNazanin" w:hAnsi="IRNazanin" w:eastAsia="IRNazanin"/>
          <w:color w:val="111111"/>
          <w:sz w:val="28"/>
          <w:sz w:val="28"/>
          <w:szCs w:val="28"/>
          <w:rtl w:val="true"/>
          <w:lang w:bidi="fa-IR"/>
        </w:rPr>
        <w:t>، و دفن بمقابر قریش فی مشهده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الحسن بن علیّ الوشّاء الرضا علیه‌السّلام عن زیارة أبیه أبی الحسن علیه‌السّلام أ هی مثل زیارة الحسین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أبی ببغداد کمن زار قبر رسول‌اللّه صلّی‌اللّه علیه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آله و قبر أمیرالمؤمنین علیه‌السّلام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نجّی بغداد لمکان قبره بها</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لمن زاره الجنّة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أبوالحسن علیّ بن موسی علیهماالسّلام، 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أُمّ البنین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سنة ثمان و أربعین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حادی عشر ذی القعدة</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بطوس فی صفر، و قبره بسناباد بمشهده الآن سنة ثلاث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الکاظم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ولدی علیّ، کان عنداللّه کسبعین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یحیی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سبعین ألف حجّة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أبواب المزار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لأبی جعفر محمّد بن علیّ الجواد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أزیارة الرضا علیه‌السّلام أفضل أم زیارة الحسین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أبی أفضل ؛ لأ نّه لا یزوره إلاّ الخواصّ من الشیعة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أفضل من الحجّ، و أفضلها رجب</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أبواب المزار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البزنطیّ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أبی الحسن الرضا علیه‌السّلام بخطّه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شیعتی أنّ زیارتی تعدل عنداللّه ألف حجّة و ألف عمرة متقبّلة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 واللّه و ألف ألف حجّة لمن یزوره عارفاً </w:t>
      </w:r>
    </w:p>
    <w:p>
      <w:pPr>
        <w:pStyle w:val="BookText"/>
        <w:rPr/>
      </w:pP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زارنی علی بُعد داری و مزاری، أتیته یوم القیامة فی ثلاثة مواطن حتّی أُخلّصه من أهوالها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 شمالاً، و عند</w:t>
      </w:r>
    </w:p>
    <w:p>
      <w:pPr>
        <w:pStyle w:val="BookText"/>
        <w:rPr/>
      </w:pPr>
      <w:r>
        <w:rPr>
          <w:rFonts w:ascii="IRNazanin" w:hAnsi="IRNazanin" w:eastAsia="IRNazanin"/>
          <w:color w:val="111111"/>
          <w:sz w:val="28"/>
          <w:sz w:val="28"/>
          <w:szCs w:val="28"/>
          <w:rtl w:val="true"/>
          <w:lang w:bidi="fa-IR"/>
        </w:rPr>
        <w:t>الصراط، و المیزان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 أبو جعفر محمّد بن علیّ الرضا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 الخیزران أُمّ ولد، و کانت من أهل بیت ماریة القبطیّة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بالمدینة فی شهر رمضان سنة خمس و تسعین و مائة، و قبض ببغداد فی آخر ذی القعدة،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حادی عشر ذی القعدة، سنة عشرین و مائتین</w:t>
      </w:r>
      <w:r>
        <w:rPr>
          <w:rStyle w:val="FootnoteAnchor"/>
          <w:rtl w:val="true"/>
        </w:rPr>
        <w:footnoteReference w:id="80"/>
      </w:r>
      <w:r>
        <w:rPr>
          <w:rFonts w:ascii="IRNazanin" w:hAnsi="IRNazanin" w:eastAsia="IRNazanin"/>
          <w:color w:val="111111"/>
          <w:sz w:val="28"/>
          <w:sz w:val="28"/>
          <w:szCs w:val="28"/>
          <w:rtl w:val="true"/>
          <w:lang w:bidi="fa-IR"/>
        </w:rPr>
        <w:t>، و دفن فی ظهر جدّه الکاظم علیه‌السّلام 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الهادی علیه‌السّلام فی فضل زیارتهما علی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عبداللّه المقدّم، و هذا أجمع و أعظم أجراً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أبواب المزار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الهادی المنتجب، أبوالحسن علیّ بن محمّد الجواد علیهماالسّلام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سمانة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بالمدینة</w:t>
      </w:r>
      <w:r>
        <w:rPr>
          <w:rStyle w:val="FootnoteAnchor"/>
          <w:rtl w:val="true"/>
        </w:rPr>
        <w:footnoteReference w:id="82"/>
      </w:r>
      <w:r>
        <w:rPr>
          <w:rFonts w:ascii="IRNazanin" w:hAnsi="IRNazanin" w:eastAsia="IRNazanin"/>
          <w:color w:val="111111"/>
          <w:sz w:val="28"/>
          <w:sz w:val="28"/>
          <w:szCs w:val="28"/>
          <w:rtl w:val="true"/>
          <w:lang w:bidi="fa-IR"/>
        </w:rPr>
        <w:t>منتصف ذی الحجّة، سنة اثنتی عشرة و مائتین، و قبض بسرّ من رأی فی</w:t>
      </w:r>
      <w:r>
        <w:rPr>
          <w:rStyle w:val="FootnoteAnchor"/>
          <w:rtl w:val="true"/>
        </w:rPr>
        <w:footnoteReference w:id="83"/>
      </w:r>
      <w:r>
        <w:rPr>
          <w:rFonts w:ascii="IRNazanin" w:hAnsi="IRNazanin" w:eastAsia="IRNazanin"/>
          <w:color w:val="111111"/>
          <w:sz w:val="28"/>
          <w:sz w:val="28"/>
          <w:szCs w:val="28"/>
          <w:rtl w:val="true"/>
          <w:lang w:bidi="fa-IR"/>
        </w:rPr>
        <w:t xml:space="preserve">یوم الاثنین ثالث رجب، سنة أربع و خمسین </w:t>
      </w:r>
    </w:p>
    <w:p>
      <w:pPr>
        <w:pStyle w:val="BookText"/>
        <w:rPr/>
      </w:pPr>
      <w:r>
        <w:rPr>
          <w:rFonts w:ascii="IRNazanin" w:hAnsi="IRNazanin" w:eastAsia="IRNazanin"/>
          <w:color w:val="111111"/>
          <w:sz w:val="28"/>
          <w:sz w:val="28"/>
          <w:szCs w:val="28"/>
          <w:rtl w:val="true"/>
          <w:lang w:bidi="fa-IR"/>
        </w:rPr>
        <w:t>و مائتین، و دفن فی داره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النقیّ</w:t>
      </w:r>
      <w:r>
        <w:rPr>
          <w:rStyle w:val="FootnoteAnchor"/>
          <w:rtl w:val="true"/>
        </w:rPr>
        <w:footnoteReference w:id="84"/>
      </w:r>
      <w:r>
        <w:rPr>
          <w:rFonts w:ascii="IRNazanin" w:hAnsi="IRNazanin" w:eastAsia="IRNazanin"/>
          <w:color w:val="111111"/>
          <w:sz w:val="28"/>
          <w:sz w:val="28"/>
          <w:szCs w:val="28"/>
          <w:rtl w:val="true"/>
          <w:lang w:bidi="fa-IR"/>
        </w:rPr>
        <w:t>الهادی ولیّ المؤمنین أبومحمّد الحسن بن علیّ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 حدیث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فی شهر ربیع الآخر، قیل</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رابعه، سنة اثنین و ثلاثین و مائتین</w:t>
      </w:r>
      <w:r>
        <w:rPr>
          <w:rStyle w:val="FootnoteAnchor"/>
          <w:rtl w:val="true"/>
        </w:rPr>
        <w:footnoteReference w:id="86"/>
      </w:r>
      <w:r>
        <w:rPr>
          <w:rFonts w:ascii="IRNazanin" w:hAnsi="IRNazanin" w:eastAsia="IRNazanin"/>
          <w:color w:val="111111"/>
          <w:sz w:val="28"/>
          <w:sz w:val="28"/>
          <w:szCs w:val="28"/>
          <w:rtl w:val="true"/>
          <w:lang w:bidi="fa-IR"/>
        </w:rPr>
        <w:t>، و قبض بسرّ من رأی یوم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ثامن شهر ربیع‌الأوّل، سنة ستّین و مائتین</w:t>
      </w:r>
      <w:r>
        <w:rPr>
          <w:rStyle w:val="FootnoteAnchor"/>
          <w:rtl w:val="true"/>
        </w:rPr>
        <w:footnoteReference w:id="87"/>
      </w:r>
      <w:r>
        <w:rPr>
          <w:rFonts w:ascii="IRNazanin" w:hAnsi="IRNazanin" w:eastAsia="IRNazanin"/>
          <w:color w:val="111111"/>
          <w:sz w:val="28"/>
          <w:sz w:val="28"/>
          <w:szCs w:val="28"/>
          <w:rtl w:val="true"/>
          <w:lang w:bidi="fa-IR"/>
        </w:rPr>
        <w:t>و دفن إلی جانب أبیه، و ثواب زیارتهما یعلم من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أبوهاشم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محمّد الحسن بن علیّ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قبری بسرّ مَن رأی أمان لأهل الجانبین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یزاران من ظاهر الشبّاک، و منع من دخول الدار</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الأحوط ؛ لأ نّها ملک الغیر، فلا یجوز التصرّف فیها إلاّ بإذنه</w:t>
      </w:r>
      <w:r>
        <w:rPr>
          <w:rStyle w:val="FootnoteAnchor"/>
          <w:rtl w:val="true"/>
        </w:rPr>
        <w:footnoteReference w:id="90"/>
      </w:r>
      <w:r>
        <w:rPr>
          <w:rFonts w:ascii="IRNazanin" w:hAnsi="IRNazanin" w:eastAsia="IRNazanin"/>
          <w:color w:val="111111"/>
          <w:sz w:val="28"/>
          <w:sz w:val="28"/>
          <w:szCs w:val="28"/>
          <w:rtl w:val="true"/>
          <w:lang w:bidi="fa-IR"/>
        </w:rPr>
        <w:t>، قال</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أحداً دخلها، لم یکن مأثوماً، خاصّة</w:t>
      </w:r>
      <w:r>
        <w:rPr>
          <w:rStyle w:val="FootnoteAnchor"/>
          <w:rtl w:val="true"/>
        </w:rPr>
        <w:footnoteReference w:id="92"/>
      </w:r>
      <w:r>
        <w:rPr>
          <w:rFonts w:ascii="IRNazanin" w:hAnsi="IRNazanin" w:eastAsia="IRNazanin"/>
          <w:color w:val="111111"/>
          <w:sz w:val="28"/>
          <w:sz w:val="28"/>
          <w:szCs w:val="28"/>
          <w:rtl w:val="true"/>
          <w:lang w:bidi="fa-IR"/>
        </w:rPr>
        <w:t>إذا تأوّل فی ذلک ما روی عنهم علیهم‌السّلام أ نّهم جعلوا شیعتهم فی حلّ من مالهم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الحجّة صاحب الزمان أبوالقاسم محمّد بن الإمام </w:t>
      </w:r>
    </w:p>
    <w:p>
      <w:pPr>
        <w:pStyle w:val="BookText"/>
        <w:rPr/>
      </w:pPr>
      <w:r>
        <w:rPr>
          <w:rFonts w:ascii="Amiri" w:hAnsi="Amiri" w:eastAsia="Amiri" w:cs="Amiri"/>
          <w:color w:val="111111"/>
          <w:sz w:val="28"/>
          <w:sz w:val="28"/>
          <w:szCs w:val="28"/>
          <w:rtl w:val="true"/>
          <w:lang w:bidi="ar-SA"/>
        </w:rPr>
        <w:t>أبی محمّد الحسن العسکریّ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بسرّ من رأی یوم الجمعة لیلاً،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خامس عشر شعبان، سنة خمس و خمسین و مائتین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 صقیل،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Style w:val="FootnoteAnchor"/>
          <w:rtl w:val="true"/>
        </w:rPr>
        <w:footnoteReference w:id="95"/>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زید العلویّة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المتیقّن ظهوره و تملّکه، و أ نّه 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إنّا نسألک بک و بحقّ حبیبک محمّد و أهل بیته الطاهرین أن تصلّی علی محمّد و آل محمّد، و أن تحشرنا فی زمرتهم، و تعتق رقابنا من النار بحبّهم، و تعجّل فرجهم و فرجنا بهم، و تدرک بنا أیّامهم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زیارة المهدیّ علیه‌السّلام فی کلّ مکان و کلّ زمان، و الدعاء بتعجیل الفرج عند زیارته، و تتأکّد زیارته فی السرداب بسرّ مَن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یستحبّ زیارة النبیّ صلّی‌اللّه علیه و آله و الأئمّة علیهم‌السّلام</w:t>
      </w:r>
      <w:r>
        <w:rPr>
          <w:rStyle w:val="FootnoteAnchor"/>
          <w:rtl w:val="true"/>
        </w:rPr>
        <w:footnoteReference w:id="97"/>
      </w:r>
      <w:r>
        <w:rPr>
          <w:rFonts w:ascii="IRNazanin" w:hAnsi="IRNazanin" w:eastAsia="IRNazanin"/>
          <w:color w:val="111111"/>
          <w:sz w:val="28"/>
          <w:sz w:val="28"/>
          <w:szCs w:val="28"/>
          <w:rtl w:val="true"/>
          <w:lang w:bidi="fa-IR"/>
        </w:rPr>
        <w:t>کلّ یوم جمعة و لو من البُعد، و إذا کان علی مکان عالٍ، کان أفضل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زیارة منتجبی</w:t>
      </w:r>
      <w:r>
        <w:rPr>
          <w:rStyle w:val="FootnoteAnchor"/>
          <w:rtl w:val="true"/>
        </w:rPr>
        <w:footnoteReference w:id="98"/>
      </w:r>
      <w:r>
        <w:rPr>
          <w:rFonts w:ascii="IRNazanin" w:hAnsi="IRNazanin" w:eastAsia="IRNazanin"/>
          <w:color w:val="111111"/>
          <w:sz w:val="28"/>
          <w:sz w:val="28"/>
          <w:szCs w:val="28"/>
          <w:rtl w:val="true"/>
          <w:lang w:bidi="fa-IR"/>
        </w:rPr>
        <w:t xml:space="preserve">الصحابة رضوان‌اللّه علیهم أجمعین و خصوصاً جعفر بن أبی طالب بمؤتة، و العبّاس و أولاده، و سلمان بالمدائن، و عمّار بصفّین، و حذیفة، و زیارة الأنبیاء علیهم‌السّلام حیث کانوا و خصوصاً إبراهیم و إسحاق و یعقوب بمشهدهم المعروف، و باقی الأنبیاء علیهم‌السّلام بالأرض المقدّسة، و زیارة المسجد الأقصی، و إتیان مقامات الأنبیاء، و زیارة قبور الشهداء و الصلحاء </w:t>
      </w:r>
    </w:p>
    <w:p>
      <w:pPr>
        <w:pStyle w:val="BookText"/>
        <w:rPr/>
      </w:pP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الکاظم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أن یزورنا فلیزر صالحی</w:t>
      </w:r>
      <w:r>
        <w:rPr>
          <w:rStyle w:val="FootnoteAnchor"/>
          <w:rtl w:val="true"/>
        </w:rPr>
        <w:footnoteReference w:id="99"/>
      </w:r>
      <w:r>
        <w:rPr>
          <w:rFonts w:ascii="IRNazanin" w:hAnsi="IRNazanin" w:eastAsia="IRNazanin"/>
          <w:color w:val="111111"/>
          <w:sz w:val="28"/>
          <w:sz w:val="28"/>
          <w:szCs w:val="28"/>
          <w:rtl w:val="true"/>
          <w:lang w:bidi="fa-IR"/>
        </w:rPr>
        <w:t>إخوانه</w:t>
      </w:r>
      <w:r>
        <w:rPr>
          <w:rStyle w:val="FootnoteAnchor"/>
          <w:rtl w:val="true"/>
        </w:rPr>
        <w:footnoteReference w:id="100"/>
      </w:r>
      <w:r>
        <w:rPr>
          <w:rFonts w:ascii="IRNazanin" w:hAnsi="IRNazanin" w:eastAsia="IRNazanin"/>
          <w:color w:val="111111"/>
          <w:sz w:val="28"/>
          <w:sz w:val="28"/>
          <w:szCs w:val="28"/>
          <w:rtl w:val="true"/>
          <w:lang w:bidi="fa-IR"/>
        </w:rPr>
        <w:t>یکتب له ثواب زیارتنا، و مَن لم یقدر أن یصلنا فلیصل صالحی</w:t>
      </w:r>
      <w:r>
        <w:rPr>
          <w:rStyle w:val="FootnoteAnchor"/>
          <w:rtl w:val="true"/>
        </w:rPr>
        <w:footnoteReference w:id="101"/>
      </w:r>
      <w:r>
        <w:rPr>
          <w:rFonts w:ascii="IRNazanin" w:hAnsi="IRNazanin" w:eastAsia="IRNazanin"/>
          <w:color w:val="111111"/>
          <w:sz w:val="28"/>
          <w:sz w:val="28"/>
          <w:szCs w:val="28"/>
          <w:rtl w:val="true"/>
          <w:lang w:bidi="fa-IR"/>
        </w:rPr>
        <w:t>إخوانه یکتب له ثواب صلتنا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لیقل ما قاله أبوجعفر علیه‌السّلام علی قبر رجل من الشیعة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غربته، و صل وحدته، و آنس وحشته، و آمن روعته، و أسکن إلیه من رحمتک رحمة یستغنی بها عن رحمة مَن سواک، و ألحقه بمن کان یتولاّه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لیکن الزائر مستقبل القبلة، و یقرأ کلاًّ من التوحید و القدر سبعاً و قد وضع</w:t>
      </w:r>
      <w:r>
        <w:rPr>
          <w:rStyle w:val="FootnoteAnchor"/>
          <w:rtl w:val="true"/>
        </w:rPr>
        <w:footnoteReference w:id="104"/>
      </w:r>
      <w:r>
        <w:rPr>
          <w:rFonts w:ascii="IRNazanin" w:hAnsi="IRNazanin" w:eastAsia="IRNazanin"/>
          <w:color w:val="111111"/>
          <w:sz w:val="28"/>
          <w:sz w:val="28"/>
          <w:szCs w:val="28"/>
          <w:rtl w:val="true"/>
          <w:lang w:bidi="fa-IR"/>
        </w:rPr>
        <w:t>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أری التعفیر علی قبر أحد و لا التقبیل له، سوی قبور الأئمّة علیهم‌السّلام</w:t>
      </w:r>
      <w:r>
        <w:rPr>
          <w:rStyle w:val="FootnoteAnchor"/>
          <w:rtl w:val="true"/>
        </w:rPr>
        <w:footnoteReference w:id="105"/>
      </w:r>
      <w:r>
        <w:rPr>
          <w:rFonts w:ascii="IRNazanin" w:hAnsi="IRNazanin" w:eastAsia="IRNazanin"/>
          <w:color w:val="111111"/>
          <w:sz w:val="28"/>
          <w:sz w:val="28"/>
          <w:szCs w:val="28"/>
          <w:rtl w:val="true"/>
          <w:lang w:bidi="fa-IR"/>
        </w:rPr>
        <w:t>؛ للإجماع علیه و إلاّ لامتنع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محمّد بن بزیع، عن الرضا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أتی قبر أخیه المؤمن من أیّ ناحیة فوضع یده علیه و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أمن من</w:t>
      </w:r>
      <w:r>
        <w:rPr>
          <w:rStyle w:val="FootnoteAnchor"/>
          <w:rtl w:val="true"/>
        </w:rPr>
        <w:footnoteReference w:id="106"/>
      </w:r>
      <w:r>
        <w:rPr>
          <w:rFonts w:ascii="IRNazanin" w:hAnsi="IRNazanin" w:eastAsia="IRNazanin"/>
          <w:color w:val="111111"/>
          <w:sz w:val="28"/>
          <w:sz w:val="28"/>
          <w:szCs w:val="28"/>
          <w:rtl w:val="true"/>
          <w:lang w:bidi="fa-IR"/>
        </w:rPr>
        <w:t xml:space="preserve">الفزع </w:t>
      </w:r>
    </w:p>
    <w:p>
      <w:pPr>
        <w:pStyle w:val="BookText"/>
        <w:rPr/>
      </w:pP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إهداء ثواب الأعمال و القربات و خصوصاً القرآن العزیز للأموات من المؤمنین و خصوصاً العلماء و ذوی الأرحام و خصوصاً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لمن حضر مزاراً أن یزور عن والدیه و أحبّائه، و عن جمیع المؤمنین،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من فلان بن فلان، أتیتک زائراً عنه فاشفع له عند ربّک، ثمّ یدعو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نبیّ اللّه من أبی و أُمّی و زوجتی و ولدی و حامّتی</w:t>
      </w:r>
      <w:r>
        <w:rPr>
          <w:rStyle w:val="FootnoteAnchor"/>
          <w:rtl w:val="true"/>
        </w:rPr>
        <w:footnoteReference w:id="108"/>
      </w:r>
      <w:r>
        <w:rPr>
          <w:rFonts w:ascii="IRNazanin" w:hAnsi="IRNazanin" w:eastAsia="IRNazanin"/>
          <w:color w:val="111111"/>
          <w:sz w:val="28"/>
          <w:sz w:val="28"/>
          <w:szCs w:val="28"/>
          <w:rtl w:val="true"/>
          <w:lang w:bidi="fa-IR"/>
        </w:rPr>
        <w:t xml:space="preserve">و جمیع إخوانی من المؤمنین، أجزأ، و جاز له أن یقول لکلّ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أقرأت رسول‌اللّه عنک السّلام، و کذا باقی الأنبیاء و الأئمّة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حفص بن البختریّ،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خرج من مکّة أو المدینة أو مسجد الکوفة أو الحائر قبل أن ینتظر الجمعة، نادته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لا ردّک اللّه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یستحبّ زیارة الإخوان فی اللّه تعالی استحباباً مؤکّداً، فإذا زاره، نزل علی حکمه و لا یحتشمه و لا یکلّفه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للمزور استقبال الزائر، و مصافحته، و اعتناقه، و تقبیل موضع السجود من کلّ منهما، و لو قبّل یده، کان جائزاً و خصوصاً العلماء و ذرّیّة رسول‌اللّه صلّی‌اللّه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و آله ؛ لقول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تقبّل ید أحد إلاّ من أُرید به رسول‌اللّه </w:t>
      </w:r>
    </w:p>
    <w:p>
      <w:pPr>
        <w:pStyle w:val="BookText"/>
        <w:rPr/>
      </w:pPr>
      <w:r>
        <w:rPr>
          <w:rFonts w:ascii="Amiri" w:hAnsi="Amiri" w:eastAsia="Amiri" w:cs="Amiri"/>
          <w:color w:val="111111"/>
          <w:sz w:val="28"/>
          <w:sz w:val="28"/>
          <w:szCs w:val="28"/>
          <w:rtl w:val="true"/>
          <w:lang w:bidi="ar-SA"/>
        </w:rPr>
        <w:t>صلّی‌اللّه علیه و آله</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تقبیل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شفتیه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لیتحفه بما حضر من طعام و شراب و فاکهة و طیب، و أدناه شرب الماء أو الوضوء و صلاة رکعتین عنده، و التأنیس بالحدیث و التودیع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112"/>
      </w:r>
      <w:r>
        <w:rPr>
          <w:rFonts w:ascii="IRNazanin" w:hAnsi="IRNazanin" w:eastAsia="IRNazanin"/>
          <w:color w:val="111111"/>
          <w:sz w:val="28"/>
          <w:sz w:val="28"/>
          <w:szCs w:val="28"/>
          <w:rtl w:val="true"/>
          <w:lang w:bidi="fa-IR"/>
        </w:rPr>
        <w:t xml:space="preserve">الکلینیّ، عن أبی حمزة،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أخاه للّه، وکّل اللّه به سبعین ألف ملک ینادونه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 طابت لک الجنّة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الباقر علیه‌السّلام لخیثمة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مَن‌تری من موالینا السّلام، و أوصهم بتقوی اللّه، و أن یعود غنیُّهم علی فقیرهم، و قویُّهم علی ضعیفهم، و أن یشهد حیُّهم</w:t>
      </w:r>
    </w:p>
    <w:p>
      <w:pPr>
        <w:pStyle w:val="BookText"/>
        <w:rPr/>
      </w:pPr>
      <w:r>
        <w:rPr>
          <w:rFonts w:ascii="IRNazanin" w:hAnsi="IRNazanin" w:eastAsia="IRNazanin"/>
          <w:color w:val="111111"/>
          <w:sz w:val="28"/>
          <w:sz w:val="28"/>
          <w:szCs w:val="28"/>
          <w:rtl w:val="true"/>
          <w:lang w:bidi="fa-IR"/>
        </w:rPr>
        <w:t>جنازة میّتهم، و أن یتلاقوا فی بیوتهم، فإنّ</w:t>
      </w:r>
      <w:r>
        <w:rPr>
          <w:rStyle w:val="FootnoteAnchor"/>
          <w:rtl w:val="true"/>
        </w:rPr>
        <w:footnoteReference w:id="114"/>
      </w:r>
      <w:r>
        <w:rPr>
          <w:rFonts w:ascii="IRNazanin" w:hAnsi="IRNazanin" w:eastAsia="IRNazanin"/>
          <w:color w:val="111111"/>
          <w:sz w:val="28"/>
          <w:sz w:val="28"/>
          <w:szCs w:val="28"/>
          <w:rtl w:val="true"/>
          <w:lang w:bidi="fa-IR"/>
        </w:rPr>
        <w:t>تلاقیهم حیاة لأمرنا، رحم‌اللّه عبداً أحیا أمرنا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علیه‌السّلام لصفوان الجمّال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ثلاثة مؤمنین اجتمعوا عند أخ لهم، یأمنون بوائقه، و لا یخافون غوائله، و یرجون ما عنده، إن دعوا اللّه أجابهم،</w:t>
      </w:r>
    </w:p>
    <w:p>
      <w:pPr>
        <w:pStyle w:val="BookText"/>
        <w:rPr/>
      </w:pPr>
      <w:r>
        <w:rPr>
          <w:rFonts w:ascii="IRNazanin" w:hAnsi="IRNazanin" w:eastAsia="IRNazanin"/>
          <w:color w:val="111111"/>
          <w:sz w:val="28"/>
          <w:sz w:val="28"/>
          <w:szCs w:val="28"/>
          <w:rtl w:val="true"/>
          <w:lang w:bidi="fa-IR"/>
        </w:rPr>
        <w:t>و إن سألوه أعطاهم، و إن استزادوا</w:t>
      </w:r>
      <w:r>
        <w:rPr>
          <w:rStyle w:val="FootnoteAnchor"/>
          <w:rtl w:val="true"/>
        </w:rPr>
        <w:footnoteReference w:id="116"/>
      </w:r>
      <w:r>
        <w:rPr>
          <w:rFonts w:ascii="IRNazanin" w:hAnsi="IRNazanin" w:eastAsia="IRNazanin"/>
          <w:color w:val="111111"/>
          <w:sz w:val="28"/>
          <w:sz w:val="28"/>
          <w:szCs w:val="28"/>
          <w:rtl w:val="true"/>
          <w:lang w:bidi="fa-IR"/>
        </w:rPr>
        <w:t>زادهم، و إن سکتوا ابتدأهم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أخاه فی اللّه جلّ‌وعزّ، قال اللّه جلّ‌وعزّ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زرت و ثوابک علیّ، و لست أرضی لک ثواباً دون الجنّة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4" w:name="pg13665_218940"/>
    </w:p>
    <w:p>
      <w:pPr>
        <w:pStyle w:val="Heading3"/>
        <w:numPr>
          <w:ilvl w:val="2"/>
          <w:numId w:val="1"/>
        </w:numPr>
        <w:rPr/>
      </w:pPr>
      <w:bookmarkStart w:id="15" w:name="__RefHeading___Toc2071221_3830689328"/>
      <w:bookmarkStart w:id="16" w:name="_Toc5"/>
      <w:bookmarkEnd w:id="14"/>
      <w:bookmarkEnd w:id="15"/>
      <w:r>
        <w:rPr>
          <w:rtl w:val="true"/>
        </w:rPr>
        <w:t xml:space="preserve">درس </w:t>
      </w:r>
      <w:r>
        <w:rPr>
          <w:rtl w:val="true"/>
        </w:rPr>
        <w:t>(</w:t>
      </w:r>
      <w:r>
        <w:rPr/>
        <w:t>127</w:t>
      </w:r>
      <w:r>
        <w:rPr>
          <w:rtl w:val="true"/>
        </w:rPr>
        <w:t>)</w:t>
      </w:r>
      <w:bookmarkEnd w:id="16"/>
    </w:p>
    <w:p>
      <w:pPr>
        <w:pStyle w:val="BookText"/>
        <w:rPr/>
      </w:pPr>
      <w:r>
        <w:rPr>
          <w:rFonts w:ascii="IRNazanin" w:hAnsi="IRNazanin" w:eastAsia="IRNazanin"/>
          <w:color w:val="111111"/>
          <w:sz w:val="28"/>
          <w:sz w:val="28"/>
          <w:szCs w:val="28"/>
          <w:rtl w:val="true"/>
          <w:lang w:bidi="fa-IR"/>
        </w:rPr>
        <w:t>إذا توجّه الحاجّ إلی المدینة، و انتهی إلی مسجد غدیر خمّ، دخله و صلّی فیه و أکثر فیه من الدعاء، و هو موضع النصّ من رسول‌اللّه صلّی‌اللّه علیه و آله، علی</w:t>
      </w:r>
    </w:p>
    <w:p>
      <w:pPr>
        <w:pStyle w:val="BookText"/>
        <w:rPr/>
      </w:pPr>
      <w:r>
        <w:rPr>
          <w:rFonts w:ascii="IRNazanin" w:hAnsi="IRNazanin" w:eastAsia="IRNazanin"/>
          <w:color w:val="111111"/>
          <w:sz w:val="28"/>
          <w:sz w:val="28"/>
          <w:szCs w:val="28"/>
          <w:rtl w:val="true"/>
          <w:lang w:bidi="fa-IR"/>
        </w:rPr>
        <w:t>أمیرالمؤمنین علیه‌السّلام، و المسجد باقٍ إلی الآن جدرانه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w:t>
      </w:r>
      <w:r>
        <w:rPr>
          <w:rStyle w:val="FootnoteAnchor"/>
          <w:rtl w:val="true"/>
        </w:rPr>
        <w:footnoteReference w:id="119"/>
      </w:r>
      <w:r>
        <w:rPr>
          <w:rFonts w:ascii="IRNazanin" w:hAnsi="IRNazanin" w:eastAsia="IRNazanin"/>
          <w:color w:val="111111"/>
          <w:sz w:val="28"/>
          <w:sz w:val="28"/>
          <w:szCs w:val="28"/>
          <w:rtl w:val="true"/>
          <w:lang w:bidi="fa-IR"/>
        </w:rPr>
        <w:t xml:space="preserve">المُعَرَّس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فتح العین و تشدید الراء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المیم و سکون العین و تخفیف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بذی الحلیفة بإزاء مسجد الشجرة ممّا</w:t>
      </w:r>
      <w:r>
        <w:rPr>
          <w:rStyle w:val="FootnoteAnchor"/>
          <w:rtl w:val="true"/>
        </w:rPr>
        <w:footnoteReference w:id="120"/>
      </w:r>
      <w:r>
        <w:rPr>
          <w:rFonts w:ascii="IRNazanin" w:hAnsi="IRNazanin" w:eastAsia="IRNazanin"/>
          <w:color w:val="111111"/>
          <w:sz w:val="28"/>
          <w:sz w:val="28"/>
          <w:szCs w:val="28"/>
          <w:rtl w:val="true"/>
          <w:lang w:bidi="fa-IR"/>
        </w:rPr>
        <w:t>یلی القبلة فلینزل</w:t>
      </w:r>
      <w:r>
        <w:rPr>
          <w:rStyle w:val="FootnoteAnchor"/>
          <w:rtl w:val="true"/>
        </w:rPr>
        <w:footnoteReference w:id="121"/>
      </w:r>
      <w:r>
        <w:rPr>
          <w:rFonts w:ascii="Amiri" w:hAnsi="Amiri" w:eastAsia="Amiri" w:cs="Amiri"/>
          <w:color w:val="111111"/>
          <w:sz w:val="28"/>
          <w:sz w:val="28"/>
          <w:szCs w:val="28"/>
          <w:rtl w:val="true"/>
          <w:lang w:bidi="ar-SA"/>
        </w:rPr>
        <w:t>به ؛ تأسّیاً برسول‌اللّه‌</w:t>
      </w:r>
      <w:r>
        <w:rPr>
          <w:rStyle w:val="FootnoteAnchor"/>
          <w:rtl w:val="true"/>
        </w:rPr>
        <w:footnoteReference w:id="122"/>
      </w:r>
      <w:r>
        <w:rPr>
          <w:rFonts w:ascii="Amiri" w:hAnsi="Amiri" w:eastAsia="Amiri" w:cs="Amiri"/>
          <w:color w:val="111111"/>
          <w:sz w:val="28"/>
          <w:sz w:val="28"/>
          <w:szCs w:val="28"/>
          <w:rtl w:val="true"/>
          <w:lang w:bidi="ar-SA"/>
        </w:rPr>
        <w:t>صلّی‌اللّه علیه و آله، و لیصلّ</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123"/>
      </w:r>
      <w:r>
        <w:rPr>
          <w:rFonts w:ascii="IRNazanin" w:hAnsi="IRNazanin" w:eastAsia="IRNazanin"/>
          <w:color w:val="111111"/>
          <w:sz w:val="28"/>
          <w:sz w:val="28"/>
          <w:szCs w:val="28"/>
          <w:rtl w:val="true"/>
          <w:lang w:bidi="fa-IR"/>
        </w:rPr>
        <w:t>و لیسترح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w:t>
      </w:r>
      <w:r>
        <w:rPr>
          <w:rStyle w:val="FootnoteAnchor"/>
          <w:rtl w:val="true"/>
        </w:rPr>
        <w:footnoteReference w:id="124"/>
      </w:r>
      <w:r>
        <w:rPr>
          <w:rFonts w:ascii="IRNazanin" w:hAnsi="IRNazanin" w:eastAsia="IRNazanin"/>
          <w:color w:val="111111"/>
          <w:sz w:val="28"/>
          <w:sz w:val="28"/>
          <w:szCs w:val="28"/>
          <w:rtl w:val="true"/>
          <w:lang w:bidi="fa-IR"/>
        </w:rPr>
        <w:t>المدینة فلیغتسل لدخولها و لدخول المسجد و لزیارة النبیّ صلّی‌اللّه علیه و آله، و لیدخل المسجد من باب جبرئیل علیه‌السّلام و یدعو عند دخوله، فإذا دخل المسجد، صلّی التحیّة، ثمّ أتی سیّدنا رسول‌اللّه صلّی‌اللّه علیه و آله، فزاره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مستقبلاً حجرته الشریفة ممّا یلی الرأس، ثمّ یأتی جانب الحجرة القبلیّ فیستقبل وجهه صلّی‌اللّه علیه و آله مستدبر القبلة و یسلّم علیه، و یزوره بالمأثور أو بما حضر، ثمّ</w:t>
      </w:r>
      <w:r>
        <w:rPr>
          <w:rStyle w:val="FootnoteAnchor"/>
          <w:rtl w:val="true"/>
        </w:rPr>
        <w:footnoteReference w:id="125"/>
      </w:r>
      <w:r>
        <w:rPr>
          <w:rFonts w:ascii="IRNazanin" w:hAnsi="IRNazanin" w:eastAsia="IRNazanin"/>
          <w:color w:val="111111"/>
          <w:sz w:val="28"/>
          <w:sz w:val="28"/>
          <w:szCs w:val="28"/>
          <w:rtl w:val="true"/>
          <w:lang w:bidi="fa-IR"/>
        </w:rPr>
        <w:t>یستقبل القبلة و یدعو بما أحبّ، ثمّ یصلّی رکعتی الزیارة بالمسجد و یدعو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لیکثر من الصلاة بالمسجد و خصوصاً</w:t>
      </w:r>
      <w:r>
        <w:rPr>
          <w:rStyle w:val="FootnoteAnchor"/>
          <w:rtl w:val="true"/>
        </w:rPr>
        <w:footnoteReference w:id="126"/>
      </w:r>
      <w:r>
        <w:rPr>
          <w:rFonts w:ascii="IRNazanin" w:hAnsi="IRNazanin" w:eastAsia="IRNazanin"/>
          <w:color w:val="111111"/>
          <w:sz w:val="28"/>
          <w:sz w:val="28"/>
          <w:szCs w:val="28"/>
          <w:rtl w:val="true"/>
          <w:lang w:bidi="fa-IR"/>
        </w:rPr>
        <w:t>الروضة، و هی ما بین القبر و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البزنطیّ، عن عبدالکریم، عن أبی بصیر،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الروضة من مسجد رسول‌اللّه صلّی‌اللّه علیه و آله إلی طرف الظلال</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القبر و المنبر إلی طرف الظلال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مسجد رسول‌اللّه صلّی‌اللّه علیه و آله إلی الأساطین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المنبر إلی الطریق ممّا یلی سوق اللیل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للزائر أن یأتی بعد الزیارة منبر رسول‌اللّه صلّی‌اللّه علیه و آله و یمسح</w:t>
      </w:r>
    </w:p>
    <w:p>
      <w:pPr>
        <w:pStyle w:val="BookText"/>
        <w:rPr/>
      </w:pPr>
      <w:r>
        <w:rPr>
          <w:rFonts w:ascii="IRNazanin" w:hAnsi="IRNazanin" w:eastAsia="IRNazanin"/>
          <w:color w:val="111111"/>
          <w:sz w:val="28"/>
          <w:sz w:val="28"/>
          <w:szCs w:val="28"/>
          <w:rtl w:val="true"/>
          <w:lang w:bidi="fa-IR"/>
        </w:rPr>
        <w:t>رمّانتیه، و إن لم یکن منبر رسول‌اللّه صلّی‌اللّه علیه و آله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صیام ثلاثة أیّام بالمدینة معتکفاً بالمسجد، و أفضلها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الأربعاء و الخمیس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یصلّی لیلة الأربعاء عند أُسطوانة أبی لبابة، و اسمه بشیر بن عبدالمنذر الأنصاریّ شهد بدراً، و هی أُسطوانة التوبة، و یقیم عندها یوم الأربعاء، ثمّ یصلّی لیلة</w:t>
      </w:r>
    </w:p>
    <w:p>
      <w:pPr>
        <w:pStyle w:val="BookText"/>
        <w:rPr/>
      </w:pPr>
      <w:r>
        <w:rPr>
          <w:rFonts w:ascii="IRNazanin" w:hAnsi="IRNazanin" w:eastAsia="IRNazanin"/>
          <w:color w:val="111111"/>
          <w:sz w:val="28"/>
          <w:sz w:val="28"/>
          <w:szCs w:val="28"/>
          <w:rtl w:val="true"/>
          <w:lang w:bidi="fa-IR"/>
        </w:rPr>
        <w:t>الخمیس عند الأُسطوانة التی تلی مقام النبیّ صلّی‌اللّه علیه و آله و مصلاّه، و یصلّی</w:t>
      </w:r>
    </w:p>
    <w:p>
      <w:pPr>
        <w:pStyle w:val="BookText"/>
        <w:rPr/>
      </w:pPr>
      <w:r>
        <w:rPr>
          <w:rFonts w:ascii="IRNazanin" w:hAnsi="IRNazanin" w:eastAsia="IRNazanin"/>
          <w:color w:val="111111"/>
          <w:sz w:val="28"/>
          <w:sz w:val="28"/>
          <w:szCs w:val="28"/>
          <w:rtl w:val="true"/>
          <w:lang w:bidi="fa-IR"/>
        </w:rPr>
        <w:t>لیلة الجمعة عند مقام النبیّ صلّی‌اللّه علیه و آله، و کلّما دخل المسجد، سلّم علی</w:t>
      </w:r>
    </w:p>
    <w:p>
      <w:pPr>
        <w:pStyle w:val="BookText"/>
        <w:rPr/>
      </w:pPr>
      <w:r>
        <w:rPr>
          <w:rFonts w:ascii="Amiri" w:hAnsi="Amiri" w:eastAsia="Amiri" w:cs="Amiri"/>
          <w:color w:val="111111"/>
          <w:sz w:val="28"/>
          <w:sz w:val="28"/>
          <w:szCs w:val="28"/>
          <w:rtl w:val="true"/>
          <w:lang w:bidi="ar-SA"/>
        </w:rPr>
        <w:t>النبیّ</w:t>
      </w:r>
      <w:r>
        <w:rPr>
          <w:rStyle w:val="FootnoteAnchor"/>
          <w:rtl w:val="true"/>
        </w:rPr>
        <w:footnoteReference w:id="130"/>
      </w:r>
      <w:r>
        <w:rPr>
          <w:rFonts w:ascii="Amiri" w:hAnsi="Amiri" w:eastAsia="Amiri" w:cs="Amiri"/>
          <w:color w:val="111111"/>
          <w:sz w:val="28"/>
          <w:sz w:val="28"/>
          <w:szCs w:val="28"/>
          <w:rtl w:val="true"/>
          <w:lang w:bidi="ar-SA"/>
        </w:rPr>
        <w:t>صلّی‌اللّه علیه و آله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یأتی البقیع فیزور الأئمّة الأربعة علیهم‌السّلام، و فاطمة بنت رسول‌اللّه </w:t>
      </w:r>
    </w:p>
    <w:p>
      <w:pPr>
        <w:pStyle w:val="BookText"/>
        <w:rPr/>
      </w:pPr>
      <w:r>
        <w:rPr>
          <w:rFonts w:ascii="Amiri" w:hAnsi="Amiri" w:eastAsia="Amiri" w:cs="Amiri"/>
          <w:color w:val="111111"/>
          <w:sz w:val="28"/>
          <w:sz w:val="28"/>
          <w:szCs w:val="28"/>
          <w:rtl w:val="true"/>
          <w:lang w:bidi="ar-SA"/>
        </w:rPr>
        <w:t>صلّی‌اللّه علیه و آله</w:t>
      </w:r>
      <w:r>
        <w:rPr>
          <w:rStyle w:val="FootnoteAnchor"/>
          <w:rtl w:val="true"/>
        </w:rPr>
        <w:footnoteReference w:id="131"/>
      </w:r>
      <w:r>
        <w:rPr>
          <w:rFonts w:ascii="IRNazanin" w:hAnsi="IRNazanin" w:eastAsia="IRNazanin"/>
          <w:color w:val="111111"/>
          <w:sz w:val="28"/>
          <w:sz w:val="28"/>
          <w:szCs w:val="28"/>
          <w:rtl w:val="true"/>
          <w:lang w:bidi="fa-IR"/>
        </w:rPr>
        <w:t>بعد أن یکون قد زارها بالروضة</w:t>
      </w:r>
      <w:r>
        <w:rPr>
          <w:rStyle w:val="FootnoteAnchor"/>
          <w:rtl w:val="true"/>
        </w:rPr>
        <w:footnoteReference w:id="132"/>
      </w:r>
      <w:r>
        <w:rPr>
          <w:rFonts w:ascii="IRNazanin" w:hAnsi="IRNazanin" w:eastAsia="IRNazanin"/>
          <w:color w:val="111111"/>
          <w:sz w:val="28"/>
          <w:sz w:val="28"/>
          <w:szCs w:val="28"/>
          <w:rtl w:val="true"/>
          <w:lang w:bidi="fa-IR"/>
        </w:rPr>
        <w:t xml:space="preserve">و بیتها،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یزورها مع الأئمّة الأربعة علیهم‌السّلام، ثمّ یزور قبر إبراهیم بن رسول‌اللّه صلّی‌اللّه علیه و آله،</w:t>
      </w:r>
    </w:p>
    <w:p>
      <w:pPr>
        <w:pStyle w:val="BookText"/>
        <w:rPr/>
      </w:pPr>
      <w:r>
        <w:rPr>
          <w:rFonts w:ascii="IRNazanin" w:hAnsi="IRNazanin" w:eastAsia="IRNazanin"/>
          <w:color w:val="111111"/>
          <w:sz w:val="28"/>
          <w:sz w:val="28"/>
          <w:szCs w:val="28"/>
          <w:rtl w:val="true"/>
          <w:lang w:bidi="fa-IR"/>
        </w:rPr>
        <w:t>و عبداللّه بن جعفر، و فاطمة بنت أسد، و مَن بالبقیع 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قبر حمزة علیه‌السّلام و شهداء أُحد، فیزورهم بادئاً بحمزة، و یهدی لهم ثواب ما تیسّر من القرآن، ثمّ یأتی المساجد الشریفة بالمدینة، کمسجد قبا، و مسجد الفتح و هو مسجد الأحزاب، و مسجد الفضیخ، و هو الذی ردّت فیه الشمس لأمیرالمؤمنین علیه‌السّلام بالمدینة، و مشربة أُمّ إبراهیم ولد رسول‌اللّه صلّی‌اللّه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 المجاورة بالمدینة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رسول‌اللّه صلّی‌اللّه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یصبر عَلَی لَأْوَاء</w:t>
      </w:r>
      <w:r>
        <w:rPr>
          <w:rStyle w:val="FootnoteAnchor"/>
          <w:rtl w:val="true"/>
        </w:rPr>
        <w:footnoteReference w:id="133"/>
      </w:r>
      <w:r>
        <w:rPr>
          <w:rFonts w:ascii="Amiri" w:hAnsi="Amiri" w:eastAsia="Amiri" w:cs="Amiri"/>
          <w:color w:val="111111"/>
          <w:sz w:val="28"/>
          <w:sz w:val="28"/>
          <w:szCs w:val="28"/>
          <w:rtl w:val="true"/>
          <w:lang w:bidi="ar-SA"/>
        </w:rPr>
        <w:t>المدینة و شدّتها أحد من أُمّتی، إلاّ کنت له شفیعاً یوم القیامة أو شهیداً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صلّی‌اللّه علیه و آله فی الذین یریدون الخروج من المدینة إلی أحد الأمصار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المدینة خیر لهم لو کانوا یعلمون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لیکثر المجاور فیها من الصلاة فی مسجد رسول‌اللّه صلّی‌اللّه علیه و آله، و تلاوة الکتاب العزیز و تدبّر معانیه، و یتمثّل</w:t>
      </w:r>
      <w:r>
        <w:rPr>
          <w:rStyle w:val="FootnoteAnchor"/>
          <w:rtl w:val="true"/>
        </w:rPr>
        <w:footnoteReference w:id="136"/>
      </w:r>
      <w:r>
        <w:rPr>
          <w:rFonts w:ascii="IRNazanin" w:hAnsi="IRNazanin" w:eastAsia="IRNazanin"/>
          <w:color w:val="111111"/>
          <w:sz w:val="28"/>
          <w:sz w:val="28"/>
          <w:szCs w:val="28"/>
          <w:rtl w:val="true"/>
          <w:lang w:bidi="fa-IR"/>
        </w:rPr>
        <w:t xml:space="preserve">أ نّه بحضرة رسول‌اللّه صلّی‌اللّه علیه و آله، و یزوره إن استطاع فی کلّ یوم مراراً، و أقلّ الزیارة أن یقول إذا شاهد حجرته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رسول‌اللّه، و کذا یزور الأئمّة علیهم‌السّلام ما استطاع، </w:t>
      </w:r>
      <w:bookmarkStart w:id="17" w:name="pg13665_218943"/>
    </w:p>
    <w:p>
      <w:pPr>
        <w:pStyle w:val="BookText"/>
        <w:rPr/>
      </w:pPr>
      <w:bookmarkEnd w:id="17"/>
      <w:r>
        <w:rPr>
          <w:rFonts w:ascii="IRNazanin" w:hAnsi="IRNazanin" w:eastAsia="IRNazanin"/>
          <w:color w:val="111111"/>
          <w:sz w:val="28"/>
          <w:sz w:val="28"/>
          <w:szCs w:val="28"/>
          <w:rtl w:val="true"/>
          <w:lang w:bidi="fa-IR"/>
        </w:rPr>
        <w:t>و لیحفظ نفسه فیها من المآثم و المظالم، و فی الصدقة فیها علی المحاویج ثواب جزیل و خصوصاً علی ذرّیّة رسول‌اللّه صلّی‌اللّه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للمدینة</w:t>
      </w:r>
      <w:r>
        <w:rPr>
          <w:rStyle w:val="FootnoteAnchor"/>
          <w:rtl w:val="true"/>
        </w:rPr>
        <w:footnoteReference w:id="137"/>
      </w:r>
      <w:r>
        <w:rPr>
          <w:rFonts w:ascii="IRNazanin" w:hAnsi="IRNazanin" w:eastAsia="IRNazanin"/>
          <w:color w:val="111111"/>
          <w:sz w:val="28"/>
          <w:sz w:val="28"/>
          <w:szCs w:val="28"/>
          <w:rtl w:val="true"/>
          <w:lang w:bidi="fa-IR"/>
        </w:rPr>
        <w:t>حرم و هو من ظلّ عائر إلی</w:t>
      </w:r>
      <w:r>
        <w:rPr>
          <w:rStyle w:val="FootnoteAnchor"/>
          <w:rtl w:val="true"/>
        </w:rPr>
        <w:footnoteReference w:id="138"/>
      </w:r>
      <w:r>
        <w:rPr>
          <w:rFonts w:ascii="IRNazanin" w:hAnsi="IRNazanin" w:eastAsia="IRNazanin"/>
          <w:color w:val="111111"/>
          <w:sz w:val="28"/>
          <w:sz w:val="28"/>
          <w:szCs w:val="28"/>
          <w:rtl w:val="true"/>
          <w:lang w:bidi="fa-IR"/>
        </w:rPr>
        <w:t xml:space="preserve">وَعیر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یعضد شجره،</w:t>
      </w:r>
    </w:p>
    <w:p>
      <w:pPr>
        <w:pStyle w:val="BookText"/>
        <w:rPr/>
      </w:pPr>
      <w:r>
        <w:rPr>
          <w:rFonts w:ascii="IRNazanin" w:hAnsi="IRNazanin" w:eastAsia="IRNazanin"/>
          <w:color w:val="111111"/>
          <w:sz w:val="28"/>
          <w:sz w:val="28"/>
          <w:szCs w:val="28"/>
          <w:rtl w:val="true"/>
          <w:lang w:bidi="fa-IR"/>
        </w:rPr>
        <w:t xml:space="preserve">و لا یصاد ما بین الحرّتین منه، أعنی حرّة لیلی، و حرّة واقم، و هو علی الکراهیة، و ظاهر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071223_3830689328"/>
      <w:bookmarkStart w:id="19" w:name="_Toc6"/>
      <w:bookmarkEnd w:id="18"/>
      <w:r>
        <w:rPr>
          <w:rtl w:val="true"/>
        </w:rPr>
        <w:t xml:space="preserve">درس </w:t>
      </w:r>
      <w:r>
        <w:rPr>
          <w:rtl w:val="true"/>
        </w:rPr>
        <w:t>(</w:t>
      </w:r>
      <w:r>
        <w:rPr/>
        <w:t>128</w:t>
      </w:r>
      <w:r>
        <w:rPr>
          <w:rtl w:val="true"/>
        </w:rPr>
        <w:t>)</w:t>
      </w:r>
      <w:bookmarkEnd w:id="19"/>
    </w:p>
    <w:p>
      <w:pPr>
        <w:pStyle w:val="BookText"/>
        <w:rPr/>
      </w:pPr>
      <w:r>
        <w:rPr>
          <w:rFonts w:ascii="IRNazanin" w:hAnsi="IRNazanin" w:eastAsia="IRNazanin"/>
          <w:color w:val="111111"/>
          <w:sz w:val="28"/>
          <w:sz w:val="28"/>
          <w:szCs w:val="28"/>
          <w:rtl w:val="true"/>
          <w:lang w:bidi="fa-IR"/>
        </w:rPr>
        <w:t>قد بیّنّا فی کتاب الذکری استحباب بناء قبور الأئمّة علیهم‌السّلام و تعاهدها</w:t>
      </w:r>
      <w:r>
        <w:rPr>
          <w:rStyle w:val="FootnoteAnchor"/>
          <w:rtl w:val="true"/>
        </w:rPr>
        <w:footnoteReference w:id="140"/>
      </w:r>
      <w:r>
        <w:rPr>
          <w:rFonts w:ascii="IRNazanin" w:hAnsi="IRNazanin" w:eastAsia="IRNazanin"/>
          <w:color w:val="111111"/>
          <w:sz w:val="28"/>
          <w:sz w:val="28"/>
          <w:szCs w:val="28"/>
          <w:rtl w:val="true"/>
          <w:lang w:bidi="fa-IR"/>
        </w:rPr>
        <w:t>، و لنذکر هنا نبذاً من أحکام المشاهد المقدّسة لم یذکرها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جمع المشهد بین المسجدیّة و الرباط، فله حکمهما، فمن سبق إلی منزل منه، فهو أولی به</w:t>
      </w:r>
      <w:r>
        <w:rPr>
          <w:rStyle w:val="FootnoteAnchor"/>
          <w:rtl w:val="true"/>
        </w:rPr>
        <w:footnoteReference w:id="141"/>
      </w:r>
      <w:r>
        <w:rPr>
          <w:rFonts w:ascii="IRNazanin" w:hAnsi="IRNazanin" w:eastAsia="IRNazanin"/>
          <w:color w:val="111111"/>
          <w:sz w:val="28"/>
          <w:sz w:val="28"/>
          <w:szCs w:val="28"/>
          <w:rtl w:val="true"/>
          <w:lang w:bidi="fa-IR"/>
        </w:rPr>
        <w:t>مادام رحله باقیاً، و لو استبق</w:t>
      </w:r>
      <w:r>
        <w:rPr>
          <w:rStyle w:val="FootnoteAnchor"/>
          <w:rtl w:val="true"/>
        </w:rPr>
        <w:footnoteReference w:id="142"/>
      </w:r>
      <w:r>
        <w:rPr>
          <w:rFonts w:ascii="IRNazanin" w:hAnsi="IRNazanin" w:eastAsia="IRNazanin"/>
          <w:color w:val="111111"/>
          <w:sz w:val="28"/>
          <w:sz w:val="28"/>
          <w:szCs w:val="28"/>
          <w:rtl w:val="true"/>
          <w:lang w:bidi="fa-IR"/>
        </w:rPr>
        <w:t>اثنان و لم یمکن الجمع، أُقرع،</w:t>
      </w:r>
    </w:p>
    <w:p>
      <w:pPr>
        <w:pStyle w:val="BookText"/>
        <w:rPr/>
      </w:pPr>
      <w:r>
        <w:rPr>
          <w:rFonts w:ascii="IRNazanin" w:hAnsi="IRNazanin" w:eastAsia="IRNazanin"/>
          <w:color w:val="111111"/>
          <w:sz w:val="28"/>
          <w:sz w:val="28"/>
          <w:szCs w:val="28"/>
          <w:rtl w:val="true"/>
          <w:lang w:bidi="fa-IR"/>
        </w:rPr>
        <w:t>و لا فرق بین مَن یعتاد منزلاً منه و بین غیره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الوقف علی المشاهد یتبع شرط الواقف، و لو فضل شیء عن</w:t>
      </w:r>
      <w:r>
        <w:rPr>
          <w:rStyle w:val="FootnoteAnchor"/>
          <w:rtl w:val="true"/>
        </w:rPr>
        <w:footnoteReference w:id="143"/>
      </w:r>
      <w:r>
        <w:rPr>
          <w:rFonts w:ascii="IRNazanin" w:hAnsi="IRNazanin" w:eastAsia="IRNazanin"/>
          <w:color w:val="111111"/>
          <w:sz w:val="28"/>
          <w:sz w:val="28"/>
          <w:szCs w:val="28"/>
          <w:rtl w:val="true"/>
          <w:lang w:bidi="fa-IR"/>
        </w:rPr>
        <w:t xml:space="preserve">المصالح اُدّخر له إمّا عیناً أو مشغولاً فی عقار یرجع نفعه علیه، و لو فضل عن ذلک کلّه، </w:t>
      </w:r>
    </w:p>
    <w:p>
      <w:pPr>
        <w:pStyle w:val="BookText"/>
        <w:rPr/>
      </w:pPr>
      <w:r>
        <w:rPr>
          <w:rFonts w:ascii="IRNazanin" w:hAnsi="IRNazanin" w:eastAsia="IRNazanin"/>
          <w:color w:val="111111"/>
          <w:sz w:val="28"/>
          <w:sz w:val="28"/>
          <w:szCs w:val="28"/>
          <w:rtl w:val="true"/>
          <w:lang w:bidi="fa-IR"/>
        </w:rPr>
        <w:t xml:space="preserve">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صرفه فی مشهد آخر أو مسجد، و أمر مصالحه العامّة إلی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انتفاع الزائر بآلاته المعدّة، فإذا انصرف، سلّمها إلی الناظر فیه، و لو نقلت فرشه إلی مکان آخر للزائر، جاز و إن خرج عن خطّة المشهد، و فی جواز صرف أوقافه و نذوره إلی مصالح الزائرین مع استغنائهم عنها نظر، أمّا مع الحاجة، فیجوز، کالمنقطع به عن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للزیارة آداب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قبل دخول المشهد و الکون علی طهارة، فلو أحدث، أعاد الغسل، قاله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إتیانه بخضوع و خشوع فی ثیاب طاهرة نظیفة جدد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بابه، و الدعاء و الاستئذان بالمأثور، فإن وجد خشوعاً و رقّة، دخل، و إلاّ فالأفضل له تحرّی زمان الرقّة ؛ لأنّ الغرض الأهمّ حضور القلب لتلقّی الرحمة النازلة من الربّ، فإذا دخل، قدّم رجله الیمنی، و إذا خرج، فالیسری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الضریح ملاصقاً له أو غیر ملاصق، و توهّم أنّ البعد أدب، وَهْم، و قد نصّ علی الاتّکاء علی الضریح و تقبیله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وجه المزور و استدبار القبلة حال الزیارة، ثمّ یضع علیه خدّه </w:t>
      </w:r>
    </w:p>
    <w:p>
      <w:pPr>
        <w:pStyle w:val="BookText"/>
        <w:rPr/>
      </w:pPr>
      <w:r>
        <w:rPr>
          <w:rFonts w:ascii="IRNazanin" w:hAnsi="IRNazanin" w:eastAsia="IRNazanin"/>
          <w:color w:val="111111"/>
          <w:sz w:val="28"/>
          <w:sz w:val="28"/>
          <w:szCs w:val="28"/>
          <w:rtl w:val="true"/>
          <w:lang w:bidi="fa-IR"/>
        </w:rPr>
        <w:t>الأیمن عند الفراغ من الزیارة و یدعو متضرّعاً، ثمّ یضع</w:t>
      </w:r>
      <w:r>
        <w:rPr>
          <w:rStyle w:val="FootnoteAnchor"/>
          <w:rtl w:val="true"/>
        </w:rPr>
        <w:footnoteReference w:id="148"/>
      </w:r>
      <w:r>
        <w:rPr>
          <w:rFonts w:ascii="IRNazanin" w:hAnsi="IRNazanin" w:eastAsia="IRNazanin"/>
          <w:color w:val="111111"/>
          <w:sz w:val="28"/>
          <w:sz w:val="28"/>
          <w:szCs w:val="28"/>
          <w:rtl w:val="true"/>
          <w:lang w:bidi="fa-IR"/>
        </w:rPr>
        <w:t>خدّه الأیسر و یدعو سائلاً من اللّه تعالی بحقّه و بحقّ صاحب القبر أن یجعله من أهل شفاعته، و یبالغ فی</w:t>
      </w:r>
    </w:p>
    <w:p>
      <w:pPr>
        <w:pStyle w:val="BookText"/>
        <w:rPr/>
      </w:pPr>
      <w:r>
        <w:rPr>
          <w:rFonts w:ascii="IRNazanin" w:hAnsi="IRNazanin" w:eastAsia="IRNazanin"/>
          <w:color w:val="111111"/>
          <w:sz w:val="28"/>
          <w:sz w:val="28"/>
          <w:szCs w:val="28"/>
          <w:rtl w:val="true"/>
          <w:lang w:bidi="fa-IR"/>
        </w:rPr>
        <w:t>الدعاء و الإلحاح، ثمّ ینصرف إلی ما یلی الرأس، ثمّ یستقبل القبلة و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بالمأثور، و یکفی السّلام و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 الزیارة عند الفراغ، فإن کان زائراً للنبیّ صلّی‌اللّه علیه و آله ففی الروضة، و إن کان لأحد الأئمّة علیهم‌السّلام فعند رأسه، و لو صلاّهما بمسجد المکان، جاز، و رویت رخصة فی صلاتهما إلی القبر</w:t>
      </w:r>
      <w:r>
        <w:rPr>
          <w:rStyle w:val="FootnoteAnchor"/>
          <w:rtl w:val="true"/>
        </w:rPr>
        <w:footnoteReference w:id="149"/>
      </w:r>
      <w:r>
        <w:rPr>
          <w:rFonts w:ascii="IRNazanin" w:hAnsi="IRNazanin" w:eastAsia="IRNazanin"/>
          <w:color w:val="111111"/>
          <w:sz w:val="28"/>
          <w:sz w:val="28"/>
          <w:szCs w:val="28"/>
          <w:rtl w:val="true"/>
          <w:lang w:bidi="fa-IR"/>
        </w:rPr>
        <w:t>، و لو استدبر القبر و صلّی، جاز، و إن کان غیر مستحسن، إلاّ مع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الرکعتین بما نقل، و إلاّ فبما سنح له فی أُمور دینه و دنیاه، و لیعمّم الدعاء، فإنّه أقرب إلی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شیء من القرآن عند الضرائح</w:t>
      </w:r>
      <w:r>
        <w:rPr>
          <w:rStyle w:val="FootnoteAnchor"/>
          <w:rtl w:val="true"/>
        </w:rPr>
        <w:footnoteReference w:id="150"/>
      </w:r>
      <w:r>
        <w:rPr>
          <w:rFonts w:ascii="IRNazanin" w:hAnsi="IRNazanin" w:eastAsia="IRNazanin"/>
          <w:color w:val="111111"/>
          <w:sz w:val="28"/>
          <w:sz w:val="28"/>
          <w:szCs w:val="28"/>
          <w:rtl w:val="true"/>
          <w:lang w:bidi="fa-IR"/>
        </w:rPr>
        <w:t>و إهداؤه إلی المزور، و المنتفع</w:t>
      </w:r>
    </w:p>
    <w:p>
      <w:pPr>
        <w:pStyle w:val="BookText"/>
        <w:rPr/>
      </w:pPr>
      <w:r>
        <w:rPr>
          <w:rFonts w:ascii="IRNazanin" w:hAnsi="IRNazanin" w:eastAsia="IRNazanin"/>
          <w:color w:val="111111"/>
          <w:sz w:val="28"/>
          <w:sz w:val="28"/>
          <w:szCs w:val="28"/>
          <w:rtl w:val="true"/>
          <w:lang w:bidi="fa-IR"/>
        </w:rPr>
        <w:t>بذلک الزائر، و فیه تعظیم للمزور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إحضار القلب فی جمیع أحواله مهما استطاع، و التوبة من الذنب، و الاستغفار و الإقلاع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علی السدنة و الحفظة للمشهد و إکرامهم و إعظامهم</w:t>
      </w:r>
      <w:r>
        <w:rPr>
          <w:rStyle w:val="FootnoteAnchor"/>
          <w:rtl w:val="true"/>
        </w:rPr>
        <w:footnoteReference w:id="151"/>
      </w:r>
      <w:r>
        <w:rPr>
          <w:rFonts w:ascii="IRNazanin" w:hAnsi="IRNazanin" w:eastAsia="IRNazanin"/>
          <w:color w:val="111111"/>
          <w:sz w:val="28"/>
          <w:sz w:val="28"/>
          <w:szCs w:val="28"/>
          <w:rtl w:val="true"/>
          <w:lang w:bidi="fa-IR"/>
        </w:rPr>
        <w:t>، فإنّ فیه إکرام صاحب المشهد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لهؤلاء أن یکونوا من أهل الخیر و الصلاح، و الدین و المروّة، و الاحتمال و الصبر، و کظم الغیظ خالین من الغلظة علی الزائرین، قائمین بحوائج المحتاجین، مرشدی ضالّ</w:t>
      </w:r>
      <w:r>
        <w:rPr>
          <w:rStyle w:val="FootnoteAnchor"/>
          <w:rtl w:val="true"/>
        </w:rPr>
        <w:footnoteReference w:id="152"/>
      </w:r>
      <w:r>
        <w:rPr>
          <w:rFonts w:ascii="IRNazanin" w:hAnsi="IRNazanin" w:eastAsia="IRNazanin"/>
          <w:color w:val="111111"/>
          <w:sz w:val="28"/>
          <w:sz w:val="28"/>
          <w:szCs w:val="28"/>
          <w:rtl w:val="true"/>
          <w:lang w:bidi="fa-IR"/>
        </w:rPr>
        <w:t xml:space="preserve">الغرباء </w:t>
      </w:r>
    </w:p>
    <w:p>
      <w:pPr>
        <w:pStyle w:val="BookText"/>
        <w:rPr/>
      </w:pPr>
      <w:r>
        <w:rPr>
          <w:rFonts w:ascii="IRNazanin" w:hAnsi="IRNazanin" w:eastAsia="IRNazanin"/>
          <w:color w:val="111111"/>
          <w:sz w:val="28"/>
          <w:sz w:val="28"/>
          <w:szCs w:val="28"/>
          <w:rtl w:val="true"/>
          <w:lang w:bidi="fa-IR"/>
        </w:rPr>
        <w:t>و الواردین، و لیتعهّد أحوالهم الناظر فیه، فإن وجد من أحد منهم تقصیراً، نبّهه علیه،</w:t>
      </w:r>
    </w:p>
    <w:p>
      <w:pPr>
        <w:pStyle w:val="BookText"/>
        <w:rPr/>
      </w:pPr>
      <w:r>
        <w:rPr>
          <w:rFonts w:ascii="IRNazanin" w:hAnsi="IRNazanin" w:eastAsia="IRNazanin"/>
          <w:color w:val="111111"/>
          <w:sz w:val="28"/>
          <w:sz w:val="28"/>
          <w:szCs w:val="28"/>
          <w:rtl w:val="true"/>
          <w:lang w:bidi="fa-IR"/>
        </w:rPr>
        <w:t>فإن أصرّ، زجره، فإن کان من المحرّم</w:t>
      </w:r>
      <w:r>
        <w:rPr>
          <w:rStyle w:val="FootnoteAnchor"/>
          <w:rtl w:val="true"/>
        </w:rPr>
        <w:footnoteReference w:id="153"/>
      </w:r>
      <w:r>
        <w:rPr>
          <w:rFonts w:ascii="IRNazanin" w:hAnsi="IRNazanin" w:eastAsia="IRNazanin"/>
          <w:color w:val="111111"/>
          <w:sz w:val="28"/>
          <w:sz w:val="28"/>
          <w:szCs w:val="28"/>
          <w:rtl w:val="true"/>
          <w:lang w:bidi="fa-IR"/>
        </w:rPr>
        <w:t>، جاز ردعه بالضرب إن لم یُجد التعنیف،</w:t>
      </w:r>
    </w:p>
    <w:p>
      <w:pPr>
        <w:pStyle w:val="BookText"/>
        <w:rPr/>
      </w:pPr>
      <w:r>
        <w:rPr>
          <w:rFonts w:ascii="IRNazanin" w:hAnsi="IRNazanin" w:eastAsia="IRNazanin"/>
          <w:color w:val="111111"/>
          <w:sz w:val="28"/>
          <w:sz w:val="28"/>
          <w:szCs w:val="28"/>
          <w:rtl w:val="true"/>
          <w:lang w:bidi="fa-IR"/>
        </w:rPr>
        <w:t>من باب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حادی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انصرف من الزیارة إلی منزله، استحبّ له العود إلیها مادام مقیماً، فإذا حان الخروج، ودّع و دعا بالمأثور، و سأل اللّه تعالی العود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الزائر بعد الزیارة خیراً منه قبلها، فإنّها تحطّ الأوزار إذا صادفت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الخروج عند قضاء الوطر من الزیارة ؛ لتعظیم الحرمة، و یشتدّ الشوق،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الخارج یمشی القهقری حتّی یتواری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رابع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المحاویج بتلک البقعة، فإنّ الصدقة مضاعفة هنالک</w:t>
      </w:r>
      <w:r>
        <w:rPr>
          <w:rStyle w:val="FootnoteAnchor"/>
          <w:rtl w:val="true"/>
        </w:rPr>
        <w:footnoteReference w:id="155"/>
      </w:r>
      <w:r>
        <w:rPr>
          <w:rFonts w:ascii="IRNazanin" w:hAnsi="IRNazanin" w:eastAsia="IRNazanin"/>
          <w:color w:val="111111"/>
          <w:sz w:val="28"/>
          <w:sz w:val="28"/>
          <w:szCs w:val="28"/>
          <w:rtl w:val="true"/>
          <w:lang w:bidi="fa-IR"/>
        </w:rPr>
        <w:t>و خصوصاً علی الذرّیّة الطاهرة، کما تقدّم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الزیارة فی المواسم المشهورة قصداً، و قصد الإمام الرضا علیه‌السّلام فی رجب، فإنّه من أفضل الأعمال، و لا کراهة فی تقبیل الضرائح، بل هو سنّة عندنا، و لو کان هناک تقیّة، فترکه أولی، و أمّا تقبیل الأعتاب فلم نقف</w:t>
      </w:r>
      <w:r>
        <w:rPr>
          <w:rStyle w:val="FootnoteAnchor"/>
          <w:rtl w:val="true"/>
        </w:rPr>
        <w:footnoteReference w:id="156"/>
      </w:r>
      <w:r>
        <w:rPr>
          <w:rFonts w:ascii="Amiri" w:hAnsi="Amiri" w:eastAsia="Amiri" w:cs="Amiri"/>
          <w:color w:val="111111"/>
          <w:sz w:val="28"/>
          <w:sz w:val="28"/>
          <w:szCs w:val="28"/>
          <w:rtl w:val="true"/>
          <w:lang w:bidi="ar-SA"/>
        </w:rPr>
        <w:t>فیه علی نصّ یعتدّ</w:t>
      </w:r>
      <w:r>
        <w:rPr>
          <w:rStyle w:val="FootnoteAnchor"/>
          <w:rtl w:val="true"/>
        </w:rPr>
        <w:footnoteReference w:id="157"/>
      </w:r>
      <w:r>
        <w:rPr>
          <w:rFonts w:ascii="IRNazanin" w:hAnsi="IRNazanin" w:eastAsia="IRNazanin"/>
          <w:color w:val="111111"/>
          <w:sz w:val="28"/>
          <w:sz w:val="28"/>
          <w:szCs w:val="28"/>
          <w:rtl w:val="true"/>
          <w:lang w:bidi="fa-IR"/>
        </w:rPr>
        <w:t>به، و لکن علیه الإمامیّة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سجد الزائر و نوی بالسجدة الشکر للّه تعالی علی بلوغه تلک البقعة، کان أولی، و إذا أدرک الجمعة فلا یخرج قبل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دخل المشهد</w:t>
      </w:r>
      <w:r>
        <w:rPr>
          <w:rStyle w:val="FootnoteAnchor"/>
          <w:rtl w:val="true"/>
        </w:rPr>
        <w:footnoteReference w:id="158"/>
      </w:r>
      <w:r>
        <w:rPr>
          <w:rFonts w:ascii="IRNazanin" w:hAnsi="IRNazanin" w:eastAsia="IRNazanin"/>
          <w:color w:val="111111"/>
          <w:sz w:val="28"/>
          <w:sz w:val="28"/>
          <w:szCs w:val="28"/>
          <w:rtl w:val="true"/>
          <w:lang w:bidi="fa-IR"/>
        </w:rPr>
        <w:t>و الإمام یصلّی، بدأ بالصلاة قبل الزیارة، و کذلک لو کان قد حضر وقتها، و إلاّ فالبدأة بالزیارة أولی ؛ لأ نّها غایة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أُقیمت الصلاة، استحبّ للزائرین قطع الزیارة و الإقبال علی الصلاة، و یکره ترکه، و علی الناظر أمرهم بذلک، و إذا زارت النساء، فلیکنّ منفردات عن الرجال،</w:t>
      </w:r>
    </w:p>
    <w:p>
      <w:pPr>
        <w:pStyle w:val="BookText"/>
        <w:rPr/>
      </w:pPr>
      <w:r>
        <w:rPr>
          <w:rFonts w:ascii="IRNazanin" w:hAnsi="IRNazanin" w:eastAsia="IRNazanin"/>
          <w:color w:val="111111"/>
          <w:sz w:val="28"/>
          <w:sz w:val="28"/>
          <w:szCs w:val="28"/>
          <w:rtl w:val="true"/>
          <w:lang w:bidi="fa-IR"/>
        </w:rPr>
        <w:t>و لو کان لیلاً فهو أولی، و لیکنّ متنکّرات مستخفیات مستترات، و لو زرن بین الرجال، جاز</w:t>
      </w:r>
      <w:r>
        <w:rPr>
          <w:rStyle w:val="FootnoteAnchor"/>
          <w:rtl w:val="true"/>
        </w:rPr>
        <w:footnoteReference w:id="159"/>
      </w:r>
      <w:r>
        <w:rPr>
          <w:rFonts w:ascii="IRNazanin" w:hAnsi="IRNazanin" w:eastAsia="IRNazanin"/>
          <w:color w:val="111111"/>
          <w:sz w:val="28"/>
          <w:sz w:val="28"/>
          <w:szCs w:val="28"/>
          <w:rtl w:val="true"/>
          <w:lang w:bidi="fa-IR"/>
        </w:rPr>
        <w:t>و إن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مع کثرة الزائرین أن یخفّف السابقون إلی الضریح الزیارة و ینصرفوا ؛ لیحضر مَن بعدهم فیفوزوا من القرب إلی الضریح بما فاز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یستحبّ إذا زار الحسین علیه‌السّلام أن یزور عقیبه ولدَه علیّاً، و هو الأکبر علی الأصحّ، و أُمّه لیلی بنت أبی مسعود بن مرّة بن مسعود الثقفیّ، و هو أوّل قتیل من ولد</w:t>
      </w:r>
    </w:p>
    <w:p>
      <w:pPr>
        <w:pStyle w:val="BookText"/>
        <w:rPr/>
      </w:pPr>
      <w:r>
        <w:rPr>
          <w:rFonts w:ascii="Amiri" w:hAnsi="Amiri" w:eastAsia="Amiri" w:cs="Amiri"/>
          <w:color w:val="111111"/>
          <w:sz w:val="28"/>
          <w:sz w:val="28"/>
          <w:szCs w:val="28"/>
          <w:rtl w:val="true"/>
          <w:lang w:bidi="ar-SA"/>
        </w:rPr>
        <w:t>علیّ علیه‌السّلام فی الطفّ، و له روایة عن جدّه علیّ علیه‌السّلام، ثمّ یزور الشهداء،</w:t>
      </w:r>
    </w:p>
    <w:p>
      <w:pPr>
        <w:pStyle w:val="BookText"/>
        <w:rPr/>
      </w:pPr>
      <w:r>
        <w:rPr>
          <w:rFonts w:ascii="IRNazanin" w:hAnsi="IRNazanin" w:eastAsia="IRNazanin"/>
          <w:color w:val="111111"/>
          <w:sz w:val="28"/>
          <w:sz w:val="28"/>
          <w:szCs w:val="28"/>
          <w:rtl w:val="true"/>
          <w:lang w:bidi="fa-IR"/>
        </w:rPr>
        <w:t>ثمّ یأتی العبّاس بن علیّ علیه‌السّلام فیزوره، و أُمّه أُمّ البنین بنت حزام بن خالد بن ربیعة أخی لبید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الأصحاب علی الاستشفاء بالتربة الحسینیّة صلوات‌اللّه علی مشرّفها، و علی أفضلیّة التسبیح بها، و بذلک أخبار متواترة</w:t>
      </w:r>
      <w:r>
        <w:rPr>
          <w:rStyle w:val="FootnoteAnchor"/>
          <w:rtl w:val="true"/>
        </w:rPr>
        <w:footnoteReference w:id="161"/>
      </w:r>
      <w:r>
        <w:rPr>
          <w:rFonts w:ascii="IRNazanin" w:hAnsi="IRNazanin" w:eastAsia="IRNazanin"/>
          <w:color w:val="111111"/>
          <w:sz w:val="28"/>
          <w:sz w:val="28"/>
          <w:szCs w:val="28"/>
          <w:rtl w:val="true"/>
          <w:lang w:bidi="fa-IR"/>
        </w:rPr>
        <w:t xml:space="preserve">، و یجوز أخذها من حرمه </w:t>
      </w:r>
    </w:p>
    <w:p>
      <w:pPr>
        <w:pStyle w:val="BookText"/>
        <w:rPr/>
      </w:pPr>
      <w:r>
        <w:rPr>
          <w:rFonts w:ascii="IRNazanin" w:hAnsi="IRNazanin" w:eastAsia="IRNazanin"/>
          <w:color w:val="111111"/>
          <w:sz w:val="28"/>
          <w:sz w:val="28"/>
          <w:szCs w:val="28"/>
          <w:rtl w:val="true"/>
          <w:lang w:bidi="fa-IR"/>
        </w:rPr>
        <w:t>علیه‌السّلام و إن بَعُد، کما سبق، و کلّما قرب من الضریح، کان أفضل، و لو جیء بتربة، ثمّ وضعت علی الضریح،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لیقل عند قبضها و استعمالها ما هو مشهور و لا یتجاوز المستشفی قدر الحمّصة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لمن حازها بیعها کیلاً و وزناً و مشاهدة، سواء کانت تربة مجرّدة أو</w:t>
      </w:r>
    </w:p>
    <w:p>
      <w:pPr>
        <w:pStyle w:val="BookText"/>
        <w:rPr/>
      </w:pPr>
      <w:r>
        <w:rPr>
          <w:rFonts w:ascii="IRNazanin" w:hAnsi="IRNazanin" w:eastAsia="IRNazanin"/>
          <w:color w:val="111111"/>
          <w:sz w:val="28"/>
          <w:sz w:val="28"/>
          <w:szCs w:val="28"/>
          <w:rtl w:val="true"/>
          <w:lang w:bidi="fa-IR"/>
        </w:rPr>
        <w:t>مشتملة علی هیئات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للزائر أن یستصحب منها ما أمکن ؛ لتعمّ البرکة أهله</w:t>
      </w:r>
      <w:r>
        <w:rPr>
          <w:rStyle w:val="FootnoteAnchor"/>
          <w:rtl w:val="true"/>
        </w:rPr>
        <w:footnoteReference w:id="162"/>
      </w:r>
      <w:r>
        <w:rPr>
          <w:rFonts w:ascii="IRNazanin" w:hAnsi="IRNazanin" w:eastAsia="IRNazanin"/>
          <w:color w:val="111111"/>
          <w:sz w:val="28"/>
          <w:sz w:val="28"/>
          <w:szCs w:val="28"/>
          <w:rtl w:val="true"/>
          <w:lang w:bidi="fa-IR"/>
        </w:rPr>
        <w:t>و بلده، فهی شفاء من کلّ داء و أمان من کلّ خوف</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طبخت التربة قصداً للحفظ عن التهافت، فلا بأس، و ترکه أفضل، و السجود علیها من أفضل الأعمال إن‌شاءاللّه تعالی</w:t>
      </w:r>
      <w:r>
        <w:rPr>
          <w:rFonts w:eastAsia="IRNazanin" w:cs="IRNazanin"/>
          <w:color w:val="111111"/>
          <w:sz w:val="28"/>
          <w:szCs w:val="28"/>
          <w:rtl w:val="true"/>
          <w:lang w:bidi="fa-IR"/>
        </w:rPr>
        <w:t xml:space="preserve">. </w:t>
      </w:r>
      <w:bookmarkStart w:id="20" w:name="pg13665_218949"/>
    </w:p>
    <w:p>
      <w:pPr>
        <w:pStyle w:val="Heading2"/>
        <w:numPr>
          <w:ilvl w:val="1"/>
          <w:numId w:val="1"/>
        </w:numPr>
        <w:rPr/>
      </w:pPr>
      <w:bookmarkStart w:id="21" w:name="__RefHeading___Toc2071225_3830689328"/>
      <w:bookmarkStart w:id="22" w:name="_Toc7"/>
      <w:bookmarkEnd w:id="20"/>
      <w:bookmarkEnd w:id="21"/>
      <w:r>
        <w:rPr>
          <w:rtl w:val="true"/>
        </w:rPr>
        <w:t>کتاب الجهاد</w:t>
      </w:r>
      <w:bookmarkEnd w:id="2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071227_3830689328"/>
      <w:bookmarkStart w:id="24" w:name="_Toc8"/>
      <w:bookmarkEnd w:id="23"/>
      <w:r>
        <w:rPr>
          <w:rtl w:val="true"/>
        </w:rPr>
        <w:t>اشاره</w:t>
      </w:r>
      <w:bookmarkEnd w:id="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الجهاد</w:t>
      </w:r>
    </w:p>
    <w:p>
      <w:pPr>
        <w:pStyle w:val="BookText"/>
        <w:rPr/>
      </w:pPr>
      <w:r>
        <w:rPr>
          <w:rFonts w:ascii="IRNazanin" w:hAnsi="IRNazanin" w:eastAsia="IRNazanin"/>
          <w:color w:val="111111"/>
          <w:sz w:val="28"/>
          <w:sz w:val="28"/>
          <w:szCs w:val="28"/>
          <w:rtl w:val="true"/>
          <w:lang w:bidi="fa-IR"/>
        </w:rPr>
        <w:t>و هو من أعظم أرکان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النبیّ صلّی‌اللّه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کلّ برٍّ برّ حتّی یقتل الرجل فی سبیل‌اللّه</w:t>
      </w:r>
    </w:p>
    <w:p>
      <w:pPr>
        <w:pStyle w:val="BookText"/>
        <w:rPr/>
      </w:pPr>
      <w:r>
        <w:rPr>
          <w:rFonts w:ascii="IRNazanin" w:hAnsi="IRNazanin" w:eastAsia="IRNazanin"/>
          <w:color w:val="111111"/>
          <w:sz w:val="28"/>
          <w:sz w:val="28"/>
          <w:szCs w:val="28"/>
          <w:rtl w:val="true"/>
          <w:lang w:bidi="fa-IR"/>
        </w:rPr>
        <w:t>فلیس فوقه برّ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جهاد العدوّ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الفاخر</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تصلّی علی المتقلّد سیفه</w:t>
      </w:r>
      <w:r>
        <w:rPr>
          <w:rStyle w:val="FootnoteAnchor"/>
          <w:rtl w:val="true"/>
        </w:rPr>
        <w:footnoteReference w:id="167"/>
      </w:r>
      <w:r>
        <w:rPr>
          <w:rFonts w:ascii="IRNazanin" w:hAnsi="IRNazanin" w:eastAsia="IRNazanin"/>
          <w:color w:val="111111"/>
          <w:sz w:val="28"/>
          <w:sz w:val="28"/>
          <w:szCs w:val="28"/>
          <w:rtl w:val="true"/>
          <w:lang w:bidi="fa-IR"/>
        </w:rPr>
        <w:t>فی سبیل‌اللّه حتّی یضعه، و مَن صدع رأسه فی سبیل‌اللّه، غفر اللّه له ما کان قبل ذلک من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کفایة علی البالغ العاقل الحرّ الذکر الصحیح من المرض، السلیم من العمی و الإقعاد و الشیخوخة المانعة من القیام، و الفقر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یتعیّن بتعیین الإمام، أو قصور القائمین بدونه، و بالنذر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للأبوین و المدین مع الحلول و الیسار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طاعتهما و طاعة الغریم </w:t>
      </w:r>
    </w:p>
    <w:p>
      <w:pPr>
        <w:pStyle w:val="BookText"/>
        <w:rPr/>
      </w:pPr>
      <w:r>
        <w:rPr>
          <w:rFonts w:ascii="IRNazanin" w:hAnsi="IRNazanin" w:eastAsia="IRNazanin"/>
          <w:color w:val="111111"/>
          <w:sz w:val="28"/>
          <w:sz w:val="28"/>
          <w:szCs w:val="28"/>
          <w:rtl w:val="true"/>
          <w:lang w:bidi="fa-IR"/>
        </w:rPr>
        <w:t>عند الاستنفار</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عجز بنفسه و تمکّن من إقامة غیره مقامه، وجب عند الشیخ</w:t>
      </w:r>
      <w:r>
        <w:rPr>
          <w:rStyle w:val="FootnoteAnchor"/>
          <w:rtl w:val="true"/>
        </w:rPr>
        <w:footnoteReference w:id="169"/>
      </w:r>
      <w:r>
        <w:rPr>
          <w:rFonts w:ascii="IRNazanin" w:hAnsi="IRNazanin" w:eastAsia="IRNazanin"/>
          <w:color w:val="111111"/>
          <w:sz w:val="28"/>
          <w:sz w:val="28"/>
          <w:szCs w:val="28"/>
          <w:rtl w:val="true"/>
          <w:lang w:bidi="fa-IR"/>
        </w:rPr>
        <w:t>و ابن إدریس</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 فأقام غیره مقامه، سقط عنه إلاّ أن یعیّنه الإمام، و یجوز الاستئجار للجهاد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بشرط دعاء الإمام العادل أو نائبه، و لا یجوز مع الجائر اختیاراً، إلاّ أن یخاف علی بیضة الإسلام و هی أصله و مجتمعه من الاصطلام</w:t>
      </w:r>
      <w:r>
        <w:rPr>
          <w:rStyle w:val="FootnoteAnchor"/>
          <w:rtl w:val="true"/>
        </w:rPr>
        <w:footnoteReference w:id="171"/>
      </w:r>
      <w:r>
        <w:rPr>
          <w:rFonts w:ascii="IRNazanin" w:hAnsi="IRNazanin" w:eastAsia="IRNazanin"/>
          <w:color w:val="111111"/>
          <w:sz w:val="28"/>
          <w:sz w:val="28"/>
          <w:szCs w:val="28"/>
          <w:rtl w:val="true"/>
          <w:lang w:bidi="fa-IR"/>
        </w:rPr>
        <w:t>، أو یخاف اصطلام قوم من المسلمین، فیجب علی مَن یلیهم الدفاع عنهم، و لو احتیج إلی مدد من غیرهم، وجب لکفّهم، لا لإدخالهم فی الإسلام، و کذا لو کان بین أهل الحرب و دهمهم عدوّ خاف منه علی نفسه، جاز له أن یجاهد دفاعاً، لا إعانة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فی النهایة العدوّ لأهل الحرب بالکفر</w:t>
      </w:r>
      <w:r>
        <w:rPr>
          <w:rStyle w:val="FootnoteAnchor"/>
          <w:rtl w:val="true"/>
        </w:rPr>
        <w:footnoteReference w:id="172"/>
      </w:r>
      <w:r>
        <w:rPr>
          <w:rFonts w:ascii="IRNazanin" w:hAnsi="IRNazanin" w:eastAsia="IRNazanin"/>
          <w:color w:val="111111"/>
          <w:sz w:val="28"/>
          <w:sz w:val="28"/>
          <w:szCs w:val="28"/>
          <w:rtl w:val="true"/>
          <w:lang w:bidi="fa-IR"/>
        </w:rPr>
        <w:t xml:space="preserve">، و کذا کلّ مَن خشی علی نفسه مطلقاً، و ظاهر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تسمیة ذلک کلّه جهاداً بل دفاعاً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تظهر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الشهادة، و الفرار، و قسمة الغنیمة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ففضله کثیر، سواء کان بنفسه أو غلامه أو دابّته، فی حضور الإمام و غیبته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نذر المرابطة</w:t>
      </w:r>
      <w:r>
        <w:rPr>
          <w:rStyle w:val="FootnoteAnchor"/>
          <w:rtl w:val="true"/>
        </w:rPr>
        <w:footnoteReference w:id="174"/>
      </w:r>
      <w:r>
        <w:rPr>
          <w:rFonts w:ascii="IRNazanin" w:hAnsi="IRNazanin" w:eastAsia="IRNazanin"/>
          <w:color w:val="111111"/>
          <w:sz w:val="28"/>
          <w:sz w:val="28"/>
          <w:szCs w:val="28"/>
          <w:rtl w:val="true"/>
          <w:lang w:bidi="fa-IR"/>
        </w:rPr>
        <w:t xml:space="preserve">، وجبت مطلقاً، و کذا لو نذر صرف مالٍ فیها، و لا یجوز صرفه فی البرّ حال الغیبة علی الأصحّ، و لو آجر نفسه، أو قبل الجعل علیها، قام </w:t>
      </w:r>
    </w:p>
    <w:p>
      <w:pPr>
        <w:pStyle w:val="BookText"/>
        <w:rPr/>
      </w:pPr>
      <w:r>
        <w:rPr>
          <w:rFonts w:ascii="IRNazanin" w:hAnsi="IRNazanin" w:eastAsia="IRNazanin"/>
          <w:color w:val="111111"/>
          <w:sz w:val="28"/>
          <w:sz w:val="28"/>
          <w:szCs w:val="28"/>
          <w:rtl w:val="true"/>
          <w:lang w:bidi="fa-IR"/>
        </w:rPr>
        <w:t>بها،و لا یجب ردّ المال علی الباذل أو وارثه</w:t>
      </w:r>
      <w:r>
        <w:rPr>
          <w:rStyle w:val="FootnoteAnchor"/>
          <w:rtl w:val="true"/>
        </w:rPr>
        <w:footnoteReference w:id="175"/>
      </w:r>
      <w:r>
        <w:rPr>
          <w:rFonts w:ascii="IRNazanin" w:hAnsi="IRNazanin" w:eastAsia="IRNazanin"/>
          <w:color w:val="111111"/>
          <w:sz w:val="28"/>
          <w:sz w:val="28"/>
          <w:szCs w:val="28"/>
          <w:rtl w:val="true"/>
          <w:lang w:bidi="fa-IR"/>
        </w:rPr>
        <w:t>حال الغیبة، و أوجبه الشیخ، فإن لم یجد الوارث، قام بها</w:t>
      </w:r>
      <w:r>
        <w:rPr>
          <w:rStyle w:val="FootnoteAnchor"/>
          <w:rtl w:val="true"/>
        </w:rPr>
        <w:footnoteReference w:id="176"/>
      </w:r>
      <w:r>
        <w:rPr>
          <w:rFonts w:ascii="IRNazanin" w:hAnsi="IRNazanin" w:eastAsia="IRNazanin"/>
          <w:color w:val="111111"/>
          <w:sz w:val="28"/>
          <w:sz w:val="28"/>
          <w:szCs w:val="28"/>
          <w:rtl w:val="true"/>
          <w:lang w:bidi="fa-IR"/>
        </w:rPr>
        <w:t>، و هو تخصیص</w:t>
      </w:r>
      <w:r>
        <w:rPr>
          <w:rStyle w:val="FootnoteAnchor"/>
          <w:rtl w:val="true"/>
        </w:rPr>
        <w:footnoteReference w:id="177"/>
      </w:r>
      <w:r>
        <w:rPr>
          <w:rFonts w:ascii="IRNazanin" w:hAnsi="IRNazanin" w:eastAsia="IRNazanin"/>
          <w:color w:val="111111"/>
          <w:sz w:val="28"/>
          <w:sz w:val="28"/>
          <w:szCs w:val="28"/>
          <w:rtl w:val="true"/>
          <w:lang w:bidi="fa-IR"/>
        </w:rPr>
        <w:t>لعموم الأدلّة بغیر ثبت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و نقل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w:t>
      </w:r>
      <w:r>
        <w:rPr>
          <w:rStyle w:val="FootnoteAnchor"/>
          <w:rtl w:val="true"/>
        </w:rPr>
        <w:footnoteReference w:id="179"/>
      </w:r>
      <w:r>
        <w:rPr>
          <w:rFonts w:ascii="IRNazanin" w:hAnsi="IRNazanin" w:eastAsia="IRNazanin"/>
          <w:color w:val="111111"/>
          <w:sz w:val="28"/>
          <w:sz w:val="28"/>
          <w:szCs w:val="28"/>
          <w:rtl w:val="true"/>
          <w:lang w:bidi="fa-IR"/>
        </w:rPr>
        <w:t xml:space="preserve">، و أکثرها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یوماً، فإن زاد،</w:t>
      </w:r>
    </w:p>
    <w:p>
      <w:pPr>
        <w:pStyle w:val="BookText"/>
        <w:rPr/>
      </w:pPr>
      <w:r>
        <w:rPr>
          <w:rFonts w:ascii="IRNazanin" w:hAnsi="IRNazanin" w:eastAsia="IRNazanin"/>
          <w:color w:val="111111"/>
          <w:sz w:val="28"/>
          <w:sz w:val="28"/>
          <w:szCs w:val="28"/>
          <w:rtl w:val="true"/>
          <w:lang w:bidi="fa-IR"/>
        </w:rPr>
        <w:t xml:space="preserve">فله ثواب المجاهدین، و أفضلها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 من الثغر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وطّن نفسه علی الإعلام و المحافظة من أهل الثغور فهو مرابط</w:t>
      </w:r>
      <w:r>
        <w:rPr>
          <w:rStyle w:val="FootnoteAnchor"/>
          <w:rtl w:val="true"/>
        </w:rPr>
        <w:footnoteReference w:id="180"/>
      </w:r>
      <w:r>
        <w:rPr>
          <w:rFonts w:ascii="IRNazanin" w:hAnsi="IRNazanin" w:eastAsia="IRNazanin"/>
          <w:color w:val="111111"/>
          <w:sz w:val="28"/>
          <w:sz w:val="28"/>
          <w:szCs w:val="28"/>
          <w:rtl w:val="true"/>
          <w:lang w:bidi="fa-IR"/>
        </w:rPr>
        <w:t>، و یکره نقل الأهل و الذرّیّة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المُجاهَدُون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الیهود و النصاری، و بحکمهم مَن له شبهة کتاب، کالمجوس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بهم ابن الجنید الصابئة و مَن عداهم من المشرکین و البغاة علی الإمام العادل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الکتابیّ حتّی یسلم أو یتذمّم أو یقتل، و قتال المشرک حتّی یسلم أو یقتل، و قتال الباغی حتّی یفیء أو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یبدأ بقتال مَن یلیه، إلاّ أن یکون الأبعد أشدّ خطراً، و من ثمّ أغار رسول‌اللّه صلّی‌اللّه علیه و آله علی الحارث بن أبی ضرار لمّا بلغه أ نّه یجمع له، و کان بینه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بینه عدوّ أقرب</w:t>
      </w:r>
      <w:r>
        <w:rPr>
          <w:rStyle w:val="FootnoteAnchor"/>
          <w:rtl w:val="true"/>
        </w:rPr>
        <w:footnoteReference w:id="182"/>
      </w:r>
      <w:r>
        <w:rPr>
          <w:rFonts w:ascii="IRNazanin" w:hAnsi="IRNazanin" w:eastAsia="IRNazanin"/>
          <w:color w:val="111111"/>
          <w:sz w:val="28"/>
          <w:sz w:val="28"/>
          <w:szCs w:val="28"/>
          <w:rtl w:val="true"/>
          <w:lang w:bidi="fa-IR"/>
        </w:rPr>
        <w:t>، و کذا فعل بخالد بن سفیان الهذلیّ</w:t>
      </w:r>
      <w:r>
        <w:rPr>
          <w:rStyle w:val="FootnoteAnchor"/>
          <w:rtl w:val="true"/>
        </w:rPr>
        <w:footnoteReference w:id="183"/>
      </w:r>
      <w:r>
        <w:rPr>
          <w:rFonts w:ascii="IRNazanin" w:hAnsi="IRNazanin" w:eastAsia="IRNazanin"/>
          <w:color w:val="111111"/>
          <w:sz w:val="28"/>
          <w:sz w:val="28"/>
          <w:szCs w:val="28"/>
          <w:rtl w:val="true"/>
          <w:lang w:bidi="fa-IR"/>
        </w:rPr>
        <w:t>، أو یکون الأقرب مهادناً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القتال إلاّ بعد الدعاء إلی الإسلام بإظهار الشهادتین و التزام جمیع أحکام الإسلام، و الداعی هو الإمام أو نائبه، و لو قوتلوا مرّة بعد الدعاء، کفی عمّا</w:t>
      </w:r>
    </w:p>
    <w:p>
      <w:pPr>
        <w:pStyle w:val="BookText"/>
        <w:rPr/>
      </w:pPr>
      <w:r>
        <w:rPr>
          <w:rFonts w:ascii="IRNazanin" w:hAnsi="IRNazanin" w:eastAsia="IRNazanin"/>
          <w:color w:val="111111"/>
          <w:sz w:val="28"/>
          <w:sz w:val="28"/>
          <w:szCs w:val="28"/>
          <w:rtl w:val="true"/>
          <w:lang w:bidi="fa-IR"/>
        </w:rPr>
        <w:t>بعدها، و من ثمّ غزا النبیّ صلّی‌اللّه علیه و آله بنی المصطلق غارّین فاستأصلهم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یجوز فی أشهر الحرم،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ذو القعدة، و ذوالحجّة، و المحرّم، إلاّ أن یبدأ العدوّ بالقتال فیها، أو لا یری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 عن النساء و إن أعنّ، إلاّ مع الضرورة، و کذا عن الصبیان و المجانین و أسری</w:t>
      </w:r>
      <w:r>
        <w:rPr>
          <w:rStyle w:val="FootnoteAnchor"/>
          <w:rtl w:val="true"/>
        </w:rPr>
        <w:footnoteReference w:id="185"/>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یمکن الفتح إلاّ بقتلهم، جاز، و علی القاتل الکفّارة فی المسلم، و لا یغرم ماله لو أتلفه بخطأ</w:t>
      </w:r>
      <w:r>
        <w:rPr>
          <w:rStyle w:val="FootnoteAnchor"/>
          <w:rtl w:val="true"/>
        </w:rPr>
        <w:footnoteReference w:id="186"/>
      </w:r>
      <w:r>
        <w:rPr>
          <w:rFonts w:ascii="Amiri" w:hAnsi="Amiri" w:eastAsia="Amiri" w:cs="Amiri"/>
          <w:color w:val="111111"/>
          <w:sz w:val="28"/>
          <w:sz w:val="28"/>
          <w:szCs w:val="28"/>
          <w:rtl w:val="true"/>
          <w:lang w:bidi="ar-SA"/>
        </w:rPr>
        <w:t>أو لحاجة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الدعاء عند التقاء الصفّین بالمأثور</w:t>
      </w:r>
      <w:r>
        <w:rPr>
          <w:rStyle w:val="FootnoteAnchor"/>
          <w:rtl w:val="true"/>
        </w:rPr>
        <w:footnoteReference w:id="188"/>
      </w:r>
      <w:r>
        <w:rPr>
          <w:rFonts w:ascii="IRNazanin" w:hAnsi="IRNazanin" w:eastAsia="IRNazanin"/>
          <w:color w:val="111111"/>
          <w:sz w:val="28"/>
          <w:sz w:val="28"/>
          <w:szCs w:val="28"/>
          <w:rtl w:val="true"/>
          <w:lang w:bidi="fa-IR"/>
        </w:rPr>
        <w:t>، و منه دعاء النبیّ صلّی‌اللّه علیه و آله</w:t>
      </w:r>
      <w:r>
        <w:rPr>
          <w:rStyle w:val="FootnoteAnchor"/>
          <w:rtl w:val="true"/>
        </w:rPr>
        <w:footnoteReference w:id="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منزل الکتاب، سریع الحساب، مجری السحاب، اهزم الأحزاب</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صریخ المکروبین، یا مجیب</w:t>
      </w:r>
      <w:r>
        <w:rPr>
          <w:rStyle w:val="FootnoteAnchor"/>
          <w:rtl w:val="true"/>
        </w:rPr>
        <w:footnoteReference w:id="191"/>
      </w:r>
      <w:r>
        <w:rPr>
          <w:rFonts w:ascii="IRNazanin" w:hAnsi="IRNazanin" w:eastAsia="IRNazanin"/>
          <w:color w:val="111111"/>
          <w:sz w:val="28"/>
          <w:sz w:val="28"/>
          <w:szCs w:val="28"/>
          <w:rtl w:val="true"/>
          <w:lang w:bidi="fa-IR"/>
        </w:rPr>
        <w:t>المضطرّین، یا کاشف الکرب العظیم</w:t>
      </w:r>
    </w:p>
    <w:p>
      <w:pPr>
        <w:pStyle w:val="BookText"/>
        <w:rPr/>
      </w:pPr>
      <w:r>
        <w:rPr>
          <w:rFonts w:ascii="IRNazanin" w:hAnsi="IRNazanin" w:eastAsia="IRNazanin"/>
          <w:color w:val="111111"/>
          <w:sz w:val="28"/>
          <w:sz w:val="28"/>
          <w:szCs w:val="28"/>
          <w:rtl w:val="true"/>
          <w:lang w:bidi="fa-IR"/>
        </w:rPr>
        <w:t>اکشف کربی و غمّی، فإنّک تعلم حالی و حال أصحابی فاکفنی بقوّتک عدوّی</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لیوص الإمام أصحابه بوصیّة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استشعروا </w:t>
      </w:r>
    </w:p>
    <w:p>
      <w:pPr>
        <w:pStyle w:val="BookText"/>
        <w:rPr/>
      </w:pP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القتال عند الزوال بعد أن یصلّی الظهرین ؛ لأ نّه تفتح عنده أبواب السماء، و تنزل الرحمة و النصر، و هو أقرب إلی اللیل و أقلّ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القتال بسائر أنواعه، و هدم المنازل و الحصون، و رمی المناجیق،</w:t>
      </w:r>
    </w:p>
    <w:p>
      <w:pPr>
        <w:pStyle w:val="BookText"/>
        <w:rPr/>
      </w:pPr>
      <w:r>
        <w:rPr>
          <w:rFonts w:ascii="IRNazanin" w:hAnsi="IRNazanin" w:eastAsia="IRNazanin"/>
          <w:color w:val="111111"/>
          <w:sz w:val="28"/>
          <w:sz w:val="28"/>
          <w:szCs w:val="28"/>
          <w:rtl w:val="true"/>
          <w:lang w:bidi="fa-IR"/>
        </w:rPr>
        <w:t>و التحریق بالنار، و قطع الأشجار، و إرسال الماء و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منع الماء</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حالة الاختیار، و إلاّ جاز إذا توقّف الفتح علیه، و الحصار و منع السابلة دخولاً و خروجاً، فقد قطع</w:t>
      </w:r>
    </w:p>
    <w:p>
      <w:pPr>
        <w:pStyle w:val="BookText"/>
        <w:rPr/>
      </w:pPr>
      <w:r>
        <w:rPr>
          <w:rFonts w:ascii="IRNazanin" w:hAnsi="IRNazanin" w:eastAsia="IRNazanin"/>
          <w:color w:val="111111"/>
          <w:sz w:val="28"/>
          <w:sz w:val="28"/>
          <w:szCs w:val="28"/>
          <w:rtl w:val="true"/>
          <w:lang w:bidi="fa-IR"/>
        </w:rPr>
        <w:t>رسول‌اللّه صلّی‌اللّه علیه و آله أشجار الطائف، و حرّق علی بنی النضیر و خرّب دیارهم</w:t>
      </w:r>
      <w:r>
        <w:rPr>
          <w:rStyle w:val="FootnoteAnchor"/>
          <w:rtl w:val="true"/>
        </w:rPr>
        <w:footnoteReference w:id="195"/>
      </w:r>
      <w:r>
        <w:rPr>
          <w:rFonts w:ascii="IRNazanin" w:hAnsi="IRNazanin" w:eastAsia="IRNazanin"/>
          <w:color w:val="111111"/>
          <w:sz w:val="28"/>
          <w:sz w:val="28"/>
          <w:szCs w:val="28"/>
          <w:rtl w:val="true"/>
          <w:lang w:bidi="fa-IR"/>
        </w:rPr>
        <w:t>، و لا یجوز بإلقاء السمّ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تبییتهم لیلاً، و القتال قبل الزوال لغیر حاجة، و لو اضطرّ فیهما جاز، و أن تعرقب الدابّة و لو وقفت به، و لو رأی صلاحاً، جاز، کما فعله جعفر علیه‌السّلام بمؤتة</w:t>
      </w:r>
      <w:r>
        <w:rPr>
          <w:rStyle w:val="FootnoteAnchor"/>
          <w:rtl w:val="true"/>
        </w:rPr>
        <w:footnoteReference w:id="196"/>
      </w:r>
      <w:r>
        <w:rPr>
          <w:rFonts w:ascii="IRNazanin" w:hAnsi="IRNazanin" w:eastAsia="IRNazanin"/>
          <w:color w:val="111111"/>
          <w:sz w:val="28"/>
          <w:sz w:val="28"/>
          <w:szCs w:val="28"/>
          <w:rtl w:val="true"/>
          <w:lang w:bidi="fa-IR"/>
        </w:rPr>
        <w:t>، و ذبحها أحسن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المبارزة بین الصفّین بغیر إذن الإمام، و یحرم إن منع، و یجب إن ألزم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نکل المحارب</w:t>
      </w:r>
      <w:r>
        <w:rPr>
          <w:rStyle w:val="FootnoteAnchor"/>
          <w:rtl w:val="true"/>
        </w:rPr>
        <w:footnoteReference w:id="197"/>
      </w:r>
      <w:r>
        <w:rPr>
          <w:rFonts w:ascii="IRNazanin" w:hAnsi="IRNazanin" w:eastAsia="IRNazanin"/>
          <w:color w:val="111111"/>
          <w:sz w:val="28"/>
          <w:sz w:val="28"/>
          <w:szCs w:val="28"/>
          <w:rtl w:val="true"/>
          <w:lang w:bidi="fa-IR"/>
        </w:rPr>
        <w:t>عن قِرنه، جازت إعانته إلاّ مع شرط عدمها، فإن هرب المسلم فطلبه القرن، أُعین مطلقاً، و أبطل ابن الجنید اشتراط عدم المعاونة</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قتل الأسیر صبراً أی حبساً للقتل</w:t>
      </w:r>
      <w:r>
        <w:rPr>
          <w:rFonts w:eastAsia="IRNazanin" w:cs="IRNazanin"/>
          <w:color w:val="111111"/>
          <w:sz w:val="28"/>
          <w:szCs w:val="28"/>
          <w:rtl w:val="true"/>
          <w:lang w:bidi="fa-IR"/>
        </w:rPr>
        <w:t xml:space="preserve">. </w:t>
      </w:r>
      <w:bookmarkStart w:id="25" w:name="pg13665_218956"/>
    </w:p>
    <w:p>
      <w:pPr>
        <w:pStyle w:val="BookText"/>
        <w:rPr/>
      </w:pPr>
      <w:bookmarkEnd w:id="25"/>
      <w:r>
        <w:rPr>
          <w:rFonts w:ascii="IRNazanin" w:hAnsi="IRNazanin" w:eastAsia="IRNazanin"/>
          <w:color w:val="111111"/>
          <w:sz w:val="28"/>
          <w:sz w:val="28"/>
          <w:szCs w:val="28"/>
          <w:rtl w:val="true"/>
          <w:lang w:bidi="fa-IR"/>
        </w:rPr>
        <w:t>و یحرم الفرار إذا کان العدوّ علی الضعف فأقلّ</w:t>
      </w:r>
      <w:r>
        <w:rPr>
          <w:rStyle w:val="FootnoteAnchor"/>
          <w:rtl w:val="true"/>
        </w:rPr>
        <w:footnoteReference w:id="199"/>
      </w:r>
      <w:r>
        <w:rPr>
          <w:rFonts w:ascii="Amiri" w:hAnsi="Amiri" w:eastAsia="Amiri" w:cs="Amiri"/>
          <w:color w:val="111111"/>
          <w:sz w:val="28"/>
          <w:sz w:val="28"/>
          <w:szCs w:val="28"/>
          <w:rtl w:val="true"/>
          <w:lang w:bidi="ar-SA"/>
        </w:rPr>
        <w:t>، إلاّ متحرّفاً لقتال أو متحیّزاً</w:t>
      </w:r>
    </w:p>
    <w:p>
      <w:pPr>
        <w:pStyle w:val="BookText"/>
        <w:rPr/>
      </w:pPr>
      <w:r>
        <w:rPr>
          <w:rFonts w:ascii="IRNazanin" w:hAnsi="IRNazanin" w:eastAsia="IRNazanin"/>
          <w:color w:val="111111"/>
          <w:sz w:val="28"/>
          <w:sz w:val="28"/>
          <w:szCs w:val="28"/>
          <w:rtl w:val="true"/>
          <w:lang w:bidi="fa-IR"/>
        </w:rPr>
        <w:t>إلی فئة، و التمثیل بالکفّار، و الغدر بهم، و الغلول منهم، و القتال بعد الأمان و لو کان من آحاد المسلمین لآحاد الکفّار و إن کان المجیر عبداً أو أدون شرفاً، و لو استذمّ الخصم فأُجیب بعدم الذمام فتوهّم الأمان، حَرُمَ اغتیاله، و أُعید إلی مأمنه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القتال أیضاً بعد الهُدْنة، و لا یتولاّها إلاّ الإمام أو نائبه 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ینبت فهو صبیّ، فلو ادّعی استعجاله بالدواء، قُبِل منه بغیر یمین</w:t>
      </w:r>
      <w:r>
        <w:rPr>
          <w:rFonts w:eastAsia="IRNazanin" w:cs="IRNazanin"/>
          <w:color w:val="111111"/>
          <w:sz w:val="28"/>
          <w:szCs w:val="28"/>
          <w:rtl w:val="true"/>
          <w:lang w:bidi="fa-IR"/>
        </w:rPr>
        <w:t>.</w:t>
      </w:r>
    </w:p>
    <w:p>
      <w:pPr>
        <w:pStyle w:val="Heading3"/>
        <w:numPr>
          <w:ilvl w:val="2"/>
          <w:numId w:val="1"/>
        </w:numPr>
        <w:rPr/>
      </w:pPr>
      <w:bookmarkStart w:id="26" w:name="__RefHeading___Toc2071229_3830689328"/>
      <w:bookmarkStart w:id="27" w:name="_Toc9"/>
      <w:bookmarkEnd w:id="26"/>
      <w:r>
        <w:rPr>
          <w:rtl w:val="true"/>
        </w:rPr>
        <w:t xml:space="preserve">درس </w:t>
      </w:r>
      <w:r>
        <w:rPr>
          <w:rtl w:val="true"/>
        </w:rPr>
        <w:t>(</w:t>
      </w:r>
      <w:r>
        <w:rPr/>
        <w:t>129</w:t>
      </w:r>
      <w:r>
        <w:rPr>
          <w:rtl w:val="true"/>
        </w:rPr>
        <w:t>)</w:t>
      </w:r>
      <w:bookmarkEnd w:id="27"/>
    </w:p>
    <w:p>
      <w:pPr>
        <w:pStyle w:val="BookText"/>
        <w:rPr/>
      </w:pPr>
      <w:r>
        <w:rPr>
          <w:rFonts w:ascii="IRNazanin" w:hAnsi="IRNazanin" w:eastAsia="IRNazanin"/>
          <w:color w:val="111111"/>
          <w:sz w:val="28"/>
          <w:sz w:val="28"/>
          <w:szCs w:val="28"/>
          <w:rtl w:val="true"/>
          <w:lang w:bidi="fa-IR"/>
        </w:rPr>
        <w:t>لا یجوز أخذ الجزیة من الوثنیّ و إن کان عجمیّاً</w:t>
      </w:r>
      <w:r>
        <w:rPr>
          <w:rStyle w:val="FootnoteAnchor"/>
          <w:rtl w:val="true"/>
        </w:rPr>
        <w:footnoteReference w:id="200"/>
      </w:r>
      <w:r>
        <w:rPr>
          <w:rFonts w:ascii="IRNazanin" w:hAnsi="IRNazanin" w:eastAsia="IRNazanin"/>
          <w:color w:val="111111"/>
          <w:sz w:val="28"/>
          <w:sz w:val="28"/>
          <w:szCs w:val="28"/>
          <w:rtl w:val="true"/>
          <w:lang w:bidi="fa-IR"/>
        </w:rPr>
        <w:t>، و یجوز من الکتابیّ و إن کان عربیّاً، و لو انتقل الکتابیّ إلی غیر ملّته، أقرّ عند الشیخ إذا کان الثانی یقرّ علیه، ناقلاً فیه الإجماع</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شرائط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الجزیة بحسب ما یراه الإمام علی الرؤوس أو الأرضین أو علیهما علی الأقوی، و التزام أحکام الإسلام، و أن لا یفعلوا ما ینافی الأمان، کمعاونة الکفّار و إیواء عینهم، و لا یتجاهروا</w:t>
      </w:r>
      <w:r>
        <w:rPr>
          <w:rStyle w:val="FootnoteAnchor"/>
          <w:rtl w:val="true"/>
        </w:rPr>
        <w:footnoteReference w:id="202"/>
      </w:r>
      <w:r>
        <w:rPr>
          <w:rFonts w:ascii="IRNazanin" w:hAnsi="IRNazanin" w:eastAsia="IRNazanin"/>
          <w:color w:val="111111"/>
          <w:sz w:val="28"/>
          <w:sz w:val="28"/>
          <w:szCs w:val="28"/>
          <w:rtl w:val="true"/>
          <w:lang w:bidi="fa-IR"/>
        </w:rPr>
        <w:t>بالمحرّمات فی شریعة الإسلام، کأکل لحم الخنزیر، و شرب الخمر، و أکل الربا، و نکاح المحارم، فیخرجون عن الذمّة بترک هذه أو بعضها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أن یعطوا الجزیة صاغرین، فعند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یؤخذوا بما لا یطیقون </w:t>
      </w:r>
    </w:p>
    <w:p>
      <w:pPr>
        <w:pStyle w:val="BookText"/>
        <w:rPr/>
      </w:pPr>
      <w:r>
        <w:rPr>
          <w:rFonts w:ascii="Amiri" w:hAnsi="Amiri" w:eastAsia="Amiri" w:cs="Amiri"/>
          <w:color w:val="111111"/>
          <w:sz w:val="28"/>
          <w:sz w:val="28"/>
          <w:szCs w:val="28"/>
          <w:rtl w:val="true"/>
          <w:lang w:bidi="ar-SA"/>
        </w:rPr>
        <w:t>حتّی یسلموا</w:t>
      </w:r>
      <w:r>
        <w:rPr>
          <w:rStyle w:val="FootnoteAnchor"/>
          <w:rtl w:val="true"/>
        </w:rPr>
        <w:footnoteReference w:id="203"/>
      </w:r>
      <w:r>
        <w:rPr>
          <w:rFonts w:ascii="IRNazanin" w:hAnsi="IRNazanin" w:eastAsia="IRNazanin"/>
          <w:color w:val="111111"/>
          <w:sz w:val="28"/>
          <w:sz w:val="28"/>
          <w:szCs w:val="28"/>
          <w:rtl w:val="true"/>
          <w:lang w:bidi="fa-IR"/>
        </w:rPr>
        <w:t>؛ للروایة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أحکامنا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تقدیرها مع التزام أحکامنا</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أحکامنا و أخذها منه</w:t>
      </w:r>
      <w:r>
        <w:rPr>
          <w:rStyle w:val="FootnoteAnchor"/>
          <w:rtl w:val="true"/>
        </w:rPr>
        <w:footnoteReference w:id="206"/>
      </w:r>
      <w:r>
        <w:rPr>
          <w:rFonts w:ascii="IRNazanin" w:hAnsi="IRNazanin" w:eastAsia="IRNazanin"/>
          <w:color w:val="111111"/>
          <w:sz w:val="28"/>
          <w:sz w:val="28"/>
          <w:szCs w:val="28"/>
          <w:rtl w:val="true"/>
          <w:lang w:bidi="fa-IR"/>
        </w:rPr>
        <w:t>قائماً، و لم یجوّز النقص عن دینار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تجب علی الفقیر علی الأصحّ، و ینظر بها حتّی یوسر، و فی العبد قولان</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الوجوب، کما فی الکافی فی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و المختلف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علی مولاه عنه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جزیة علی النساء و الأطفال</w:t>
      </w:r>
      <w:r>
        <w:rPr>
          <w:rStyle w:val="FootnoteAnchor"/>
          <w:rtl w:val="true"/>
        </w:rPr>
        <w:footnoteReference w:id="210"/>
      </w:r>
      <w:r>
        <w:rPr>
          <w:rFonts w:ascii="IRNazanin" w:hAnsi="IRNazanin" w:eastAsia="IRNazanin"/>
          <w:color w:val="111111"/>
          <w:sz w:val="28"/>
          <w:sz w:val="28"/>
          <w:szCs w:val="28"/>
          <w:rtl w:val="true"/>
          <w:lang w:bidi="fa-IR"/>
        </w:rPr>
        <w:t>و المجانین، و فی الهِمّ، و المُقْعَد، و الراهب، و أهل الصوامع، و المجنون أدواراً قولان</w:t>
      </w:r>
      <w:r>
        <w:rPr>
          <w:rStyle w:val="FootnoteAnchor"/>
          <w:rtl w:val="true"/>
        </w:rPr>
        <w:footnoteReference w:id="211"/>
      </w:r>
      <w:r>
        <w:rPr>
          <w:rFonts w:ascii="IRNazanin" w:hAnsi="IRNazanin" w:eastAsia="IRNazanin"/>
          <w:color w:val="111111"/>
          <w:sz w:val="28"/>
          <w:sz w:val="28"/>
          <w:szCs w:val="28"/>
          <w:rtl w:val="true"/>
          <w:lang w:bidi="fa-IR"/>
        </w:rPr>
        <w:t>، و کذا فی قتلهم، و تجب علی السفیه،</w:t>
      </w:r>
    </w:p>
    <w:p>
      <w:pPr>
        <w:pStyle w:val="BookText"/>
        <w:rPr/>
      </w:pPr>
      <w:r>
        <w:rPr>
          <w:rFonts w:ascii="Amiri" w:hAnsi="Amiri" w:eastAsia="Amiri" w:cs="Amiri"/>
          <w:color w:val="111111"/>
          <w:sz w:val="28"/>
          <w:sz w:val="28"/>
          <w:szCs w:val="28"/>
          <w:rtl w:val="true"/>
          <w:lang w:bidi="ar-SA"/>
        </w:rPr>
        <w:t>خلافاً لابن حمزة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أخذها من ثمن المحرّم و لو کان بالإحالة علی المشتری، خلافاً لابن الجنید فی الإحالة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یمنعون من أن یحدثوا کنیسة أو بیعة، أو یضربوا ناقوساً، أو یطیلوا بناءاً</w:t>
      </w:r>
      <w:r>
        <w:rPr>
          <w:rStyle w:val="FootnoteAnchor"/>
          <w:rtl w:val="true"/>
        </w:rPr>
        <w:footnoteReference w:id="214"/>
      </w:r>
      <w:r>
        <w:rPr>
          <w:rFonts w:ascii="IRNazanin" w:hAnsi="IRNazanin" w:eastAsia="IRNazanin"/>
          <w:color w:val="111111"/>
          <w:sz w:val="28"/>
          <w:sz w:val="28"/>
          <w:szCs w:val="28"/>
          <w:rtl w:val="true"/>
          <w:lang w:bidi="fa-IR"/>
        </w:rPr>
        <w:t>علی جارهم المسلم أو یساووه، بل ینخفضون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دار جاره سرداباً، لم یلزم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داره علی نشز لا یمکن الانتفاع بها إلاّ بالعلوّ علی المسلم،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و یقتصر علی أقلّ من بنیان</w:t>
      </w:r>
    </w:p>
    <w:p>
      <w:pPr>
        <w:pStyle w:val="BookText"/>
        <w:rPr/>
      </w:pPr>
      <w:r>
        <w:rPr>
          <w:rFonts w:ascii="IRNazanin" w:hAnsi="IRNazanin" w:eastAsia="IRNazanin"/>
          <w:color w:val="111111"/>
          <w:sz w:val="28"/>
          <w:sz w:val="28"/>
          <w:szCs w:val="28"/>
          <w:rtl w:val="true"/>
          <w:lang w:bidi="fa-IR"/>
        </w:rPr>
        <w:t>المسلم، و لو انعکس، جاز له أن یقارب دارالمسلم فی العلوّ و إن أدّی إلی الإفراط فی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تقریر نصاری تغلب عند الشیخ</w:t>
      </w:r>
      <w:r>
        <w:rPr>
          <w:rStyle w:val="FootnoteAnchor"/>
          <w:rtl w:val="true"/>
        </w:rPr>
        <w:footnoteReference w:id="215"/>
      </w:r>
      <w:r>
        <w:rPr>
          <w:rFonts w:ascii="IRNazanin" w:hAnsi="IRNazanin" w:eastAsia="IRNazanin"/>
          <w:color w:val="111111"/>
          <w:sz w:val="28"/>
          <w:sz w:val="28"/>
          <w:szCs w:val="28"/>
          <w:rtl w:val="true"/>
          <w:lang w:bidi="fa-IR"/>
        </w:rPr>
        <w:t>مع أ نّهم تنصّروا فی الإسلام، و منعه ابن الجنید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المرویّ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توعّدهم بالقتل، و علّله بترکهم ما شرط علیهم النبیّ صلّی‌اللّه علیه و آله من أ نّهم لا ینصّرون أبناءهم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زمن الغیبة یجب إقرارهم علی ما أقرّهم علیه ذو الشوکة من المسلمین، کغیرهم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الهجرة عن بلاد الشرک لمن لا یتمکّن من إظهار دینه، و لم تنقطع الهجرة بفتح مکّة عن غیرها، و لو عجز عنها، کالمستضعف و المرأة، سقط، و توقّع المکنة</w:t>
      </w:r>
      <w:r>
        <w:rPr>
          <w:rFonts w:eastAsia="IRNazanin" w:cs="IRNazanin"/>
          <w:color w:val="111111"/>
          <w:sz w:val="28"/>
          <w:szCs w:val="28"/>
          <w:rtl w:val="true"/>
          <w:lang w:bidi="fa-IR"/>
        </w:rPr>
        <w:t xml:space="preserve">. </w:t>
      </w:r>
      <w:bookmarkStart w:id="28" w:name="pg13665_218959"/>
    </w:p>
    <w:p>
      <w:pPr>
        <w:pStyle w:val="BookText"/>
        <w:rPr/>
      </w:pPr>
      <w:bookmarkEnd w:id="28"/>
      <w:r>
        <w:rPr>
          <w:rFonts w:ascii="IRNazanin" w:hAnsi="IRNazanin" w:eastAsia="IRNazanin"/>
          <w:color w:val="111111"/>
          <w:sz w:val="28"/>
          <w:sz w:val="28"/>
          <w:szCs w:val="28"/>
          <w:rtl w:val="true"/>
          <w:lang w:bidi="fa-IR"/>
        </w:rPr>
        <w:t>و تجب مواراة المسلم دون الکافر، فإن اشتبها، دفن کمیش الذکر، و لا یقرع، خلافاً لابن إدریس</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071231_3830689328"/>
      <w:bookmarkStart w:id="30" w:name="_Toc10"/>
      <w:bookmarkEnd w:id="29"/>
      <w:r>
        <w:rPr>
          <w:rtl w:val="true"/>
        </w:rPr>
        <w:t xml:space="preserve">درس </w:t>
      </w:r>
      <w:r>
        <w:rPr>
          <w:rtl w:val="true"/>
        </w:rPr>
        <w:t>(</w:t>
      </w:r>
      <w:r>
        <w:rPr/>
        <w:t>130</w:t>
      </w:r>
      <w:r>
        <w:rPr>
          <w:rtl w:val="true"/>
        </w:rPr>
        <w:t>)</w:t>
      </w:r>
      <w:bookmarkEnd w:id="30"/>
    </w:p>
    <w:p>
      <w:pPr>
        <w:pStyle w:val="BookText"/>
        <w:rPr/>
      </w:pPr>
      <w:r>
        <w:rPr>
          <w:rFonts w:ascii="IRNazanin" w:hAnsi="IRNazanin" w:eastAsia="IRNazanin"/>
          <w:color w:val="111111"/>
          <w:sz w:val="28"/>
          <w:sz w:val="28"/>
          <w:szCs w:val="28"/>
          <w:rtl w:val="true"/>
          <w:lang w:bidi="fa-IR"/>
        </w:rPr>
        <w:t>تقسّم الغنیمة المنقولة بعد الجعائل و المؤن ثمّ الخمس بین المقاتلة و مَن حضر قبل القسمة حتّی المولود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للراجل سهم، و للفارس سهمان، و لذی الأفراس ثلاثة</w:t>
      </w:r>
      <w:r>
        <w:rPr>
          <w:rStyle w:val="FootnoteAnchor"/>
          <w:rtl w:val="true"/>
        </w:rPr>
        <w:footnoteReference w:id="219"/>
      </w:r>
      <w:r>
        <w:rPr>
          <w:rFonts w:ascii="IRNazanin" w:hAnsi="IRNazanin" w:eastAsia="IRNazanin"/>
          <w:color w:val="111111"/>
          <w:sz w:val="28"/>
          <w:sz w:val="28"/>
          <w:szCs w:val="28"/>
          <w:rtl w:val="true"/>
          <w:lang w:bidi="fa-IR"/>
        </w:rPr>
        <w:t>و إن کثرت، و لو اشترکوا فی فرس، اقتسموا سهمها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یسهم لغیرها من الدوابّ، و لا للعبید</w:t>
      </w:r>
      <w:r>
        <w:rPr>
          <w:rStyle w:val="FootnoteAnchor"/>
          <w:rtl w:val="true"/>
        </w:rPr>
        <w:footnoteReference w:id="220"/>
      </w:r>
      <w:r>
        <w:rPr>
          <w:rFonts w:ascii="IRNazanin" w:hAnsi="IRNazanin" w:eastAsia="IRNazanin"/>
          <w:color w:val="111111"/>
          <w:sz w:val="28"/>
          <w:sz w:val="28"/>
          <w:szCs w:val="28"/>
          <w:rtl w:val="true"/>
          <w:lang w:bidi="fa-IR"/>
        </w:rPr>
        <w:t>و النساء و الکفّار، و لکن یرضخ</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لهم بحسب ما یراه الإمام، و کان النبیّ صلّی‌اللّه علیه و آله یخرج النساء معه للمداواة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للأعراب و إن قاتلوا مع المهاجرین علی الأصحّ و یرضخ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یتشارک الجیش و سریّته</w:t>
      </w:r>
      <w:r>
        <w:rPr>
          <w:rStyle w:val="FootnoteAnchor"/>
          <w:rtl w:val="true"/>
        </w:rPr>
        <w:footnoteReference w:id="222"/>
      </w:r>
      <w:r>
        <w:rPr>
          <w:rFonts w:ascii="IRNazanin" w:hAnsi="IRNazanin" w:eastAsia="IRNazanin"/>
          <w:color w:val="111111"/>
          <w:sz w:val="28"/>
          <w:sz w:val="28"/>
          <w:szCs w:val="28"/>
          <w:rtl w:val="true"/>
          <w:lang w:bidi="fa-IR"/>
        </w:rPr>
        <w:t>، و لا فرق بین غنیمة البحر و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أسلم قبل الظفر به، عصم نفسه و ولده الأصاغر و ماله المنقول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عبد أسلم قبل مولاه و خرج إلینا فهو حرّ،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الغانم جاریة من المغنم فلا حدّ علیه عند الشیخ ناقلاً الإجماع</w:t>
      </w:r>
      <w:r>
        <w:rPr>
          <w:rStyle w:val="FootnoteAnchor"/>
          <w:rtl w:val="true"/>
        </w:rPr>
        <w:footnoteReference w:id="223"/>
      </w:r>
      <w:r>
        <w:rPr>
          <w:rFonts w:ascii="IRNazanin" w:hAnsi="IRNazanin" w:eastAsia="IRNazanin"/>
          <w:color w:val="111111"/>
          <w:sz w:val="28"/>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یلحق به الولد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فی الغنیمة أموال للمسلمین</w:t>
      </w:r>
      <w:r>
        <w:rPr>
          <w:rStyle w:val="FootnoteAnchor"/>
          <w:rtl w:val="true"/>
        </w:rPr>
        <w:footnoteReference w:id="225"/>
      </w:r>
      <w:r>
        <w:rPr>
          <w:rFonts w:ascii="IRNazanin" w:hAnsi="IRNazanin" w:eastAsia="IRNazanin"/>
          <w:color w:val="111111"/>
          <w:sz w:val="28"/>
          <w:sz w:val="28"/>
          <w:szCs w:val="28"/>
          <w:rtl w:val="true"/>
          <w:lang w:bidi="fa-IR"/>
        </w:rPr>
        <w:t xml:space="preserve">فهی لأربابها، و لو عرفت بعد القسمة </w:t>
      </w:r>
    </w:p>
    <w:p>
      <w:pPr>
        <w:pStyle w:val="BookText"/>
        <w:rPr/>
      </w:pP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العبید و الأموال فی سهم المقاتلة و تدفع القیمة إلی</w:t>
      </w:r>
    </w:p>
    <w:p>
      <w:pPr>
        <w:pStyle w:val="BookText"/>
        <w:rPr/>
      </w:pPr>
      <w:r>
        <w:rPr>
          <w:rFonts w:ascii="IRNazanin" w:hAnsi="IRNazanin" w:eastAsia="IRNazanin"/>
          <w:color w:val="111111"/>
          <w:sz w:val="28"/>
          <w:sz w:val="28"/>
          <w:szCs w:val="28"/>
          <w:rtl w:val="true"/>
          <w:lang w:bidi="fa-IR"/>
        </w:rPr>
        <w:t>أربابها من بیت المال</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الأحرار فلا سبیل علیهم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ینقل من الأرضین و العقارات، فهو للمسلمین قاطبة، و النظر فیه إلی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الأُساری</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فالإناث و الأطفال یملکون بالسبی مطلقاً، و الذکور البالغون یقتلون حتماً إن أُخذوا و لمّا تضع الحرب أوزارها، إلاّ أن یسلموا</w:t>
      </w:r>
      <w:r>
        <w:rPr>
          <w:rStyle w:val="FootnoteAnchor"/>
          <w:rtl w:val="true"/>
        </w:rPr>
        <w:footnoteReference w:id="228"/>
      </w:r>
      <w:r>
        <w:rPr>
          <w:rFonts w:ascii="IRNazanin" w:hAnsi="IRNazanin" w:eastAsia="IRNazanin"/>
          <w:color w:val="111111"/>
          <w:sz w:val="28"/>
          <w:sz w:val="28"/>
          <w:szCs w:val="28"/>
          <w:rtl w:val="true"/>
          <w:lang w:bidi="fa-IR"/>
        </w:rPr>
        <w:t>، و إن أُخذوا بعد الحرب، تخیّر الإمام فیهم بین المنّ و الفداء و الاسترقاق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فی المبسوط من استرقاق مَن لا یقرّ علی دینه، کالوثنیّ، بل یمنّ علیه أو یفادی</w:t>
      </w:r>
      <w:r>
        <w:rPr>
          <w:rStyle w:val="FootnoteAnchor"/>
          <w:rtl w:val="true"/>
        </w:rPr>
        <w:footnoteReference w:id="229"/>
      </w:r>
      <w:r>
        <w:rPr>
          <w:rFonts w:ascii="IRNazanin" w:hAnsi="IRNazanin" w:eastAsia="IRNazanin"/>
          <w:color w:val="111111"/>
          <w:sz w:val="28"/>
          <w:sz w:val="28"/>
          <w:szCs w:val="28"/>
          <w:rtl w:val="true"/>
          <w:lang w:bidi="fa-IR"/>
        </w:rPr>
        <w:t>، و تبعه الفاضل</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عجز الأسیر عن المشی، احتمل، فإن أُعوز، لم یحلّ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بإطلاقه فی النهایة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إطعام الأسیر و سقیه و إن أُرید قتله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فی القتل بین ضرب العنق و قطع الید و الرجل بغیر حسم لینزفوا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أسر المشرکون مسلماً، لم یجز له التزوّج</w:t>
      </w:r>
      <w:r>
        <w:rPr>
          <w:rStyle w:val="FootnoteAnchor"/>
          <w:rtl w:val="true"/>
        </w:rPr>
        <w:footnoteReference w:id="232"/>
      </w:r>
      <w:r>
        <w:rPr>
          <w:rFonts w:ascii="IRNazanin" w:hAnsi="IRNazanin" w:eastAsia="IRNazanin"/>
          <w:color w:val="111111"/>
          <w:sz w:val="28"/>
          <w:sz w:val="28"/>
          <w:szCs w:val="28"/>
          <w:rtl w:val="true"/>
          <w:lang w:bidi="fa-IR"/>
        </w:rPr>
        <w:t>فیهم، إلاّ أن یکونوا أهل کتاب، فیجوز متعة أو دواماً عند الضرورة الشدیدة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ینفسخ نکاح المشرکین بأسرهما، و کذا بأسر الزوجة وحدها، و بأسر الزوج الصغیر وحده، و لو أسر الزوج الکبیر وحده، لم یحکم بالانفساخ حتّی یسترقّ، و لو </w:t>
      </w:r>
      <w:bookmarkStart w:id="31" w:name="pg13665_218961"/>
    </w:p>
    <w:p>
      <w:pPr>
        <w:pStyle w:val="BookText"/>
        <w:rPr/>
      </w:pPr>
      <w:bookmarkEnd w:id="31"/>
      <w:r>
        <w:rPr>
          <w:rFonts w:ascii="IRNazanin" w:hAnsi="IRNazanin" w:eastAsia="IRNazanin"/>
          <w:color w:val="111111"/>
          <w:sz w:val="28"/>
          <w:sz w:val="28"/>
          <w:szCs w:val="28"/>
          <w:rtl w:val="true"/>
          <w:lang w:bidi="fa-IR"/>
        </w:rPr>
        <w:t>کانا رقیقین، تخیّر الغانم</w:t>
      </w:r>
      <w:r>
        <w:rPr>
          <w:rFonts w:eastAsia="IRNazanin" w:cs="IRNazanin"/>
          <w:color w:val="111111"/>
          <w:sz w:val="28"/>
          <w:szCs w:val="28"/>
          <w:rtl w:val="true"/>
          <w:lang w:bidi="fa-IR"/>
        </w:rPr>
        <w:t>.</w:t>
      </w:r>
    </w:p>
    <w:p>
      <w:pPr>
        <w:pStyle w:val="Heading3"/>
        <w:numPr>
          <w:ilvl w:val="2"/>
          <w:numId w:val="1"/>
        </w:numPr>
        <w:rPr/>
      </w:pPr>
      <w:bookmarkStart w:id="32" w:name="__RefHeading___Toc2071233_3830689328"/>
      <w:bookmarkStart w:id="33" w:name="_Toc11"/>
      <w:bookmarkEnd w:id="32"/>
      <w:r>
        <w:rPr>
          <w:rtl w:val="true"/>
        </w:rPr>
        <w:t xml:space="preserve">درس </w:t>
      </w:r>
      <w:r>
        <w:rPr>
          <w:rtl w:val="true"/>
        </w:rPr>
        <w:t>(</w:t>
      </w:r>
      <w:r>
        <w:rPr/>
        <w:t>131</w:t>
      </w:r>
      <w:r>
        <w:rPr>
          <w:rtl w:val="true"/>
        </w:rPr>
        <w:t>)</w:t>
      </w:r>
      <w:bookmarkEnd w:id="33"/>
    </w:p>
    <w:p>
      <w:pPr>
        <w:pStyle w:val="BookText"/>
        <w:rPr/>
      </w:pP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یجوز إخراج الشیوخ مادام فیهم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عمّار بصفّین و هو ابن نیّف و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أستحبّ أن ینقص سنّه عن ثمانی عشرة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الذمام من الواحد للآحاد بغیر إذن الإمام، خلافاً للحلبیّ مع قوله بوجوب الکفّ عمّن أذمّه و إن أثم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التحکیم فی الحرب، و یراعی فی الحاکم الکمال و الإیمان و العدالة و المعرفة بمصالح القتال و رضی الإمام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إذا کان أسیراً فی أیدی</w:t>
      </w:r>
    </w:p>
    <w:p>
      <w:pPr>
        <w:pStyle w:val="BookText"/>
        <w:rPr/>
      </w:pPr>
      <w:r>
        <w:rPr>
          <w:rFonts w:ascii="IRNazanin" w:hAnsi="IRNazanin" w:eastAsia="IRNazanin"/>
          <w:color w:val="111111"/>
          <w:sz w:val="28"/>
          <w:sz w:val="28"/>
          <w:szCs w:val="28"/>
          <w:rtl w:val="true"/>
          <w:lang w:bidi="fa-IR"/>
        </w:rPr>
        <w:t>المشرکین، و منعه ابن الجنید</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فینفذ حکمه مالم یخالف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تتقدّر الهُدْنة بما دون السنة، فیراعی الأصلح فی القدر، و لو اشتدّ الضعف، جازت إلی عشر سنین لا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هاجرت امرأة منهم إلینا مسلمة و تحقّق إسلامها، لم تعد، و یعاد علی زوجها ما سلّمه إلیها من الصداق المباح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الغارمین فی</w:t>
      </w:r>
      <w:r>
        <w:rPr>
          <w:rStyle w:val="FootnoteAnchor"/>
          <w:rtl w:val="true"/>
        </w:rPr>
        <w:footnoteReference w:id="236"/>
      </w:r>
      <w:r>
        <w:rPr>
          <w:rFonts w:ascii="IRNazanin" w:hAnsi="IRNazanin" w:eastAsia="IRNazanin"/>
          <w:color w:val="111111"/>
          <w:sz w:val="28"/>
          <w:sz w:val="28"/>
          <w:szCs w:val="28"/>
          <w:rtl w:val="true"/>
          <w:lang w:bidi="fa-IR"/>
        </w:rPr>
        <w:t>الزکاة، و لو کانت عینه باقیة، ردّ بعینه</w:t>
      </w:r>
      <w:r>
        <w:rPr>
          <w:rStyle w:val="FootnoteAnchor"/>
          <w:rtl w:val="true"/>
        </w:rPr>
        <w:footnoteReference w:id="237"/>
      </w:r>
      <w:r>
        <w:rPr>
          <w:rFonts w:ascii="IRNazanin" w:hAnsi="IRNazanin" w:eastAsia="IRNazanin"/>
          <w:color w:val="111111"/>
          <w:sz w:val="28"/>
          <w:sz w:val="28"/>
          <w:szCs w:val="28"/>
          <w:rtl w:val="true"/>
          <w:lang w:bidi="fa-IR"/>
        </w:rPr>
        <w:t>، و هو بعید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الغانمین لیس لهم تصرّف فی الغنیمة بأکل و لا </w:t>
      </w:r>
    </w:p>
    <w:p>
      <w:pPr>
        <w:pStyle w:val="BookText"/>
        <w:rPr/>
      </w:pPr>
      <w:r>
        <w:rPr>
          <w:rFonts w:ascii="IRNazanin" w:hAnsi="IRNazanin" w:eastAsia="IRNazanin"/>
          <w:color w:val="111111"/>
          <w:sz w:val="28"/>
          <w:sz w:val="28"/>
          <w:szCs w:val="28"/>
          <w:rtl w:val="true"/>
          <w:lang w:bidi="fa-IR"/>
        </w:rPr>
        <w:t>علف و لا غیره قبل القسمة</w:t>
      </w:r>
      <w:r>
        <w:rPr>
          <w:rStyle w:val="FootnoteAnchor"/>
          <w:rtl w:val="true"/>
        </w:rPr>
        <w:footnoteReference w:id="238"/>
      </w:r>
      <w:r>
        <w:rPr>
          <w:rFonts w:ascii="IRNazanin" w:hAnsi="IRNazanin" w:eastAsia="IRNazanin"/>
          <w:color w:val="111111"/>
          <w:sz w:val="28"/>
          <w:sz w:val="28"/>
          <w:szCs w:val="28"/>
          <w:rtl w:val="true"/>
          <w:lang w:bidi="fa-IR"/>
        </w:rPr>
        <w:t>، و جوّزه الشیخ فی المبسوط</w:t>
      </w:r>
      <w:r>
        <w:rPr>
          <w:rStyle w:val="FootnoteAnchor"/>
          <w:rtl w:val="true"/>
        </w:rPr>
        <w:footnoteReference w:id="239"/>
      </w:r>
      <w:r>
        <w:rPr>
          <w:rFonts w:ascii="IRNazanin" w:hAnsi="IRNazanin" w:eastAsia="IRNazanin"/>
          <w:color w:val="111111"/>
          <w:sz w:val="28"/>
          <w:sz w:val="28"/>
          <w:szCs w:val="28"/>
          <w:rtl w:val="true"/>
          <w:lang w:bidi="fa-IR"/>
        </w:rPr>
        <w:t>، و ابن الجنید</w:t>
      </w:r>
      <w:r>
        <w:rPr>
          <w:rStyle w:val="FootnoteAnchor"/>
          <w:rtl w:val="true"/>
        </w:rPr>
        <w:footnoteReference w:id="240"/>
      </w:r>
      <w:r>
        <w:rPr>
          <w:rFonts w:ascii="Amiri" w:hAnsi="Amiri" w:eastAsia="Amiri" w:cs="Amiri"/>
          <w:color w:val="111111"/>
          <w:sz w:val="28"/>
          <w:sz w:val="28"/>
          <w:szCs w:val="28"/>
          <w:rtl w:val="true"/>
          <w:lang w:bidi="ar-SA"/>
        </w:rPr>
        <w:t>مدّعیاً للإجماع</w:t>
      </w:r>
      <w:r>
        <w:rPr>
          <w:rStyle w:val="FootnoteAnchor"/>
          <w:rtl w:val="true"/>
        </w:rPr>
        <w:footnoteReference w:id="241"/>
      </w:r>
      <w:r>
        <w:rPr>
          <w:rFonts w:ascii="IRNazanin" w:hAnsi="IRNazanin" w:eastAsia="IRNazanin"/>
          <w:color w:val="111111"/>
          <w:sz w:val="28"/>
          <w:sz w:val="28"/>
          <w:szCs w:val="28"/>
          <w:rtl w:val="true"/>
          <w:lang w:bidi="fa-IR"/>
        </w:rPr>
        <w:t>،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للإمام الاصطفاء من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الحلبیّ أن یبدأ بسدّ ما ینوبه من خلل فی الإسلام و مصالح أهله و لو استغرق الغنیمة</w:t>
      </w:r>
      <w:r>
        <w:rPr>
          <w:rStyle w:val="FootnoteAnchor"/>
          <w:rtl w:val="true"/>
        </w:rPr>
        <w:footnoteReference w:id="242"/>
      </w:r>
      <w:r>
        <w:rPr>
          <w:rFonts w:ascii="IRNazanin" w:hAnsi="IRNazanin" w:eastAsia="IRNazanin"/>
          <w:color w:val="111111"/>
          <w:sz w:val="28"/>
          <w:sz w:val="28"/>
          <w:szCs w:val="28"/>
          <w:rtl w:val="true"/>
          <w:lang w:bidi="fa-IR"/>
        </w:rPr>
        <w:t>،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خیف استرجاع الکفّار الغنیمة، ففی جواز إتلاف الحیوان نظر، و قطع الشیخ بالمنع</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السلب و النقل بالشرط، و أوجب ابن الجنید السلب للقاتل بغیر شرط، و جعل للفارس ثلاثة أسهم</w:t>
      </w:r>
      <w:r>
        <w:rPr>
          <w:rStyle w:val="FootnoteAnchor"/>
          <w:rtl w:val="true"/>
        </w:rPr>
        <w:footnoteReference w:id="244"/>
      </w:r>
      <w:r>
        <w:rPr>
          <w:rFonts w:ascii="IRNazanin" w:hAnsi="IRNazanin" w:eastAsia="IRNazanin"/>
          <w:color w:val="111111"/>
          <w:sz w:val="28"/>
          <w:sz w:val="28"/>
          <w:szCs w:val="28"/>
          <w:rtl w:val="true"/>
          <w:lang w:bidi="fa-IR"/>
        </w:rPr>
        <w:t>؛ لروایة إسحاق بن عمّار</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یعارضها روایة حفص</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غیاث</w:t>
      </w:r>
      <w:r>
        <w:rPr>
          <w:rStyle w:val="FootnoteAnchor"/>
          <w:rtl w:val="true"/>
        </w:rPr>
        <w:footnoteReference w:id="246"/>
      </w:r>
      <w:r>
        <w:rPr>
          <w:rFonts w:ascii="IRNazanin" w:hAnsi="IRNazanin" w:eastAsia="IRNazanin"/>
          <w:color w:val="111111"/>
          <w:sz w:val="28"/>
          <w:sz w:val="28"/>
          <w:szCs w:val="28"/>
          <w:rtl w:val="true"/>
          <w:lang w:bidi="fa-IR"/>
        </w:rPr>
        <w:t>و إن کانت ضعیفة ؛ لاعتضادها بعمل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یسهم للعبد المأذون له، و لا المکاتب، خلافاً 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التفرقة بین الأُمّ و ولدها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من طریق الخاصّة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مستدرک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بیع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کره ابن الجنید التفریق بین</w:t>
      </w:r>
    </w:p>
    <w:p>
      <w:pPr>
        <w:pStyle w:val="BookText"/>
        <w:rPr/>
      </w:pPr>
      <w:r>
        <w:rPr>
          <w:rFonts w:ascii="IRNazanin" w:hAnsi="IRNazanin" w:eastAsia="IRNazanin"/>
          <w:color w:val="111111"/>
          <w:sz w:val="28"/>
          <w:sz w:val="28"/>
          <w:szCs w:val="28"/>
          <w:rtl w:val="true"/>
          <w:lang w:bidi="fa-IR"/>
        </w:rPr>
        <w:t>الصغیر، و بین مَن یقوم مقام الأبوین فی الشفقة</w:t>
      </w:r>
      <w:r>
        <w:rPr>
          <w:rStyle w:val="FootnoteAnchor"/>
          <w:rtl w:val="true"/>
        </w:rPr>
        <w:footnoteReference w:id="249"/>
      </w:r>
      <w:r>
        <w:rPr>
          <w:rFonts w:ascii="IRNazanin" w:hAnsi="IRNazanin" w:eastAsia="IRNazanin"/>
          <w:color w:val="111111"/>
          <w:sz w:val="28"/>
          <w:sz w:val="28"/>
          <w:szCs w:val="28"/>
          <w:rtl w:val="true"/>
          <w:lang w:bidi="fa-IR"/>
        </w:rPr>
        <w:t>، کالإخوة و الأجداد</w:t>
      </w:r>
      <w:r>
        <w:rPr>
          <w:rStyle w:val="FootnoteAnchor"/>
          <w:rtl w:val="true"/>
        </w:rPr>
        <w:footnoteReference w:id="250"/>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التفریق بین البیع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سبی الطفل منفرداً، تبع السابی فی الإسلام عند الشیخ</w:t>
      </w:r>
      <w:r>
        <w:rPr>
          <w:rStyle w:val="FootnoteAnchor"/>
          <w:rtl w:val="true"/>
        </w:rPr>
        <w:footnoteReference w:id="251"/>
      </w:r>
      <w:r>
        <w:rPr>
          <w:rFonts w:ascii="IRNazanin" w:hAnsi="IRNazanin" w:eastAsia="IRNazanin"/>
          <w:color w:val="111111"/>
          <w:sz w:val="28"/>
          <w:sz w:val="28"/>
          <w:szCs w:val="28"/>
          <w:rtl w:val="true"/>
          <w:lang w:bidi="fa-IR"/>
        </w:rPr>
        <w:t>و القاضی</w:t>
      </w:r>
      <w:r>
        <w:rPr>
          <w:rStyle w:val="FootnoteAnchor"/>
          <w:rtl w:val="true"/>
        </w:rPr>
        <w:footnoteReference w:id="252"/>
      </w:r>
      <w:r>
        <w:rPr>
          <w:rFonts w:ascii="IRNazanin" w:hAnsi="IRNazanin" w:eastAsia="IRNazanin"/>
          <w:color w:val="111111"/>
          <w:sz w:val="28"/>
          <w:sz w:val="28"/>
          <w:szCs w:val="28"/>
          <w:rtl w:val="true"/>
          <w:lang w:bidi="fa-IR"/>
        </w:rPr>
        <w:t>و ابن الجنید</w:t>
      </w:r>
      <w:r>
        <w:rPr>
          <w:rStyle w:val="FootnoteAnchor"/>
          <w:rtl w:val="true"/>
        </w:rPr>
        <w:footnoteReference w:id="253"/>
      </w:r>
      <w:r>
        <w:rPr>
          <w:rFonts w:ascii="IRNazanin" w:hAnsi="IRNazanin" w:eastAsia="IRNazanin"/>
          <w:color w:val="111111"/>
          <w:sz w:val="28"/>
          <w:sz w:val="28"/>
          <w:szCs w:val="28"/>
          <w:rtl w:val="true"/>
          <w:lang w:bidi="fa-IR"/>
        </w:rPr>
        <w:t>، 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أسلم الأسیر بعد حکم الإمام فیه، أنفذ، إلاّ القتل، و لو کان قبل الحکم، تخیّر بین المنّ و الفداء و الاسترقاق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الشیخ سقوط الاسترقاق</w:t>
      </w:r>
      <w:r>
        <w:rPr>
          <w:rStyle w:val="FootnoteAnchor"/>
          <w:rtl w:val="true"/>
        </w:rPr>
        <w:footnoteReference w:id="254"/>
      </w:r>
      <w:r>
        <w:rPr>
          <w:rFonts w:ascii="IRNazanin" w:hAnsi="IRNazanin" w:eastAsia="IRNazanin"/>
          <w:color w:val="111111"/>
          <w:sz w:val="28"/>
          <w:sz w:val="28"/>
          <w:szCs w:val="28"/>
          <w:rtl w:val="true"/>
          <w:lang w:bidi="fa-IR"/>
        </w:rPr>
        <w:t>؛ لأنّ عقیلاً أسلم بعد الأسر، ففداه النبیّ صلّی‌اللّه علیه و آله و لم یسترقّه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حکایة حال، فلا تعمّ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للذمّیّ استیطان الحجاز و لا جزیرة العرب، و حدّها من عدن إلی ریف عبّادان طولاً، و من تهامة و ما والاها إلی أطراف الشام عرضاً، و یجوز الاجتیاز و الامتیار</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سکناهم دار الهجرة إلاّ أن یدخلوها </w:t>
      </w:r>
    </w:p>
    <w:p>
      <w:pPr>
        <w:pStyle w:val="BookText"/>
        <w:rPr/>
      </w:pPr>
      <w:r>
        <w:rPr>
          <w:rFonts w:ascii="Amiri" w:hAnsi="Amiri" w:eastAsia="Amiri" w:cs="Amiri"/>
          <w:color w:val="111111"/>
          <w:sz w:val="28"/>
          <w:sz w:val="28"/>
          <w:szCs w:val="28"/>
          <w:rtl w:val="true"/>
          <w:lang w:bidi="ar-SA"/>
        </w:rPr>
        <w:t>نهاراً یتسوّقون بها و یخرجون لیلاً</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إقامتهم فیما صولحوا علیه، کأیلة</w:t>
      </w:r>
      <w:r>
        <w:rPr>
          <w:rStyle w:val="FootnoteAnchor"/>
          <w:rtl w:val="true"/>
        </w:rPr>
        <w:footnoteReference w:id="257"/>
      </w:r>
      <w:r>
        <w:rPr>
          <w:rFonts w:ascii="IRNazanin" w:hAnsi="IRNazanin" w:eastAsia="IRNazanin"/>
          <w:color w:val="111111"/>
          <w:sz w:val="28"/>
          <w:sz w:val="28"/>
          <w:szCs w:val="28"/>
          <w:rtl w:val="true"/>
          <w:lang w:bidi="fa-IR"/>
        </w:rPr>
        <w:t>و تیماء</w:t>
      </w:r>
      <w:r>
        <w:rPr>
          <w:rStyle w:val="FootnoteAnchor"/>
          <w:rtl w:val="true"/>
        </w:rPr>
        <w:footnoteReference w:id="258"/>
      </w:r>
      <w:r>
        <w:rPr>
          <w:rFonts w:ascii="IRNazanin" w:hAnsi="IRNazanin" w:eastAsia="IRNazanin"/>
          <w:color w:val="111111"/>
          <w:sz w:val="28"/>
          <w:sz w:val="28"/>
          <w:szCs w:val="28"/>
          <w:rtl w:val="true"/>
          <w:lang w:bidi="fa-IR"/>
        </w:rPr>
        <w:t>و وادی القری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بلدة مصّرها المسلمون لا یجوز إحداث کنیسة و لا بیعة و لا بیت نار فیها إجماعاً، و کذا لو سکنوا الأرض المفتوحة عنوة، لم یحدثوا فیها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ابن الجنید من سکناهم مصراً مصّره المسلمون و من دفنهم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التمصّر</w:t>
      </w:r>
      <w:r>
        <w:rPr>
          <w:rStyle w:val="FootnoteAnchor"/>
          <w:rtl w:val="true"/>
        </w:rPr>
        <w:footnoteReference w:id="260"/>
      </w:r>
      <w:r>
        <w:rPr>
          <w:rFonts w:ascii="IRNazanin" w:hAnsi="IRNazanin" w:eastAsia="IRNazanin"/>
          <w:color w:val="111111"/>
          <w:sz w:val="28"/>
          <w:sz w:val="28"/>
          <w:szCs w:val="28"/>
          <w:rtl w:val="true"/>
          <w:lang w:bidi="fa-IR"/>
        </w:rPr>
        <w:t>إمّا بالإحداث، کالکوفة و البصرة و بغداد و سرّ مَن رأی، أو بالإسلام علیها</w:t>
      </w:r>
      <w:r>
        <w:rPr>
          <w:rStyle w:val="FootnoteAnchor"/>
          <w:rtl w:val="true"/>
        </w:rPr>
        <w:footnoteReference w:id="261"/>
      </w:r>
      <w:r>
        <w:rPr>
          <w:rFonts w:ascii="IRNazanin" w:hAnsi="IRNazanin" w:eastAsia="IRNazanin"/>
          <w:color w:val="111111"/>
          <w:sz w:val="28"/>
          <w:sz w:val="28"/>
          <w:szCs w:val="28"/>
          <w:rtl w:val="true"/>
          <w:lang w:bidi="fa-IR"/>
        </w:rPr>
        <w:t>طوعاً، کالمدینة و الطائف و الیمن و بعض الدیلم، أو بقسمة بلاد العنوة بین المسلمین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اشتراط ضیافة مارّة</w:t>
      </w:r>
      <w:r>
        <w:rPr>
          <w:rStyle w:val="FootnoteAnchor"/>
          <w:rtl w:val="true"/>
        </w:rPr>
        <w:footnoteReference w:id="263"/>
      </w:r>
      <w:r>
        <w:rPr>
          <w:rFonts w:ascii="IRNazanin" w:hAnsi="IRNazanin" w:eastAsia="IRNazanin"/>
          <w:color w:val="111111"/>
          <w:sz w:val="28"/>
          <w:sz w:val="28"/>
          <w:szCs w:val="28"/>
          <w:rtl w:val="true"/>
          <w:lang w:bidi="fa-IR"/>
        </w:rPr>
        <w:t>المسلمین، کما شرط رسول‌اللّه صلّی‌اللّه علیه و آله علی أهل أیلة أن یضیّفوا مَن مرّ بهم من المسلمین ثلاثاً، و شرط علی أهل نجران إقراء رسله عشرین لیلة فما دون، و عاریة ثلاثین فرساً، و ثلاثین بعیراً و ثلاثین درعاً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بدأة الذمّیّ بالسّلام، و إذا سلّم، أُجیب بعلیکم، و یکره مصافحته، فإن</w:t>
      </w:r>
    </w:p>
    <w:p>
      <w:pPr>
        <w:pStyle w:val="BookText"/>
        <w:rPr/>
      </w:pPr>
      <w:r>
        <w:rPr>
          <w:rFonts w:ascii="IRNazanin" w:hAnsi="IRNazanin" w:eastAsia="IRNazanin"/>
          <w:color w:val="111111"/>
          <w:sz w:val="28"/>
          <w:sz w:val="28"/>
          <w:szCs w:val="28"/>
          <w:rtl w:val="true"/>
          <w:lang w:bidi="fa-IR"/>
        </w:rPr>
        <w:t>فعل فمن وراء الثیاب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أن یضطرّ إلی أضیق الطرق، و أن یمنع من الجادّة، و أمّا العلامة و الرکوب عرضاً، و المنع من الخیل، و حذف مقادیم الشعور، و ترک الکنی الإسلامیّة </w:t>
      </w:r>
    </w:p>
    <w:p>
      <w:pPr>
        <w:pStyle w:val="BookText"/>
        <w:rPr/>
      </w:pPr>
      <w:r>
        <w:rPr>
          <w:rFonts w:ascii="IRNazanin" w:hAnsi="IRNazanin" w:eastAsia="IRNazanin"/>
          <w:color w:val="111111"/>
          <w:sz w:val="28"/>
          <w:sz w:val="28"/>
          <w:szCs w:val="28"/>
          <w:rtl w:val="true"/>
          <w:lang w:bidi="fa-IR"/>
        </w:rPr>
        <w:t>و شبه ذلک، فلم نقف علیه لأئمّتنا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أسلم الذمّیّ بعد الحول قبل الأداء، سقطت الجزیة علی الأصحّ، و لو أسلم قوم علی أرضهم طوعاً، ملکوها، و لیس علیهم فیها سوی الزکاة مع اجتماع الشرائط، و لو ترکوا عمارتها، فالمشهور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یقبلها بما یراه و یصرفه فی مصالح المسلمین</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من حاصلها طسقها لأربابها و الباقی للمسلمین</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 منع من التصرّف بغیر إذن أربابها</w:t>
      </w:r>
      <w:r>
        <w:rPr>
          <w:rStyle w:val="FootnoteAnchor"/>
          <w:rtl w:val="true"/>
        </w:rPr>
        <w:footnoteReference w:id="266"/>
      </w:r>
      <w:r>
        <w:rPr>
          <w:rFonts w:ascii="IRNazanin" w:hAnsi="IRNazanin" w:eastAsia="IRNazanin"/>
          <w:color w:val="111111"/>
          <w:sz w:val="28"/>
          <w:sz w:val="28"/>
          <w:szCs w:val="28"/>
          <w:rtl w:val="true"/>
          <w:lang w:bidi="fa-IR"/>
        </w:rPr>
        <w:t>، 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الذمّیّ أرضه المجعول علیها الجزیة علی مسلم، انتقل إلی الذمّیّ ؛ لأ نّه 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المشتری مع الزکاة</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مردود ؛ لقوله صلّی‌اللّه</w:t>
      </w:r>
    </w:p>
    <w:p>
      <w:pPr>
        <w:pStyle w:val="BookText"/>
        <w:rPr/>
      </w:pPr>
      <w:r>
        <w:rPr>
          <w:rFonts w:ascii="IRNazanin" w:hAnsi="IRNazanin" w:eastAsia="IRNazanin"/>
          <w:color w:val="111111"/>
          <w:sz w:val="28"/>
          <w:sz w:val="28"/>
          <w:szCs w:val="28"/>
          <w:rtl w:val="true"/>
          <w:lang w:bidi="fa-IR"/>
        </w:rPr>
        <w:t xml:space="preserve">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جزیة علی مسلم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استأجرها الذمّیّ من مسلم أو ذمّیّ</w:t>
      </w:r>
      <w:r>
        <w:rPr>
          <w:rStyle w:val="FootnoteAnchor"/>
          <w:rtl w:val="true"/>
        </w:rPr>
        <w:footnoteReference w:id="269"/>
      </w:r>
      <w:r>
        <w:rPr>
          <w:rFonts w:ascii="IRNazanin" w:hAnsi="IRNazanin" w:eastAsia="IRNazanin"/>
          <w:color w:val="111111"/>
          <w:sz w:val="28"/>
          <w:sz w:val="28"/>
          <w:szCs w:val="28"/>
          <w:rtl w:val="true"/>
          <w:lang w:bidi="fa-IR"/>
        </w:rPr>
        <w:t>، فخراجها علی المستأجر</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إلاّ مع الشرط، و مصرف الجزیة عسکر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التصرّف فی المفتوحة عنوة إلاّ بإذن الإمام علیه‌السّلام، سواء کان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بالوقف أو بالبیع أو غیرهما، نعم، فی حال الغیبة ینفذ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فی المبسوط أنّ التصرّف فیها لا ینفذ</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یباع و یوقف تحجیرنا و بناؤنا </w:t>
      </w:r>
      <w:bookmarkStart w:id="34" w:name="pg13665_218966"/>
    </w:p>
    <w:p>
      <w:pPr>
        <w:pStyle w:val="BookText"/>
        <w:rPr/>
      </w:pPr>
      <w:bookmarkEnd w:id="34"/>
      <w:r>
        <w:rPr>
          <w:rFonts w:ascii="IRNazanin" w:hAnsi="IRNazanin" w:eastAsia="IRNazanin"/>
          <w:color w:val="111111"/>
          <w:sz w:val="28"/>
          <w:sz w:val="28"/>
          <w:szCs w:val="28"/>
          <w:rtl w:val="true"/>
          <w:lang w:bidi="fa-IR"/>
        </w:rPr>
        <w:t>و تصرّفنا لا نفس الأرض</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بیع المصحف للکافر، و لا یملکه لو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الشیخ أحادیث رسول‌اللّه صلّی‌اللّه علیه و آله</w:t>
      </w:r>
      <w:r>
        <w:rPr>
          <w:rStyle w:val="FootnoteAnchor"/>
          <w:rtl w:val="true"/>
        </w:rPr>
        <w:footnoteReference w:id="273"/>
      </w:r>
      <w:r>
        <w:rPr>
          <w:rFonts w:ascii="IRNazanin" w:hAnsi="IRNazanin" w:eastAsia="IRNazanin"/>
          <w:color w:val="111111"/>
          <w:sz w:val="28"/>
          <w:sz w:val="28"/>
          <w:szCs w:val="28"/>
          <w:rtl w:val="true"/>
          <w:lang w:bidi="fa-IR"/>
        </w:rPr>
        <w:t>، و کرهه الفاضلان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071235_3830689328"/>
      <w:bookmarkStart w:id="36" w:name="_Toc12"/>
      <w:bookmarkEnd w:id="35"/>
      <w:r>
        <w:rPr>
          <w:rtl w:val="true"/>
        </w:rPr>
        <w:t xml:space="preserve">درس </w:t>
      </w:r>
      <w:r>
        <w:rPr>
          <w:rtl w:val="true"/>
        </w:rPr>
        <w:t>(</w:t>
      </w:r>
      <w:r>
        <w:rPr/>
        <w:t>132</w:t>
      </w:r>
      <w:r>
        <w:rPr>
          <w:rtl w:val="true"/>
        </w:rPr>
        <w:t>)</w:t>
      </w:r>
      <w:bookmarkEnd w:id="36"/>
    </w:p>
    <w:p>
      <w:pPr>
        <w:pStyle w:val="BookText"/>
        <w:rPr/>
      </w:pPr>
      <w:r>
        <w:rPr>
          <w:rFonts w:ascii="IRNazanin" w:hAnsi="IRNazanin" w:eastAsia="IRNazanin"/>
          <w:color w:val="111111"/>
          <w:sz w:val="28"/>
          <w:sz w:val="28"/>
          <w:szCs w:val="28"/>
          <w:rtl w:val="true"/>
          <w:lang w:bidi="fa-IR"/>
        </w:rPr>
        <w:t>یجب قتال البغاة علی الإمام العادل إذا استنفر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النبیّ صلّی‌اللّه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 واعیتَنا أهلَ البیت أحدٌ فلم یُجِبْها إلاّ أکبّه</w:t>
      </w:r>
      <w:r>
        <w:rPr>
          <w:rStyle w:val="FootnoteAnchor"/>
          <w:rtl w:val="true"/>
        </w:rPr>
        <w:footnoteReference w:id="276"/>
      </w:r>
      <w:r>
        <w:rPr>
          <w:rFonts w:ascii="Amiri" w:hAnsi="Amiri" w:eastAsia="Amiri" w:cs="Amiri"/>
          <w:color w:val="111111"/>
          <w:sz w:val="28"/>
          <w:sz w:val="28"/>
          <w:szCs w:val="28"/>
          <w:rtl w:val="true"/>
          <w:lang w:bidi="ar-SA"/>
        </w:rPr>
        <w:t>اللّه‌ُ علی مِنْخِرَیْه فی النار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علیه‌السّلام فی عقاب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خفقت رایة علی رأس امری‌ء مؤمن فی سبیل اللّه فطعمته النار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کیفیّة قتال البغاة مثل کیفیّة قتال المشرکین، و الفرار کالفرار، إلاّ أنّ البغاة إذا</w:t>
      </w:r>
    </w:p>
    <w:p>
      <w:pPr>
        <w:pStyle w:val="BookText"/>
        <w:rPr/>
      </w:pPr>
      <w:r>
        <w:rPr>
          <w:rFonts w:ascii="IRNazanin" w:hAnsi="IRNazanin" w:eastAsia="IRNazanin"/>
          <w:color w:val="111111"/>
          <w:sz w:val="28"/>
          <w:sz w:val="28"/>
          <w:szCs w:val="28"/>
          <w:rtl w:val="true"/>
          <w:lang w:bidi="fa-IR"/>
        </w:rPr>
        <w:t>کان لهم فئة، أُجهز علی جریحهم و تبع مدبرهم و قتل أسیرهم، و إن لم تکن لهم فئة،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اقتصر علی تفریقهم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الحسن أ نّهم یعرضون علی السیف، فمن تاب منهم، ترک، و إلاّ قتل</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یجوز سبی نساء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الحسن أنّ للإمام ذلک إن شاء</w:t>
      </w:r>
      <w:r>
        <w:rPr>
          <w:rStyle w:val="FootnoteAnchor"/>
          <w:rtl w:val="true"/>
        </w:rPr>
        <w:footnoteReference w:id="279"/>
      </w:r>
      <w:r>
        <w:rPr>
          <w:rFonts w:ascii="IRNazanin" w:hAnsi="IRNazanin" w:eastAsia="IRNazanin"/>
          <w:color w:val="111111"/>
          <w:sz w:val="28"/>
          <w:sz w:val="28"/>
          <w:szCs w:val="28"/>
          <w:rtl w:val="true"/>
          <w:lang w:bidi="fa-IR"/>
        </w:rPr>
        <w:t xml:space="preserve">؛ لمفهوم قول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مننت علی أهل البصرة کما منّ رسول‌اللّه صلّی‌اللّه علیه و آله علی أهل مکّة</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لرسول‌اللّه صلّی‌اللّه علیه و آله أن یسبی، فکذا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تقسّم أموالهم التی لم یحوها العسکر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المرتضی قتالهم بسلاحهم علی</w:t>
      </w:r>
      <w:r>
        <w:rPr>
          <w:rStyle w:val="FootnoteAnchor"/>
          <w:rtl w:val="true"/>
        </w:rPr>
        <w:footnoteReference w:id="281"/>
      </w:r>
      <w:r>
        <w:rPr>
          <w:rFonts w:ascii="Amiri" w:hAnsi="Amiri" w:eastAsia="Amiri" w:cs="Amiri"/>
          <w:color w:val="111111"/>
          <w:sz w:val="28"/>
          <w:sz w:val="28"/>
          <w:szCs w:val="28"/>
          <w:rtl w:val="true"/>
          <w:lang w:bidi="ar-SA"/>
        </w:rPr>
        <w:t>دوابّهم</w:t>
      </w:r>
      <w:r>
        <w:rPr>
          <w:rStyle w:val="FootnoteAnchor"/>
          <w:rtl w:val="true"/>
        </w:rPr>
        <w:footnoteReference w:id="282"/>
      </w:r>
      <w:r>
        <w:rPr>
          <w:rFonts w:ascii="Amiri" w:hAnsi="Amiri" w:eastAsia="Amiri" w:cs="Amiri"/>
          <w:color w:val="111111"/>
          <w:sz w:val="28"/>
          <w:sz w:val="28"/>
          <w:szCs w:val="28"/>
          <w:rtl w:val="true"/>
          <w:lang w:bidi="ar-SA"/>
        </w:rPr>
        <w:t xml:space="preserve">؛ لعموم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حواه العسکر إذا رجعوا إلی طاعة الإمام حرام أیضاً، و إن أصرّوا، فالأکثر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قسمته کقسمة الغنیمة</w:t>
      </w:r>
      <w:r>
        <w:rPr>
          <w:rStyle w:val="FootnoteAnchor"/>
          <w:rtl w:val="true"/>
        </w:rPr>
        <w:footnoteReference w:id="284"/>
      </w:r>
      <w:r>
        <w:rPr>
          <w:rFonts w:ascii="IRNazanin" w:hAnsi="IRNazanin" w:eastAsia="IRNazanin"/>
          <w:color w:val="111111"/>
          <w:sz w:val="28"/>
          <w:sz w:val="28"/>
          <w:szCs w:val="28"/>
          <w:rtl w:val="true"/>
          <w:lang w:bidi="fa-IR"/>
        </w:rPr>
        <w:t>، و أنکره المرتضی</w:t>
      </w:r>
      <w:r>
        <w:rPr>
          <w:rStyle w:val="FootnoteAnchor"/>
          <w:rtl w:val="true"/>
        </w:rPr>
        <w:footnoteReference w:id="285"/>
      </w:r>
      <w:r>
        <w:rPr>
          <w:rFonts w:ascii="IRNazanin" w:hAnsi="IRNazanin" w:eastAsia="IRNazanin"/>
          <w:color w:val="111111"/>
          <w:sz w:val="28"/>
          <w:sz w:val="28"/>
          <w:szCs w:val="28"/>
          <w:rtl w:val="true"/>
          <w:lang w:bidi="fa-IR"/>
        </w:rPr>
        <w:t>و ابن إدریس</w:t>
      </w:r>
      <w:r>
        <w:rPr>
          <w:rStyle w:val="FootnoteAnchor"/>
          <w:rtl w:val="true"/>
        </w:rPr>
        <w:footnoteReference w:id="286"/>
      </w:r>
      <w:r>
        <w:rPr>
          <w:rFonts w:ascii="IRNazanin" w:hAnsi="IRNazanin" w:eastAsia="IRNazanin"/>
          <w:color w:val="111111"/>
          <w:sz w:val="28"/>
          <w:sz w:val="28"/>
          <w:szCs w:val="28"/>
          <w:rtl w:val="true"/>
          <w:lang w:bidi="fa-IR"/>
        </w:rPr>
        <w:t>، و هو الأقرب ؛ عملاً بسیرة علیّ علیه‌السّلام فی أهل البصرة، فإنّه أمر بردّ أموالهم فأُخذت</w:t>
      </w:r>
    </w:p>
    <w:p>
      <w:pPr>
        <w:pStyle w:val="BookText"/>
        <w:rPr/>
      </w:pPr>
      <w:r>
        <w:rPr>
          <w:rFonts w:ascii="Amiri" w:hAnsi="Amiri" w:eastAsia="Amiri" w:cs="Amiri"/>
          <w:color w:val="111111"/>
          <w:sz w:val="28"/>
          <w:sz w:val="28"/>
          <w:szCs w:val="28"/>
          <w:rtl w:val="true"/>
          <w:lang w:bidi="ar-SA"/>
        </w:rPr>
        <w:t>حتّی القدور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استؤسر منهم مقاتل، حبس حتّی تنقضی الحرب، و لو کان غیر مقاتل،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کالنساء و الزَّمْنَی و الشیوخ و الصبیان، أُطلقوا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الشیخ فی الخلاف أ نّهم </w:t>
      </w:r>
    </w:p>
    <w:p>
      <w:pPr>
        <w:pStyle w:val="BookText"/>
        <w:rPr/>
      </w:pPr>
      <w:r>
        <w:rPr>
          <w:rFonts w:ascii="IRNazanin" w:hAnsi="IRNazanin" w:eastAsia="IRNazanin"/>
          <w:color w:val="111111"/>
          <w:sz w:val="28"/>
          <w:sz w:val="28"/>
          <w:szCs w:val="28"/>
          <w:rtl w:val="true"/>
          <w:lang w:bidi="fa-IR"/>
        </w:rPr>
        <w:t>یحبسون</w:t>
      </w:r>
      <w:r>
        <w:rPr>
          <w:rStyle w:val="FootnoteAnchor"/>
          <w:rtl w:val="true"/>
        </w:rPr>
        <w:footnoteReference w:id="288"/>
      </w:r>
      <w:r>
        <w:rPr>
          <w:rFonts w:ascii="IRNazanin" w:hAnsi="IRNazanin" w:eastAsia="IRNazanin"/>
          <w:color w:val="111111"/>
          <w:sz w:val="28"/>
          <w:sz w:val="28"/>
          <w:szCs w:val="28"/>
          <w:rtl w:val="true"/>
          <w:lang w:bidi="fa-IR"/>
        </w:rPr>
        <w:t>، و هو ظاهر ابن الجنید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البغی اسم ذمّ عندنا، و فی تکفیره قولان یتفرّع علیهما تغسیله و الصلاة علیه و دفنه، لا حلّ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اشترط الشیخ فی قتال البغاة 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کونهم فی منعة لا یمکن تفریقهم إلاّ بالجیوش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یخرجوا عن قبضة الإمام فی بلد أو 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یکونوا علی المباینة بتأویل یعتقدونه، و إلاّ فهم محاربون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تجوز الاستعانة بأهل الذمّة فی قتال البغاة مع الأمن، و فی قتال المشرکین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استعان البغاة بنسائهم و أطفالهم فکما تقدّم، و لو عاذوا بالمصاحف و الدعوة إلی حکم الکتاب، لم یلتفت إلیهم إذا کانوا قد دعوا إلیه فامتنعوا، و قوتلوا</w:t>
      </w:r>
    </w:p>
    <w:p>
      <w:pPr>
        <w:pStyle w:val="BookText"/>
        <w:rPr/>
      </w:pPr>
      <w:r>
        <w:rPr>
          <w:rFonts w:ascii="Amiri" w:hAnsi="Amiri" w:eastAsia="Amiri" w:cs="Amiri"/>
          <w:color w:val="111111"/>
          <w:sz w:val="28"/>
          <w:sz w:val="28"/>
          <w:szCs w:val="28"/>
          <w:rtl w:val="true"/>
          <w:lang w:bidi="ar-SA"/>
        </w:rPr>
        <w:t>حتّی یصرّحوا بالفئة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قاتل الذمّیّ معهم، نقض عهده، فلو ادّعوا الجهل أو الإکراه،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غزا المشرکون البغاة فعلی الإمام الذبّ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یضمن البغاة ما أتلفوه علی أهل العدل نفساً و مالاً، حال الحرب و بعده، بخلاف العکس، و أمّا جنایة أهل الحرب علی المسلمین فمغتفرة إذا أسلموا نفساً و مالاً، و کذا جنایة حربیّ علی حربیّ هدر إذا أسلما، و العادل إذا قتل فهو شهید إجماعاً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 النبیّ صلّی‌اللّه علیه و آله أو أحد الأئمّة المعصومین علیهم‌السّلام</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یجب</w:t>
      </w:r>
      <w:r>
        <w:rPr>
          <w:rStyle w:val="FootnoteAnchor"/>
          <w:rtl w:val="true"/>
        </w:rPr>
        <w:footnoteReference w:id="292"/>
      </w:r>
      <w:r>
        <w:rPr>
          <w:rFonts w:ascii="Amiri" w:hAnsi="Amiri" w:eastAsia="Amiri" w:cs="Amiri"/>
          <w:color w:val="111111"/>
          <w:sz w:val="28"/>
          <w:sz w:val="28"/>
          <w:szCs w:val="28"/>
          <w:rtl w:val="true"/>
          <w:lang w:bidi="ar-SA"/>
        </w:rPr>
        <w:t>قتله و یحلّ دمه لکلّ سامع مع الأمن، و لو عرّض، عزّر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مانع الزکاة مستحلاًّ مرتدّ، و غیره یقاتَل حتّی یدفعها</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3665_218971"/>
      <w:bookmarkStart w:id="38" w:name="pg13665_218971"/>
      <w:bookmarkEnd w:id="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pg13665_218971"/>
      <w:bookmarkStart w:id="40" w:name="__RefHeading___Toc2071237_3830689328"/>
      <w:bookmarkStart w:id="41" w:name="_Toc13"/>
      <w:bookmarkEnd w:id="39"/>
      <w:bookmarkEnd w:id="40"/>
      <w:r>
        <w:rPr>
          <w:rtl w:val="true"/>
        </w:rPr>
        <w:t>کتاب الحِسْبَة</w:t>
      </w:r>
      <w:bookmarkEnd w:id="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الحسبة</w:t>
      </w:r>
    </w:p>
    <w:p>
      <w:pPr>
        <w:pStyle w:val="BookText"/>
        <w:rPr/>
      </w:pPr>
      <w:r>
        <w:rPr>
          <w:rFonts w:ascii="IRNazanin" w:hAnsi="IRNazanin" w:eastAsia="IRNazanin"/>
          <w:color w:val="111111"/>
          <w:sz w:val="28"/>
          <w:sz w:val="28"/>
          <w:szCs w:val="28"/>
          <w:rtl w:val="true"/>
          <w:lang w:bidi="fa-IR"/>
        </w:rPr>
        <w:t xml:space="preserve">یجب الأمر بالمعروف الواجب و النهی عن المنکر بشروط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التکلیف، و العلم بجهة الفعل، و إمکان التأثیر، و انتفاء المفسدة، و أن یکون المعروف ممّا سیقع و المنکر ممّا سیُترک، و عدم ظنّ قیام الغیر مقامه علی الأقوی، و بعض هذه شروط</w:t>
      </w:r>
      <w:r>
        <w:rPr>
          <w:rStyle w:val="FootnoteAnchor"/>
          <w:rtl w:val="true"/>
        </w:rPr>
        <w:footnoteReference w:id="293"/>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مدرک وجوبهما العقل و النقل، و لا یلزم وجوبهما علی اللّه تعالی بمعنی</w:t>
      </w:r>
      <w:r>
        <w:rPr>
          <w:rStyle w:val="FootnoteAnchor"/>
          <w:rtl w:val="true"/>
        </w:rPr>
        <w:footnoteReference w:id="294"/>
      </w:r>
      <w:r>
        <w:rPr>
          <w:rFonts w:ascii="IRNazanin" w:hAnsi="IRNazanin" w:eastAsia="IRNazanin"/>
          <w:color w:val="111111"/>
          <w:sz w:val="28"/>
          <w:sz w:val="28"/>
          <w:szCs w:val="28"/>
          <w:rtl w:val="true"/>
          <w:lang w:bidi="fa-IR"/>
        </w:rPr>
        <w:t>یحصل معه أثرهما ؛ حذراً من 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الأمر بالمندوب و النهی عن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طریق الأمر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التدرّج، فالإعراض، ثمّ الکلام اللیّن، ثمّ الخشن، ثمّ الأخشن، ثمّ الضرب غیر المبرِّح، ثمّ المبرّح، أمّا الجرح و القتل،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تفویضهما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بالقلب وجوباً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سقوط إظهارهما ظنّ الضرر علی المباشر أو علی بعض المؤمنین نفساً أو مالاً، و حینئذٍ،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و لو لم یجوّز التأثیر و أمن الضرر، جاز</w:t>
      </w:r>
    </w:p>
    <w:p>
      <w:pPr>
        <w:pStyle w:val="BookText"/>
        <w:rPr/>
      </w:pPr>
      <w:r>
        <w:rPr>
          <w:rFonts w:ascii="IRNazanin" w:hAnsi="IRNazanin" w:eastAsia="IRNazanin"/>
          <w:color w:val="111111"/>
          <w:sz w:val="28"/>
          <w:sz w:val="28"/>
          <w:szCs w:val="28"/>
          <w:rtl w:val="true"/>
          <w:lang w:bidi="fa-IR"/>
        </w:rPr>
        <w:t>الإنکار قطعاً، و لو لاح من المتلبّس أمارة الندم، حرم قطعاً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الحدود و التعزیرات إلی الإمام أو نائبه و لو عموماً، فیجوز فی حال الغیبة </w:t>
      </w:r>
    </w:p>
    <w:p>
      <w:pPr>
        <w:pStyle w:val="BookText"/>
        <w:rPr/>
      </w:pPr>
      <w:r>
        <w:rPr>
          <w:rFonts w:ascii="IRNazanin" w:hAnsi="IRNazanin" w:eastAsia="IRNazanin"/>
          <w:color w:val="111111"/>
          <w:sz w:val="28"/>
          <w:sz w:val="28"/>
          <w:szCs w:val="28"/>
          <w:rtl w:val="true"/>
          <w:lang w:bidi="fa-IR"/>
        </w:rPr>
        <w:t xml:space="preserve">للفقیه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بما یأتی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إقامتها مع المکنة، و یجب علی العامّة تقویته و منع المتغلّب علیه مع الإمکان، و یجب علیه الإفتاء مع الأمن، و علی العامّة</w:t>
      </w:r>
    </w:p>
    <w:p>
      <w:pPr>
        <w:pStyle w:val="BookText"/>
        <w:rPr/>
      </w:pPr>
      <w:r>
        <w:rPr>
          <w:rFonts w:ascii="IRNazanin" w:hAnsi="IRNazanin" w:eastAsia="IRNazanin"/>
          <w:color w:val="111111"/>
          <w:sz w:val="28"/>
          <w:sz w:val="28"/>
          <w:szCs w:val="28"/>
          <w:rtl w:val="true"/>
          <w:lang w:bidi="fa-IR"/>
        </w:rPr>
        <w:t>المصیر إلیه، و الترافع فی الأحکام، فیعصی مؤثر المخالف و یفسق، و لا یکفی فی الحکم و الإفتاء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تولّی القضاء من قبل الجائر إلاّ مع الإکراه أو التمکّن من الأمر بالمعروف و النهی عن المنکر، و لو أُکره علی الحکم أو الإفتاء بغیر حقّ، أجاب إلاّ فی القتل، و فی إجراء الجرح مجراه خلاف، قطع الشیخ فی الکلام بأ نّه کالقتل فی عدم جوازه بالإکراه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للمولی إقامة الحدّ علی رقیقه إذا شاهد أو أقرّ الرقّ أو قامت عنده بیّنة تثبت</w:t>
      </w:r>
      <w:r>
        <w:rPr>
          <w:rStyle w:val="FootnoteAnchor"/>
          <w:rtl w:val="true"/>
        </w:rPr>
        <w:footnoteReference w:id="296"/>
      </w:r>
      <w:r>
        <w:rPr>
          <w:rFonts w:ascii="IRNazanin" w:hAnsi="IRNazanin" w:eastAsia="IRNazanin"/>
          <w:color w:val="111111"/>
          <w:sz w:val="28"/>
          <w:sz w:val="28"/>
          <w:szCs w:val="28"/>
          <w:rtl w:val="true"/>
          <w:lang w:bidi="fa-IR"/>
        </w:rPr>
        <w:t>عند الحاکم علی قول</w:t>
      </w:r>
      <w:r>
        <w:rPr>
          <w:rStyle w:val="FootnoteAnchor"/>
          <w:rtl w:val="true"/>
        </w:rPr>
        <w:footnoteReference w:id="297"/>
      </w:r>
      <w:r>
        <w:rPr>
          <w:rFonts w:ascii="IRNazanin" w:hAnsi="IRNazanin" w:eastAsia="IRNazanin"/>
          <w:color w:val="111111"/>
          <w:sz w:val="28"/>
          <w:sz w:val="28"/>
          <w:szCs w:val="28"/>
          <w:rtl w:val="true"/>
          <w:lang w:bidi="fa-IR"/>
        </w:rPr>
        <w:t>، و للأب الإقامة علی ولده کذلک و إن نزل، و للزوج علی الزوجة حرّین أو عبدین أو أحدهما، فیجتمع علی الأمة ولایة الزوج و السیّد، و لا فرق بین الجلد و الرجم ؛ لما روی أ نّه لو وجد رجلاً یزنی بامرأته، فله</w:t>
      </w:r>
    </w:p>
    <w:p>
      <w:pPr>
        <w:pStyle w:val="BookText"/>
        <w:rPr/>
      </w:pPr>
      <w:r>
        <w:rPr>
          <w:rFonts w:ascii="IRNazanin" w:hAnsi="IRNazanin" w:eastAsia="IRNazanin"/>
          <w:color w:val="111111"/>
          <w:sz w:val="28"/>
          <w:sz w:val="28"/>
          <w:szCs w:val="28"/>
          <w:rtl w:val="true"/>
          <w:lang w:bidi="fa-IR"/>
        </w:rPr>
        <w:t>قتلهما</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الفاضل من الرجم و القطع</w:t>
      </w:r>
      <w:r>
        <w:rPr>
          <w:rStyle w:val="FootnoteAnchor"/>
          <w:rtl w:val="true"/>
        </w:rPr>
        <w:footnoteReference w:id="299"/>
      </w:r>
      <w:r>
        <w:rPr>
          <w:rFonts w:ascii="Amiri" w:hAnsi="Amiri" w:eastAsia="Amiri" w:cs="Amiri"/>
          <w:color w:val="111111"/>
          <w:sz w:val="28"/>
          <w:sz w:val="28"/>
          <w:szCs w:val="28"/>
          <w:rtl w:val="true"/>
          <w:lang w:bidi="ar-SA"/>
        </w:rPr>
        <w:t>بالسرقة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فی الزوجة الدخول، و فی اشتراط الدوام 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فیجوز إقامته فی المؤجّل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إقامة المرأة الحدّ علی رقیقها، و المکاتب علی رقیقه</w:t>
      </w:r>
      <w:r>
        <w:rPr>
          <w:rStyle w:val="FootnoteAnchor"/>
          <w:rtl w:val="true"/>
        </w:rPr>
        <w:footnoteReference w:id="301"/>
      </w:r>
      <w:r>
        <w:rPr>
          <w:rFonts w:ascii="IRNazanin" w:hAnsi="IRNazanin" w:eastAsia="IRNazanin"/>
          <w:color w:val="111111"/>
          <w:sz w:val="28"/>
          <w:sz w:val="28"/>
          <w:szCs w:val="28"/>
          <w:rtl w:val="true"/>
          <w:lang w:bidi="fa-IR"/>
        </w:rPr>
        <w:t>، و الفاسق مطلقاً،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یملک إقامة الحدّ علی المکاتب و 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اشترک المولیان، اجتمعا فیالاستیفاء و لا یجوز لأحدهما الاستقلال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ولّی من قبل الجائر کرهاً،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إقامة الحدّ معتقداً النیابة</w:t>
      </w:r>
      <w:r>
        <w:rPr>
          <w:rStyle w:val="FootnoteAnchor"/>
          <w:rtl w:val="true"/>
        </w:rPr>
        <w:footnoteReference w:id="302"/>
      </w:r>
      <w:r>
        <w:rPr>
          <w:rFonts w:ascii="IRNazanin" w:hAnsi="IRNazanin" w:eastAsia="IRNazanin"/>
          <w:color w:val="111111"/>
          <w:sz w:val="28"/>
          <w:sz w:val="28"/>
          <w:szCs w:val="28"/>
          <w:rtl w:val="true"/>
          <w:lang w:bidi="fa-IR"/>
        </w:rPr>
        <w:t>عن الإمام</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إن کان مجتهداً، و إلاّ فالمنع أحسن</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3665_218977"/>
      <w:bookmarkStart w:id="43" w:name="pg13665_218977"/>
      <w:bookmarkEnd w:id="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pg13665_218977"/>
      <w:bookmarkStart w:id="45" w:name="__RefHeading___Toc2071239_3830689328"/>
      <w:bookmarkStart w:id="46" w:name="_Toc14"/>
      <w:bookmarkEnd w:id="44"/>
      <w:bookmarkEnd w:id="45"/>
      <w:r>
        <w:rPr>
          <w:rtl w:val="true"/>
        </w:rPr>
        <w:t>کتاب المرتدّ</w:t>
      </w:r>
      <w:bookmarkEnd w:id="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المرتدّ</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الإسلام بالإقرار علی نفسه بالخروج منه أو ببعض أنواع الکفر، سواء کان ممّا یقرّ أهله علیه أو لا، أو بإنکار ما علم ثبوته من الدین ضرورة،</w:t>
      </w:r>
    </w:p>
    <w:p>
      <w:pPr>
        <w:pStyle w:val="BookText"/>
        <w:rPr/>
      </w:pPr>
      <w:r>
        <w:rPr>
          <w:rFonts w:ascii="IRNazanin" w:hAnsi="IRNazanin" w:eastAsia="IRNazanin"/>
          <w:color w:val="111111"/>
          <w:sz w:val="28"/>
          <w:sz w:val="28"/>
          <w:szCs w:val="28"/>
          <w:rtl w:val="true"/>
          <w:lang w:bidi="fa-IR"/>
        </w:rPr>
        <w:t>أو بإثبات ما علم نفیه کذلک، أو بفعلٍ دالٍّ صریحاً، کالسجود للشمس و الصنم، و إلقاء المصحف</w:t>
      </w:r>
      <w:r>
        <w:rPr>
          <w:rStyle w:val="FootnoteAnchor"/>
          <w:rtl w:val="true"/>
        </w:rPr>
        <w:footnoteReference w:id="305"/>
      </w:r>
      <w:r>
        <w:rPr>
          <w:rFonts w:ascii="IRNazanin" w:hAnsi="IRNazanin" w:eastAsia="IRNazanin"/>
          <w:color w:val="111111"/>
          <w:sz w:val="28"/>
          <w:sz w:val="28"/>
          <w:szCs w:val="28"/>
          <w:rtl w:val="true"/>
          <w:lang w:bidi="fa-IR"/>
        </w:rPr>
        <w:t>فی القذر قصداً، و إلقاء النجاسة علی الکعبة أو هدمها، أو إظهار الاستخفاف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حکم لردّة الصبیّ، بل یؤدّب، و کذا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عاقلاً، ثمّ جُنّ، لم یقتل فی موضع الاستتابة ؛ لأ نّا لا نعلم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 الأصلیّ لا یسمّی مرتدّاً ؛ لعدم قطعه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تلفّظ السکران بکلمة الکفر، لم یرتدّ عند الشیخ فی الخلاف</w:t>
      </w:r>
      <w:r>
        <w:rPr>
          <w:rStyle w:val="FootnoteAnchor"/>
          <w:rtl w:val="true"/>
        </w:rPr>
        <w:footnoteReference w:id="306"/>
      </w:r>
      <w:r>
        <w:rPr>
          <w:rFonts w:ascii="IRNazanin" w:hAnsi="IRNazanin" w:eastAsia="IRNazanin"/>
          <w:color w:val="111111"/>
          <w:sz w:val="28"/>
          <w:sz w:val="28"/>
          <w:szCs w:val="28"/>
          <w:rtl w:val="true"/>
          <w:lang w:bidi="fa-IR"/>
        </w:rPr>
        <w:t>؛ لعدم القصد، و أولی منه عدم الحکم بإسلامه حال السکر إذا کان کافراً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حصول ردّته ؛ لإلحاقه بالصاحی فیما علیه، کقضاء العبادات،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قضیّة المذهب، و حکم أیضاً بصحّة إسلامه، و فساد عقوده و إیقاعاته</w:t>
      </w:r>
      <w:r>
        <w:rPr>
          <w:rStyle w:val="FootnoteAnchor"/>
          <w:rtl w:val="true"/>
        </w:rPr>
        <w:footnoteReference w:id="307"/>
      </w:r>
      <w:r>
        <w:rPr>
          <w:rFonts w:ascii="IRNazanin" w:hAnsi="IRNazanin" w:eastAsia="IRNazanin"/>
          <w:color w:val="111111"/>
          <w:sz w:val="28"/>
          <w:sz w:val="28"/>
          <w:szCs w:val="28"/>
          <w:rtl w:val="true"/>
          <w:lang w:bidi="fa-IR"/>
        </w:rPr>
        <w:t>، کبیعه و طلاقه، و إن کان الاحتیاط تجدید إسلامه بعد إفاقته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حکم لردّة الغالط و الغافل و الساهی و النائم إجماعاً، و تقبل دعوی ذلک کلّه، و کذا الإکراه مع القرینة، کالأسر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الردّة بالإقرار بها و لو مرّة، و بشهادة عدلین، فلو کذّبهما، لم یسمع، و إن ادّعی الغلط، سمع بلا یمین، و ان ادّعی الإکراه، فکذلک إن کان هناک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خرج الأسیر بعد وصف الکفر مکرهاً، لم یجب تجدید إسلامه، فلو أُمر به فامتنع، کشف عن سبق ردّته، و ظاهر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لابدّ من عرضه علیه</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أُمر المسلم بالشهادتین فامتنع، لم یحکم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أحکام المرتدّ فهی إمّا فی النفس أو المال أو الولد أو الزوجة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القتل إن کان رجلاً مولوداً علی فطرة الإسلام ؛ لقوله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 منه التوبة ظاهراً، و فی قبولها باطناً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أسلم عن کفر، ثمّ ارتدّ، لم یقتل، بل یستتاب بما یؤمّل معه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Style w:val="FootnoteAnchor"/>
          <w:rtl w:val="true"/>
        </w:rPr>
        <w:footnoteReference w:id="312"/>
      </w:r>
      <w:r>
        <w:rPr>
          <w:rFonts w:ascii="IRNazanin" w:hAnsi="IRNazanin" w:eastAsia="IRNazanin"/>
          <w:color w:val="111111"/>
          <w:sz w:val="28"/>
          <w:sz w:val="28"/>
          <w:szCs w:val="28"/>
          <w:rtl w:val="true"/>
          <w:lang w:bidi="fa-IR"/>
        </w:rPr>
        <w:t>؛ للروایة</w:t>
      </w:r>
      <w:r>
        <w:rPr>
          <w:rStyle w:val="FootnoteAnchor"/>
          <w:rtl w:val="true"/>
        </w:rPr>
        <w:footnoteReference w:id="313"/>
      </w:r>
      <w:r>
        <w:rPr>
          <w:rFonts w:ascii="IRNazanin" w:hAnsi="IRNazanin" w:eastAsia="IRNazanin"/>
          <w:color w:val="111111"/>
          <w:sz w:val="28"/>
          <w:sz w:val="28"/>
          <w:szCs w:val="28"/>
          <w:rtl w:val="true"/>
          <w:lang w:bidi="fa-IR"/>
        </w:rPr>
        <w:t>، فإن لم یتب، قتل، و استتابته واجبة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المرأة لا تقتل مطلقاً، بل تضرب أوقات الصلوات، و یدام علیها السجن حتّی تتوب أو تموت، و لو لحقت بدار الحرب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تسترقّ</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المرتدّون فی منعة، بدأ الإمام بقتالهم قبل قتال الکفّار، فإذا ظفر بهم، </w:t>
      </w:r>
    </w:p>
    <w:p>
      <w:pPr>
        <w:pStyle w:val="BookText"/>
        <w:rPr/>
      </w:pPr>
      <w:r>
        <w:rPr>
          <w:rFonts w:ascii="IRNazanin" w:hAnsi="IRNazanin" w:eastAsia="IRNazanin"/>
          <w:color w:val="111111"/>
          <w:sz w:val="28"/>
          <w:sz w:val="28"/>
          <w:szCs w:val="28"/>
          <w:rtl w:val="true"/>
          <w:lang w:bidi="fa-IR"/>
        </w:rPr>
        <w:t>أجری علیهم الأحکام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المرتدّ عن ملّة لو تکرّرت منه الردّة و الاستتابة، قتل فی الرابعة أو الثالثة علی الخلاف</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قاتل المرتدّ الإمام أو نائبه، و لو بادر غیره إلی قتله، فلا ضمان ؛ لأ نّه مباح الدم، و لکنّه یأثم و یعزّر، قاله الشیخ</w:t>
      </w:r>
      <w:r>
        <w:rPr>
          <w:rStyle w:val="FootnoteAnchor"/>
          <w:rtl w:val="true"/>
        </w:rPr>
        <w:footnoteReference w:id="316"/>
      </w:r>
      <w:r>
        <w:rPr>
          <w:rFonts w:ascii="IRNazanin" w:hAnsi="IRNazanin" w:eastAsia="IRNazanin"/>
          <w:color w:val="111111"/>
          <w:sz w:val="28"/>
          <w:sz w:val="28"/>
          <w:szCs w:val="28"/>
          <w:rtl w:val="true"/>
          <w:lang w:bidi="fa-IR"/>
        </w:rPr>
        <w:t>؛ لعدم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قتله لکلّ من سمعه</w:t>
      </w:r>
      <w:r>
        <w:rPr>
          <w:rStyle w:val="FootnoteAnchor"/>
          <w:rtl w:val="true"/>
        </w:rPr>
        <w:footnoteReference w:id="317"/>
      </w:r>
      <w:r>
        <w:rPr>
          <w:rFonts w:ascii="IRNazanin" w:hAnsi="IRNazanin" w:eastAsia="IRNazanin"/>
          <w:color w:val="111111"/>
          <w:sz w:val="28"/>
          <w:sz w:val="28"/>
          <w:szCs w:val="28"/>
          <w:rtl w:val="true"/>
          <w:lang w:bidi="fa-IR"/>
        </w:rPr>
        <w:t>،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قتل المرتدّ مسلماً أو مرتدّاً عمداً، قُتِل به، و قدّم علی قتل الردّة، و إن کان شبیه عمد، فالدیة فی ماله، و کذا لو صولح علی مال، و یشکل إذا کان عن فطرة ؛ لأ نّه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خطأً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ماله</w:t>
      </w:r>
      <w:r>
        <w:rPr>
          <w:rStyle w:val="FootnoteAnchor"/>
          <w:rtl w:val="true"/>
        </w:rPr>
        <w:footnoteReference w:id="318"/>
      </w:r>
      <w:r>
        <w:rPr>
          <w:rFonts w:ascii="IRNazanin" w:hAnsi="IRNazanin" w:eastAsia="IRNazanin"/>
          <w:color w:val="111111"/>
          <w:sz w:val="28"/>
          <w:sz w:val="28"/>
          <w:szCs w:val="28"/>
          <w:rtl w:val="true"/>
          <w:lang w:bidi="fa-IR"/>
        </w:rPr>
        <w:t>؛ لأ نّه لا یعقله قومه</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میراثه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تبرّأ</w:t>
      </w:r>
    </w:p>
    <w:p>
      <w:pPr>
        <w:pStyle w:val="BookText"/>
        <w:rPr/>
      </w:pPr>
      <w:r>
        <w:rPr>
          <w:rFonts w:ascii="IRNazanin" w:hAnsi="IRNazanin" w:eastAsia="IRNazanin"/>
          <w:color w:val="111111"/>
          <w:sz w:val="28"/>
          <w:sz w:val="28"/>
          <w:szCs w:val="28"/>
          <w:rtl w:val="true"/>
          <w:lang w:bidi="fa-IR"/>
        </w:rPr>
        <w:t>من کلّ دین غیر الإسلام، کان تأکیداً، و لو کان کفره برفع</w:t>
      </w:r>
      <w:r>
        <w:rPr>
          <w:rStyle w:val="FootnoteAnchor"/>
          <w:rtl w:val="true"/>
        </w:rPr>
        <w:footnoteReference w:id="320"/>
      </w:r>
      <w:r>
        <w:rPr>
          <w:rFonts w:ascii="IRNazanin" w:hAnsi="IRNazanin" w:eastAsia="IRNazanin"/>
          <w:color w:val="111111"/>
          <w:sz w:val="28"/>
          <w:sz w:val="28"/>
          <w:szCs w:val="28"/>
          <w:rtl w:val="true"/>
          <w:lang w:bidi="fa-IR"/>
        </w:rPr>
        <w:t>عموم النبوّة، صرّح بالعموم، و کذا بجحد فریضة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تقبل توبة الزندیق علی الأصحّ ؛ لأنّ باب الهدایة غیر محسوم، و البواطن </w:t>
      </w:r>
    </w:p>
    <w:p>
      <w:pPr>
        <w:pStyle w:val="BookText"/>
        <w:rPr/>
      </w:pPr>
      <w:r>
        <w:rPr>
          <w:rFonts w:ascii="Amiri" w:hAnsi="Amiri" w:eastAsia="Amiri" w:cs="Amiri"/>
          <w:color w:val="111111"/>
          <w:sz w:val="28"/>
          <w:sz w:val="28"/>
          <w:szCs w:val="28"/>
          <w:rtl w:val="true"/>
          <w:lang w:bidi="ar-SA"/>
        </w:rPr>
        <w:t xml:space="preserve">لا تتّبع ؛ لقول النبیّ صلّی‌اللّه علیه و آله لأُسامة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عن قلبه</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عدمه</w:t>
      </w:r>
      <w:r>
        <w:rPr>
          <w:rStyle w:val="FootnoteAnchor"/>
          <w:rtl w:val="true"/>
        </w:rPr>
        <w:footnoteReference w:id="322"/>
      </w:r>
      <w:r>
        <w:rPr>
          <w:rFonts w:ascii="IRNazanin" w:hAnsi="IRNazanin" w:eastAsia="IRNazanin"/>
          <w:color w:val="111111"/>
          <w:sz w:val="28"/>
          <w:sz w:val="28"/>
          <w:szCs w:val="28"/>
          <w:rtl w:val="true"/>
          <w:lang w:bidi="fa-IR"/>
        </w:rPr>
        <w:t>؛ لأنّ التقیّة دینه فلا یتصوّر فیه الترک ؛ لأنّ الترک هو التلبّس بالضدّ ؛ إذ الکافر لا یکون تارکاً دینه إلاّ بما هو ضدّه، و لو أُمر بحلّ شبهته، احتمل الإجابة ؛ لأنّ أصل الدعوة الحجّة، و عدمه ؛ إذ الحقّ لا لبس فیه، و الخیالات لا حصر لها، فربّما تمادی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تمنع الردّة قبول الجزیة، و صحّة النکاح لکافرة أو مسلمة، و حلّ الذبیحة و الإرقاق، و توجب الحکم بالنجاسة، و عدم إجراء أحکام المسلمین علیه لو مات، فلا یغسّل، و لا یکفّن، و لا یدفن بین المسلمین و لا بین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تدرأ غرامة المتلفات و لا عقوبة 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حکم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عنه إلی الوارث إن کان عن فطرة، و تقضی منه</w:t>
      </w:r>
      <w:r>
        <w:rPr>
          <w:rStyle w:val="FootnoteAnchor"/>
          <w:rtl w:val="true"/>
        </w:rPr>
        <w:footnoteReference w:id="323"/>
      </w:r>
      <w:r>
        <w:rPr>
          <w:rFonts w:ascii="IRNazanin" w:hAnsi="IRNazanin" w:eastAsia="IRNazanin"/>
          <w:color w:val="111111"/>
          <w:sz w:val="28"/>
          <w:sz w:val="28"/>
          <w:szCs w:val="28"/>
          <w:rtl w:val="true"/>
          <w:lang w:bidi="fa-IR"/>
        </w:rPr>
        <w:t xml:space="preserve">دیونه، و فی إنفاذ وصایاه قبل الردّة عندی تردّد،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ینفق علیه منه</w:t>
      </w:r>
    </w:p>
    <w:p>
      <w:pPr>
        <w:pStyle w:val="BookText"/>
        <w:rPr/>
      </w:pPr>
      <w:r>
        <w:rPr>
          <w:rFonts w:ascii="IRNazanin" w:hAnsi="IRNazanin" w:eastAsia="IRNazanin"/>
          <w:color w:val="111111"/>
          <w:sz w:val="28"/>
          <w:sz w:val="28"/>
          <w:szCs w:val="28"/>
          <w:rtl w:val="true"/>
          <w:lang w:bidi="fa-IR"/>
        </w:rPr>
        <w:t>لو فات السلطان، و لو احتشّ أو احتطب ففی دخوله فی ملکه تردّد، فإن أدخلناه، صار إرثاً، و علی هذا لا ینقطع إرثه مادام حیّاً،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ملّیّاً، حجر علیه، و لم یزل ملکه، و یدخل فی ملکه المتجدّدات، و فی الحجر علیه بنفس الردّة أو بحکم الحاکم وجهان،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ینفق علیه مادام حیّاً و کذا مَن تجب نفقته علیه، و فی فساد تصرّفاته فی أمواله مطلقاً، أو بشرط الموت علی الردّة وجهان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مات مرتدّاً أو قتل، فماله لوارثه عندنا لا لبیت المال، و أمّا ولده السابق </w:t>
      </w:r>
    </w:p>
    <w:p>
      <w:pPr>
        <w:pStyle w:val="BookText"/>
        <w:rPr/>
      </w:pPr>
      <w:r>
        <w:rPr>
          <w:rFonts w:ascii="IRNazanin" w:hAnsi="IRNazanin" w:eastAsia="IRNazanin"/>
          <w:color w:val="111111"/>
          <w:sz w:val="28"/>
          <w:sz w:val="28"/>
          <w:szCs w:val="28"/>
          <w:rtl w:val="true"/>
          <w:lang w:bidi="fa-IR"/>
        </w:rPr>
        <w:t>فمسلم، و لو علق بعد الردّة من مسلمة، فمسلم، و إن کان من کافرة أو مرتدّة</w:t>
      </w:r>
      <w:r>
        <w:rPr>
          <w:rStyle w:val="FootnoteAnchor"/>
          <w:rtl w:val="true"/>
        </w:rPr>
        <w:footnoteReference w:id="324"/>
      </w:r>
      <w:r>
        <w:rPr>
          <w:rFonts w:ascii="IRNazanin" w:hAnsi="IRNazanin" w:eastAsia="IRNazanin"/>
          <w:color w:val="111111"/>
          <w:sz w:val="28"/>
          <w:sz w:val="28"/>
          <w:szCs w:val="28"/>
          <w:rtl w:val="true"/>
          <w:lang w:bidi="fa-IR"/>
        </w:rPr>
        <w:t>، فمرتدّ تبعاً، و یحتمل کونه کافراً ؛ لأ نّه لم یسبق له إسلام و لا تبعیّة إسلام، و یحتمل ضعیفاً کونه مسلماً ؛ لبقاء علاقة الإسلام، و حدیث الولادة علی الفطرة</w:t>
      </w:r>
      <w:r>
        <w:rPr>
          <w:rStyle w:val="FootnoteAnchor"/>
          <w:rtl w:val="true"/>
        </w:rPr>
        <w:footnoteReference w:id="325"/>
      </w:r>
      <w:r>
        <w:rPr>
          <w:rFonts w:ascii="IRNazanin" w:hAnsi="IRNazanin" w:eastAsia="IRNazanin"/>
          <w:color w:val="111111"/>
          <w:sz w:val="28"/>
          <w:sz w:val="28"/>
          <w:szCs w:val="28"/>
          <w:rtl w:val="true"/>
          <w:lang w:bidi="fa-IR"/>
        </w:rPr>
        <w:t>، فعلی الأوّل لا یسترقّ، و هو قول المبسوط</w:t>
      </w:r>
      <w:r>
        <w:rPr>
          <w:rStyle w:val="FootnoteAnchor"/>
          <w:rtl w:val="true"/>
        </w:rPr>
        <w:footnoteReference w:id="326"/>
      </w:r>
      <w:r>
        <w:rPr>
          <w:rFonts w:ascii="IRNazanin" w:hAnsi="IRNazanin" w:eastAsia="IRNazanin"/>
          <w:color w:val="111111"/>
          <w:sz w:val="28"/>
          <w:sz w:val="28"/>
          <w:szCs w:val="28"/>
          <w:rtl w:val="true"/>
          <w:lang w:bidi="fa-IR"/>
        </w:rPr>
        <w:t>، و یلزم عند البلوغ بالإسلام أو القتل</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یسترقّ إذا ولد فی دار الحرب</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یجوز استرقاقه، و یؤمر عند البلوغ بالإسلام أو الجزیة إن کان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الثالث إن أعرب الکفر بعد بلوغه، فهو مرتدّ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زوجته فتبین فی الحال إن کان فطریّاً، و تعتدّ عدّة الوفاة و لو لم یدخل علی الأصحّ، و إن کان ملّیّاً، وقف نکاحه علی انقضاء عدّة الطلاق، فإن عاد فیها و إلاّ</w:t>
      </w:r>
    </w:p>
    <w:p>
      <w:pPr>
        <w:pStyle w:val="BookText"/>
        <w:rPr/>
      </w:pPr>
      <w:r>
        <w:rPr>
          <w:rFonts w:ascii="IRNazanin" w:hAnsi="IRNazanin" w:eastAsia="IRNazanin"/>
          <w:color w:val="111111"/>
          <w:sz w:val="28"/>
          <w:sz w:val="28"/>
          <w:szCs w:val="28"/>
          <w:rtl w:val="true"/>
          <w:lang w:bidi="fa-IR"/>
        </w:rPr>
        <w:t>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انتفی الدخول، بانت فی الحال، و لو ارتدّت المرأة بعد الدخول و انقضت العدّة و لمّا تسلم، بانت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یصحّ تزویج المرتدّ و المرتدّة</w:t>
      </w:r>
      <w:r>
        <w:rPr>
          <w:rStyle w:val="FootnoteAnchor"/>
          <w:rtl w:val="true"/>
        </w:rPr>
        <w:footnoteReference w:id="329"/>
      </w:r>
      <w:r>
        <w:rPr>
          <w:rFonts w:ascii="IRNazanin" w:hAnsi="IRNazanin" w:eastAsia="IRNazanin"/>
          <w:color w:val="111111"/>
          <w:sz w:val="28"/>
          <w:sz w:val="28"/>
          <w:szCs w:val="28"/>
          <w:rtl w:val="true"/>
          <w:lang w:bidi="fa-IR"/>
        </w:rPr>
        <w:t>علی الإطلاق ؛ لأ نّه دون المسلمة و فوق الکافرة، و لأ نّه لا یقرّ علی دینه، و المرتدّة فوقه ؛ لأ نّها لا تقتل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 تزویج ابنته لنقصه، و لا أمته للحجر علیه، و طلاقه مراعی، و ذبیحته میتة، فإن کانت لغیره و لمّا یأذن، ضمن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الصلاة لا تکفی فی الإسلام</w:t>
      </w:r>
      <w:r>
        <w:rPr>
          <w:rStyle w:val="FootnoteAnchor"/>
          <w:rtl w:val="true"/>
        </w:rPr>
        <w:footnoteReference w:id="330"/>
      </w:r>
      <w:r>
        <w:rPr>
          <w:rFonts w:ascii="IRNazanin" w:hAnsi="IRNazanin" w:eastAsia="IRNazanin"/>
          <w:color w:val="111111"/>
          <w:sz w:val="28"/>
          <w:sz w:val="28"/>
          <w:szCs w:val="28"/>
          <w:rtl w:val="true"/>
          <w:lang w:bidi="fa-IR"/>
        </w:rPr>
        <w:t>، و إن کانت فی دار الحرب ؛ لقیام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تاب فقتله معتقد ردّته، أُقید عند الشیخ</w:t>
      </w:r>
      <w:r>
        <w:rPr>
          <w:rStyle w:val="FootnoteAnchor"/>
          <w:rtl w:val="true"/>
        </w:rPr>
        <w:footnoteReference w:id="331"/>
      </w:r>
      <w:r>
        <w:rPr>
          <w:rFonts w:ascii="Amiri" w:hAnsi="Amiri" w:eastAsia="Amiri" w:cs="Amiri"/>
          <w:color w:val="111111"/>
          <w:sz w:val="28"/>
          <w:sz w:val="28"/>
          <w:szCs w:val="28"/>
          <w:rtl w:val="true"/>
          <w:lang w:bidi="ar-SA"/>
        </w:rPr>
        <w:t>؛ لأ نّه قتل مسلماً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إنّما أُطلق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لو قتل مَن</w:t>
      </w:r>
      <w:r>
        <w:rPr>
          <w:rStyle w:val="FootnoteAnchor"/>
          <w:rtl w:val="true"/>
        </w:rPr>
        <w:footnoteReference w:id="332"/>
      </w:r>
      <w:r>
        <w:rPr>
          <w:rFonts w:ascii="Amiri" w:hAnsi="Amiri" w:eastAsia="Amiri" w:cs="Amiri"/>
          <w:color w:val="111111"/>
          <w:sz w:val="28"/>
          <w:sz w:val="28"/>
          <w:szCs w:val="28"/>
          <w:rtl w:val="true"/>
          <w:lang w:bidi="ar-SA"/>
        </w:rPr>
        <w:t>ظنّه ذمّیّاً فبان مسلماً، أو عبداً فظهر حرّاً</w:t>
      </w:r>
      <w:r>
        <w:rPr>
          <w:rStyle w:val="FootnoteAnchor"/>
          <w:rtl w:val="true"/>
        </w:rPr>
        <w:footnoteReference w:id="333"/>
      </w:r>
      <w:r>
        <w:rPr>
          <w:rFonts w:ascii="IRNazanin" w:hAnsi="IRNazanin" w:eastAsia="IRNazanin"/>
          <w:color w:val="111111"/>
          <w:sz w:val="28"/>
          <w:sz w:val="28"/>
          <w:szCs w:val="28"/>
          <w:rtl w:val="true"/>
          <w:lang w:bidi="fa-IR"/>
        </w:rPr>
        <w:t>، و یحتمل الاقتصار علی الدیة فی ماله مغلّظة ؛ لعدم القصد إلی قتل المسلم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یتلفه المرتدّ من نفس أو مال، یضمنه، و إن کان مع جماعة فی منعة، و القیاس علی عدم ضمان الباغی ممنوع الأصل</w:t>
      </w:r>
      <w:r>
        <w:rPr>
          <w:rFonts w:eastAsia="IRNazanin" w:cs="IRNazanin"/>
          <w:color w:val="111111"/>
          <w:sz w:val="28"/>
          <w:szCs w:val="28"/>
          <w:rtl w:val="true"/>
          <w:lang w:bidi="fa-IR"/>
        </w:rPr>
        <w:t xml:space="preserve">. </w:t>
      </w:r>
      <w:bookmarkStart w:id="47" w:name="pg13665_2189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071241_3830689328"/>
      <w:bookmarkStart w:id="49" w:name="_Toc15"/>
      <w:bookmarkEnd w:id="47"/>
      <w:bookmarkEnd w:id="48"/>
      <w:r>
        <w:rPr>
          <w:rtl w:val="true"/>
        </w:rPr>
        <w:t>کتاب المحارب</w:t>
      </w:r>
      <w:bookmarkEnd w:id="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المحارب</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جرّد السلاح للإخافة، فی مصر أو غیره، لیلاً أو نهاراً، رجلاً کان أو امرأة</w:t>
      </w:r>
      <w:r>
        <w:rPr>
          <w:rStyle w:val="FootnoteAnchor"/>
          <w:rtl w:val="true"/>
        </w:rPr>
        <w:footnoteReference w:id="334"/>
      </w:r>
      <w:r>
        <w:rPr>
          <w:rFonts w:ascii="IRNazanin" w:hAnsi="IRNazanin" w:eastAsia="IRNazanin"/>
          <w:color w:val="111111"/>
          <w:sz w:val="28"/>
          <w:sz w:val="28"/>
          <w:szCs w:val="28"/>
          <w:rtl w:val="true"/>
          <w:lang w:bidi="fa-IR"/>
        </w:rPr>
        <w:t>، بشرط الریبة و لو ظنّاً، لا الطلیع، و الردء، و المنتهب، و المختلس، و الضعیف الّذی لا یخاف منه عادة، و لو خیف منه فمحارب، و لو تظاهر اللصّ فمحارب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الدفاع عن النفس و الحریم، و لا یجوز الاستسلام، و لو عجز، وجب الهرب إن أمکن، و المدافعة عن المال غیر واجبة إلاّ مع اضطراره إلیه و غلبة ظنّ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یتحرّی الأسهل، کالصیاح، ثمّ الخصام، ثمّ الضرب، ثمّ الجرح، ثمّ التعطیل، ثمّ التذفیف</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دم المدفوع هدر، و کذا ما یتلف من ماله إذا لم یمکن دفعه إلاّ به، و الدافع کالشهید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یبدأ إلاّ مع العلم بقصده أو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کفّ، کفّ عنه، فإن عاد، عاد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قطع یده مقبلاً، ثمّ رجله مدبراً، ضمن الرجل، فإن سرتا، ضمن النصف قصاصاً أو دیة، و لو أقبل بعد ذلک فقطع عضواً ثالثاً، ضمن الثلث، بخلاف ما إذا قطع یدیه مقبلاً، ثمّ رجله، فإنّه یضمن النصف ؛ لتوالی الجرحین، قاله الشیخ</w:t>
      </w:r>
      <w:r>
        <w:rPr>
          <w:rStyle w:val="FootnoteAnchor"/>
          <w:rtl w:val="true"/>
        </w:rPr>
        <w:footnoteReference w:id="336"/>
      </w:r>
      <w:r>
        <w:rPr>
          <w:rFonts w:ascii="IRNazanin" w:hAnsi="IRNazanin" w:eastAsia="IRNazanin"/>
          <w:color w:val="111111"/>
          <w:sz w:val="28"/>
          <w:sz w:val="28"/>
          <w:szCs w:val="28"/>
          <w:rtl w:val="true"/>
          <w:lang w:bidi="fa-IR"/>
        </w:rPr>
        <w:t>، و یمکن المساواة ؛ لأ نّه لا نظر إلی التعدّد مع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عضّ یده فانتزعها فبدرت أسنانه، فهدر، و له التخلّص باللکم و شبهه و لو بالقتل متدرّجاً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صال الفارسان، تضامنا إن</w:t>
      </w:r>
      <w:r>
        <w:rPr>
          <w:rStyle w:val="FootnoteAnchor"/>
          <w:rtl w:val="true"/>
        </w:rPr>
        <w:footnoteReference w:id="338"/>
      </w:r>
      <w:r>
        <w:rPr>
          <w:rFonts w:ascii="IRNazanin" w:hAnsi="IRNazanin" w:eastAsia="IRNazanin"/>
          <w:color w:val="111111"/>
          <w:sz w:val="28"/>
          <w:sz w:val="28"/>
          <w:szCs w:val="28"/>
          <w:rtl w:val="true"/>
          <w:lang w:bidi="fa-IR"/>
        </w:rPr>
        <w:t>کانا عادیین، و إلاّ ضمن العادی، و لو تجارحا فتداعیا الدفاع، تحالفا و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الدفاع عن بضع الزوجة و الأمة و التقبیل و شبهه، و کذا الولد، و لو أدّی الدفع متدرّجاً إلی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زجر المطّلع علی القوم فإن أصرّ فرُمی</w:t>
      </w:r>
      <w:r>
        <w:rPr>
          <w:rStyle w:val="FootnoteAnchor"/>
          <w:rtl w:val="true"/>
        </w:rPr>
        <w:footnoteReference w:id="339"/>
      </w:r>
      <w:r>
        <w:rPr>
          <w:rFonts w:ascii="IRNazanin" w:hAnsi="IRNazanin" w:eastAsia="IRNazanin"/>
          <w:color w:val="111111"/>
          <w:sz w:val="28"/>
          <w:sz w:val="28"/>
          <w:szCs w:val="28"/>
          <w:rtl w:val="true"/>
          <w:lang w:bidi="fa-IR"/>
        </w:rPr>
        <w:t>، فلا ضمان، و لو کان رحماً لصاحب المنزل، اقتصر علی الزجر، إلاّ مع تجرّد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الدفاع یجری فی العجماوات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مَن أمره الإمام بالصعود إلی نخلة، أو النزول فی بئر لمصلحة المسلمین، فالضمان فی بیت المال و إن لم یکرهه ؛ لوجوب طاعة الإمام، و لو کان نائبه، ضمن بالإکراه فی ماله إن لم یکن لمصلحة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المحاربة بالإقرار و لو مرّة، و بشهادة عدلین لا بشهادة النساء مطلقاً، و لا عبرة بشهادة بعض الرفقاء لبعض إلاّ مع عدم التهمة، کتغایر اللصّ، أو سلامة الشاهد منه، و لا بشهادة اللصّ علی مثله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یتخیّر الإمام بین القتل، و الصلب، و قطع الید الیمنی ثمّ الحسم ندباً ثمّ الرجل </w:t>
      </w:r>
    </w:p>
    <w:p>
      <w:pPr>
        <w:pStyle w:val="BookText"/>
        <w:rPr/>
      </w:pPr>
      <w:r>
        <w:rPr>
          <w:rFonts w:ascii="IRNazanin" w:hAnsi="IRNazanin" w:eastAsia="IRNazanin"/>
          <w:color w:val="111111"/>
          <w:sz w:val="28"/>
          <w:sz w:val="28"/>
          <w:szCs w:val="28"/>
          <w:rtl w:val="true"/>
          <w:lang w:bidi="fa-IR"/>
        </w:rPr>
        <w:t>الیسری، و النفی، و یکاتب</w:t>
      </w:r>
      <w:r>
        <w:rPr>
          <w:rStyle w:val="FootnoteAnchor"/>
          <w:rtl w:val="true"/>
        </w:rPr>
        <w:footnoteReference w:id="340"/>
      </w:r>
      <w:r>
        <w:rPr>
          <w:rFonts w:ascii="IRNazanin" w:hAnsi="IRNazanin" w:eastAsia="IRNazanin"/>
          <w:color w:val="111111"/>
          <w:sz w:val="28"/>
          <w:sz w:val="28"/>
          <w:szCs w:val="28"/>
          <w:rtl w:val="true"/>
          <w:lang w:bidi="fa-IR"/>
        </w:rPr>
        <w:t>البلدان التی یقصدها بالمنع من مؤاکلته و معاملته و مجالسته إلی أن یتوب، و لو قصد دار الکفر فمکّنوه من الدخول، قوتلوا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قصاصاً إن قتل مکافئاً، فإن عفی عنه، قتل حدّاً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قتل و استهلک المال، ارتجع و قطع مخالفاً، ثمّ قتل و صلب مقتولاً، و لو انتزع المال خاصّة، قطع مخالفاً و نفی، و إن جرح و لا مال، اقتصّ منه و نفی، و إن شهر السلاح خاصّة، نفی خاصّة، و لا یشترط فی قطعه النصاب و لا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جرح فسری، اقتصّ أو قتل حدّاً مع العفو أو الصلح، و لو قتل أو جرح لا للمال، فأمره إلی الولیّ، و لو جرح للمال و عفی عنه، لم یجز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تاب قبل القدرة علیه، سقط حقّ اللّه تعالی خاصّة، و لو تاب بعد القدرة، لم یسقط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صلبه حیّاً علی التخییر، و لا یترک حیّاً أو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 الخشبة أزید من ثلاثة أیّام، ثمّ ینزل و یجهّز، و لو کان قد قدّم غسله و کفنه،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یعزّر المختلس، و المستلب، و المزوّر خطّاً أو کلاماً، و المبنّج و المرقد، و لو جنیا، ضمنا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مج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جنیا، ضمن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قتله فی منزله فادّعی المحاربة، کفی الشهادة بهجومه علیه و فی یده سلاح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أدّب زوجته أو ولده فماتا، ضمن فی ماله ؛ لاشتراطه بالسلامة، و کذا معلّم الصِّبْیَة، و قاطع السِّلعَة و الآکلة و الخبیثة بإذن صاحبها الکامل لا ضمان علیه،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یأذن البالغ، اقتصّ من القاطع، و إن قطع أجنبیّ سِلعَة صبیّ، قوّی الشیخ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سقوط القود إلی الدیة</w:t>
      </w:r>
      <w:r>
        <w:rPr>
          <w:rStyle w:val="FootnoteAnchor"/>
          <w:rtl w:val="true"/>
        </w:rPr>
        <w:footnoteReference w:id="343"/>
      </w:r>
      <w:r>
        <w:rPr>
          <w:rFonts w:ascii="IRNazanin" w:hAnsi="IRNazanin" w:eastAsia="IRNazanin"/>
          <w:color w:val="111111"/>
          <w:sz w:val="28"/>
          <w:sz w:val="28"/>
          <w:szCs w:val="28"/>
          <w:rtl w:val="true"/>
          <w:lang w:bidi="fa-IR"/>
        </w:rPr>
        <w:t>، کما لو قطعها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من الحاکم مع امتناع البالغ منه، و من الآحاد بطریق الحسبة مع امتناعه، و الواجب کشف جمیع البشرة، فلو زاد الفاعل، ضمن، و إن أُذن له فی الختان، و لو فعل ذلک الحاکم فی حرّ أو برد مفرطین، قوّی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فی کتاب الأشربة</w:t>
      </w:r>
      <w:r>
        <w:rPr>
          <w:rStyle w:val="FootnoteAnchor"/>
          <w:rtl w:val="true"/>
        </w:rPr>
        <w:footnoteReference w:id="344"/>
      </w:r>
      <w:r>
        <w:rPr>
          <w:rFonts w:ascii="IRNazanin" w:hAnsi="IRNazanin" w:eastAsia="IRNazanin"/>
          <w:color w:val="111111"/>
          <w:sz w:val="28"/>
          <w:sz w:val="28"/>
          <w:szCs w:val="28"/>
          <w:rtl w:val="true"/>
          <w:lang w:bidi="fa-IR"/>
        </w:rPr>
        <w:t>، و عدمه فی کتاب الحدود من المبسوط</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عذرة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کعرف الدیک بین الشفرین فی أعلا الفرج فوق مدخل الذکر و فوق مخرج البول، إذا قطعت بقی أصلها کالنواة تشاهد عند الهزال و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Style w:val="FootnoteAnchor"/>
          <w:rtl w:val="true"/>
        </w:rPr>
        <w:footnoteReference w:id="346"/>
      </w:r>
      <w:r>
        <w:rPr>
          <w:rFonts w:ascii="IRNazanin" w:hAnsi="IRNazanin" w:eastAsia="IRNazanin"/>
          <w:color w:val="111111"/>
          <w:sz w:val="28"/>
          <w:sz w:val="28"/>
          <w:szCs w:val="28"/>
          <w:rtl w:val="true"/>
          <w:lang w:bidi="fa-IR"/>
        </w:rPr>
        <w:t xml:space="preserve">عند 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إزالتها، و لا یملک الحاکم إجبارها، فلو أجبرها أو قطعها أجنبیّ حسبة، ضمن السرایة، و فی ضمان المقطوع عندی نظر لم أقف فیه علی کلام، فإن قلنا به، ضمن الأرش فی أقرب أزمنة الجرح من الاندمال، و أمّا عذرة البکارة فمضمونة إلاّ علی الزوج</w:t>
      </w:r>
      <w:r>
        <w:rPr>
          <w:rFonts w:eastAsia="IRNazanin" w:cs="IRNazanin"/>
          <w:color w:val="111111"/>
          <w:sz w:val="28"/>
          <w:szCs w:val="28"/>
          <w:rtl w:val="true"/>
          <w:lang w:bidi="fa-IR"/>
        </w:rPr>
        <w:t xml:space="preserve">. </w:t>
      </w:r>
      <w:bookmarkStart w:id="50" w:name="pg13665_218991"/>
    </w:p>
    <w:p>
      <w:pPr>
        <w:pStyle w:val="Heading2"/>
        <w:numPr>
          <w:ilvl w:val="1"/>
          <w:numId w:val="1"/>
        </w:numPr>
        <w:rPr/>
      </w:pPr>
      <w:bookmarkStart w:id="51" w:name="__RefHeading___Toc2071243_3830689328"/>
      <w:bookmarkStart w:id="52" w:name="_Toc16"/>
      <w:bookmarkEnd w:id="50"/>
      <w:bookmarkEnd w:id="51"/>
      <w:r>
        <w:rPr>
          <w:rtl w:val="true"/>
        </w:rPr>
        <w:t>کتاب القضاء</w:t>
      </w:r>
      <w:bookmarkEnd w:id="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2071245_3830689328"/>
      <w:bookmarkStart w:id="54" w:name="_Toc17"/>
      <w:bookmarkEnd w:id="53"/>
      <w:r>
        <w:rPr>
          <w:rtl w:val="true"/>
        </w:rPr>
        <w:t>اشاره</w:t>
      </w:r>
      <w:bookmarkEnd w:id="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القضاء</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شرعیّة علی الحکم فی المصالح العامّة من قبل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فی القاضی 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و الذکورة و إن کان تحکیماً، و الإیمان، و العدالة، و طهارة المولد، و أن یغلب حفظه نسیانه، و الکتابة، و البصر علی الأصحّ، و الحرّیّة، و انتفاء الخرس، أمّا الصمم فلا یمنع من القضاء مطلقاً، و الاستقلال بالإفتاء بأن یعلم المقدّمات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و الأُصول، و النحو، و اللغة،</w:t>
      </w:r>
    </w:p>
    <w:p>
      <w:pPr>
        <w:pStyle w:val="BookText"/>
        <w:rPr/>
      </w:pPr>
      <w:r>
        <w:rPr>
          <w:rFonts w:ascii="IRNazanin" w:hAnsi="IRNazanin" w:eastAsia="IRNazanin"/>
          <w:color w:val="111111"/>
          <w:sz w:val="28"/>
          <w:sz w:val="28"/>
          <w:szCs w:val="28"/>
          <w:rtl w:val="true"/>
          <w:lang w:bidi="fa-IR"/>
        </w:rPr>
        <w:t>و التصریف، و شرائط الحدّ و البرهان، و اختصاصه بقوّة قدسیّة یأمن معها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الأُصول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الإجماع، و دلالة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فیعلم من الکتاب و السنّة خمسة و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و العموم و الخصوص، و الإطلاق و التقیید، و الإجمال، و البیان، و الناسخ و المنسوخ، و المحکم و المتشابه، و الظاهر و المأوّل، و قضیّة الألفاظ، و کیفیّة الدلالة، و مقاصد</w:t>
      </w:r>
    </w:p>
    <w:p>
      <w:pPr>
        <w:pStyle w:val="BookText"/>
        <w:rPr/>
      </w:pPr>
      <w:r>
        <w:rPr>
          <w:rFonts w:ascii="IRNazanin" w:hAnsi="IRNazanin" w:eastAsia="IRNazanin"/>
          <w:color w:val="111111"/>
          <w:sz w:val="28"/>
          <w:sz w:val="28"/>
          <w:szCs w:val="28"/>
          <w:rtl w:val="true"/>
          <w:lang w:bidi="fa-IR"/>
        </w:rPr>
        <w:t>الألفاظ، و المتواتر و الآحاد، و المسند و المرسل، و المقطوع، و حال</w:t>
      </w:r>
      <w:r>
        <w:rPr>
          <w:rStyle w:val="FootnoteAnchor"/>
          <w:rtl w:val="true"/>
        </w:rPr>
        <w:footnoteReference w:id="347"/>
      </w:r>
      <w:r>
        <w:rPr>
          <w:rFonts w:ascii="Amiri" w:hAnsi="Amiri" w:eastAsia="Amiri" w:cs="Amiri"/>
          <w:color w:val="111111"/>
          <w:sz w:val="28"/>
          <w:sz w:val="28"/>
          <w:szCs w:val="28"/>
          <w:rtl w:val="true"/>
          <w:lang w:bidi="ar-SA"/>
        </w:rPr>
        <w:t>الرواة، و تعارض الأدلّة، و قوّة الاستخراج</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الآیات المتعلّقة بالأحکام، و هی فوق خمسمائة آیة، و لا یشترط حفظها، بل فهم مقتضیاتها و استحضارها متی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یکفی فی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الإخلاد إلی أصل مصحّح</w:t>
      </w:r>
      <w:r>
        <w:rPr>
          <w:rStyle w:val="FootnoteAnchor"/>
          <w:rtl w:val="true"/>
        </w:rPr>
        <w:footnoteReference w:id="348"/>
      </w:r>
      <w:r>
        <w:rPr>
          <w:rFonts w:ascii="IRNazanin" w:hAnsi="IRNazanin" w:eastAsia="IRNazanin"/>
          <w:color w:val="111111"/>
          <w:sz w:val="28"/>
          <w:sz w:val="28"/>
          <w:szCs w:val="28"/>
          <w:rtl w:val="true"/>
          <w:lang w:bidi="fa-IR"/>
        </w:rPr>
        <w:t>عنده، رواه عن عدل بسند متّصل عن العدول إلی الإمام، و الإحاطة بمسائل الإجماع ؛ لئلاّ یفتی بما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یصیر إلی دلالة الأصل عند تعذّر دلیل سمعیّ، و یتجزّأ الاجتهاد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علمه بالقیاس ؛ لعدم 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Style w:val="FootnoteAnchor"/>
          <w:rtl w:val="true"/>
        </w:rPr>
        <w:footnoteReference w:id="349"/>
      </w:r>
      <w:r>
        <w:rPr>
          <w:rFonts w:ascii="IRNazanin" w:hAnsi="IRNazanin" w:eastAsia="IRNazanin"/>
          <w:color w:val="111111"/>
          <w:sz w:val="28"/>
          <w:sz w:val="28"/>
          <w:szCs w:val="28"/>
          <w:rtl w:val="true"/>
          <w:lang w:bidi="fa-IR"/>
        </w:rPr>
        <w:t>عندنا، إلاّ منصوص العلّة عند بعضنا، و ما کان المسکوت عنه أولی بالحکم من المنطوق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معرفة التفریع الذی ذکره الفقهاء شرطاً ؛ لعدم تقییده</w:t>
      </w:r>
      <w:r>
        <w:rPr>
          <w:rStyle w:val="FootnoteAnchor"/>
          <w:rtl w:val="true"/>
        </w:rPr>
        <w:footnoteReference w:id="35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له الوقوف علی مأخذها ؛ لأ نّه أعون له علی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القضاء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التعمیم، و هو مشروط بإذن الإمام خصوصاً أو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یعبّر عن التولیة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 الحکم، و استنبتک فیه، و استخلفتک، و قلّدتک، و رددت إلیک الحکم، و فوّضْت إلیک، و جعلت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بصیغة الأمر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 الناس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علّق التولیة علی شرط،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الإمام نصب قاضٍ فی کلّ صقع، و علی الناس الترافع إلیه، فلو امتنعوا من تمکینه، أو من الترافع إلیه عند الخصومة، قوتلوا حتّی یجیبوا، و إذا عیّن</w:t>
      </w:r>
    </w:p>
    <w:p>
      <w:pPr>
        <w:pStyle w:val="BookText"/>
        <w:rPr/>
      </w:pPr>
      <w:r>
        <w:rPr>
          <w:rFonts w:ascii="IRNazanin" w:hAnsi="IRNazanin" w:eastAsia="IRNazanin"/>
          <w:color w:val="111111"/>
          <w:sz w:val="28"/>
          <w:sz w:val="28"/>
          <w:szCs w:val="28"/>
          <w:rtl w:val="true"/>
          <w:lang w:bidi="fa-IR"/>
        </w:rPr>
        <w:t>واحداً، تعیّن، و إلاّ فقبوله واجب علی الکفایة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یعلم به الإمام أعلم بنفسه ؛ لأ نّه من أعظم أبواب الأمر بالمعروف، و لو لم یوجد سوی واحد، تعیّن، و لو وجد غیره ففی استحباب تعرّضه للولایة نظر، من حیث الخطر و عظم الثواب إذا سلم،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لمن یثق من نفسه بالقیام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بذل ماله لیلیه، و لا یکاد یتحقّق للعادل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بذله لبیت المال ففی جوازه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جوازه للجائر للواثق بمراعاة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علی نفسه الخیانة، لم یسقط القیام ؛ لتمکّنه من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وجد غیره فالتفویض إلیه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تعدّد القضاة إمّا بالتشریک أو بالتخصیص بمحلّه أو نوع من القضاء، و لو شرط اتّفاقهما فی الأحکام</w:t>
      </w:r>
      <w:r>
        <w:rPr>
          <w:rStyle w:val="FootnoteAnchor"/>
          <w:rtl w:val="true"/>
        </w:rPr>
        <w:footnoteReference w:id="351"/>
      </w:r>
      <w:r>
        <w:rPr>
          <w:rFonts w:ascii="IRNazanin" w:hAnsi="IRNazanin" w:eastAsia="IRNazanin"/>
          <w:color w:val="111111"/>
          <w:sz w:val="28"/>
          <w:sz w:val="28"/>
          <w:szCs w:val="28"/>
          <w:rtl w:val="true"/>
          <w:lang w:bidi="fa-IR"/>
        </w:rPr>
        <w:t>ففیه نظر، من تضیّق</w:t>
      </w:r>
      <w:r>
        <w:rPr>
          <w:rStyle w:val="FootnoteAnchor"/>
          <w:rtl w:val="true"/>
        </w:rPr>
        <w:footnoteReference w:id="352"/>
      </w:r>
      <w:r>
        <w:rPr>
          <w:rFonts w:ascii="IRNazanin" w:hAnsi="IRNazanin" w:eastAsia="IRNazanin"/>
          <w:color w:val="111111"/>
          <w:sz w:val="28"/>
          <w:sz w:val="28"/>
          <w:szCs w:val="28"/>
          <w:rtl w:val="true"/>
          <w:lang w:bidi="fa-IR"/>
        </w:rPr>
        <w:t>موارد الاجتهاد، و من أ نّه أوثق فی الحکم و خصوصاً عندنا ؛ لأنّ المصیب واحد، و مع التشریک یتخیّر المتنازعون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تنازع المدّعی و المدّعی علیه، قدّم المدّعی ؛ لأ نّه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غیبة الإمام ینفذ قضاء الفقیه الجامع للشرائط، و یجب الترافع إلیه، و حکمه حکم المنصوب من قبل الإمام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فکتعدّد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یتعیّن الترافع إلی الأعلم، فإن تساویا، فالأورع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أحدهما أعلم و الآخر أورع، رجّح الأعلم ؛ لأنّ ما فیه من الورع یحجزه</w:t>
      </w:r>
      <w:r>
        <w:rPr>
          <w:rStyle w:val="FootnoteAnchor"/>
          <w:rtl w:val="true"/>
        </w:rPr>
        <w:footnoteReference w:id="353"/>
      </w:r>
      <w:r>
        <w:rPr>
          <w:rFonts w:ascii="IRNazanin" w:hAnsi="IRNazanin" w:eastAsia="IRNazanin"/>
          <w:color w:val="111111"/>
          <w:sz w:val="28"/>
          <w:sz w:val="28"/>
          <w:szCs w:val="28"/>
          <w:rtl w:val="true"/>
          <w:lang w:bidi="fa-IR"/>
        </w:rPr>
        <w:t>عن التهجّم علی الحرام، و یبقی علمه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ولایة القاضی بسماع التولیة من الإمام، أو بشهادة عدلین، أو الاستفاضة، و یثبت بها أیضاً الملک المطلق، و الموت، و النسب، و الوقف، و النکاح، و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فیها العلم أو متاخمته، أو یکفی غلبة الظنّ ؟ أوجه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یقبل قول القاضی بمجرّده و إن شهد له القرائن، و فی الاکتفاء بالخطّ مع أمن التزویر احتمال ؛ لاعتماد الخلق علی قول ولاة رسول‌اللّه صلّی‌اللّه علیه و آله </w:t>
      </w:r>
      <w:bookmarkStart w:id="55" w:name="pg13665_218996"/>
    </w:p>
    <w:p>
      <w:pPr>
        <w:pStyle w:val="BookText"/>
        <w:rPr/>
      </w:pPr>
      <w:bookmarkEnd w:id="55"/>
      <w:r>
        <w:rPr>
          <w:rFonts w:ascii="IRNazanin" w:hAnsi="IRNazanin" w:eastAsia="IRNazanin"/>
          <w:color w:val="111111"/>
          <w:sz w:val="28"/>
          <w:sz w:val="28"/>
          <w:szCs w:val="28"/>
          <w:rtl w:val="true"/>
          <w:lang w:bidi="fa-IR"/>
        </w:rPr>
        <w:t>بمجرّد الکتاب، حتّی تخرّص واحد فصعق فصار حُمَمَة، و لم یأمرهم بالإشهاد، و لأنّ الحجّة لا تقام عند حاکم و إلاّ دار، فالاعتماد علی ما یحصل معه</w:t>
      </w:r>
      <w:r>
        <w:rPr>
          <w:rStyle w:val="FootnoteAnchor"/>
          <w:rtl w:val="true"/>
        </w:rPr>
        <w:footnoteReference w:id="354"/>
      </w:r>
      <w:r>
        <w:rPr>
          <w:rFonts w:ascii="IRNazanin" w:hAnsi="IRNazanin" w:eastAsia="IRNazanin"/>
          <w:color w:val="111111"/>
          <w:sz w:val="28"/>
          <w:sz w:val="28"/>
          <w:szCs w:val="28"/>
          <w:rtl w:val="true"/>
          <w:lang w:bidi="fa-IR"/>
        </w:rPr>
        <w:t>الظنّ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التحکیم، و هو سائغ و إن کان فی البلد قاضٍ، و یلزم</w:t>
      </w:r>
      <w:r>
        <w:rPr>
          <w:rStyle w:val="FootnoteAnchor"/>
          <w:rtl w:val="true"/>
        </w:rPr>
        <w:footnoteReference w:id="355"/>
      </w:r>
      <w:r>
        <w:rPr>
          <w:rFonts w:ascii="IRNazanin" w:hAnsi="IRNazanin" w:eastAsia="IRNazanin"/>
          <w:color w:val="111111"/>
          <w:sz w:val="28"/>
          <w:sz w:val="28"/>
          <w:szCs w:val="28"/>
          <w:rtl w:val="true"/>
          <w:lang w:bidi="fa-IR"/>
        </w:rPr>
        <w:t xml:space="preserve">الخصمین المتراضیین به حکمه حتّی فی العقوبة، و هل یشترط رضاهما بعد الحکم ؟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ینقض حکمه فیما لا ینقض</w:t>
      </w:r>
      <w:r>
        <w:rPr>
          <w:rStyle w:val="FootnoteAnchor"/>
          <w:rtl w:val="true"/>
        </w:rPr>
        <w:footnoteReference w:id="356"/>
      </w:r>
      <w:r>
        <w:rPr>
          <w:rFonts w:ascii="IRNazanin" w:hAnsi="IRNazanin" w:eastAsia="IRNazanin"/>
          <w:color w:val="111111"/>
          <w:sz w:val="28"/>
          <w:sz w:val="28"/>
          <w:szCs w:val="28"/>
          <w:rtl w:val="true"/>
          <w:lang w:bidi="fa-IR"/>
        </w:rPr>
        <w:t>فیه حکم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استجماع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أحدهما عن تحکمیه قبل حکمه و إن کان فی أثنائه، لم ینفذ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حکمه المتراضیین، فلا تضرب الدیة علی عاقلة المدّعی علیه، و لا یستثنی من التحکیم النکاح، و القصاص، و اللعان، و القذف ؛ لفقد المخصّص</w:t>
      </w:r>
      <w:r>
        <w:rPr>
          <w:rFonts w:eastAsia="IRNazanin" w:cs="IRNazanin"/>
          <w:color w:val="111111"/>
          <w:sz w:val="28"/>
          <w:szCs w:val="28"/>
          <w:rtl w:val="true"/>
          <w:lang w:bidi="fa-IR"/>
        </w:rPr>
        <w:t>.</w:t>
      </w:r>
    </w:p>
    <w:p>
      <w:pPr>
        <w:pStyle w:val="Heading3"/>
        <w:numPr>
          <w:ilvl w:val="2"/>
          <w:numId w:val="1"/>
        </w:numPr>
        <w:rPr/>
      </w:pPr>
      <w:bookmarkStart w:id="56" w:name="__RefHeading___Toc2071247_3830689328"/>
      <w:bookmarkStart w:id="57" w:name="_Toc18"/>
      <w:bookmarkEnd w:id="56"/>
      <w:r>
        <w:rPr>
          <w:rtl w:val="true"/>
        </w:rPr>
        <w:t xml:space="preserve">درس </w:t>
      </w:r>
      <w:r>
        <w:rPr>
          <w:rtl w:val="true"/>
        </w:rPr>
        <w:t>(</w:t>
      </w:r>
      <w:r>
        <w:rPr/>
        <w:t>133</w:t>
      </w:r>
      <w:r>
        <w:rPr>
          <w:rtl w:val="true"/>
        </w:rPr>
        <w:t>)</w:t>
      </w:r>
      <w:bookmarkEnd w:id="57"/>
    </w:p>
    <w:p>
      <w:pPr>
        <w:pStyle w:val="BookText"/>
        <w:rPr/>
      </w:pPr>
      <w:r>
        <w:rPr>
          <w:rFonts w:ascii="IRNazanin" w:hAnsi="IRNazanin" w:eastAsia="IRNazanin"/>
          <w:color w:val="111111"/>
          <w:sz w:val="28"/>
          <w:sz w:val="28"/>
          <w:szCs w:val="28"/>
          <w:rtl w:val="true"/>
          <w:lang w:bidi="fa-IR"/>
        </w:rPr>
        <w:t>ینعزل القاضی بطریان مانع من القضاء، کالجنون، و الفسق، و الإغماء، و النسیان الغالب، و لا یعود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بموت الإمام، و سقوط</w:t>
      </w:r>
      <w:r>
        <w:rPr>
          <w:rStyle w:val="FootnoteAnchor"/>
          <w:rtl w:val="true"/>
        </w:rPr>
        <w:footnoteReference w:id="357"/>
      </w:r>
      <w:r>
        <w:rPr>
          <w:rFonts w:ascii="IRNazanin" w:hAnsi="IRNazanin" w:eastAsia="IRNazanin"/>
          <w:color w:val="111111"/>
          <w:sz w:val="28"/>
          <w:sz w:val="28"/>
          <w:szCs w:val="28"/>
          <w:rtl w:val="true"/>
          <w:lang w:bidi="fa-IR"/>
        </w:rPr>
        <w:t>ولایة المنوب إذا کان منصوباً عنه، و بعزل المولّی إیّاه لمصلحة لا اقتراحاً علی قول ضعیف</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علمه بالعزل، و ینعزل بعزله نوّابه فی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تعلیق العزل وجه ضعیف، و لا یقبل قوله بعد العزل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مع آخر بأنّ هذا حَکَمَ به قاضٍ، قُبِل ظاهراً، و إن علم إرادة نفسه، بطل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ادّعی علی المعزول رشوة أو جوراً و کذّب، حلف علی الرشوة و علی نفی </w:t>
      </w:r>
    </w:p>
    <w:p>
      <w:pPr>
        <w:pStyle w:val="BookText"/>
        <w:rPr/>
      </w:pP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قال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 بشهادة فاسقین و لا بیّنة، ففی ترجیح قوله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تعارض الأصل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فی المبسوط بأ نّه یکلّف البیّنة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ینفذ حکم مَن لا تجوز شهادته</w:t>
      </w:r>
      <w:r>
        <w:rPr>
          <w:rStyle w:val="FootnoteAnchor"/>
          <w:rtl w:val="true"/>
        </w:rPr>
        <w:footnoteReference w:id="360"/>
      </w:r>
      <w:r>
        <w:rPr>
          <w:rFonts w:ascii="IRNazanin" w:hAnsi="IRNazanin" w:eastAsia="IRNazanin"/>
          <w:color w:val="111111"/>
          <w:sz w:val="28"/>
          <w:sz w:val="28"/>
          <w:szCs w:val="28"/>
          <w:rtl w:val="true"/>
          <w:lang w:bidi="fa-IR"/>
        </w:rPr>
        <w:t>، کالخصم علی خصمه، فی هذه الحکومة أو فی غیرها، و الولد علی والده، و العبد علی سیّده فی قضاء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یرتزق</w:t>
      </w:r>
      <w:r>
        <w:rPr>
          <w:rStyle w:val="FootnoteAnchor"/>
          <w:rtl w:val="true"/>
        </w:rPr>
        <w:footnoteReference w:id="361"/>
      </w:r>
      <w:r>
        <w:rPr>
          <w:rFonts w:ascii="IRNazanin" w:hAnsi="IRNazanin" w:eastAsia="IRNazanin"/>
          <w:color w:val="111111"/>
          <w:sz w:val="28"/>
          <w:sz w:val="28"/>
          <w:szCs w:val="28"/>
          <w:rtl w:val="true"/>
          <w:lang w:bidi="fa-IR"/>
        </w:rPr>
        <w:t>القاضی من بیت المال مع الحاجة أو عدم تعیینه علیه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الکاتب، و القاسم، و المترجم، و معلّم القرآن و الآداب، و المدرّس، و صاحب الدیوان، و الکیّال، و الوزّان، و والی بیت المال، و العدل المرصد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أخذ أُجرة علی القضاء، و إقامة الشهادة و إن لم یتعیّن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احتاج إلی مؤونة فی سفره لإقامتها، جاز أخذها ؛ إذ لا 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القاضی الجعل من المتحاکمین مع الضرورة و عدم التعیین، ففیه قولان، و المنع أشبه، فإن جوّزناه ففی جواز تخصیص أحدهما به، أو جعله علی المدّعی، أو التشریک بینهما نظر، من الشکّ فی أ نّه تابع للعمل، أو المنفعة</w:t>
      </w:r>
      <w:r>
        <w:rPr>
          <w:rStyle w:val="FootnoteAnchor"/>
          <w:rtl w:val="true"/>
        </w:rPr>
        <w:footnoteReference w:id="362"/>
      </w:r>
      <w:r>
        <w:rPr>
          <w:rFonts w:ascii="IRNazanin" w:hAnsi="IRNazanin" w:eastAsia="IRNazanin"/>
          <w:color w:val="111111"/>
          <w:sz w:val="28"/>
          <w:sz w:val="28"/>
          <w:szCs w:val="28"/>
          <w:rtl w:val="true"/>
          <w:lang w:bidi="fa-IR"/>
        </w:rPr>
        <w:t>الحاصلة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 علی المحقّ منهما ظاهراً أو المبطل، فالإشکال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متفرّقة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المدّعی علی المعزول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 بشهادة فاسقین و لم یذکر أخذ المال،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و حینئذٍ لو صدّقه القاضی ففی غرمه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استقرار السبب، و من عدم قرار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صدّق الغریم، فلا غرم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حاسب الصارف الأُمناء، ففضل فی ید أحدهم فضلة، فادّعی أ نّها أُجرة قرّرها</w:t>
      </w:r>
      <w:r>
        <w:rPr>
          <w:rStyle w:val="FootnoteAnchor"/>
          <w:rtl w:val="true"/>
        </w:rPr>
        <w:footnoteReference w:id="363"/>
      </w:r>
      <w:r>
        <w:rPr>
          <w:rFonts w:ascii="IRNazanin" w:hAnsi="IRNazanin" w:eastAsia="IRNazanin"/>
          <w:color w:val="111111"/>
          <w:sz w:val="28"/>
          <w:sz w:val="28"/>
          <w:szCs w:val="28"/>
          <w:rtl w:val="true"/>
          <w:lang w:bidi="fa-IR"/>
        </w:rPr>
        <w:t>المعزول، فلا أثر لتصدیقه، و یردّ الزائد علی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تصدیق الأمین فی استحقاق أُجرة المثل نظر، من أ نّه مدّعٍ، و من أنّ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یعمل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یثبت عمله، فلا استحقاق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عادت ولایة القاضی بعد زوالها و سماع البیّنة، وجب استعادتها و إن قصر الزمان، بخلاف ما لو سمعها، ثمّ خرج عن محلّ ولایته، ثمّ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حضر الإمام فی بقعة و تحوکم إلیه، فله ردّ الحکم إلی غیره إجماعاً، فإنّ النبیّ صلّی‌اللّه علیه و آله کان یردّ الحکم إلی علیّ علیه‌السّلام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لمن أذن له فی الاستخلاف</w:t>
      </w:r>
      <w:r>
        <w:rPr>
          <w:rStyle w:val="FootnoteAnchor"/>
          <w:rtl w:val="true"/>
        </w:rPr>
        <w:footnoteReference w:id="364"/>
      </w:r>
      <w:r>
        <w:rPr>
          <w:rFonts w:ascii="IRNazanin" w:hAnsi="IRNazanin" w:eastAsia="IRNazanin"/>
          <w:color w:val="111111"/>
          <w:sz w:val="28"/>
          <w:sz w:val="28"/>
          <w:szCs w:val="28"/>
          <w:rtl w:val="true"/>
          <w:lang w:bidi="fa-IR"/>
        </w:rPr>
        <w:t>و لو فحویً، کسعة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تولیة المفضول مع وجود الأفضل ؟ جوّزه قوم</w:t>
      </w:r>
      <w:r>
        <w:rPr>
          <w:rStyle w:val="FootnoteAnchor"/>
          <w:rtl w:val="true"/>
        </w:rPr>
        <w:footnoteReference w:id="365"/>
      </w:r>
      <w:r>
        <w:rPr>
          <w:rFonts w:ascii="IRNazanin" w:hAnsi="IRNazanin" w:eastAsia="IRNazanin"/>
          <w:color w:val="111111"/>
          <w:sz w:val="28"/>
          <w:sz w:val="28"/>
          <w:szCs w:val="28"/>
          <w:rtl w:val="true"/>
          <w:lang w:bidi="fa-IR"/>
        </w:rPr>
        <w:t xml:space="preserve">، بخلاف الإمامة العظمی ؛ لأنّ ما یفوت من مزید الفضل فیها لا مستدرک له، و القاضی یکتفی بمراقبة الإمام، و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 حسماً لمادّة التخطّی مع منع الآیة</w:t>
      </w:r>
      <w:r>
        <w:rPr>
          <w:rStyle w:val="FootnoteAnchor"/>
          <w:rtl w:val="true"/>
        </w:rPr>
        <w:footnoteReference w:id="366"/>
      </w:r>
      <w:r>
        <w:rPr>
          <w:rFonts w:ascii="IRNazanin" w:hAnsi="IRNazanin" w:eastAsia="IRNazanin"/>
          <w:color w:val="111111"/>
          <w:sz w:val="28"/>
          <w:sz w:val="28"/>
          <w:szCs w:val="28"/>
          <w:rtl w:val="true"/>
          <w:lang w:bidi="fa-IR"/>
        </w:rPr>
        <w:t>من ذلک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قضاء المرأة ؛ لإطباق السلف علی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قضائها فی مورد شهادتها،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للوالی من قبل الظالم و إن کان الظالم صاحب 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الترافع إلیه للضرورة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یستبیح المحقّ ما حکم له به مع علمه بإصابة الحقّ، و لو جهل و کان الحکم </w:t>
      </w:r>
      <w:bookmarkStart w:id="58" w:name="pg13665_218999"/>
    </w:p>
    <w:p>
      <w:pPr>
        <w:pStyle w:val="BookText"/>
        <w:rPr/>
      </w:pPr>
      <w:bookmarkEnd w:id="58"/>
      <w:r>
        <w:rPr>
          <w:rFonts w:ascii="IRNazanin" w:hAnsi="IRNazanin" w:eastAsia="IRNazanin"/>
          <w:color w:val="111111"/>
          <w:sz w:val="28"/>
          <w:sz w:val="28"/>
          <w:szCs w:val="28"/>
          <w:rtl w:val="true"/>
          <w:lang w:bidi="fa-IR"/>
        </w:rPr>
        <w:t xml:space="preserve">علی مَن یعتقده،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 لقولهم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امضوا فیأحکامهم</w:t>
      </w:r>
      <w:r>
        <w:rPr>
          <w:rFonts w:eastAsia="IRNazanin" w:cs="IRNazanin"/>
          <w:color w:val="111111"/>
          <w:sz w:val="28"/>
          <w:szCs w:val="28"/>
          <w:rtl w:val="true"/>
          <w:lang w:bidi="fa-IR"/>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بِدِین قوم، لزمه حکمه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071249_3830689328"/>
      <w:bookmarkStart w:id="60" w:name="_Toc19"/>
      <w:bookmarkEnd w:id="59"/>
      <w:r>
        <w:rPr>
          <w:rtl w:val="true"/>
        </w:rPr>
        <w:t xml:space="preserve">درس </w:t>
      </w:r>
      <w:r>
        <w:rPr>
          <w:rtl w:val="true"/>
        </w:rPr>
        <w:t>(</w:t>
      </w:r>
      <w:r>
        <w:rPr/>
        <w:t>134</w:t>
      </w:r>
      <w:r>
        <w:rPr>
          <w:rtl w:val="true"/>
        </w:rPr>
        <w:t>)</w:t>
      </w:r>
      <w:bookmarkEnd w:id="60"/>
    </w:p>
    <w:p>
      <w:pPr>
        <w:pStyle w:val="BookText"/>
        <w:rPr/>
      </w:pPr>
      <w:r>
        <w:rPr>
          <w:rFonts w:ascii="IRNazanin" w:hAnsi="IRNazanin" w:eastAsia="IRNazanin"/>
          <w:color w:val="111111"/>
          <w:sz w:val="28"/>
          <w:sz w:val="28"/>
          <w:szCs w:val="28"/>
          <w:rtl w:val="true"/>
          <w:lang w:bidi="fa-IR"/>
        </w:rPr>
        <w:t>فی آداب القضاء</w:t>
      </w:r>
    </w:p>
    <w:p>
      <w:pPr>
        <w:pStyle w:val="BookText"/>
        <w:rPr/>
      </w:pPr>
      <w:r>
        <w:rPr>
          <w:rFonts w:ascii="IRNazanin" w:hAnsi="IRNazanin" w:eastAsia="IRNazanin"/>
          <w:color w:val="111111"/>
          <w:sz w:val="28"/>
          <w:sz w:val="28"/>
          <w:szCs w:val="28"/>
          <w:rtl w:val="true"/>
          <w:lang w:bidi="fa-IR"/>
        </w:rPr>
        <w:t xml:space="preserve">و هی إمّا مستحبّة و هی 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المسجد الجامع حین قدومه و صلاة رکعتین فیه، کما یستحبّ لکلّ قادم إلی بلد، و یسأل اللّه تعالی التوفیق و العصمة و الإعانة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فی وسط البلد ؛ لیتساوی ورود الخصوم إلیه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بأخذ دیوان الحکم من المصروف و ما فیه من الوثائق و المحاضر، و هی نسخ ما ثبت عند الحاکم، و السجلاّت، و هی نسخ ما یحکم</w:t>
      </w:r>
      <w:r>
        <w:rPr>
          <w:rStyle w:val="FootnoteAnchor"/>
          <w:rtl w:val="true"/>
        </w:rPr>
        <w:footnoteReference w:id="37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یتعرّف من أهل البلد ما یحتاج إلی معرفته من مراتب الناس فی العلم و الصلاح و غیرها، ثمّ یشیع مقدمه، فیواعد الناس یوماً لقراءة</w:t>
      </w:r>
      <w:r>
        <w:rPr>
          <w:rStyle w:val="FootnoteAnchor"/>
          <w:rtl w:val="true"/>
        </w:rPr>
        <w:footnoteReference w:id="371"/>
      </w:r>
      <w:r>
        <w:rPr>
          <w:rFonts w:ascii="IRNazanin" w:hAnsi="IRNazanin" w:eastAsia="IRNazanin"/>
          <w:color w:val="111111"/>
          <w:sz w:val="28"/>
          <w:sz w:val="28"/>
          <w:szCs w:val="28"/>
          <w:rtl w:val="true"/>
          <w:lang w:bidi="fa-IR"/>
        </w:rPr>
        <w:t>عهده ؛ لیتوفّروا علی سماعه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Style w:val="FootnoteAnchor"/>
          <w:rtl w:val="true"/>
        </w:rPr>
        <w:footnoteReference w:id="372"/>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بالمحبوسین، فمن حبس بظلم أو فی تأدیب تمّ أدبه</w:t>
      </w:r>
      <w:r>
        <w:rPr>
          <w:rStyle w:val="FootnoteAnchor"/>
          <w:rtl w:val="true"/>
        </w:rPr>
        <w:footnoteReference w:id="373"/>
      </w:r>
      <w:r>
        <w:rPr>
          <w:rFonts w:ascii="Amiri" w:hAnsi="Amiri" w:eastAsia="Amiri" w:cs="Amiri"/>
          <w:color w:val="111111"/>
          <w:sz w:val="28"/>
          <w:sz w:val="28"/>
          <w:szCs w:val="28"/>
          <w:rtl w:val="true"/>
          <w:lang w:bidi="ar-SA"/>
        </w:rPr>
        <w:t xml:space="preserve">، أطلقه، و مَن ذکر أ نّه محبوس بحقّ، أقرّ، و من أنکر الحقّ </w:t>
      </w:r>
    </w:p>
    <w:p>
      <w:pPr>
        <w:pStyle w:val="BookText"/>
        <w:rPr/>
      </w:pPr>
      <w:r>
        <w:rPr>
          <w:rFonts w:ascii="IRNazanin" w:hAnsi="IRNazanin" w:eastAsia="IRNazanin"/>
          <w:color w:val="111111"/>
          <w:sz w:val="28"/>
          <w:sz w:val="28"/>
          <w:szCs w:val="28"/>
          <w:rtl w:val="true"/>
          <w:lang w:bidi="fa-IR"/>
        </w:rPr>
        <w:t>سئل</w:t>
      </w:r>
      <w:r>
        <w:rPr>
          <w:rStyle w:val="FootnoteAnchor"/>
          <w:rtl w:val="true"/>
        </w:rPr>
        <w:footnoteReference w:id="374"/>
      </w:r>
      <w:r>
        <w:rPr>
          <w:rFonts w:ascii="IRNazanin" w:hAnsi="IRNazanin" w:eastAsia="IRNazanin"/>
          <w:color w:val="111111"/>
          <w:sz w:val="28"/>
          <w:sz w:val="28"/>
          <w:szCs w:val="28"/>
          <w:rtl w:val="true"/>
          <w:lang w:bidi="fa-IR"/>
        </w:rPr>
        <w:t>عن خصمه، فإن عیّنه أحضره، فإن اعترف بالظلم، أطلقه، و إن زعم أنّ الأوّل حبسه لثبوت حقّه عنده، فعلیه البیّنة إن لم یصدّق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یعیّن خصماً،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خصم لا أعرفه، أقرّ،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خصم لی،</w:t>
      </w:r>
    </w:p>
    <w:p>
      <w:pPr>
        <w:pStyle w:val="BookText"/>
        <w:rPr/>
      </w:pPr>
      <w:r>
        <w:rPr>
          <w:rFonts w:ascii="IRNazanin" w:hAnsi="IRNazanin" w:eastAsia="IRNazanin"/>
          <w:color w:val="111111"/>
          <w:sz w:val="28"/>
          <w:sz w:val="28"/>
          <w:szCs w:val="28"/>
          <w:rtl w:val="true"/>
          <w:lang w:bidi="fa-IR"/>
        </w:rPr>
        <w:t>أُشیع حاله بالنداء، فإن لم یظهر،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 ظلماً،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یسمع منه، لأ نّه قدح فی الأوّل، بل یشاع حاله، ثمّ یطلق بعد إحلافه علی البراءة، قاله الشیخ</w:t>
      </w:r>
      <w:r>
        <w:rPr>
          <w:rStyle w:val="FootnoteAnchor"/>
          <w:rtl w:val="true"/>
        </w:rPr>
        <w:footnoteReference w:id="375"/>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یلزم بکفیل فی الموضعین ؟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ذکر خصماً غائباً، و ذکر أ نّه مظلوم،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 و المراقبة أو التکفیل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فی أموال الأطفال و المجانین، فیعتمد</w:t>
      </w:r>
      <w:r>
        <w:rPr>
          <w:rStyle w:val="FootnoteAnchor"/>
          <w:rtl w:val="true"/>
        </w:rPr>
        <w:footnoteReference w:id="376"/>
      </w:r>
      <w:r>
        <w:rPr>
          <w:rFonts w:ascii="IRNazanin" w:hAnsi="IRNazanin" w:eastAsia="IRNazanin"/>
          <w:color w:val="111111"/>
          <w:sz w:val="28"/>
          <w:sz w:val="28"/>
          <w:szCs w:val="28"/>
          <w:rtl w:val="true"/>
          <w:lang w:bidi="fa-IR"/>
        </w:rPr>
        <w:t>ما یجب، من تضمین، أو إسقاط ولایة ؛ لکمال المولّی علیه، أو خیانة الوالی، أو إنفاذ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 فی الأوصیاء علی إخراج الحقوق، فمن خالف وصیّته، أبطل تصرّفه، و لو فسق، استبدل</w:t>
      </w:r>
      <w:r>
        <w:rPr>
          <w:rStyle w:val="FootnoteAnchor"/>
          <w:rtl w:val="true"/>
        </w:rPr>
        <w:footnoteReference w:id="377"/>
      </w:r>
      <w:r>
        <w:rPr>
          <w:rFonts w:ascii="IRNazanin" w:hAnsi="IRNazanin" w:eastAsia="IRNazanin"/>
          <w:color w:val="111111"/>
          <w:sz w:val="28"/>
          <w:sz w:val="28"/>
          <w:szCs w:val="28"/>
          <w:rtl w:val="true"/>
          <w:lang w:bidi="fa-IR"/>
        </w:rPr>
        <w:t>، و لو أنفذ شیئاً فی حال فسقه، لم یمض</w:t>
      </w:r>
      <w:r>
        <w:rPr>
          <w:rStyle w:val="FootnoteAnchor"/>
          <w:rtl w:val="true"/>
        </w:rPr>
        <w:footnoteReference w:id="378"/>
      </w:r>
      <w:r>
        <w:rPr>
          <w:rFonts w:ascii="Amiri" w:hAnsi="Amiri" w:eastAsia="Amiri" w:cs="Amiri"/>
          <w:color w:val="111111"/>
          <w:sz w:val="28"/>
          <w:sz w:val="28"/>
          <w:szCs w:val="28"/>
          <w:rtl w:val="true"/>
          <w:lang w:bidi="ar-SA"/>
        </w:rPr>
        <w:t xml:space="preserve">إلاّ ما کان من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لبالغ معیّن</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فأوصله إلیه أو إلی من یقوم مقامه، و لو کان غیر معیّن، کالفقراء و المساکین</w:t>
      </w:r>
      <w:r>
        <w:rPr>
          <w:rStyle w:val="FootnoteAnchor"/>
          <w:rtl w:val="true"/>
        </w:rPr>
        <w:footnoteReference w:id="380"/>
      </w:r>
      <w:r>
        <w:rPr>
          <w:rFonts w:ascii="IRNazanin" w:hAnsi="IRNazanin" w:eastAsia="IRNazanin"/>
          <w:color w:val="111111"/>
          <w:sz w:val="28"/>
          <w:sz w:val="28"/>
          <w:szCs w:val="28"/>
          <w:rtl w:val="true"/>
          <w:lang w:bidi="fa-IR"/>
        </w:rPr>
        <w:t>، ضمن، کما لو أوصله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یضمن من تصرّف فی وقف مسجد أو مشهد و لیس أهلاً، و إن صرفه فی مصلحته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ینظر فی أُمناء الحکم، و یعتمد معهم ما یجب من إقرار، أو إمضاء، أو إعانة لحافظی أموال الطفل، و المحجور علیه</w:t>
      </w:r>
      <w:r>
        <w:rPr>
          <w:rStyle w:val="FootnoteAnchor"/>
          <w:rtl w:val="true"/>
        </w:rPr>
        <w:footnoteReference w:id="382"/>
      </w:r>
      <w:r>
        <w:rPr>
          <w:rFonts w:ascii="IRNazanin" w:hAnsi="IRNazanin" w:eastAsia="IRNazanin"/>
          <w:color w:val="111111"/>
          <w:sz w:val="28"/>
          <w:sz w:val="28"/>
          <w:szCs w:val="28"/>
          <w:rtl w:val="true"/>
          <w:lang w:bidi="fa-IR"/>
        </w:rPr>
        <w:t>، و الغائب، و الوصایا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ینظر فی اللقط</w:t>
      </w:r>
      <w:r>
        <w:rPr>
          <w:rStyle w:val="FootnoteAnchor"/>
          <w:rtl w:val="true"/>
        </w:rPr>
        <w:footnoteReference w:id="383"/>
      </w:r>
      <w:r>
        <w:rPr>
          <w:rFonts w:ascii="IRNazanin" w:hAnsi="IRNazanin" w:eastAsia="IRNazanin"/>
          <w:color w:val="111111"/>
          <w:sz w:val="28"/>
          <w:sz w:val="28"/>
          <w:szCs w:val="28"/>
          <w:rtl w:val="true"/>
          <w:lang w:bidi="fa-IR"/>
        </w:rPr>
        <w:t>و الضوالّ، فیبیع ما هو عرضة للتلف، و ما تستوعب نفقته</w:t>
      </w:r>
    </w:p>
    <w:p>
      <w:pPr>
        <w:pStyle w:val="BookText"/>
        <w:rPr/>
      </w:pPr>
      <w:r>
        <w:rPr>
          <w:rFonts w:ascii="IRNazanin" w:hAnsi="IRNazanin" w:eastAsia="IRNazanin"/>
          <w:color w:val="111111"/>
          <w:sz w:val="28"/>
          <w:sz w:val="28"/>
          <w:szCs w:val="28"/>
          <w:rtl w:val="true"/>
          <w:lang w:bidi="fa-IR"/>
        </w:rPr>
        <w:t>قیمته، و یحفظ ما عداه أو یدفعه إلی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یحکم فی أثناء هذه الأُمور ؛ لأنّ الحبس عقوبة، و حاجات الأطفال و الغُیّاب ناجزة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خفّت الحکومة، فصلها فی الأثناء، و إلاّ فوّضها إلی غیره،</w:t>
      </w:r>
    </w:p>
    <w:p>
      <w:pPr>
        <w:pStyle w:val="BookText"/>
        <w:rPr/>
      </w:pPr>
      <w:r>
        <w:rPr>
          <w:rFonts w:ascii="IRNazanin" w:hAnsi="IRNazanin" w:eastAsia="IRNazanin"/>
          <w:color w:val="111111"/>
          <w:sz w:val="28"/>
          <w:sz w:val="28"/>
          <w:szCs w:val="28"/>
          <w:rtl w:val="true"/>
          <w:lang w:bidi="fa-IR"/>
        </w:rPr>
        <w:t>و یبدأ بالأهمّ فالأهمّ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یتروّی فی ترتیب الکُتّاب و المزکّین و المترجمین، و لیکن الکاتب عدلاً منزّهاً عن الطمع، و فی حکم المترجم المسمع إن کان القاضی أصمّ أو بعض المتداعین، و تشترط العدالة فی الجمیع، و یشترط العدد فی المزکّی و لا یشترط فی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اشتراط العدد فی المترجم و المسمع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إنّها شهادة، و من حیث</w:t>
      </w:r>
      <w:r>
        <w:rPr>
          <w:rStyle w:val="FootnoteAnchor"/>
          <w:rtl w:val="true"/>
        </w:rPr>
        <w:footnoteReference w:id="384"/>
      </w:r>
      <w:r>
        <w:rPr>
          <w:rFonts w:ascii="IRNazanin" w:hAnsi="IRNazanin" w:eastAsia="IRNazanin"/>
          <w:color w:val="111111"/>
          <w:sz w:val="28"/>
          <w:sz w:val="28"/>
          <w:szCs w:val="28"/>
          <w:rtl w:val="true"/>
          <w:lang w:bidi="fa-IR"/>
        </w:rPr>
        <w:t>إنّه لو غیّر لاعترض علیه الخصمان، و حینئذٍ یمکن أن یشترط حیث لا یمکن فهمهما</w:t>
      </w:r>
      <w:r>
        <w:rPr>
          <w:rStyle w:val="FootnoteAnchor"/>
          <w:rtl w:val="true"/>
        </w:rPr>
        <w:footnoteReference w:id="385"/>
      </w:r>
      <w:r>
        <w:rPr>
          <w:rFonts w:ascii="IRNazanin" w:hAnsi="IRNazanin" w:eastAsia="IRNazanin"/>
          <w:color w:val="111111"/>
          <w:sz w:val="28"/>
          <w:sz w:val="28"/>
          <w:szCs w:val="28"/>
          <w:rtl w:val="true"/>
          <w:lang w:bidi="fa-IR"/>
        </w:rPr>
        <w:t>التغییر</w:t>
      </w:r>
      <w:r>
        <w:rPr>
          <w:rStyle w:val="FootnoteAnchor"/>
          <w:rtl w:val="true"/>
        </w:rPr>
        <w:footnoteReference w:id="386"/>
      </w:r>
      <w:r>
        <w:rPr>
          <w:rFonts w:ascii="IRNazanin" w:hAnsi="IRNazanin" w:eastAsia="IRNazanin"/>
          <w:color w:val="111111"/>
          <w:sz w:val="28"/>
          <w:sz w:val="28"/>
          <w:szCs w:val="28"/>
          <w:rtl w:val="true"/>
          <w:lang w:bidi="fa-IR"/>
        </w:rPr>
        <w:t xml:space="preserve">، إمّا لعدم معرفتهما بلغة الترجمة، أو لکونهما أصمّین،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مطلقاً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للقضاء فی الفضاء؛ لیسهل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المسجد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واسعاً و جلس فیه، ففی الکراهیة أوجه،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Style w:val="FootnoteAnchor"/>
          <w:rtl w:val="true"/>
        </w:rPr>
        <w:footnoteReference w:id="388"/>
      </w:r>
      <w:r>
        <w:rPr>
          <w:rFonts w:ascii="IRNazanin" w:hAnsi="IRNazanin" w:eastAsia="IRNazanin"/>
          <w:color w:val="111111"/>
          <w:sz w:val="28"/>
          <w:sz w:val="28"/>
          <w:szCs w:val="28"/>
          <w:rtl w:val="true"/>
          <w:lang w:bidi="fa-IR"/>
        </w:rPr>
        <w:t>إن اتّخذه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دخله، صلّی التحیّة، ثمّ جلس مستدبراً ؛ لیکون الخصوم مستقبلی القبلة، و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 ؛ لقولهم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المجالس ما استقبل به القبلة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متجمّلاً فی أحسن هیئة، ثمّ یجلس و علیه السکینة و الوقار</w:t>
      </w:r>
    </w:p>
    <w:p>
      <w:pPr>
        <w:pStyle w:val="BookText"/>
        <w:rPr/>
      </w:pPr>
      <w:r>
        <w:rPr>
          <w:rFonts w:ascii="IRNazanin" w:hAnsi="IRNazanin" w:eastAsia="IRNazanin"/>
          <w:color w:val="111111"/>
          <w:sz w:val="28"/>
          <w:sz w:val="28"/>
          <w:szCs w:val="28"/>
          <w:rtl w:val="true"/>
          <w:lang w:bidi="fa-IR"/>
        </w:rPr>
        <w:t>من غیر انبساط یجرئ</w:t>
      </w:r>
      <w:r>
        <w:rPr>
          <w:rStyle w:val="FootnoteAnchor"/>
          <w:rtl w:val="true"/>
        </w:rPr>
        <w:footnoteReference w:id="390"/>
      </w:r>
      <w:r>
        <w:rPr>
          <w:rFonts w:ascii="IRNazanin" w:hAnsi="IRNazanin" w:eastAsia="IRNazanin"/>
          <w:color w:val="111111"/>
          <w:sz w:val="28"/>
          <w:sz w:val="28"/>
          <w:szCs w:val="28"/>
          <w:rtl w:val="true"/>
          <w:lang w:bidi="fa-IR"/>
        </w:rPr>
        <w:t>الخصوم، و لا انقباض یمنع من اللحن بالحجّة، خالیاً من شواغل القلب، کالغضب و الجوع و العطش و غلبة الفرح و الغمّ و الوجع، و مدافعة الأخبثین و غلبة</w:t>
      </w:r>
      <w:r>
        <w:rPr>
          <w:rStyle w:val="FootnoteAnchor"/>
          <w:rtl w:val="true"/>
        </w:rPr>
        <w:footnoteReference w:id="391"/>
      </w:r>
      <w:r>
        <w:rPr>
          <w:rFonts w:ascii="IRNazanin" w:hAnsi="IRNazanin" w:eastAsia="IRNazanin"/>
          <w:color w:val="111111"/>
          <w:sz w:val="28"/>
          <w:sz w:val="28"/>
          <w:szCs w:val="28"/>
          <w:rtl w:val="true"/>
          <w:lang w:bidi="fa-IR"/>
        </w:rPr>
        <w:t>النعاس، و لو قضی مع وجود هذه، 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یحاضر العلماء ؛ للتنبیه علی المأخذ و الخطأ، لا للتقلید و إن ضاق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یحضر فی مجلسه عدول یشهدون علی المقرّ و علی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یرغّب فی الصلح، فإن أبیا، أنجز الحکم، و لو اشتبه، أُرجئ حتّی یتبیّن، و علیه الاجتهاد فی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یفرّق بین الشهود إذا ارتاب بهم، أو کان لا قوّة عندهم و یعظهم، و یکره ذلک فی أهل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یعرّض المقرّ بموجب الحدّ للّه بالکفّ و التأویل، کما فعل النبیّ صلّی‌اللّه علیه و آله بماعز</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الخصمان بین یدیه، و یجوز قیامهما لا قیام أحدهما إلاّ مع کفره و إسلام الآخر</w:t>
      </w:r>
      <w:r>
        <w:rPr>
          <w:rFonts w:eastAsia="IRNazanin" w:cs="IRNazanin"/>
          <w:color w:val="111111"/>
          <w:sz w:val="28"/>
          <w:szCs w:val="28"/>
          <w:rtl w:val="true"/>
          <w:lang w:bidi="fa-IR"/>
        </w:rPr>
        <w:t xml:space="preserve">. </w:t>
      </w:r>
      <w:bookmarkStart w:id="61" w:name="pg13665_219003"/>
    </w:p>
    <w:p>
      <w:pPr>
        <w:pStyle w:val="BookText"/>
        <w:rPr/>
      </w:pPr>
      <w:bookmarkEnd w:id="61"/>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یتّخذ حاجباً وقت القضاء ؛ لنهی النبیّ صلّی‌اللّه علیه و آله</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یتولّی البیع و الشراء لنفسه، و لا یحضر ولیمة الخصوم، و لا یرتّب 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علیه خصمان فسکتا، استحبّ أن یقول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تکلّما، أو لیتکلّم المدّعی منکما، أو یأمر مَن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تخصیص أحدهما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یشفع فی إسقاط حقّ أو إبطال دعوی، و لا یضیف أحد الخصمین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w:t>
      </w:r>
      <w:r>
        <w:rPr>
          <w:rStyle w:val="FootnoteAnchor"/>
          <w:rtl w:val="true"/>
        </w:rPr>
        <w:footnoteReference w:id="394"/>
      </w:r>
      <w:r>
        <w:rPr>
          <w:rFonts w:ascii="IRNazanin" w:hAnsi="IRNazanin" w:eastAsia="IRNazanin"/>
          <w:color w:val="111111"/>
          <w:sz w:val="28"/>
          <w:sz w:val="28"/>
          <w:szCs w:val="28"/>
          <w:rtl w:val="true"/>
          <w:lang w:bidi="fa-IR"/>
        </w:rPr>
        <w:t>عیادة المرضی، و شهود</w:t>
      </w:r>
      <w:r>
        <w:rPr>
          <w:rStyle w:val="FootnoteAnchor"/>
          <w:rtl w:val="true"/>
        </w:rPr>
        <w:footnoteReference w:id="395"/>
      </w:r>
      <w:r>
        <w:rPr>
          <w:rFonts w:ascii="IRNazanin" w:hAnsi="IRNazanin" w:eastAsia="IRNazanin"/>
          <w:color w:val="111111"/>
          <w:sz w:val="28"/>
          <w:sz w:val="28"/>
          <w:szCs w:val="28"/>
          <w:rtl w:val="true"/>
          <w:lang w:bidi="fa-IR"/>
        </w:rPr>
        <w:t>الجنائز، کغیره و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یجتهد علی التسویة بین الخصمین فی المیل القلبیّ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 عن التزکیة سرّاً ؛ لأ نّه أبعد من التهمة، و إذا مضت مدّة علی المزکّی یمکن تغیّره</w:t>
      </w:r>
      <w:r>
        <w:rPr>
          <w:rStyle w:val="FootnoteAnchor"/>
          <w:rtl w:val="true"/>
        </w:rPr>
        <w:footnoteReference w:id="396"/>
      </w:r>
      <w:r>
        <w:rPr>
          <w:rFonts w:ascii="IRNazanin" w:hAnsi="IRNazanin" w:eastAsia="IRNazanin"/>
          <w:color w:val="111111"/>
          <w:sz w:val="28"/>
          <w:sz w:val="28"/>
          <w:szCs w:val="28"/>
          <w:rtl w:val="true"/>
          <w:lang w:bidi="fa-IR"/>
        </w:rPr>
        <w:t>فیها، استحبّ تجدید السؤال و لا یقدّر بستّة أشهر</w:t>
      </w:r>
      <w:r>
        <w:rPr>
          <w:rFonts w:eastAsia="IRNazanin" w:cs="IRNazanin"/>
          <w:color w:val="111111"/>
          <w:sz w:val="28"/>
          <w:szCs w:val="28"/>
          <w:rtl w:val="true"/>
          <w:lang w:bidi="fa-IR"/>
        </w:rPr>
        <w:t>.</w:t>
      </w:r>
    </w:p>
    <w:p>
      <w:pPr>
        <w:pStyle w:val="Heading3"/>
        <w:numPr>
          <w:ilvl w:val="2"/>
          <w:numId w:val="1"/>
        </w:numPr>
        <w:rPr/>
      </w:pPr>
      <w:bookmarkStart w:id="62" w:name="__RefHeading___Toc2071251_3830689328"/>
      <w:bookmarkStart w:id="63" w:name="_Toc20"/>
      <w:bookmarkEnd w:id="62"/>
      <w:r>
        <w:rPr>
          <w:rtl w:val="true"/>
        </w:rPr>
        <w:t xml:space="preserve">درس </w:t>
      </w:r>
      <w:r>
        <w:rPr>
          <w:rtl w:val="true"/>
        </w:rPr>
        <w:t>(</w:t>
      </w:r>
      <w:r>
        <w:rPr/>
        <w:t>135</w:t>
      </w:r>
      <w:r>
        <w:rPr>
          <w:rtl w:val="true"/>
        </w:rPr>
        <w:t>)</w:t>
      </w:r>
      <w:bookmarkEnd w:id="63"/>
    </w:p>
    <w:p>
      <w:pPr>
        <w:pStyle w:val="BookText"/>
        <w:rPr/>
      </w:pPr>
      <w:r>
        <w:rPr>
          <w:rFonts w:ascii="Amiri" w:hAnsi="Amiri" w:eastAsia="Amiri" w:cs="Amiri"/>
          <w:color w:val="111111"/>
          <w:sz w:val="28"/>
          <w:sz w:val="28"/>
          <w:szCs w:val="28"/>
          <w:rtl w:val="true"/>
          <w:lang w:bidi="ar-SA"/>
        </w:rPr>
        <w:t xml:space="preserve">و أمّا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فثلاثة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إعداء المستعدی علی الحاضر، و إن لم یحرّر دعواه و لم یعلم بینهما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غائباً، حرّر الدعوی، و یجب علی المطلوب الحضور أو التوکیل، و لو کان فی غیر ولایته، أثبت الحکم علیه و أشهد، کما یأتی إن‌شاءاللّه تعالی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امرأة غیر بَرْزَة، بعث إلیها مَن ینوبه فی الحکم إن لم توکّل، فإن ثبت علیها یمین، بعث أمینه و معه شاهدان لإحلافها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امتنع الخصم من الحضور، جاز الحکم علیه، و لو رأی تعزیره،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المعزول کغیره و إن کان الأولی تحریر الدعوی قبل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الخصمین المتساویین فی الإسلام و الکفر فی النظر، و الإنصات، و الإجلاس، و الإکرام، و العدل فی الحکم، و یجوز رفع المسلم علی الذمّیّ فی المجلس، کما فعل علیّ علیه‌السّلام فی مجلس شریح</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السابق من المتزاحمین فی الورود، إلاّ مع ضرورة أحدهم، کالمستوفز</w:t>
      </w:r>
      <w:r>
        <w:rPr>
          <w:rStyle w:val="FootnoteAnchor"/>
          <w:rtl w:val="true"/>
        </w:rPr>
        <w:footnoteReference w:id="398"/>
      </w:r>
      <w:r>
        <w:rPr>
          <w:rStyle w:val="FootnoteAnchor"/>
          <w:rtl w:val="true"/>
        </w:rPr>
        <w:footnoteReference w:id="399"/>
      </w:r>
      <w:r>
        <w:rPr>
          <w:rFonts w:ascii="IRNazanin" w:hAnsi="IRNazanin" w:eastAsia="IRNazanin"/>
          <w:color w:val="111111"/>
          <w:sz w:val="28"/>
          <w:sz w:val="28"/>
          <w:szCs w:val="28"/>
          <w:rtl w:val="true"/>
          <w:lang w:bidi="fa-IR"/>
        </w:rPr>
        <w:t>، و المسافر،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تساووا فی الورود، أُقرع فیقدّم السابق بخصومة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ممّن ابتدر الدعوی من الخصمین، فإن تساویا فی البدار، سمع من صاحب الیمین، و نقل فیه الشیخ الإجماع، ثمّ قوّی القرعة، و نقل عن العامّة إحلافهما و صرفهما حتّی یصطلحا، و تخیّر الحاکم</w:t>
      </w:r>
      <w:r>
        <w:rPr>
          <w:rStyle w:val="FootnoteAnchor"/>
          <w:rtl w:val="true"/>
        </w:rPr>
        <w:footnoteReference w:id="400"/>
      </w:r>
      <w:r>
        <w:rPr>
          <w:rFonts w:ascii="IRNazanin" w:hAnsi="IRNazanin" w:eastAsia="IRNazanin"/>
          <w:color w:val="111111"/>
          <w:sz w:val="28"/>
          <w:sz w:val="28"/>
          <w:szCs w:val="28"/>
          <w:rtl w:val="true"/>
          <w:lang w:bidi="fa-IR"/>
        </w:rPr>
        <w:t>فی التقدیم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تزاحم الطلبة عند مدرّس، فإن کان ذلک العلم ممّا لا یجب تعلیمه، تخیّر، و إلاّ قدّم الأسبق، فإن تساووا، أُقرع، و لو جمعهم علی درس واحد، جاز مع تقارب أفهامهم و إلاّ فلکلّ صنف درس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یزجر من تعدّی سنن الشرع فی مجلسه برفق، فإن انتهی و إلاّ انتقل إلی الأخشن، و لو افتقر إلی التعزیر، فعل، و لو کان الحقّ للحاکم، استحبّ له </w:t>
      </w:r>
    </w:p>
    <w:p>
      <w:pPr>
        <w:pStyle w:val="BookText"/>
        <w:rPr/>
      </w:pPr>
      <w:r>
        <w:rPr>
          <w:rFonts w:ascii="IRNazanin" w:hAnsi="IRNazanin" w:eastAsia="IRNazanin"/>
          <w:color w:val="111111"/>
          <w:sz w:val="28"/>
          <w:sz w:val="28"/>
          <w:szCs w:val="28"/>
          <w:rtl w:val="true"/>
          <w:lang w:bidi="fa-IR"/>
        </w:rPr>
        <w:t>العفو ما لم یؤدّ إلی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یلقّن أحد الخصمین ما فیه ضرر علی خصمه، و لا یهدیه للحجّة، و لا یثبّط عزم المقرّ فی حقّ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یرتشی، فیجب إعادتها، و لو تلفت فبدلها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أیضاً علی الخصم، إلاّ أن یتوصّل إلی الحقّ بها، و لا یمکن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یتعتع الشاهد، و لا یتعقّب کلامه لیستدرجه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یحکم إذا التمس المحکوم له ذلک و کان قد ثبت موجبه،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أو قضیت، أو أنفذت، أو أمضیت، أو ألزمت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إلیه ماله، أو أخرج إلیه من حقّه، أو یأمره بأخذ العین أو بیعها</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عندی، أو إنّ دعواک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w:t>
      </w:r>
      <w:r>
        <w:rPr>
          <w:rStyle w:val="FootnoteAnchor"/>
          <w:rtl w:val="true"/>
        </w:rPr>
        <w:footnoteReference w:id="403"/>
      </w:r>
      <w:r>
        <w:rPr>
          <w:rFonts w:ascii="IRNazanin" w:hAnsi="IRNazanin" w:eastAsia="IRNazanin"/>
          <w:color w:val="111111"/>
          <w:sz w:val="28"/>
          <w:sz w:val="28"/>
          <w:szCs w:val="28"/>
          <w:rtl w:val="true"/>
          <w:lang w:bidi="fa-IR"/>
        </w:rPr>
        <w:t>نقضه عند عروض قادح،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ینقض الحکم إذا علم بطلانه، سواء کان هو الحاکم أو غیره، و سواء أنفذه الجاهل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یحصل ذلک بمخالفة نصّ الکتاب، أو المتواتر من السنّة، أو الإجماع، أو خبر واحد صحیح غیر شاذّ، أو مفهوم الموافقة، أو منصوص العلّة عند بعض الأصحاب، بخلاف ما تعارض فیه الأخبار، و إن کان بعضها أقوی بنوع من المرجّحات، أو ما تعارض فیه عمومات الکتاب، أو التواتر، أو دلالة الأصل إذا تمسّک الأوّل بدلیل مخرج عن الأصل، فإنّه 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علیه تتبّع الأحکام الماضیة منه و 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خصم موجب الخطأ، وجب النظر فیه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یجمع بحضرته قضایا الیوم، ثمّ الأُسبوع، ثمّ الشهر، ثمّ السنة </w:t>
      </w:r>
    </w:p>
    <w:p>
      <w:pPr>
        <w:pStyle w:val="BookText"/>
        <w:rPr/>
      </w:pPr>
      <w:r>
        <w:rPr>
          <w:rFonts w:ascii="IRNazanin" w:hAnsi="IRNazanin" w:eastAsia="IRNazanin"/>
          <w:color w:val="111111"/>
          <w:sz w:val="28"/>
          <w:sz w:val="28"/>
          <w:szCs w:val="28"/>
          <w:rtl w:val="true"/>
          <w:lang w:bidi="fa-IR"/>
        </w:rPr>
        <w:t>و یکتب علیها تاریخها، ثمّ یختم علی کلّ قمطر بخاتم ؛ لیأمن</w:t>
      </w:r>
      <w:r>
        <w:rPr>
          <w:rStyle w:val="FootnoteAnchor"/>
          <w:rtl w:val="true"/>
        </w:rPr>
        <w:footnoteReference w:id="404"/>
      </w:r>
      <w:r>
        <w:rPr>
          <w:rFonts w:ascii="IRNazanin" w:hAnsi="IRNazanin" w:eastAsia="IRNazanin"/>
          <w:color w:val="111111"/>
          <w:sz w:val="28"/>
          <w:sz w:val="28"/>
          <w:szCs w:val="28"/>
          <w:rtl w:val="true"/>
          <w:lang w:bidi="fa-IR"/>
        </w:rPr>
        <w:t>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علی المقرّ حجّة إذا التمس خصمه و کان معروفاً أو معرّفاً أو محلّی، و ثمن القرطاس من بیت المال، فإن تعذّر فعلی الملتمس، و کذا یجب کتابة حجّة الحکم و المحضر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یجبر المحکوم علیه علی الخروج من الحقّ إن ألطّ</w:t>
      </w:r>
      <w:r>
        <w:rPr>
          <w:rStyle w:val="FootnoteAnchor"/>
          <w:rtl w:val="true"/>
        </w:rPr>
        <w:footnoteReference w:id="405"/>
      </w:r>
      <w:r>
        <w:rPr>
          <w:rStyle w:val="FootnoteAnchor"/>
          <w:rtl w:val="true"/>
        </w:rPr>
        <w:footnoteReference w:id="406"/>
      </w:r>
      <w:r>
        <w:rPr>
          <w:rFonts w:ascii="IRNazanin" w:hAnsi="IRNazanin" w:eastAsia="IRNazanin"/>
          <w:color w:val="111111"/>
          <w:sz w:val="28"/>
          <w:sz w:val="28"/>
          <w:szCs w:val="28"/>
          <w:rtl w:val="true"/>
          <w:lang w:bidi="fa-IR"/>
        </w:rPr>
        <w:t>، و إن</w:t>
      </w:r>
    </w:p>
    <w:p>
      <w:pPr>
        <w:pStyle w:val="BookText"/>
        <w:rPr/>
      </w:pPr>
      <w:r>
        <w:rPr>
          <w:rFonts w:ascii="IRNazanin" w:hAnsi="IRNazanin" w:eastAsia="IRNazanin"/>
          <w:color w:val="111111"/>
          <w:sz w:val="28"/>
          <w:sz w:val="28"/>
          <w:szCs w:val="28"/>
          <w:rtl w:val="true"/>
          <w:lang w:bidi="fa-IR"/>
        </w:rPr>
        <w:t>ادّعی الإعسار و لم یکن له أصل مال، و لا أصل الدعوی مالاً، حلف و أُطلق، و إلاّ حبس حتّی یثبت إعساره بالبیّنة المطّلعة علی دخیلته، أو بتصدیق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مال ظاهر، أُمر ببیعه، فلو امتنع، فللحاکم إجباره علی بیعه و أن یبیع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 عن البیّنة عند الإنکار، فإن ادّعاها، جاز له أمره بإحضارها مقیّداً بمشیئته</w:t>
      </w:r>
      <w:r>
        <w:rPr>
          <w:rStyle w:val="FootnoteAnchor"/>
          <w:rtl w:val="true"/>
        </w:rPr>
        <w:footnoteReference w:id="407"/>
      </w:r>
      <w:r>
        <w:rPr>
          <w:rFonts w:ascii="IRNazanin" w:hAnsi="IRNazanin" w:eastAsia="IRNazanin"/>
          <w:color w:val="111111"/>
          <w:sz w:val="28"/>
          <w:sz w:val="28"/>
          <w:szCs w:val="28"/>
          <w:rtl w:val="true"/>
          <w:lang w:bidi="fa-IR"/>
        </w:rPr>
        <w:t xml:space="preserve">إن لم یعلم الخصم ذلک، و إلاّ ترکه و رأیه، فإذا أحضرها، لم یسألها إلاّ بالتماس المدّعی، و 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شهادة ذکرها إن‌شاء، و لا یأمرهما، فإن اتّفقا و طابق الدعوی و کان یعلم عدالتهما، حکم مع التماس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من غیر طلبه</w:t>
      </w:r>
      <w:r>
        <w:rPr>
          <w:rStyle w:val="FootnoteAnchor"/>
          <w:rtl w:val="true"/>
        </w:rPr>
        <w:footnoteReference w:id="408"/>
      </w:r>
      <w:r>
        <w:rPr>
          <w:rFonts w:ascii="IRNazanin" w:hAnsi="IRNazanin" w:eastAsia="IRNazanin"/>
          <w:color w:val="111111"/>
          <w:sz w:val="28"/>
          <w:sz w:val="28"/>
          <w:szCs w:val="28"/>
          <w:rtl w:val="true"/>
          <w:lang w:bidi="fa-IR"/>
        </w:rPr>
        <w:t>، و لکن یجب أن یعرض علی الخصم جرحهما إن کان</w:t>
      </w:r>
      <w:r>
        <w:rPr>
          <w:rStyle w:val="FootnoteAnchor"/>
          <w:rtl w:val="true"/>
        </w:rPr>
        <w:footnoteReference w:id="409"/>
      </w:r>
      <w:r>
        <w:rPr>
          <w:rFonts w:ascii="IRNazanin" w:hAnsi="IRNazanin" w:eastAsia="IRNazanin"/>
          <w:color w:val="111111"/>
          <w:sz w:val="28"/>
          <w:sz w:val="28"/>
          <w:szCs w:val="28"/>
          <w:rtl w:val="true"/>
          <w:lang w:bidi="fa-IR"/>
        </w:rPr>
        <w:t xml:space="preserve">یعلمه، فإن استمهل، أُجّل ثلاثاً، ثمّ یحکم مع عدم حضور الجارح، و إن جهل الحاکم حال البیّنة، طلب التعدیل من المدّعی،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عرّفه أنّ له الیمین، فإن طلب إحلافه، أحلفه، و إلاّ فلا</w:t>
      </w:r>
      <w:r>
        <w:rPr>
          <w:rFonts w:eastAsia="IRNazanin" w:cs="IRNazanin"/>
          <w:color w:val="111111"/>
          <w:sz w:val="28"/>
          <w:szCs w:val="28"/>
          <w:rtl w:val="true"/>
          <w:lang w:bidi="fa-IR"/>
        </w:rPr>
        <w:t xml:space="preserve">. </w:t>
      </w:r>
      <w:bookmarkStart w:id="64" w:name="pg13665_219007"/>
    </w:p>
    <w:p>
      <w:pPr>
        <w:pStyle w:val="Heading3"/>
        <w:numPr>
          <w:ilvl w:val="2"/>
          <w:numId w:val="1"/>
        </w:numPr>
        <w:rPr/>
      </w:pPr>
      <w:bookmarkStart w:id="65" w:name="__RefHeading___Toc2071253_3830689328"/>
      <w:bookmarkStart w:id="66" w:name="_Toc21"/>
      <w:bookmarkEnd w:id="64"/>
      <w:bookmarkEnd w:id="65"/>
      <w:r>
        <w:rPr>
          <w:rtl w:val="true"/>
        </w:rPr>
        <w:t xml:space="preserve">درس </w:t>
      </w:r>
      <w:r>
        <w:rPr>
          <w:rtl w:val="true"/>
        </w:rPr>
        <w:t>(</w:t>
      </w:r>
      <w:r>
        <w:rPr/>
        <w:t>136</w:t>
      </w:r>
      <w:r>
        <w:rPr>
          <w:rtl w:val="true"/>
        </w:rPr>
        <w:t>)</w:t>
      </w:r>
      <w:bookmarkEnd w:id="66"/>
    </w:p>
    <w:p>
      <w:pPr>
        <w:pStyle w:val="BookText"/>
        <w:rPr/>
      </w:pPr>
      <w:r>
        <w:rPr>
          <w:rFonts w:ascii="IRNazanin" w:hAnsi="IRNazanin" w:eastAsia="IRNazanin"/>
          <w:color w:val="111111"/>
          <w:sz w:val="28"/>
          <w:sz w:val="28"/>
          <w:szCs w:val="28"/>
          <w:rtl w:val="true"/>
          <w:lang w:bidi="fa-IR"/>
        </w:rPr>
        <w:t>یقضی الإمام بعلمه مطلقاً، و غیره فی حقوق الناس، و فی حقوق اللّه تعالی قولان</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المرتضی فی الانتصار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الحلبیّ فی الکافی فی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المحقّق فی الشرائع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العلاّمة فی القواعد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فخر المحقّقین فی إیضاح الفوائد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یحکم بعلمه فی حقوق الناس، و هو قول ابن حمزة فی الوسیلة الجوامع الفقهیّة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نقل المرتضی فی الانتصار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الجنید أ نّه لا یجوز للحاکم أن یحکم بعلمه فی شیء من الحقوق و لا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أقربهما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فطلب البیّنة، فإن فقدها المدّعی، فعل حراماً، و إن وجدها ففی جواز</w:t>
      </w:r>
    </w:p>
    <w:p>
      <w:pPr>
        <w:pStyle w:val="BookText"/>
        <w:rPr/>
      </w:pPr>
      <w:r>
        <w:rPr>
          <w:rFonts w:ascii="IRNazanin" w:hAnsi="IRNazanin" w:eastAsia="IRNazanin"/>
          <w:color w:val="111111"/>
          <w:sz w:val="28"/>
          <w:sz w:val="28"/>
          <w:szCs w:val="28"/>
          <w:rtl w:val="true"/>
          <w:lang w:bidi="fa-IR"/>
        </w:rPr>
        <w:t>إلزامه بها لیدفع عنه التهمة نظر، و لا فرق بین کون العلم حاصلاً فی زمان ولایته و مکانها أو غیرهما، و لا یحکم بوجود خطّه إذا لم یذکر الواقعة، سواء وجد خطّه بحکمه أو بشهادته</w:t>
      </w:r>
      <w:r>
        <w:rPr>
          <w:rStyle w:val="FootnoteAnchor"/>
          <w:rtl w:val="true"/>
        </w:rPr>
        <w:footnoteReference w:id="411"/>
      </w:r>
      <w:r>
        <w:rPr>
          <w:rFonts w:ascii="IRNazanin" w:hAnsi="IRNazanin" w:eastAsia="IRNazanin"/>
          <w:color w:val="111111"/>
          <w:sz w:val="28"/>
          <w:sz w:val="28"/>
          <w:szCs w:val="28"/>
          <w:rtl w:val="true"/>
          <w:lang w:bidi="fa-IR"/>
        </w:rPr>
        <w:t>و لو أمن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فیجوز التعویل علی ما کتبه إذا أمن، و کذا ما قرأه علی الأهل إذا علم صحّة النسخة و إن لم یتذکّر</w:t>
      </w:r>
      <w:r>
        <w:rPr>
          <w:rStyle w:val="FootnoteAnchor"/>
          <w:rtl w:val="true"/>
        </w:rPr>
        <w:footnoteReference w:id="412"/>
      </w:r>
      <w:r>
        <w:rPr>
          <w:rFonts w:ascii="IRNazanin" w:hAnsi="IRNazanin" w:eastAsia="IRNazanin"/>
          <w:color w:val="111111"/>
          <w:sz w:val="28"/>
          <w:sz w:val="28"/>
          <w:szCs w:val="28"/>
          <w:rtl w:val="true"/>
          <w:lang w:bidi="fa-IR"/>
        </w:rPr>
        <w:t>؛ لأنّ الروایة یکفی فیها الوثوق، و الحکم و الشهادة تعبّد، و من ثمّ قبلت روایة المرأة و العبد فی موضع لا تقبل فیه 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عنده عدلان بقضائه و لمّا</w:t>
      </w:r>
      <w:r>
        <w:rPr>
          <w:rStyle w:val="FootnoteAnchor"/>
          <w:rtl w:val="true"/>
        </w:rPr>
        <w:footnoteReference w:id="413"/>
      </w:r>
      <w:r>
        <w:rPr>
          <w:rFonts w:ascii="Amiri" w:hAnsi="Amiri" w:eastAsia="Amiri" w:cs="Amiri"/>
          <w:color w:val="111111"/>
          <w:sz w:val="28"/>
          <w:sz w:val="28"/>
          <w:szCs w:val="28"/>
          <w:rtl w:val="true"/>
          <w:lang w:bidi="ar-SA"/>
        </w:rPr>
        <w:t>یتذکّر</w:t>
      </w:r>
      <w:r>
        <w:rPr>
          <w:rStyle w:val="FootnoteAnchor"/>
          <w:rtl w:val="true"/>
        </w:rPr>
        <w:footnoteReference w:id="414"/>
      </w:r>
      <w:r>
        <w:rPr>
          <w:rFonts w:ascii="IRNazanin" w:hAnsi="IRNazanin" w:eastAsia="IRNazanin"/>
          <w:color w:val="111111"/>
          <w:sz w:val="28"/>
          <w:sz w:val="28"/>
          <w:szCs w:val="28"/>
          <w:rtl w:val="true"/>
          <w:lang w:bidi="fa-IR"/>
        </w:rPr>
        <w:t xml:space="preserve">، فالأقوی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القضاء، کما لو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 عند غیره، و وجه المنع إمکان رجوعه إلی العلم ؛ لأ نّه فعله، بخلاف شهادة اثنین علی حکم غیره، فإنّه یکفی الظنّ، تنزیلاً لکلّ باب علی الممکن فیه، و من ثمّ </w:t>
      </w:r>
    </w:p>
    <w:p>
      <w:pPr>
        <w:pStyle w:val="BookText"/>
        <w:rPr/>
      </w:pPr>
      <w:r>
        <w:rPr>
          <w:rFonts w:ascii="IRNazanin" w:hAnsi="IRNazanin" w:eastAsia="IRNazanin"/>
          <w:color w:val="111111"/>
          <w:sz w:val="28"/>
          <w:sz w:val="28"/>
          <w:szCs w:val="28"/>
          <w:rtl w:val="true"/>
          <w:lang w:bidi="fa-IR"/>
        </w:rPr>
        <w:t>لم یجز إقامة الشهادة المنسیّة بشهادة عدلین بشهادته، و کذا لو نسی الروایة و حفظها</w:t>
      </w:r>
    </w:p>
    <w:p>
      <w:pPr>
        <w:pStyle w:val="BookText"/>
        <w:rPr/>
      </w:pPr>
      <w:r>
        <w:rPr>
          <w:rFonts w:ascii="IRNazanin" w:hAnsi="IRNazanin" w:eastAsia="IRNazanin"/>
          <w:color w:val="111111"/>
          <w:sz w:val="28"/>
          <w:sz w:val="28"/>
          <w:szCs w:val="28"/>
          <w:rtl w:val="true"/>
          <w:lang w:bidi="fa-IR"/>
        </w:rPr>
        <w:t xml:space="preserve">راویه، فإنّه یروی عن نفسه بواسطة،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عنّی، کما نقل عن سهیل بن أبی صالح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ربیعة عنّی أ نّی حدّثته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القضاء بالشاهد و الیمین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تسمع الدعوی علی القاضی بالحکم عند قاضٍ آخر، سواء کان قد عزل أو لا، فلیس له إحلافه لو أنکر، کما لا یحلف الشاهد لو ادّعی علیه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للقاضی الحکم بظنّه من غیر 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منع من قضاء القاضی بعلمه، استثنی صوراً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تزکیة الشهود و جرحهم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فی مجلس القضاء و إن لم یسمعه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بخطأ الشهود یقیناً أو کذبهم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 أساء أدبه فی مجلسه و إن لم یعلمه غیره ؛ لأ نّه من ضرورة إقامة أُبّهة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بعضهم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یعلم فیشهد مع آخر، فإنّه لا یقصر عن شاهد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الاستزکاء مع جهل القاضی بالشهود واجب و لو سکت عنه الخصم ؛ لأ نّه حقّ </w:t>
      </w:r>
    </w:p>
    <w:p>
      <w:pPr>
        <w:pStyle w:val="BookText"/>
        <w:rPr/>
      </w:pPr>
      <w:r>
        <w:rPr>
          <w:rFonts w:ascii="IRNazanin" w:hAnsi="IRNazanin" w:eastAsia="IRNazanin"/>
          <w:color w:val="111111"/>
          <w:sz w:val="28"/>
          <w:sz w:val="28"/>
          <w:szCs w:val="28"/>
          <w:rtl w:val="true"/>
          <w:lang w:bidi="fa-IR"/>
        </w:rPr>
        <w:t xml:space="preserve">للّه تعالی، و لا یتوقّف الاستزکاء علی طعن الخصم، و فی سقوطه بإقراره بعدالة الشهود و زعمهم أ نّهم زکّوا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للمؤاخذة بقوله، و أ نّه</w:t>
      </w:r>
      <w:r>
        <w:rPr>
          <w:rStyle w:val="FootnoteAnchor"/>
          <w:rtl w:val="true"/>
        </w:rPr>
        <w:footnoteReference w:id="417"/>
      </w:r>
      <w:r>
        <w:rPr>
          <w:rFonts w:ascii="Amiri" w:hAnsi="Amiri" w:eastAsia="Amiri" w:cs="Amiri"/>
          <w:color w:val="111111"/>
          <w:sz w:val="28"/>
          <w:sz w:val="28"/>
          <w:szCs w:val="28"/>
          <w:rtl w:val="true"/>
          <w:lang w:bidi="ar-SA"/>
        </w:rPr>
        <w:t>حقّ للّه تعالی، و الأوّل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یشترط تعریف المزکّی باسم الشاهد و نسبه، و المتداعیین</w:t>
      </w:r>
      <w:r>
        <w:rPr>
          <w:rStyle w:val="FootnoteAnchor"/>
          <w:rtl w:val="true"/>
        </w:rPr>
        <w:footnoteReference w:id="418"/>
      </w:r>
      <w:r>
        <w:rPr>
          <w:rFonts w:ascii="IRNazanin" w:hAnsi="IRNazanin" w:eastAsia="IRNazanin"/>
          <w:color w:val="111111"/>
          <w:sz w:val="28"/>
          <w:sz w:val="28"/>
          <w:szCs w:val="28"/>
          <w:rtl w:val="true"/>
          <w:lang w:bidi="fa-IR"/>
        </w:rPr>
        <w:t>لجواز أن یکون بینه و بین المدّعی شرکة، أو بینه و بین المنکر عداوة، و لا یشترط تعریف قدر المال،</w:t>
      </w:r>
    </w:p>
    <w:p>
      <w:pPr>
        <w:pStyle w:val="BookText"/>
        <w:rPr/>
      </w:pPr>
      <w:r>
        <w:rPr>
          <w:rFonts w:ascii="IRNazanin" w:hAnsi="IRNazanin" w:eastAsia="IRNazanin"/>
          <w:color w:val="111111"/>
          <w:sz w:val="28"/>
          <w:sz w:val="28"/>
          <w:szCs w:val="28"/>
          <w:rtl w:val="true"/>
          <w:lang w:bidi="fa-IR"/>
        </w:rPr>
        <w:t>إلاّ أن نقول بجواز شهادة ولد الزَنْیة فی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 المزکّی، کالشاهد، فلو جهل، اُستزکی مسترسلاً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نصب حاکماً فی الجرح و التعدیل، کفی وحده، و إلاّ فاثنان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فی التعدیل من الخبرة الباطنة المتکرّرة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الجرح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التعیین فیه لا فی التعدیل ؛ لعدم انحصار سبب العدالة و اختلاف الناس فی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لیقل المزکّی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عدل مقبول الشهادة، أو علَیّ ولی، فربّ عدل لا تقبل شهادته، کالتقیّ المغفّل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یصیر قاذفاً بتعیین الزنا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خطّ المزکّی و إن أُشهد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تعارض الجرح و التعدیل، قدّم الجرح ؛ لاستناده إلی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تکاذبا صریحاً،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فی الجرح و العدالة التسامع إلاّ مع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ارتاب القاضی بعد التزکیة، فرّق الشهود و سألهم عن مشخّصات القضیّة، فإن </w:t>
      </w:r>
    </w:p>
    <w:p>
      <w:pPr>
        <w:pStyle w:val="BookText"/>
        <w:rPr/>
      </w:pPr>
      <w:r>
        <w:rPr>
          <w:rFonts w:ascii="IRNazanin" w:hAnsi="IRNazanin" w:eastAsia="IRNazanin"/>
          <w:color w:val="111111"/>
          <w:sz w:val="28"/>
          <w:sz w:val="28"/>
          <w:szCs w:val="28"/>
          <w:rtl w:val="true"/>
          <w:lang w:bidi="fa-IR"/>
        </w:rPr>
        <w:t>اتّفقوا و لم یجد مطعناً، قضی</w:t>
      </w:r>
      <w:r>
        <w:rPr>
          <w:rStyle w:val="FootnoteAnchor"/>
          <w:rtl w:val="true"/>
        </w:rPr>
        <w:footnoteReference w:id="419"/>
      </w:r>
      <w:r>
        <w:rPr>
          <w:rFonts w:ascii="IRNazanin" w:hAnsi="IRNazanin" w:eastAsia="IRNazanin"/>
          <w:color w:val="111111"/>
          <w:sz w:val="28"/>
          <w:sz w:val="28"/>
          <w:szCs w:val="28"/>
          <w:rtl w:val="true"/>
          <w:lang w:bidi="fa-IR"/>
        </w:rPr>
        <w:t>و إن بقیت الریبة ؛ لأ نّه منتهی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القضاء مع الریبة من غیر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یتغیّر الشیء عمّا هو علیه بحکم الحاکم لمن</w:t>
      </w:r>
      <w:r>
        <w:rPr>
          <w:rStyle w:val="FootnoteAnchor"/>
          <w:rtl w:val="true"/>
        </w:rPr>
        <w:footnoteReference w:id="420"/>
      </w:r>
      <w:r>
        <w:rPr>
          <w:rFonts w:ascii="IRNazanin" w:hAnsi="IRNazanin" w:eastAsia="IRNazanin"/>
          <w:color w:val="111111"/>
          <w:sz w:val="28"/>
          <w:sz w:val="28"/>
          <w:szCs w:val="28"/>
          <w:rtl w:val="true"/>
          <w:lang w:bidi="fa-IR"/>
        </w:rPr>
        <w:t>علمه، فلو حکم بشاهدی زور علی عقدٍ أو فسخٍ أو طلاقٍ أو نکاحٍ، لم یستبیحا المحکوم به، و لا یحلّ للعالم بکذبهما موافقة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المرأة الامتناع لو علمت التزویر، فإن أکرهها، أثم، دونها، و لها التزویج بغیره بعد العدّة، و للرجل إتیانها إذا کان محکوماً علیه بطلاقها و إن تزوّجت بغیره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العدّة</w:t>
      </w:r>
      <w:r>
        <w:rPr>
          <w:rFonts w:eastAsia="Amiri" w:cs="Amiri" w:ascii="Amiri" w:hAnsi="Amiri"/>
          <w:color w:val="111111"/>
          <w:sz w:val="28"/>
          <w:szCs w:val="28"/>
          <w:rtl w:val="true"/>
          <w:lang w:bidi="ar-SA"/>
        </w:rPr>
        <w:t xml:space="preserve">. </w:t>
      </w:r>
      <w:bookmarkStart w:id="67" w:name="pg13665_219011"/>
    </w:p>
    <w:p>
      <w:pPr>
        <w:pStyle w:val="Heading2"/>
        <w:numPr>
          <w:ilvl w:val="1"/>
          <w:numId w:val="1"/>
        </w:numPr>
        <w:rPr/>
      </w:pPr>
      <w:bookmarkStart w:id="68" w:name="__RefHeading___Toc2071255_3830689328"/>
      <w:bookmarkStart w:id="69" w:name="_Toc22"/>
      <w:bookmarkEnd w:id="67"/>
      <w:bookmarkEnd w:id="68"/>
      <w:r>
        <w:rPr>
          <w:rtl w:val="true"/>
        </w:rPr>
        <w:t>کتاب الدعوی و توابعها</w:t>
      </w:r>
      <w:bookmarkEnd w:id="6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2071257_3830689328"/>
      <w:bookmarkStart w:id="71" w:name="_Toc23"/>
      <w:bookmarkEnd w:id="70"/>
      <w:r>
        <w:rPr>
          <w:rtl w:val="true"/>
        </w:rPr>
        <w:t>اشاره</w:t>
      </w:r>
      <w:bookmarkEnd w:id="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الدعوی و توابعها</w:t>
      </w:r>
    </w:p>
    <w:p>
      <w:pPr>
        <w:pStyle w:val="BookText"/>
        <w:rPr/>
      </w:pP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یخلّی و سکوته، أو یخالف الأصل أو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الفائدة فی مثل دعوی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الإسلام قبل المسیس، و المرأة تعاقبه، فعلی الظاهر الزوج مدّعٍ، و علی التخلیة هی ؛ لأ نّها لو سکتت، لم یتعرّض</w:t>
      </w:r>
      <w:r>
        <w:rPr>
          <w:rStyle w:val="FootnoteAnchor"/>
          <w:rtl w:val="true"/>
        </w:rPr>
        <w:footnoteReference w:id="421"/>
      </w:r>
      <w:r>
        <w:rPr>
          <w:rFonts w:ascii="IRNazanin" w:hAnsi="IRNazanin" w:eastAsia="IRNazanin"/>
          <w:color w:val="111111"/>
          <w:sz w:val="28"/>
          <w:sz w:val="28"/>
          <w:szCs w:val="28"/>
          <w:rtl w:val="true"/>
          <w:lang w:bidi="fa-IR"/>
        </w:rPr>
        <w:t>لها الزوج و استمرّ النکاح، و الزوج لا یخلّی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مخالفة</w:t>
      </w:r>
      <w:r>
        <w:rPr>
          <w:rStyle w:val="FootnoteAnchor"/>
          <w:rtl w:val="true"/>
        </w:rPr>
        <w:footnoteReference w:id="422"/>
      </w:r>
      <w:r>
        <w:rPr>
          <w:rFonts w:ascii="IRNazanin" w:hAnsi="IRNazanin" w:eastAsia="IRNazanin"/>
          <w:color w:val="111111"/>
          <w:sz w:val="28"/>
          <w:sz w:val="28"/>
          <w:szCs w:val="28"/>
          <w:rtl w:val="true"/>
          <w:lang w:bidi="fa-IR"/>
        </w:rPr>
        <w:t>الأصل، و فی دعوی الزوج الإنفاق مع اجتماعهما و 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الودعیّ الردّ مقبولة ؛ تحصیلاً للرغبة فی الإیداع و إن کان مدّعیاً بکلّ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دعوی ملزمة معلومة فهی مسموعة، فلا تسمع دعوی الهبة من دون الإقباض، و کذا الرهن عند مشترطه فیهما، و لا البیع من دون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یلزمک تسلیمه إلیّ ؛ لجواز الفسخ بخیار المجلس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بعدم السماع دعوی العقود الفاسدة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ذکر الصحّة و لا التعرّض لأرکان البیع و النکاح، بأن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تزوّجتها بإیجاب و قبول صادرین من أهلهما، و لا لعدم 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423"/>
      </w:r>
      <w:r>
        <w:rPr>
          <w:rFonts w:ascii="IRNazanin" w:hAnsi="IRNazanin" w:eastAsia="IRNazanin"/>
          <w:color w:val="111111"/>
          <w:sz w:val="28"/>
          <w:sz w:val="28"/>
          <w:szCs w:val="28"/>
          <w:rtl w:val="true"/>
          <w:lang w:bidi="fa-IR"/>
        </w:rPr>
        <w:t>القود فلابدّ من التفصیل ؛ للخلاف فی أسبابه و عظم خطره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تسمع الدعوی المجهولة، کشیء أو ثوب، بل یضبط المثلیّ بصفاته، و القیمیّ بقیمته، و الأثمان بجنسها و نوعها و قدرها، و إن کان البیع و شبهه ینصرف إطلاقه إلی نقد البلد ؛ لأ نّه إیجاب فی الحال و هو غیر مختلف، و الدعوی إخبار عن الماضی و هو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424"/>
      </w:r>
      <w:r>
        <w:rPr>
          <w:rFonts w:ascii="IRNazanin" w:hAnsi="IRNazanin" w:eastAsia="IRNazanin"/>
          <w:color w:val="111111"/>
          <w:sz w:val="28"/>
          <w:sz w:val="28"/>
          <w:szCs w:val="28"/>
          <w:rtl w:val="true"/>
          <w:lang w:bidi="fa-IR"/>
        </w:rPr>
        <w:t>دعوی الوصیّة فإنّها تسمع مع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صحّة دعوی الإقرار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نفعه لو صدّقه، و عدم إیجابه حقّاً، فإن قلنا به، صحّ مع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سماع الإقرار المجهول ؛ حذراً من رجوعه لو أُلزم بالتحریر، بخلاف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یحرم تلقین التحریر ؛ لأنّ فیه تحقیق الدعوی، خلافاً للمبسوط</w:t>
      </w:r>
      <w:r>
        <w:rPr>
          <w:rStyle w:val="FootnoteAnchor"/>
          <w:rtl w:val="true"/>
        </w:rPr>
        <w:footnoteReference w:id="425"/>
      </w:r>
      <w:r>
        <w:rPr>
          <w:rFonts w:ascii="IRNazanin" w:hAnsi="IRNazanin" w:eastAsia="IRNazanin"/>
          <w:color w:val="111111"/>
          <w:sz w:val="28"/>
          <w:sz w:val="28"/>
          <w:szCs w:val="28"/>
          <w:rtl w:val="true"/>
          <w:lang w:bidi="fa-IR"/>
        </w:rPr>
        <w:t>؛ لأنّ فیه کسر قلب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الجزم فالإطلاق محمول علیه، فلو صرّح بالظنّ أو الوهم فثالث 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فیما یعسر الاطّلاع علیه، کالقتل و السرقة، دون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یحلف المدّعی هنا بردّ و لا نکول و لا مع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علی مورّثه دیناً، لم تسمع حتّی یدّعی موته و علمه بالحقّ، و أ نّه ترک مالاً فی ید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أنکر المال فی یده، حلف علی 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أنکر الموت أو الحقّ و لا بیّنة، حلف علی نفی العلم إن ادّعاه علیه، و لو أثبت المدّعی أیّها کان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ببیّنته</w:t>
      </w:r>
      <w:r>
        <w:rPr>
          <w:rStyle w:val="FootnoteAnchor"/>
          <w:rtl w:val="true"/>
        </w:rPr>
        <w:footnoteReference w:id="426"/>
      </w:r>
      <w:r>
        <w:rPr>
          <w:rFonts w:ascii="IRNazanin" w:hAnsi="IRNazanin" w:eastAsia="IRNazanin"/>
          <w:color w:val="111111"/>
          <w:sz w:val="28"/>
          <w:sz w:val="28"/>
          <w:szCs w:val="28"/>
          <w:rtl w:val="true"/>
          <w:lang w:bidi="fa-IR"/>
        </w:rPr>
        <w:t>، قضی بها</w:t>
      </w:r>
      <w:r>
        <w:rPr>
          <w:rFonts w:eastAsia="IRNazanin" w:cs="IRNazanin"/>
          <w:color w:val="111111"/>
          <w:sz w:val="28"/>
          <w:szCs w:val="28"/>
          <w:rtl w:val="true"/>
          <w:lang w:bidi="fa-IR"/>
        </w:rPr>
        <w:t xml:space="preserve">. </w:t>
      </w:r>
      <w:bookmarkStart w:id="72" w:name="pg13665_219015"/>
    </w:p>
    <w:p>
      <w:pPr>
        <w:pStyle w:val="BookText"/>
        <w:rPr/>
      </w:pPr>
      <w:bookmarkEnd w:id="72"/>
      <w:r>
        <w:rPr>
          <w:rFonts w:ascii="IRNazanin" w:hAnsi="IRNazanin" w:eastAsia="IRNazanin"/>
          <w:color w:val="111111"/>
          <w:sz w:val="28"/>
          <w:sz w:val="28"/>
          <w:szCs w:val="28"/>
          <w:rtl w:val="true"/>
          <w:lang w:bidi="fa-IR"/>
        </w:rPr>
        <w:t>و لابدّ من کمال المدّعی، و دعواه لنفسه أو موکّله أو موصیه، أو لمولّی علیه</w:t>
      </w:r>
    </w:p>
    <w:p>
      <w:pPr>
        <w:pStyle w:val="BookText"/>
        <w:rPr/>
      </w:pPr>
      <w:r>
        <w:rPr>
          <w:rFonts w:ascii="IRNazanin" w:hAnsi="IRNazanin" w:eastAsia="IRNazanin"/>
          <w:color w:val="111111"/>
          <w:sz w:val="28"/>
          <w:sz w:val="28"/>
          <w:szCs w:val="28"/>
          <w:rtl w:val="true"/>
          <w:lang w:bidi="fa-IR"/>
        </w:rPr>
        <w:t>بقرابة أو وصایة أو حکم أو أمانة، و یدّعی الحاکم للغائب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تسمع دعوی المسلم خنزیراً و لا خمراً غیر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یمین مع البیّنة إلاّ بتقدیم دعوی، کإبراءٍ أو بیعٍ أو حکم علی میّت أو غائب أو 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ادّعی فسق الحاکم أو الشهود و علمه به،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السماع و إن نفع</w:t>
      </w:r>
      <w:r>
        <w:rPr>
          <w:rStyle w:val="FootnoteAnchor"/>
          <w:rtl w:val="true"/>
        </w:rPr>
        <w:footnoteReference w:id="427"/>
      </w:r>
      <w:r>
        <w:rPr>
          <w:rFonts w:ascii="Amiri" w:hAnsi="Amiri" w:eastAsia="Amiri" w:cs="Amiri"/>
          <w:color w:val="111111"/>
          <w:sz w:val="28"/>
          <w:sz w:val="28"/>
          <w:szCs w:val="28"/>
          <w:rtl w:val="true"/>
          <w:lang w:bidi="ar-SA"/>
        </w:rPr>
        <w:t>فی الحقّ ؛ للفساد، و أ نّه لیس حقّاً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یثبت بالنکول و لا یمین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أولی منه بطلان الدعوی علی الحاکم أو الشاهد بالکذب أو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توجّهت الیمین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احلفنی، فلیحلف علی نفیه، فثالث 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مرّة واحدة حذراً من التسلسل</w:t>
      </w:r>
      <w:r>
        <w:rPr>
          <w:rFonts w:eastAsia="IRNazanin" w:cs="IRNazanin"/>
          <w:color w:val="111111"/>
          <w:sz w:val="28"/>
          <w:szCs w:val="28"/>
          <w:rtl w:val="true"/>
          <w:lang w:bidi="fa-IR"/>
        </w:rPr>
        <w:t>.</w:t>
      </w:r>
    </w:p>
    <w:p>
      <w:pPr>
        <w:pStyle w:val="Heading3"/>
        <w:numPr>
          <w:ilvl w:val="2"/>
          <w:numId w:val="1"/>
        </w:numPr>
        <w:rPr/>
      </w:pPr>
      <w:bookmarkStart w:id="73" w:name="__RefHeading___Toc2071259_3830689328"/>
      <w:bookmarkStart w:id="74" w:name="_Toc24"/>
      <w:bookmarkEnd w:id="73"/>
      <w:r>
        <w:rPr>
          <w:rtl w:val="true"/>
        </w:rPr>
        <w:t xml:space="preserve">درس </w:t>
      </w:r>
      <w:r>
        <w:rPr>
          <w:rtl w:val="true"/>
        </w:rPr>
        <w:t>(</w:t>
      </w:r>
      <w:r>
        <w:rPr/>
        <w:t>137</w:t>
      </w:r>
      <w:r>
        <w:rPr>
          <w:rtl w:val="true"/>
        </w:rPr>
        <w:t>)</w:t>
      </w:r>
      <w:bookmarkEnd w:id="74"/>
    </w:p>
    <w:p>
      <w:pPr>
        <w:pStyle w:val="BookText"/>
        <w:rPr/>
      </w:pPr>
      <w:r>
        <w:rPr>
          <w:rFonts w:ascii="IRNazanin" w:hAnsi="IRNazanin" w:eastAsia="IRNazanin"/>
          <w:color w:val="111111"/>
          <w:sz w:val="28"/>
          <w:sz w:val="28"/>
          <w:szCs w:val="28"/>
          <w:rtl w:val="true"/>
          <w:lang w:bidi="fa-IR"/>
        </w:rPr>
        <w:t>یجوز لصاحب العین مع الغیر</w:t>
      </w:r>
      <w:r>
        <w:rPr>
          <w:rStyle w:val="FootnoteAnchor"/>
          <w:rtl w:val="true"/>
        </w:rPr>
        <w:footnoteReference w:id="428"/>
      </w:r>
      <w:r>
        <w:rPr>
          <w:rFonts w:ascii="IRNazanin" w:hAnsi="IRNazanin" w:eastAsia="IRNazanin"/>
          <w:color w:val="111111"/>
          <w:sz w:val="28"/>
          <w:sz w:val="28"/>
          <w:szCs w:val="28"/>
          <w:rtl w:val="true"/>
          <w:lang w:bidi="fa-IR"/>
        </w:rPr>
        <w:t>انتزاعها قهراً ما لم تثر فتنة و إن لم یأذن الحاکم و لم یثبت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الدین، فإن کان علی منکر أو مقرّ غیر باذل، فکالعین و إن أمکن إثباته عند الحاکم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429"/>
      </w:r>
      <w:r>
        <w:rPr>
          <w:rFonts w:ascii="IRNazanin" w:hAnsi="IRNazanin" w:eastAsia="IRNazanin"/>
          <w:color w:val="111111"/>
          <w:sz w:val="28"/>
          <w:sz w:val="28"/>
          <w:szCs w:val="28"/>
          <w:rtl w:val="true"/>
          <w:lang w:bidi="fa-IR"/>
        </w:rPr>
        <w:t>المقرّ الباذل فلا یجوز الأخذ بدون</w:t>
      </w:r>
    </w:p>
    <w:p>
      <w:pPr>
        <w:pStyle w:val="BookText"/>
        <w:rPr/>
      </w:pPr>
      <w:r>
        <w:rPr>
          <w:rFonts w:ascii="IRNazanin" w:hAnsi="IRNazanin" w:eastAsia="IRNazanin"/>
          <w:color w:val="111111"/>
          <w:sz w:val="28"/>
          <w:sz w:val="28"/>
          <w:szCs w:val="28"/>
          <w:rtl w:val="true"/>
          <w:lang w:bidi="fa-IR"/>
        </w:rPr>
        <w:t>تعیینه ؛ لتخیّره فی جهات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مثل الحقّ بحضرته فطالب الغریم، فاستمهل حتّی یأتی ببدله</w:t>
      </w:r>
      <w:r>
        <w:rPr>
          <w:rStyle w:val="FootnoteAnchor"/>
          <w:rtl w:val="true"/>
        </w:rPr>
        <w:footnoteReference w:id="430"/>
      </w:r>
      <w:r>
        <w:rPr>
          <w:rFonts w:ascii="IRNazanin" w:hAnsi="IRNazanin" w:eastAsia="IRNazanin"/>
          <w:color w:val="111111"/>
          <w:sz w:val="28"/>
          <w:sz w:val="28"/>
          <w:szCs w:val="28"/>
          <w:rtl w:val="true"/>
          <w:lang w:bidi="fa-IR"/>
        </w:rPr>
        <w:t xml:space="preserve">، فإن أدّی إلی المطل، التحق بغیر الباذل، و إن قصر الزمان، ففی إلحاقه به تردّد، من </w:t>
      </w:r>
    </w:p>
    <w:p>
      <w:pPr>
        <w:pStyle w:val="BookText"/>
        <w:rPr/>
      </w:pPr>
      <w:r>
        <w:rPr>
          <w:rFonts w:ascii="IRNazanin" w:hAnsi="IRNazanin" w:eastAsia="IRNazanin"/>
          <w:color w:val="111111"/>
          <w:sz w:val="28"/>
          <w:sz w:val="28"/>
          <w:szCs w:val="28"/>
          <w:rtl w:val="true"/>
          <w:lang w:bidi="fa-IR"/>
        </w:rPr>
        <w:t>الوجوب علی الفور، و من التسامح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إذا جازت المقاصّة، أُخذ من جنس ماله، فإن تعذّر، فمن غیره بالقیمة،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تخیّره بین تملّکه بالقیمة و بین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الأخذ إلاّ بزیادة عن</w:t>
      </w:r>
    </w:p>
    <w:p>
      <w:pPr>
        <w:pStyle w:val="BookText"/>
        <w:rPr/>
      </w:pPr>
      <w:r>
        <w:rPr>
          <w:rFonts w:ascii="IRNazanin" w:hAnsi="IRNazanin" w:eastAsia="IRNazanin"/>
          <w:color w:val="111111"/>
          <w:sz w:val="28"/>
          <w:sz w:val="28"/>
          <w:szCs w:val="28"/>
          <w:rtl w:val="true"/>
          <w:lang w:bidi="fa-IR"/>
        </w:rPr>
        <w:t>الحقّ، جاز، و کان الزائد أمانة عند الفاضل</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قدر حقّه قبل البیع،</w:t>
      </w:r>
    </w:p>
    <w:p>
      <w:pPr>
        <w:pStyle w:val="BookText"/>
        <w:rPr/>
      </w:pPr>
      <w:r>
        <w:rPr>
          <w:rFonts w:ascii="IRNazanin" w:hAnsi="IRNazanin" w:eastAsia="IRNazanin"/>
          <w:color w:val="111111"/>
          <w:sz w:val="28"/>
          <w:sz w:val="28"/>
          <w:szCs w:val="28"/>
          <w:rtl w:val="true"/>
          <w:lang w:bidi="fa-IR"/>
        </w:rPr>
        <w:t>لم یضمن عند الشیخ</w:t>
      </w:r>
      <w:r>
        <w:rPr>
          <w:rStyle w:val="FootnoteAnchor"/>
          <w:rtl w:val="true"/>
        </w:rPr>
        <w:footnoteReference w:id="432"/>
      </w:r>
      <w:r>
        <w:rPr>
          <w:rFonts w:ascii="IRNazanin" w:hAnsi="IRNazanin" w:eastAsia="IRNazanin"/>
          <w:color w:val="111111"/>
          <w:sz w:val="28"/>
          <w:sz w:val="28"/>
          <w:szCs w:val="28"/>
          <w:rtl w:val="true"/>
          <w:lang w:bidi="fa-IR"/>
        </w:rPr>
        <w:t>، و احتمل الفاضلان الضمان</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الأخذ من الودیعة</w:t>
      </w:r>
      <w:r>
        <w:rPr>
          <w:rStyle w:val="FootnoteAnchor"/>
          <w:rtl w:val="true"/>
        </w:rPr>
        <w:footnoteReference w:id="434"/>
      </w:r>
      <w:r>
        <w:rPr>
          <w:rFonts w:ascii="IRNazanin" w:hAnsi="IRNazanin" w:eastAsia="IRNazanin"/>
          <w:color w:val="111111"/>
          <w:sz w:val="28"/>
          <w:sz w:val="28"/>
          <w:szCs w:val="28"/>
          <w:rtl w:val="true"/>
          <w:lang w:bidi="fa-IR"/>
        </w:rPr>
        <w:t>، و حمل علی الکراهیة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ادّعی مالا یَدَ لأحدٍ علیه، قضی له به ؛ لروایة منصور بن حازم، عن الصادق علیه‌السّلام فی الکیس بین جماعة فیدّعیه أحدهم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انکسرت سفینة، ففی روایة الشعیریّ،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البحر فهو لأهله، و بالغوص فهو لمخرجه</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ابن إدریس علی یأسهم منه</w:t>
      </w:r>
      <w:r>
        <w:rPr>
          <w:rStyle w:val="FootnoteAnchor"/>
          <w:rtl w:val="true"/>
        </w:rPr>
        <w:footnoteReference w:id="438"/>
      </w:r>
      <w:r>
        <w:rPr>
          <w:rFonts w:ascii="IRNazanin" w:hAnsi="IRNazanin" w:eastAsia="IRNazanin"/>
          <w:color w:val="111111"/>
          <w:sz w:val="28"/>
          <w:sz w:val="28"/>
          <w:szCs w:val="28"/>
          <w:rtl w:val="true"/>
          <w:lang w:bidi="fa-IR"/>
        </w:rPr>
        <w:t>، فهو کالبعیر یترک من جهد، و بعضهم علی الإعراض عنه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تسمع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بنت أمَتی،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ولدتها فی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تسمع البیّنة بذلک حتّی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ملکی، و کذا البیّنة، و کذا ثمرة نخلتی، بخلاف هذا </w:t>
      </w:r>
      <w:bookmarkStart w:id="75" w:name="pg13665_219017"/>
    </w:p>
    <w:p>
      <w:pPr>
        <w:pStyle w:val="BookText"/>
        <w:rPr/>
      </w:pPr>
      <w:bookmarkEnd w:id="75"/>
      <w:r>
        <w:rPr>
          <w:rFonts w:ascii="IRNazanin" w:hAnsi="IRNazanin" w:eastAsia="IRNazanin"/>
          <w:color w:val="111111"/>
          <w:sz w:val="28"/>
          <w:sz w:val="28"/>
          <w:szCs w:val="28"/>
          <w:rtl w:val="true"/>
          <w:lang w:bidi="fa-IR"/>
        </w:rPr>
        <w:t xml:space="preserve">الدقیق من حنطتی، و الغزل من قطنی، و الدجاجة من بیضتی، 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تسمع دعوی الدین المؤجّل و الضمان المؤجّل و التدبیر و الاستیلاد و إن</w:t>
      </w:r>
    </w:p>
    <w:p>
      <w:pPr>
        <w:pStyle w:val="BookText"/>
        <w:rPr/>
      </w:pPr>
      <w:r>
        <w:rPr>
          <w:rFonts w:ascii="IRNazanin" w:hAnsi="IRNazanin" w:eastAsia="IRNazanin"/>
          <w:color w:val="111111"/>
          <w:sz w:val="28"/>
          <w:sz w:val="28"/>
          <w:szCs w:val="28"/>
          <w:rtl w:val="true"/>
          <w:lang w:bidi="fa-IR"/>
        </w:rPr>
        <w:t>لم یثبت کمال أثرها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العبد حرّیّة الأصل، حلف مع عدم اشتهار حاله بالرقّیّة، کتکرّر بیعه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العتق، حلف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شراء الرقیق و إن لم یعرف بالرقّیّة ؛ عملاً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احتیج إلی التردید فی الدعوی،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کمن دفع إلی دلاّل ثوباً قیمته خمسة</w:t>
      </w:r>
      <w:r>
        <w:rPr>
          <w:rStyle w:val="FootnoteAnchor"/>
          <w:rtl w:val="true"/>
        </w:rPr>
        <w:footnoteReference w:id="440"/>
      </w:r>
      <w:r>
        <w:rPr>
          <w:rFonts w:ascii="IRNazanin" w:hAnsi="IRNazanin" w:eastAsia="IRNazanin"/>
          <w:color w:val="111111"/>
          <w:sz w:val="28"/>
          <w:sz w:val="28"/>
          <w:szCs w:val="28"/>
          <w:rtl w:val="true"/>
          <w:lang w:bidi="fa-IR"/>
        </w:rPr>
        <w:t xml:space="preserve">لیبیعه بعشرة فأنکر، فله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عنده عشرة إن باع، أو خمسة إن تلف، أو ثوب إن کان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علی العبد، فالغریم المولی و إن کانت الدعوی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 العبد، تبع به، و لو کان بجنایة و أقرّ العبد،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المولی خاصّة، لم یقتصّ من العبد، و یملک المجنیّ علیه منه بقدرها، و یلزم من هذا وجوب الیمین علی العبد لو أنکر الملزوم ؛ لسماع الدعوی علیه منفرداً</w:t>
      </w:r>
      <w:r>
        <w:rPr>
          <w:rFonts w:eastAsia="IRNazanin" w:cs="IRNazanin"/>
          <w:color w:val="111111"/>
          <w:sz w:val="28"/>
          <w:szCs w:val="28"/>
          <w:rtl w:val="true"/>
          <w:lang w:bidi="fa-IR"/>
        </w:rPr>
        <w:t>.</w:t>
      </w:r>
    </w:p>
    <w:p>
      <w:pPr>
        <w:pStyle w:val="Heading3"/>
        <w:numPr>
          <w:ilvl w:val="2"/>
          <w:numId w:val="1"/>
        </w:numPr>
        <w:rPr/>
      </w:pPr>
      <w:bookmarkStart w:id="76" w:name="__RefHeading___Toc2071261_3830689328"/>
      <w:bookmarkStart w:id="77" w:name="_Toc25"/>
      <w:bookmarkEnd w:id="76"/>
      <w:r>
        <w:rPr>
          <w:rtl w:val="true"/>
        </w:rPr>
        <w:t xml:space="preserve">درس </w:t>
      </w:r>
      <w:r>
        <w:rPr>
          <w:rtl w:val="true"/>
        </w:rPr>
        <w:t>(</w:t>
      </w:r>
      <w:r>
        <w:rPr/>
        <w:t>138</w:t>
      </w:r>
      <w:r>
        <w:rPr>
          <w:rtl w:val="true"/>
        </w:rPr>
        <w:t>)</w:t>
      </w:r>
      <w:bookmarkEnd w:id="77"/>
    </w:p>
    <w:p>
      <w:pPr>
        <w:pStyle w:val="BookText"/>
        <w:rPr/>
      </w:pPr>
      <w:r>
        <w:rPr>
          <w:rFonts w:ascii="IRNazanin" w:hAnsi="IRNazanin" w:eastAsia="IRNazanin"/>
          <w:color w:val="111111"/>
          <w:sz w:val="28"/>
          <w:sz w:val="28"/>
          <w:szCs w:val="28"/>
          <w:rtl w:val="true"/>
          <w:lang w:bidi="fa-IR"/>
        </w:rPr>
        <w:t>فی جواب الدعوی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یطالب المدّعی علیه بعد التحریر و التماس المدّعی مطالبته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 الشیخ أ نّه لا یطالبه من دون التماسه</w:t>
      </w:r>
      <w:r>
        <w:rPr>
          <w:rStyle w:val="FootnoteAnchor"/>
          <w:rtl w:val="true"/>
        </w:rPr>
        <w:footnoteReference w:id="441"/>
      </w:r>
      <w:r>
        <w:rPr>
          <w:rFonts w:ascii="Amiri" w:hAnsi="Amiri" w:eastAsia="Amiri" w:cs="Amiri"/>
          <w:color w:val="111111"/>
          <w:sz w:val="28"/>
          <w:sz w:val="28"/>
          <w:szCs w:val="28"/>
          <w:rtl w:val="true"/>
          <w:lang w:bidi="ar-SA"/>
        </w:rPr>
        <w:t xml:space="preserve">؛ لأنّ الجواب حقّ المدّعی، ثمّ قوّی جوازه ؛ </w:t>
      </w:r>
    </w:p>
    <w:p>
      <w:pPr>
        <w:pStyle w:val="BookText"/>
        <w:rPr/>
      </w:pPr>
      <w:r>
        <w:rPr>
          <w:rFonts w:ascii="Amiri" w:hAnsi="Amiri" w:eastAsia="Amiri" w:cs="Amiri"/>
          <w:color w:val="111111"/>
          <w:sz w:val="28"/>
          <w:sz w:val="28"/>
          <w:szCs w:val="28"/>
          <w:rtl w:val="true"/>
          <w:lang w:bidi="ar-SA"/>
        </w:rPr>
        <w:t>مراعاةً للعرف</w:t>
      </w:r>
      <w:r>
        <w:rPr>
          <w:rStyle w:val="FootnoteAnchor"/>
          <w:rtl w:val="true"/>
        </w:rPr>
        <w:footnoteReference w:id="442"/>
      </w:r>
      <w:r>
        <w:rPr>
          <w:rFonts w:ascii="IRNazanin" w:hAnsi="IRNazanin" w:eastAsia="IRNazanin"/>
          <w:color w:val="111111"/>
          <w:sz w:val="28"/>
          <w:sz w:val="28"/>
          <w:szCs w:val="28"/>
          <w:rtl w:val="true"/>
          <w:lang w:bidi="fa-IR"/>
        </w:rPr>
        <w:t xml:space="preserve">،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فیما یدّعیه ؟ فإن سکت لآفة، توصّل إلی فهمه، و إن سکت عناداً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أُجیب، ففی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المذهب أن یقال له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أجبت عن الدعوی و إلاّ جعلتک ناکلاً و أحلفت المدّعی</w:t>
      </w:r>
      <w:r>
        <w:rPr>
          <w:rStyle w:val="FootnoteAnchor"/>
          <w:rtl w:val="true"/>
        </w:rPr>
        <w:footnoteReference w:id="443"/>
      </w:r>
      <w:r>
        <w:rPr>
          <w:rFonts w:ascii="IRNazanin" w:hAnsi="IRNazanin" w:eastAsia="IRNazanin"/>
          <w:color w:val="111111"/>
          <w:sz w:val="28"/>
          <w:sz w:val="28"/>
          <w:szCs w:val="28"/>
          <w:rtl w:val="true"/>
          <w:lang w:bidi="fa-IR"/>
        </w:rPr>
        <w:t>، و اختار فی النهایة</w:t>
      </w:r>
    </w:p>
    <w:p>
      <w:pPr>
        <w:pStyle w:val="BookText"/>
        <w:rPr/>
      </w:pPr>
      <w:r>
        <w:rPr>
          <w:rFonts w:ascii="IRNazanin" w:hAnsi="IRNazanin" w:eastAsia="IRNazanin"/>
          <w:color w:val="111111"/>
          <w:sz w:val="28"/>
          <w:sz w:val="28"/>
          <w:szCs w:val="28"/>
          <w:rtl w:val="true"/>
          <w:lang w:bidi="fa-IR"/>
        </w:rPr>
        <w:t>حبسه حتّی یجیب</w:t>
      </w:r>
      <w:r>
        <w:rPr>
          <w:rStyle w:val="FootnoteAnchor"/>
          <w:rtl w:val="true"/>
        </w:rPr>
        <w:footnoteReference w:id="444"/>
      </w:r>
      <w:r>
        <w:rPr>
          <w:rFonts w:ascii="IRNazanin" w:hAnsi="IRNazanin" w:eastAsia="IRNazanin"/>
          <w:color w:val="111111"/>
          <w:sz w:val="28"/>
          <w:sz w:val="28"/>
          <w:szCs w:val="28"/>
          <w:rtl w:val="true"/>
          <w:lang w:bidi="fa-IR"/>
        </w:rPr>
        <w:t>، و قوّاه فی المبسوط</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أقرّ، ألزمه بالحقّ، فإن التمس المدّعی الحکم، حکم علیه بعد الوثوق بکمال المقرّ،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ألزمتک ذلک، أو قضیت علیک به، أو أخرج له منه، فإن التمس کتابة محضر علیه، فعل بعد المعرفة به، أو شهادة معرّفین، أو قناعته بالحِلْیة ؛ حذراً</w:t>
      </w:r>
    </w:p>
    <w:p>
      <w:pPr>
        <w:pStyle w:val="BookText"/>
        <w:rPr/>
      </w:pPr>
      <w:r>
        <w:rPr>
          <w:rFonts w:ascii="IRNazanin" w:hAnsi="IRNazanin" w:eastAsia="IRNazanin"/>
          <w:color w:val="111111"/>
          <w:sz w:val="28"/>
          <w:sz w:val="28"/>
          <w:szCs w:val="28"/>
          <w:rtl w:val="true"/>
          <w:lang w:bidi="fa-IR"/>
        </w:rPr>
        <w:t>من تواطؤ الغریمین علی نسب لغیرهما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الحکم و إن لم یلتمس</w:t>
      </w:r>
      <w:r>
        <w:rPr>
          <w:rStyle w:val="FootnoteAnchor"/>
          <w:rtl w:val="true"/>
        </w:rPr>
        <w:footnoteReference w:id="446"/>
      </w:r>
      <w:r>
        <w:rPr>
          <w:rFonts w:ascii="IRNazanin" w:hAnsi="IRNazanin" w:eastAsia="IRNazanin"/>
          <w:color w:val="111111"/>
          <w:sz w:val="28"/>
          <w:sz w:val="28"/>
          <w:szCs w:val="28"/>
          <w:rtl w:val="true"/>
          <w:lang w:bidi="fa-IR"/>
        </w:rPr>
        <w:t>، إمّا للعرف، و إمّا لأ نّه حقّ قد تعیّن للحاکم فوجب إظهاره، و لو ارتاب الحاکم بالمقرّ،</w:t>
      </w:r>
    </w:p>
    <w:p>
      <w:pPr>
        <w:pStyle w:val="BookText"/>
        <w:rPr/>
      </w:pPr>
      <w:r>
        <w:rPr>
          <w:rFonts w:ascii="Amiri" w:hAnsi="Amiri" w:eastAsia="Amiri" w:cs="Amiri"/>
          <w:color w:val="111111"/>
          <w:sz w:val="28"/>
          <w:sz w:val="28"/>
          <w:szCs w:val="28"/>
          <w:rtl w:val="true"/>
          <w:lang w:bidi="ar-SA"/>
        </w:rPr>
        <w:t>توقّف حتّی یتبیّن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أنکر الغریم الحقّ قال الحاکم للمدّعی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بیّنة ؟ و لو کان عارفاً بأ نّه موضع المطالبة بالبیّنة، فللحاکم السکوت،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 لی، عرّفه أنّ له یمینه</w:t>
      </w:r>
    </w:p>
    <w:p>
      <w:pPr>
        <w:pStyle w:val="BookText"/>
        <w:rPr/>
      </w:pPr>
      <w:r>
        <w:rPr>
          <w:rFonts w:ascii="IRNazanin" w:hAnsi="IRNazanin" w:eastAsia="IRNazanin"/>
          <w:color w:val="111111"/>
          <w:sz w:val="28"/>
          <w:sz w:val="28"/>
          <w:szCs w:val="28"/>
          <w:rtl w:val="true"/>
          <w:lang w:bidi="fa-IR"/>
        </w:rPr>
        <w:t>فیستحلفه بإذنه، فلو تبرّع بها أو استحلفه الحاکم من دون التماس المدّعی أو بالعکس، لغت</w:t>
      </w:r>
      <w:r>
        <w:rPr>
          <w:rStyle w:val="FootnoteAnchor"/>
          <w:rtl w:val="true"/>
        </w:rPr>
        <w:footnoteReference w:id="447"/>
      </w:r>
      <w:r>
        <w:rPr>
          <w:rFonts w:ascii="IRNazanin" w:hAnsi="IRNazanin" w:eastAsia="IRNazanin"/>
          <w:color w:val="111111"/>
          <w:sz w:val="28"/>
          <w:sz w:val="28"/>
          <w:szCs w:val="28"/>
          <w:rtl w:val="true"/>
          <w:lang w:bidi="fa-IR"/>
        </w:rPr>
        <w:t>، فإذا حلف، سقطت الدعوی و حرمت المقاصّة و إن کان المدّعی محقّاً، إلاّ أن یکذّب نفسه بعد، و لا تسمع بیّنته فیما بعد علی الأصحّ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ذکره فی فصل فیما علی القاضی و الشهود</w:t>
      </w:r>
      <w:r>
        <w:rPr>
          <w:rStyle w:val="FootnoteAnchor"/>
          <w:rtl w:val="true"/>
        </w:rPr>
        <w:footnoteReference w:id="448"/>
      </w:r>
      <w:r>
        <w:rPr>
          <w:rFonts w:ascii="IRNazanin" w:hAnsi="IRNazanin" w:eastAsia="IRNazanin"/>
          <w:color w:val="111111"/>
          <w:sz w:val="28"/>
          <w:sz w:val="28"/>
          <w:szCs w:val="28"/>
          <w:rtl w:val="true"/>
          <w:lang w:bidi="fa-IR"/>
        </w:rPr>
        <w:t xml:space="preserve">، و فی </w:t>
      </w:r>
    </w:p>
    <w:p>
      <w:pPr>
        <w:pStyle w:val="BookText"/>
        <w:rPr/>
      </w:pPr>
      <w:r>
        <w:rPr>
          <w:rFonts w:ascii="IRNazanin" w:hAnsi="IRNazanin" w:eastAsia="IRNazanin"/>
          <w:color w:val="111111"/>
          <w:sz w:val="28"/>
          <w:sz w:val="28"/>
          <w:szCs w:val="28"/>
          <w:rtl w:val="true"/>
          <w:lang w:bidi="fa-IR"/>
        </w:rPr>
        <w:t xml:space="preserve">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w:t>
      </w:r>
      <w:r>
        <w:rPr>
          <w:rStyle w:val="FootnoteAnchor"/>
          <w:rtl w:val="true"/>
        </w:rPr>
        <w:footnoteReference w:id="449"/>
      </w:r>
      <w:r>
        <w:rPr>
          <w:rFonts w:ascii="IRNazanin" w:hAnsi="IRNazanin" w:eastAsia="IRNazanin"/>
          <w:color w:val="111111"/>
          <w:sz w:val="28"/>
          <w:sz w:val="28"/>
          <w:szCs w:val="28"/>
          <w:rtl w:val="true"/>
          <w:lang w:bidi="fa-IR"/>
        </w:rPr>
        <w:t>، و فصّل ثالثاً بسماعها مع عدم علمه بها أو نسیانه</w:t>
      </w:r>
      <w:r>
        <w:rPr>
          <w:rStyle w:val="FootnoteAnchor"/>
          <w:rtl w:val="true"/>
        </w:rPr>
        <w:footnoteReference w:id="450"/>
      </w:r>
      <w:r>
        <w:rPr>
          <w:rFonts w:ascii="IRNazanin" w:hAnsi="IRNazanin" w:eastAsia="IRNazanin"/>
          <w:color w:val="111111"/>
          <w:sz w:val="28"/>
          <w:sz w:val="28"/>
          <w:szCs w:val="28"/>
          <w:rtl w:val="true"/>
          <w:lang w:bidi="fa-IR"/>
        </w:rPr>
        <w:t>، و اختاره الحلبیّ</w:t>
      </w:r>
      <w:r>
        <w:rPr>
          <w:rStyle w:val="FootnoteAnchor"/>
          <w:rtl w:val="true"/>
        </w:rPr>
        <w:footnoteReference w:id="451"/>
      </w:r>
      <w:r>
        <w:rPr>
          <w:rFonts w:ascii="IRNazanin" w:hAnsi="IRNazanin" w:eastAsia="IRNazanin"/>
          <w:color w:val="111111"/>
          <w:sz w:val="28"/>
          <w:sz w:val="28"/>
          <w:szCs w:val="28"/>
          <w:rtl w:val="true"/>
          <w:lang w:bidi="fa-IR"/>
        </w:rPr>
        <w:t>، و ابن إدریس</w:t>
      </w:r>
      <w:r>
        <w:rPr>
          <w:rStyle w:val="FootnoteAnchor"/>
          <w:rtl w:val="true"/>
        </w:rPr>
        <w:footnoteReference w:id="452"/>
      </w:r>
      <w:r>
        <w:rPr>
          <w:rFonts w:ascii="IRNazanin" w:hAnsi="IRNazanin" w:eastAsia="IRNazanin"/>
          <w:color w:val="111111"/>
          <w:sz w:val="28"/>
          <w:sz w:val="28"/>
          <w:szCs w:val="28"/>
          <w:rtl w:val="true"/>
          <w:lang w:bidi="fa-IR"/>
        </w:rPr>
        <w:t>، و جنح إلیه فی المختلف</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إلاّ مع اشتراط سقوطها</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أصلاً</w:t>
      </w:r>
      <w:r>
        <w:rPr>
          <w:rStyle w:val="FootnoteAnchor"/>
          <w:rtl w:val="true"/>
        </w:rPr>
        <w:footnoteReference w:id="455"/>
      </w:r>
      <w:r>
        <w:rPr>
          <w:rFonts w:ascii="IRNazanin" w:hAnsi="IRNazanin" w:eastAsia="IRNazanin"/>
          <w:color w:val="111111"/>
          <w:sz w:val="28"/>
          <w:sz w:val="28"/>
          <w:szCs w:val="28"/>
          <w:rtl w:val="true"/>
          <w:lang w:bidi="fa-IR"/>
        </w:rPr>
        <w:t>، و اختاره الفاضلان</w:t>
      </w:r>
      <w:r>
        <w:rPr>
          <w:rStyle w:val="FootnoteAnchor"/>
          <w:rtl w:val="true"/>
        </w:rPr>
        <w:footnoteReference w:id="456"/>
      </w:r>
      <w:r>
        <w:rPr>
          <w:rFonts w:ascii="IRNazanin" w:hAnsi="IRNazanin" w:eastAsia="IRNazanin"/>
          <w:color w:val="111111"/>
          <w:sz w:val="28"/>
          <w:sz w:val="28"/>
          <w:szCs w:val="28"/>
          <w:rtl w:val="true"/>
          <w:lang w:bidi="fa-IR"/>
        </w:rPr>
        <w:t xml:space="preserve">؛ لصحیحة ابن أبی یعفور،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أقام خمسین قسامة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للحالف کتابة محضر بیمینه بعد المعرفة أو الحِلْیة، و إن امتنع من الیمین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بنکوله</w:t>
      </w:r>
      <w:r>
        <w:rPr>
          <w:rStyle w:val="FootnoteAnchor"/>
          <w:rtl w:val="true"/>
        </w:rPr>
        <w:footnoteReference w:id="458"/>
      </w:r>
      <w:r>
        <w:rPr>
          <w:rFonts w:ascii="IRNazanin" w:hAnsi="IRNazanin" w:eastAsia="IRNazanin"/>
          <w:color w:val="111111"/>
          <w:sz w:val="28"/>
          <w:sz w:val="28"/>
          <w:szCs w:val="28"/>
          <w:rtl w:val="true"/>
          <w:lang w:bidi="fa-IR"/>
        </w:rPr>
        <w:t xml:space="preserve">، 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الیمین علی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یقول له الحاکم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حلفت و إلاّ جعلتک ناکلاً و رددت الیمین، و الواجب مرّة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قضی بنکوله من غیر عرض فادّعی الخصم الجهل بحکم النکول، ففی نفوذ القضاء إشکال من ظهور عذره، و تفریطه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سکت بعد العرض علیه، قضی علیه، و لو رجع قبل حلف المدّعی،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و لو منعناه فرضی المدّعی بیمینه، </w:t>
      </w:r>
    </w:p>
    <w:p>
      <w:pPr>
        <w:pStyle w:val="BookText"/>
        <w:rPr/>
      </w:pPr>
      <w:r>
        <w:rPr>
          <w:rFonts w:ascii="IRNazanin" w:hAnsi="IRNazanin" w:eastAsia="IRNazanin"/>
          <w:color w:val="111111"/>
          <w:sz w:val="28"/>
          <w:sz w:val="28"/>
          <w:szCs w:val="28"/>
          <w:rtl w:val="true"/>
          <w:lang w:bidi="fa-IR"/>
        </w:rPr>
        <w:t>فله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للمدّعی إلزام المنکر بإحضار المال قبل الیمین ؟ قطع به الحلبیّ</w:t>
      </w:r>
      <w:r>
        <w:rPr>
          <w:rStyle w:val="FootnoteAnchor"/>
          <w:rtl w:val="true"/>
        </w:rPr>
        <w:footnoteReference w:id="459"/>
      </w:r>
      <w:r>
        <w:rPr>
          <w:rFonts w:ascii="IRNazanin" w:hAnsi="IRNazanin" w:eastAsia="IRNazanin"/>
          <w:color w:val="111111"/>
          <w:sz w:val="28"/>
          <w:sz w:val="28"/>
          <w:szCs w:val="28"/>
          <w:rtl w:val="true"/>
          <w:lang w:bidi="fa-IR"/>
        </w:rPr>
        <w:t>، و فی المختلف لا نصّ فیه و قوّی تقدیم الیمین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امتنع المدّعی عن الیمین، سقطت دعواه فی هذا المجلس،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Style w:val="FootnoteAnchor"/>
          <w:rtl w:val="true"/>
        </w:rPr>
        <w:footnoteReference w:id="4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قویّ إلاّ أن یأتی ببیّنة، و لو استمهل، أُمهل، بخلاف المنکر، فإنّه لا یمهل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حلف المدّعی کإقرار الخصم، فلا ینفذ علی غیره،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کالبیّنة</w:t>
      </w:r>
      <w:r>
        <w:rPr>
          <w:rStyle w:val="FootnoteAnchor"/>
          <w:rtl w:val="true"/>
        </w:rPr>
        <w:footnoteReference w:id="462"/>
      </w:r>
      <w:r>
        <w:rPr>
          <w:rFonts w:ascii="IRNazanin" w:hAnsi="IRNazanin" w:eastAsia="IRNazanin"/>
          <w:color w:val="111111"/>
          <w:sz w:val="28"/>
          <w:sz w:val="28"/>
          <w:szCs w:val="28"/>
          <w:rtl w:val="true"/>
          <w:lang w:bidi="fa-IR"/>
        </w:rPr>
        <w:t>،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إنکار الوکیل العیب و نکوله عن الیمین فیحلف المدّعی، فإن جعلناها کالبیّنة، ملک ردّه علی الموکّل، و إن جعلناها کالإقرار،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لا یمکن ردّ الیمین علی المدّعی، کما إذا</w:t>
      </w:r>
      <w:r>
        <w:rPr>
          <w:rStyle w:val="FootnoteAnchor"/>
          <w:rtl w:val="true"/>
        </w:rPr>
        <w:footnoteReference w:id="463"/>
      </w:r>
      <w:r>
        <w:rPr>
          <w:rFonts w:ascii="IRNazanin" w:hAnsi="IRNazanin" w:eastAsia="IRNazanin"/>
          <w:color w:val="111111"/>
          <w:sz w:val="28"/>
          <w:sz w:val="28"/>
          <w:szCs w:val="28"/>
          <w:rtl w:val="true"/>
          <w:lang w:bidi="fa-IR"/>
        </w:rPr>
        <w:t>ادّعی وصیّ یتیم مالاً له علی آخر فأنکر</w:t>
      </w:r>
      <w:r>
        <w:rPr>
          <w:rStyle w:val="FootnoteAnchor"/>
          <w:rtl w:val="true"/>
        </w:rPr>
        <w:footnoteReference w:id="464"/>
      </w:r>
      <w:r>
        <w:rPr>
          <w:rFonts w:ascii="IRNazanin" w:hAnsi="IRNazanin" w:eastAsia="IRNazanin"/>
          <w:color w:val="111111"/>
          <w:sz w:val="28"/>
          <w:sz w:val="28"/>
          <w:szCs w:val="28"/>
          <w:rtl w:val="true"/>
          <w:lang w:bidi="fa-IR"/>
        </w:rPr>
        <w:t>و نکل عن الیمین، و کما إذا ادّعی الوصیّ علی الوارث أنّ المیّت أوصی للفقراء أو بخمس، أو زکاة، أو حجّ فأنکر الوارث و نکل، فحینئذٍ یحبس المنکر حتّی یحلف أو 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الیتیم یؤخّر حتّی یبلغ و یحلف، و یمکن القضاء بالنکول هنا، و مثله لو قام شاهد</w:t>
      </w:r>
      <w:r>
        <w:rPr>
          <w:rStyle w:val="FootnoteAnchor"/>
          <w:rtl w:val="true"/>
        </w:rPr>
        <w:footnoteReference w:id="465"/>
      </w:r>
      <w:r>
        <w:rPr>
          <w:rFonts w:ascii="IRNazanin" w:hAnsi="IRNazanin" w:eastAsia="IRNazanin"/>
          <w:color w:val="111111"/>
          <w:sz w:val="28"/>
          <w:sz w:val="28"/>
          <w:szCs w:val="28"/>
          <w:rtl w:val="true"/>
          <w:lang w:bidi="fa-IR"/>
        </w:rPr>
        <w:t xml:space="preserve">بدین لمیّت وارثه الإمام، فإنّ حلف الإمام غیر </w:t>
      </w:r>
    </w:p>
    <w:p>
      <w:pPr>
        <w:pStyle w:val="BookText"/>
        <w:rPr/>
      </w:pPr>
      <w:r>
        <w:rPr>
          <w:rFonts w:ascii="IRNazanin" w:hAnsi="IRNazanin" w:eastAsia="IRNazanin"/>
          <w:color w:val="111111"/>
          <w:sz w:val="28"/>
          <w:sz w:val="28"/>
          <w:szCs w:val="28"/>
          <w:rtl w:val="true"/>
          <w:lang w:bidi="fa-IR"/>
        </w:rPr>
        <w:t>مشروع، بل یحبس الخصم أو یقضی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بیّنة، فللحاکم أمره بإحضارها إن کان لا یفهم أ نّه موضع الأمر، فإذا حضرت لم یسألها الحاکم إلاّ بعد سؤال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اشهدا،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کلامٌ ذَکَرَه إن شاء، فإن أجابا بالفاسد، أُطرح، کقولهما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له علیه، و إن قطعا بالحقّ و طابق الدعوی، بحث</w:t>
      </w:r>
    </w:p>
    <w:p>
      <w:pPr>
        <w:pStyle w:val="BookText"/>
        <w:rPr/>
      </w:pPr>
      <w:r>
        <w:rPr>
          <w:rFonts w:ascii="IRNazanin" w:hAnsi="IRNazanin" w:eastAsia="IRNazanin"/>
          <w:color w:val="111111"/>
          <w:sz w:val="28"/>
          <w:sz w:val="28"/>
          <w:szCs w:val="28"/>
          <w:rtl w:val="true"/>
          <w:lang w:bidi="fa-IR"/>
        </w:rPr>
        <w:t>عن عدالتهما، فإن علمها، طلب من الخصم الجرح، فإن استمهله، أُنظر</w:t>
      </w:r>
      <w:r>
        <w:rPr>
          <w:rStyle w:val="FootnoteAnchor"/>
          <w:rtl w:val="true"/>
        </w:rPr>
        <w:footnoteReference w:id="466"/>
      </w:r>
      <w:r>
        <w:rPr>
          <w:rFonts w:ascii="Amiri" w:hAnsi="Amiri" w:eastAsia="Amiri" w:cs="Amiri"/>
          <w:color w:val="111111"/>
          <w:sz w:val="28"/>
          <w:sz w:val="28"/>
          <w:szCs w:val="28"/>
          <w:rtl w:val="true"/>
          <w:lang w:bidi="ar-SA"/>
        </w:rPr>
        <w:t>ثلاثاً، و إن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جرح عندی، حکم بسؤال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له أن یقول للغریم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علیک بکذا و شهد به هذان، و أنظرتک جرح الشهود فلم تفعل و ها أنا أحکم علیک، فلو طلب یمینه مع البیّنة، لم یجب إلاّ مع تقدیم دعوی صحیحة، کإیفاء أو 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الدعوی علی غائب أو میّت أو غیر مکلّف، استحلف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بیّنة غائبة، ضرب له الحاکم أجلاً لإحضارها و کفل بخصمه فیخرج عن الکفالة بمضیّ المدّة، قاله الشیخان</w:t>
      </w:r>
      <w:r>
        <w:rPr>
          <w:rStyle w:val="FootnoteAnchor"/>
          <w:rtl w:val="true"/>
        </w:rPr>
        <w:footnoteReference w:id="467"/>
      </w:r>
      <w:r>
        <w:rPr>
          <w:rFonts w:ascii="IRNazanin" w:hAnsi="IRNazanin" w:eastAsia="IRNazanin"/>
          <w:color w:val="111111"/>
          <w:sz w:val="28"/>
          <w:sz w:val="28"/>
          <w:szCs w:val="28"/>
          <w:rtl w:val="true"/>
          <w:lang w:bidi="fa-IR"/>
        </w:rPr>
        <w:t xml:space="preserve">، و لیس له حبسه، و فی المبسوط و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إلزامه بکفیل</w:t>
      </w:r>
      <w:r>
        <w:rPr>
          <w:rStyle w:val="FootnoteAnchor"/>
          <w:rtl w:val="true"/>
        </w:rPr>
        <w:footnoteReference w:id="468"/>
      </w:r>
      <w:r>
        <w:rPr>
          <w:rFonts w:ascii="IRNazanin" w:hAnsi="IRNazanin" w:eastAsia="IRNazanin"/>
          <w:color w:val="111111"/>
          <w:sz w:val="28"/>
          <w:sz w:val="28"/>
          <w:szCs w:val="28"/>
          <w:rtl w:val="true"/>
          <w:lang w:bidi="fa-IR"/>
        </w:rPr>
        <w:t>، و منع ابن حمزة من زیادة المدّة علی ثلاثة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bookmarkStart w:id="78" w:name="pg13665_219022"/>
    </w:p>
    <w:p>
      <w:pPr>
        <w:pStyle w:val="Heading3"/>
        <w:numPr>
          <w:ilvl w:val="2"/>
          <w:numId w:val="1"/>
        </w:numPr>
        <w:rPr/>
      </w:pPr>
      <w:bookmarkStart w:id="79" w:name="__RefHeading___Toc2071263_3830689328"/>
      <w:bookmarkStart w:id="80" w:name="_Toc26"/>
      <w:bookmarkEnd w:id="78"/>
      <w:bookmarkEnd w:id="79"/>
      <w:r>
        <w:rPr>
          <w:rtl w:val="true"/>
        </w:rPr>
        <w:t xml:space="preserve">درس </w:t>
      </w:r>
      <w:r>
        <w:rPr>
          <w:rtl w:val="true"/>
        </w:rPr>
        <w:t>(</w:t>
      </w:r>
      <w:r>
        <w:rPr/>
        <w:t>139</w:t>
      </w:r>
      <w:r>
        <w:rPr>
          <w:rtl w:val="true"/>
        </w:rPr>
        <w:t>)</w:t>
      </w:r>
      <w:bookmarkEnd w:id="80"/>
    </w:p>
    <w:p>
      <w:pPr>
        <w:pStyle w:val="BookText"/>
        <w:rPr/>
      </w:pPr>
      <w:r>
        <w:rPr>
          <w:rFonts w:ascii="IRNazanin" w:hAnsi="IRNazanin" w:eastAsia="IRNazanin"/>
          <w:color w:val="111111"/>
          <w:sz w:val="28"/>
          <w:sz w:val="28"/>
          <w:szCs w:val="28"/>
          <w:rtl w:val="true"/>
          <w:lang w:bidi="fa-IR"/>
        </w:rPr>
        <w:t>فی القضاء علی الغائب</w:t>
      </w:r>
    </w:p>
    <w:p>
      <w:pPr>
        <w:pStyle w:val="BookText"/>
        <w:rPr/>
      </w:pPr>
      <w:r>
        <w:rPr>
          <w:rFonts w:ascii="IRNazanin" w:hAnsi="IRNazanin" w:eastAsia="IRNazanin"/>
          <w:color w:val="111111"/>
          <w:sz w:val="28"/>
          <w:sz w:val="28"/>
          <w:szCs w:val="28"/>
          <w:rtl w:val="true"/>
          <w:lang w:bidi="fa-IR"/>
        </w:rPr>
        <w:t xml:space="preserve">یقضی علیه فی الجملة، سواء بَعُد أو قرب، و لو کان فی المجلس، لم یقض علیه إلاّ بعد علمه، 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علی الحاضر فی البلد إذا لم یمتنع عن الحضور</w:t>
      </w:r>
      <w:r>
        <w:rPr>
          <w:rStyle w:val="FootnoteAnchor"/>
          <w:rtl w:val="true"/>
        </w:rPr>
        <w:footnoteReference w:id="471"/>
      </w:r>
      <w:r>
        <w:rPr>
          <w:rFonts w:ascii="IRNazanin" w:hAnsi="IRNazanin" w:eastAsia="IRNazanin"/>
          <w:color w:val="111111"/>
          <w:sz w:val="28"/>
          <w:sz w:val="28"/>
          <w:szCs w:val="28"/>
          <w:rtl w:val="true"/>
          <w:lang w:bidi="fa-IR"/>
        </w:rPr>
        <w:t>، ثمّ هو علی حجّته إذا حضر، فلو ادّعی فسق الشهود، کلّف البیّنة علی الفسق حال الشهادة أو حال الحکم، و لو ادّعی قضاءاً أو إبراءاً، أقام به البیّنة، و إلاّ</w:t>
      </w:r>
    </w:p>
    <w:p>
      <w:pPr>
        <w:pStyle w:val="BookText"/>
        <w:rPr/>
      </w:pPr>
      <w:r>
        <w:rPr>
          <w:rFonts w:ascii="IRNazanin" w:hAnsi="IRNazanin" w:eastAsia="IRNazanin"/>
          <w:color w:val="111111"/>
          <w:sz w:val="28"/>
          <w:sz w:val="28"/>
          <w:szCs w:val="28"/>
          <w:rtl w:val="true"/>
          <w:lang w:bidi="fa-IR"/>
        </w:rPr>
        <w:t>أحلف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تعلّق الحکم بحاضر، کوکیل أو شریک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یقضی فی حقوق الناس لا فی حقوق اللّه تعالی ؛ لأنّ القضاء علی الغائب احتیاط، و حقوق اللّه</w:t>
      </w:r>
    </w:p>
    <w:p>
      <w:pPr>
        <w:pStyle w:val="BookText"/>
        <w:rPr/>
      </w:pPr>
      <w:r>
        <w:rPr>
          <w:rFonts w:ascii="IRNazanin" w:hAnsi="IRNazanin" w:eastAsia="IRNazanin"/>
          <w:color w:val="111111"/>
          <w:sz w:val="28"/>
          <w:sz w:val="28"/>
          <w:szCs w:val="28"/>
          <w:rtl w:val="true"/>
          <w:lang w:bidi="fa-IR"/>
        </w:rPr>
        <w:t>تعالی مبنیّة علی التخفیف ؛ لغناه</w:t>
      </w:r>
      <w:r>
        <w:rPr>
          <w:rStyle w:val="FootnoteAnchor"/>
          <w:rtl w:val="true"/>
        </w:rPr>
        <w:footnoteReference w:id="472"/>
      </w:r>
      <w:r>
        <w:rPr>
          <w:rFonts w:ascii="IRNazanin" w:hAnsi="IRNazanin" w:eastAsia="IRNazanin"/>
          <w:color w:val="111111"/>
          <w:sz w:val="28"/>
          <w:sz w:val="28"/>
          <w:szCs w:val="28"/>
          <w:rtl w:val="true"/>
          <w:lang w:bidi="fa-IR"/>
        </w:rPr>
        <w:t>، و لو اشتمل علی الحقّین، کالسرقة، قضی بالمال دون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اعتراف الغائب أ نّه المحکوم علیه، أو قیام البیّنة بذلک، فلو أنکر و کان الوصف منطبقاً علی غیره، أو یمکن فیه المشارکة غالباً، حلف، و إلاّ أُلزم، و کذا لو کان المشارک له فی الوصف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دلّ تاریخ موته علی براءته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اشتبه</w:t>
      </w:r>
    </w:p>
    <w:p>
      <w:pPr>
        <w:pStyle w:val="BookText"/>
        <w:rPr/>
      </w:pPr>
      <w:r>
        <w:rPr>
          <w:rFonts w:ascii="IRNazanin" w:hAnsi="IRNazanin" w:eastAsia="IRNazanin"/>
          <w:color w:val="111111"/>
          <w:sz w:val="28"/>
          <w:sz w:val="28"/>
          <w:szCs w:val="28"/>
          <w:rtl w:val="true"/>
          <w:lang w:bidi="fa-IR"/>
        </w:rPr>
        <w:t>الحال، وقف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المحکوم به غائباً، میّز العقار بالحدّ، و فی مثل الحیوان و القماش نظر بین تمیّزه بالصفات الّتی یعسر اجتماعها فی غیره، کتحلیة المحکوم علیه، و بین ذکر القیمة خاصّة، و بین سماع البیّنة خاصّة، فلعلّ المتشبّث یحمله إلی بلد الشهود، و لو</w:t>
      </w:r>
    </w:p>
    <w:p>
      <w:pPr>
        <w:pStyle w:val="BookText"/>
        <w:rPr/>
      </w:pPr>
      <w:r>
        <w:rPr>
          <w:rFonts w:ascii="IRNazanin" w:hAnsi="IRNazanin" w:eastAsia="IRNazanin"/>
          <w:color w:val="111111"/>
          <w:sz w:val="28"/>
          <w:sz w:val="28"/>
          <w:szCs w:val="28"/>
          <w:rtl w:val="true"/>
          <w:lang w:bidi="fa-IR"/>
        </w:rPr>
        <w:t>امتنع، لم یجبر، إلاّ أن یتعذّر انتقال الشهود إلیه، و یری الحاکم صلاحاً فی حمله أو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بیعه علی المدّعی، فإن تلف قبل الوصول، ضمن و إن لم یشتره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تلف بین یدی الحاکم و لم یثبت دعواه، و یضمن أُجرته أیضاً، و حینئذٍ للمتشبّث الامتناع، إلاّ بکفیل علی العین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أنکر المدّعی علیه وجود هذا المدّعی به عنده، فالقول قوله، إلاّ مع البیّنة أو نکوله و حلف المدّعی، فیحبس المدّعی علیه حتّی یحضره أو یدّعی تلفه فیحلف و یغرم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عبرة بکتاب قاضٍ إلی قاضٍ و إن ختم، و لو أخبر أحدهما الآخر بالحکم، أنفذه، و لو اقتصر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عندی، لم ینفذ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أشهد شاهدین علی حکمه حضرا الواقعة، أو صوّرها لهما فشهدا عند آخر، أنفذه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کون الأوّل باقیاً علی العدالة، و لا یقدح موته و لا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المنفذ إلیه فتعیینه لغو، بل یجب علی کلّ حاکم الإنفاذ و إن کان الأوّل باقیاً علی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اقتصر القاضی علی صفة مشترکة غالباً، کأحمد بن محمّد، فأقرّ واحد</w:t>
      </w:r>
      <w:r>
        <w:rPr>
          <w:rStyle w:val="FootnoteAnchor"/>
          <w:rtl w:val="true"/>
        </w:rPr>
        <w:footnoteReference w:id="473"/>
      </w:r>
      <w:r>
        <w:rPr>
          <w:rFonts w:ascii="IRNazanin" w:hAnsi="IRNazanin" w:eastAsia="IRNazanin"/>
          <w:color w:val="111111"/>
          <w:sz w:val="28"/>
          <w:sz w:val="28"/>
          <w:szCs w:val="28"/>
          <w:rtl w:val="true"/>
          <w:lang w:bidi="fa-IR"/>
        </w:rPr>
        <w:t xml:space="preserve">أ نّه المعنیّ بحکمه، أُلْزم،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 نّه قضاء مبهم فیبطل من أصله</w:t>
      </w:r>
      <w:r>
        <w:rPr>
          <w:rStyle w:val="FootnoteAnchor"/>
          <w:rtl w:val="true"/>
        </w:rPr>
        <w:footnoteReference w:id="474"/>
      </w:r>
      <w:r>
        <w:rPr>
          <w:rFonts w:ascii="IRNazanin" w:hAnsi="IRNazanin" w:eastAsia="IRNazanin"/>
          <w:color w:val="111111"/>
          <w:sz w:val="28"/>
          <w:sz w:val="28"/>
          <w:szCs w:val="28"/>
          <w:rtl w:val="true"/>
          <w:lang w:bidi="fa-IR"/>
        </w:rPr>
        <w:t>، و هو بعید</w:t>
      </w:r>
      <w:r>
        <w:rPr>
          <w:rFonts w:eastAsia="IRNazanin" w:cs="IRNazanin"/>
          <w:color w:val="111111"/>
          <w:sz w:val="28"/>
          <w:szCs w:val="28"/>
          <w:rtl w:val="true"/>
          <w:lang w:bidi="fa-IR"/>
        </w:rPr>
        <w:t xml:space="preserve">. </w:t>
      </w:r>
      <w:bookmarkStart w:id="81" w:name="pg13665_219024"/>
    </w:p>
    <w:p>
      <w:pPr>
        <w:pStyle w:val="Heading3"/>
        <w:numPr>
          <w:ilvl w:val="2"/>
          <w:numId w:val="1"/>
        </w:numPr>
        <w:rPr/>
      </w:pPr>
      <w:bookmarkStart w:id="82" w:name="__RefHeading___Toc2071265_3830689328"/>
      <w:bookmarkStart w:id="83" w:name="_Toc27"/>
      <w:bookmarkEnd w:id="81"/>
      <w:bookmarkEnd w:id="82"/>
      <w:r>
        <w:rPr>
          <w:rtl w:val="true"/>
        </w:rPr>
        <w:t xml:space="preserve">درس </w:t>
      </w:r>
      <w:r>
        <w:rPr>
          <w:rtl w:val="true"/>
        </w:rPr>
        <w:t>(</w:t>
      </w:r>
      <w:r>
        <w:rPr/>
        <w:t>140</w:t>
      </w:r>
      <w:r>
        <w:rPr>
          <w:rtl w:val="true"/>
        </w:rPr>
        <w:t>)</w:t>
      </w:r>
      <w:bookmarkEnd w:id="83"/>
    </w:p>
    <w:p>
      <w:pPr>
        <w:pStyle w:val="BookText"/>
        <w:rPr/>
      </w:pPr>
      <w:r>
        <w:rPr>
          <w:rFonts w:ascii="IRNazanin" w:hAnsi="IRNazanin" w:eastAsia="IRNazanin"/>
          <w:color w:val="111111"/>
          <w:sz w:val="28"/>
          <w:sz w:val="28"/>
          <w:szCs w:val="28"/>
          <w:rtl w:val="true"/>
          <w:lang w:bidi="fa-IR"/>
        </w:rPr>
        <w:t>فی الیمین</w:t>
      </w:r>
    </w:p>
    <w:p>
      <w:pPr>
        <w:pStyle w:val="BookText"/>
        <w:rPr/>
      </w:pPr>
      <w:r>
        <w:rPr>
          <w:rFonts w:ascii="IRNazanin" w:hAnsi="IRNazanin" w:eastAsia="IRNazanin"/>
          <w:color w:val="111111"/>
          <w:sz w:val="28"/>
          <w:sz w:val="28"/>
          <w:szCs w:val="28"/>
          <w:rtl w:val="true"/>
          <w:lang w:bidi="fa-IR"/>
        </w:rPr>
        <w:t>و فیه مطلبان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 مجلس الحکم، إلاّ مع العذر، کالمریض و غیر البرزة، فیأذن الحاکم فی إحلافه حیث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دعوی صحیحة، و مطابقة الدعوی و الإنکار،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أن یأتی المنکر بالأعمّ، و إن أجاب بالأخصّ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وقوعها بعد التماس الخصم</w:t>
      </w:r>
    </w:p>
    <w:p>
      <w:pPr>
        <w:pStyle w:val="BookText"/>
        <w:rPr/>
      </w:pPr>
      <w:r>
        <w:rPr>
          <w:rFonts w:ascii="IRNazanin" w:hAnsi="IRNazanin" w:eastAsia="IRNazanin"/>
          <w:color w:val="111111"/>
          <w:sz w:val="28"/>
          <w:sz w:val="28"/>
          <w:szCs w:val="28"/>
          <w:rtl w:val="true"/>
          <w:lang w:bidi="fa-IR"/>
        </w:rPr>
        <w:t>و عرض القاضی و تولّیه</w:t>
      </w:r>
      <w:r>
        <w:rPr>
          <w:rStyle w:val="FootnoteAnchor"/>
          <w:rtl w:val="true"/>
        </w:rPr>
        <w:footnoteReference w:id="476"/>
      </w:r>
      <w:r>
        <w:rPr>
          <w:rFonts w:ascii="IRNazanin" w:hAnsi="IRNazanin" w:eastAsia="IRNazanin"/>
          <w:color w:val="111111"/>
          <w:sz w:val="28"/>
          <w:sz w:val="28"/>
          <w:szCs w:val="28"/>
          <w:rtl w:val="true"/>
          <w:lang w:bidi="fa-IR"/>
        </w:rPr>
        <w:t>الإحلاف إلاّ مع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الحالف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فلو ادّعی الصبیّ الاحتلام، صدّق من غیر یمین، و إلاّ دار، إلاّ أن یکتفی بإمکان البلوغ 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ادّعی الأسیر الإنبات بعلاج،</w:t>
      </w:r>
    </w:p>
    <w:p>
      <w:pPr>
        <w:pStyle w:val="BookText"/>
        <w:rPr/>
      </w:pPr>
      <w:r>
        <w:rPr>
          <w:rFonts w:ascii="IRNazanin" w:hAnsi="IRNazanin" w:eastAsia="IRNazanin"/>
          <w:color w:val="111111"/>
          <w:sz w:val="28"/>
          <w:sz w:val="28"/>
          <w:szCs w:val="28"/>
          <w:rtl w:val="true"/>
          <w:lang w:bidi="fa-IR"/>
        </w:rPr>
        <w:t>فلا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أوقع منبت عقداً فادّعی الاستنبات لیفسده،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السماع إلاّ ببیّنة ؛ لمخالفة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الشبهة هناک لمکان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و الاختیار و القصد، و أن لا تکون الدعوی بما یوجب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طلب القاذف یمین المقذوف علی عدم الزنا، أُجیب، فیثبت الحدّ إن حلف و إلاّ فلا</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 لتعلّقه بحقّ الآدمیّ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نفی الیمین فی الحدّ إذا لم یتعلّق به حقّ آدمیّ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منکر السرقة یحلف ؛ لمکان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تتوجّه الیمین فی إنکار النسب و النکاح و العتق و الرجعة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فی الحالف العدالة، بل و لا الإسلام، و لا الذکورة، و إنّما یحلف مَن </w:t>
      </w:r>
    </w:p>
    <w:p>
      <w:pPr>
        <w:pStyle w:val="BookText"/>
        <w:rPr/>
      </w:pPr>
      <w:r>
        <w:rPr>
          <w:rFonts w:ascii="IRNazanin" w:hAnsi="IRNazanin" w:eastAsia="IRNazanin"/>
          <w:color w:val="111111"/>
          <w:sz w:val="28"/>
          <w:sz w:val="28"/>
          <w:szCs w:val="28"/>
          <w:rtl w:val="true"/>
          <w:lang w:bidi="fa-IR"/>
        </w:rPr>
        <w:t>لو أقرّ بالحقّ أُلزم، فلو ادّعی علی الموصی دین أو علی الموکّل، و التمس حلف الوصیّ أو الوکیل، لم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أنکر الغریم وکالة مدّعیها و کان الحقّ عیناً، لم یحلف، و لو کان دیناً فوجهان، أقربهما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الحلف ؛ لأ نّه لا یؤمر بتسلیم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ادّعی علیه</w:t>
      </w:r>
    </w:p>
    <w:p>
      <w:pPr>
        <w:pStyle w:val="BookText"/>
        <w:rPr/>
      </w:pPr>
      <w:r>
        <w:rPr>
          <w:rFonts w:ascii="IRNazanin" w:hAnsi="IRNazanin" w:eastAsia="IRNazanin"/>
          <w:color w:val="111111"/>
          <w:sz w:val="28"/>
          <w:sz w:val="28"/>
          <w:szCs w:val="28"/>
          <w:rtl w:val="true"/>
          <w:lang w:bidi="fa-IR"/>
        </w:rPr>
        <w:t>إحالة غریمه فأنکر، و تحتمل هنا الیمین ؛ لوجوب التسلیم لو أقرّ ؛ لتعلّقه بحقّ المدّعی، فلا یترک لتجویز</w:t>
      </w:r>
      <w:r>
        <w:rPr>
          <w:rStyle w:val="FootnoteAnchor"/>
          <w:rtl w:val="true"/>
        </w:rPr>
        <w:footnoteReference w:id="478"/>
      </w:r>
      <w:r>
        <w:rPr>
          <w:rFonts w:ascii="IRNazanin" w:hAnsi="IRNazanin" w:eastAsia="IRNazanin"/>
          <w:color w:val="111111"/>
          <w:sz w:val="28"/>
          <w:sz w:val="28"/>
          <w:szCs w:val="28"/>
          <w:rtl w:val="true"/>
          <w:lang w:bidi="fa-IR"/>
        </w:rPr>
        <w:t>ظلم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أبداً علی القطع، ففی فعل نفسه نفیاً و إثباتاً، و فعل غیره إثباتاً لا یکفی نفی العلم، و کذا جنایة ماشیته التی فرّط فی حفظها علی قول</w:t>
      </w:r>
      <w:r>
        <w:rPr>
          <w:rStyle w:val="FootnoteAnchor"/>
          <w:rtl w:val="true"/>
        </w:rPr>
        <w:footnoteReference w:id="479"/>
      </w:r>
      <w:r>
        <w:rPr>
          <w:rFonts w:ascii="IRNazanin" w:hAnsi="IRNazanin" w:eastAsia="IRNazanin"/>
          <w:color w:val="111111"/>
          <w:sz w:val="28"/>
          <w:sz w:val="28"/>
          <w:szCs w:val="28"/>
          <w:rtl w:val="true"/>
          <w:lang w:bidi="fa-IR"/>
        </w:rPr>
        <w:t>، و فی نفی فعل</w:t>
      </w:r>
    </w:p>
    <w:p>
      <w:pPr>
        <w:pStyle w:val="BookText"/>
        <w:rPr/>
      </w:pPr>
      <w:r>
        <w:rPr>
          <w:rFonts w:ascii="IRNazanin" w:hAnsi="IRNazanin" w:eastAsia="IRNazanin"/>
          <w:color w:val="111111"/>
          <w:sz w:val="28"/>
          <w:sz w:val="28"/>
          <w:szCs w:val="28"/>
          <w:rtl w:val="true"/>
          <w:lang w:bidi="fa-IR"/>
        </w:rPr>
        <w:t>غیره و نفی جنایة عبده، یحلف علی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العلم ما لا ریب فیه، فلا یکفی وجود خطّه و لا خطّ مورّثه و إن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النیّة للمحقّ منهما، فیورّی مَن ألزمه المبطل بالیمین، و تبطل لو استثنی فیها، و لو اختلف رأی الحاکم و الحالف، فالمعتبر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ظاهراً و باطناً و إن کان المحکوم علیه مجتهداً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الحالف إمّا منکر، أو مدّعٍ مع الردّ، أو النکول، أو اللوث فی الدم، أو مع الشاهد الواحد، أو مع الشاهدین فی المیّت و شبهه، و لو أعرض المدّعی عن بیّنته أو عن شاهده و طلب إحلاف المنکر، صحّ، سواء کان قد سمعها الحاکم أو لا، فلو رجع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ما لم یحلف المنکر، و منعه الشیخ</w:t>
      </w:r>
      <w:r>
        <w:rPr>
          <w:rStyle w:val="FootnoteAnchor"/>
          <w:rtl w:val="true"/>
        </w:rPr>
        <w:footnoteReference w:id="480"/>
      </w:r>
      <w:r>
        <w:rPr>
          <w:rFonts w:ascii="IRNazanin" w:hAnsi="IRNazanin" w:eastAsia="IRNazanin"/>
          <w:color w:val="111111"/>
          <w:sz w:val="28"/>
          <w:sz w:val="28"/>
          <w:szCs w:val="28"/>
          <w:rtl w:val="true"/>
          <w:lang w:bidi="fa-IR"/>
        </w:rPr>
        <w:t>، کیمین الردّ لو بذلها، ثمّ استردّها، و فی الأصل منع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نکل المنکر و الحالة هذه، ردّت الیمین علی المدّعی قطعاً ؛ إذ لیست ما </w:t>
      </w:r>
    </w:p>
    <w:p>
      <w:pPr>
        <w:pStyle w:val="BookText"/>
        <w:rPr/>
      </w:pPr>
      <w:r>
        <w:rPr>
          <w:rFonts w:ascii="IRNazanin" w:hAnsi="IRNazanin" w:eastAsia="IRNazanin"/>
          <w:color w:val="111111"/>
          <w:sz w:val="28"/>
          <w:sz w:val="28"/>
          <w:szCs w:val="28"/>
          <w:rtl w:val="true"/>
          <w:lang w:bidi="fa-IR"/>
        </w:rPr>
        <w:t>بذله</w:t>
      </w:r>
      <w:r>
        <w:rPr>
          <w:rStyle w:val="FootnoteAnchor"/>
          <w:rtl w:val="true"/>
        </w:rPr>
        <w:footnoteReference w:id="481"/>
      </w:r>
      <w:r>
        <w:rPr>
          <w:rFonts w:ascii="IRNazanin" w:hAnsi="IRNazanin" w:eastAsia="IRNazanin"/>
          <w:color w:val="111111"/>
          <w:sz w:val="28"/>
          <w:sz w:val="28"/>
          <w:szCs w:val="28"/>
          <w:rtl w:val="true"/>
          <w:lang w:bidi="fa-IR"/>
        </w:rPr>
        <w:t>، بل هی یمین الردّ، فلا یلزم من سقوط تلک علی قول الشیخ</w:t>
      </w:r>
      <w:r>
        <w:rPr>
          <w:rStyle w:val="FootnoteAnchor"/>
          <w:rtl w:val="true"/>
        </w:rPr>
        <w:footnoteReference w:id="482"/>
      </w:r>
      <w:r>
        <w:rPr>
          <w:rFonts w:ascii="IRNazanin" w:hAnsi="IRNazanin" w:eastAsia="IRNazanin"/>
          <w:color w:val="111111"/>
          <w:sz w:val="28"/>
          <w:sz w:val="28"/>
          <w:szCs w:val="28"/>
          <w:rtl w:val="true"/>
          <w:lang w:bidi="fa-IR"/>
        </w:rPr>
        <w:t>سقوط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الإعراض طعناً فی الشهود، و لو صرّح بکذبهم، فطعن،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فی إقامة المنکر شاهداً علی الطعن فأنکر، فعلی البطلان یحلف معه لا علی الصحّة ؛ لأنّ الطعن لا یثبت بالشاهد و الیمین، و إسقاط الدعوی یثبت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یمین علی الوارث، إلاّ أن یدّعی علیه العلم بالحقّ، و بموت المورّث، و أنّ فی یده مالاً له، و فی الأوّلین یحلف علی نفی العلم، و فی الأخیر علی البتّ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یمین لإثبات مال الغیر، و فی ما لَه به تعلّق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کغریم المیّت إذا قام له</w:t>
      </w:r>
    </w:p>
    <w:p>
      <w:pPr>
        <w:pStyle w:val="BookText"/>
        <w:rPr/>
      </w:pPr>
      <w:r>
        <w:rPr>
          <w:rFonts w:ascii="IRNazanin" w:hAnsi="IRNazanin" w:eastAsia="IRNazanin"/>
          <w:color w:val="111111"/>
          <w:sz w:val="28"/>
          <w:sz w:val="28"/>
          <w:szCs w:val="28"/>
          <w:rtl w:val="true"/>
          <w:lang w:bidi="fa-IR"/>
        </w:rPr>
        <w:t>شاهد</w:t>
      </w:r>
      <w:r>
        <w:rPr>
          <w:rStyle w:val="FootnoteAnchor"/>
          <w:rtl w:val="true"/>
        </w:rPr>
        <w:footnoteReference w:id="483"/>
      </w:r>
      <w:r>
        <w:rPr>
          <w:rFonts w:ascii="IRNazanin" w:hAnsi="IRNazanin" w:eastAsia="IRNazanin"/>
          <w:color w:val="111111"/>
          <w:sz w:val="28"/>
          <w:sz w:val="28"/>
          <w:szCs w:val="28"/>
          <w:rtl w:val="true"/>
          <w:lang w:bidi="fa-IR"/>
        </w:rPr>
        <w:t>بدین، و المرتهن إذا قام شاهد</w:t>
      </w:r>
      <w:r>
        <w:rPr>
          <w:rStyle w:val="FootnoteAnchor"/>
          <w:rtl w:val="true"/>
        </w:rPr>
        <w:footnoteReference w:id="484"/>
      </w:r>
      <w:r>
        <w:rPr>
          <w:rFonts w:ascii="IRNazanin" w:hAnsi="IRNazanin" w:eastAsia="IRNazanin"/>
          <w:color w:val="111111"/>
          <w:sz w:val="28"/>
          <w:sz w:val="28"/>
          <w:szCs w:val="28"/>
          <w:rtl w:val="true"/>
          <w:lang w:bidi="fa-IR"/>
        </w:rPr>
        <w:t xml:space="preserve">بملک الراهن، و امتنع من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النفع و من ثبوت الملک أوّلاً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حلف الورثة أو الموصی لهم، قسّم بینهم علی الاستحقاق لا علی الأیمان، و لو نکل بعضهم، فلا نصیب له، و یؤخّر نصیب غیر الکامل حتّی یکمل، فإن مات، فلوارثه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الاقتصار علی یمین واحدة من المنکر مع تعدّد المدّعی، فإن رضوا بالواحدة ففی جوازه نظر، من حیث إنّه لا یزید عن إسقاط الحقّ، و من اقتضاء الدعوی الیمین، و الأصل عدم التداخل، و القولان نقلهما ابن إدریس</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یمین علی منکر حولان الحول، أو بقاء النصاب، أو مدّعی إخراج الزکاة، أو نقص الخرص المعتاد، أو ادّعی الإسلام قبل الحول لیسلم من الجزیة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الترکة بحکم مال المیّت المدیون عند الشیخ فی المبسوط</w:t>
      </w:r>
      <w:r>
        <w:rPr>
          <w:rStyle w:val="FootnoteAnchor"/>
          <w:rtl w:val="true"/>
        </w:rPr>
        <w:footnoteReference w:id="486"/>
      </w:r>
      <w:r>
        <w:rPr>
          <w:rFonts w:ascii="IRNazanin" w:hAnsi="IRNazanin" w:eastAsia="IRNazanin"/>
          <w:color w:val="111111"/>
          <w:sz w:val="28"/>
          <w:sz w:val="28"/>
          <w:szCs w:val="28"/>
          <w:rtl w:val="true"/>
          <w:lang w:bidi="fa-IR"/>
        </w:rPr>
        <w:t>و الخلاف</w:t>
      </w:r>
      <w:r>
        <w:rPr>
          <w:rStyle w:val="FootnoteAnchor"/>
          <w:rtl w:val="true"/>
        </w:rPr>
        <w:footnoteReference w:id="487"/>
      </w: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یملکها الوارث</w:t>
      </w:r>
      <w:r>
        <w:rPr>
          <w:rStyle w:val="FootnoteAnchor"/>
          <w:rtl w:val="true"/>
        </w:rPr>
        <w:footnoteReference w:id="489"/>
      </w:r>
      <w:r>
        <w:rPr>
          <w:rFonts w:ascii="IRNazanin" w:hAnsi="IRNazanin" w:eastAsia="IRNazanin"/>
          <w:color w:val="111111"/>
          <w:sz w:val="28"/>
          <w:sz w:val="28"/>
          <w:szCs w:val="28"/>
          <w:rtl w:val="true"/>
          <w:lang w:bidi="fa-IR"/>
        </w:rPr>
        <w:t>، و إلاّ لبقیت بغیر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یشارک ابن الابن عمّه لو مات أبوه بعد جدّه قبل إیفاء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الفائدة فی بیعها قبل الإیفاء، و فی التعلّق بالنماء بعد الموت، و الزکاة، لا فی المحاکمة و التخییر فی جهة القضاء، فإنّهما ثابتان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یستوعبها الدین، انتقل الفاضل عن الدین إلیهم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یمین إلاّ باللّه، و هو کافٍ إلاّ فی المجوسیّ، فیضیف إلیه مثل خالق النور</w:t>
      </w:r>
    </w:p>
    <w:p>
      <w:pPr>
        <w:pStyle w:val="BookText"/>
        <w:rPr/>
      </w:pPr>
      <w:r>
        <w:rPr>
          <w:rFonts w:ascii="IRNazanin" w:hAnsi="IRNazanin" w:eastAsia="IRNazanin"/>
          <w:color w:val="111111"/>
          <w:sz w:val="28"/>
          <w:sz w:val="28"/>
          <w:szCs w:val="28"/>
          <w:rtl w:val="true"/>
          <w:lang w:bidi="fa-IR"/>
        </w:rPr>
        <w:t>و الظلمة ؛ إماطة لتأویله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الحلف بالأسماء الخاصّة، کالرحمن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الحلف بغیر اللّه و أسمائه، کالکتب المنزلة، و الأنبیاء، و الأئمّة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تحریمه فی غیر الدعوی نظر، من الخبر</w:t>
      </w:r>
      <w:r>
        <w:rPr>
          <w:rStyle w:val="FootnoteAnchor"/>
          <w:rtl w:val="true"/>
        </w:rPr>
        <w:footnoteReference w:id="490"/>
      </w:r>
      <w:r>
        <w:rPr>
          <w:rFonts w:ascii="IRNazanin" w:hAnsi="IRNazanin" w:eastAsia="IRNazanin"/>
          <w:color w:val="111111"/>
          <w:sz w:val="28"/>
          <w:sz w:val="28"/>
          <w:szCs w:val="28"/>
          <w:rtl w:val="true"/>
          <w:lang w:bidi="fa-IR"/>
        </w:rPr>
        <w:t>و الحمل علی الکراهیة</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الحلف بالطلاق و العتق</w:t>
      </w:r>
      <w:r>
        <w:rPr>
          <w:rStyle w:val="FootnoteAnchor"/>
          <w:rtl w:val="true"/>
        </w:rPr>
        <w:footnoteReference w:id="492"/>
      </w:r>
      <w:r>
        <w:rPr>
          <w:rFonts w:ascii="IRNazanin" w:hAnsi="IRNazanin" w:eastAsia="IRNazanin"/>
          <w:color w:val="111111"/>
          <w:sz w:val="28"/>
          <w:sz w:val="28"/>
          <w:szCs w:val="28"/>
          <w:rtl w:val="true"/>
          <w:lang w:bidi="fa-IR"/>
        </w:rPr>
        <w:t>و الکفر و البراءة فحرام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التغلیظ فی الحقوق مطلقاً إلاّ المال، فیشترط بلوغه نصاب القطع، فبالقول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الرحمن الرحیم الطالب الغالب الضارّ النافع المدرک</w:t>
      </w:r>
    </w:p>
    <w:p>
      <w:pPr>
        <w:pStyle w:val="BookText"/>
        <w:rPr/>
      </w:pPr>
      <w:r>
        <w:rPr>
          <w:rFonts w:ascii="IRNazanin" w:hAnsi="IRNazanin" w:eastAsia="IRNazanin"/>
          <w:color w:val="111111"/>
          <w:sz w:val="28"/>
          <w:sz w:val="28"/>
          <w:szCs w:val="28"/>
          <w:rtl w:val="true"/>
          <w:lang w:bidi="fa-IR"/>
        </w:rPr>
        <w:t>المهلک الذی یعلم من السرّ ما یعلمه من العلانیة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کالکعبة و المقام، و الأقصی تحت الصخرة، و المساجد فی </w:t>
      </w:r>
      <w:bookmarkStart w:id="84" w:name="pg13665_219028"/>
    </w:p>
    <w:p>
      <w:pPr>
        <w:pStyle w:val="BookText"/>
        <w:rPr/>
      </w:pPr>
      <w:bookmarkEnd w:id="84"/>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کالجمعة و العید و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 یغلظ علیه بمعتقده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الحالف من التغلیظ، لم یجبر، و لو حلف علی عدمه ففی انعقاد یمینه نظر، من اشتمالها علی ترک المستحبّ، و من توهّم اختصاص الاستحباب بالحاکم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الأخرس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محمّد بن مسلم،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کتب صورة الیمین علی نحو ما سلف من التغلیظ فی صحیفة، ثمّ غسله و أمره بشربه فامتنع فألزمه الدین</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علی القضاء بالنکول</w:t>
      </w:r>
      <w:r>
        <w:rPr>
          <w:rFonts w:eastAsia="IRNazanin" w:cs="IRNazanin"/>
          <w:color w:val="111111"/>
          <w:sz w:val="28"/>
          <w:szCs w:val="28"/>
          <w:rtl w:val="true"/>
          <w:lang w:bidi="fa-IR"/>
        </w:rPr>
        <w:t>.</w:t>
      </w:r>
    </w:p>
    <w:p>
      <w:pPr>
        <w:pStyle w:val="Heading3"/>
        <w:numPr>
          <w:ilvl w:val="2"/>
          <w:numId w:val="1"/>
        </w:numPr>
        <w:rPr/>
      </w:pPr>
      <w:bookmarkStart w:id="85" w:name="__RefHeading___Toc2071267_3830689328"/>
      <w:bookmarkStart w:id="86" w:name="_Toc28"/>
      <w:bookmarkEnd w:id="85"/>
      <w:r>
        <w:rPr>
          <w:rtl w:val="true"/>
        </w:rPr>
        <w:t xml:space="preserve">درس </w:t>
      </w:r>
      <w:r>
        <w:rPr>
          <w:rtl w:val="true"/>
        </w:rPr>
        <w:t>(</w:t>
      </w:r>
      <w:r>
        <w:rPr/>
        <w:t>141</w:t>
      </w:r>
      <w:r>
        <w:rPr>
          <w:rtl w:val="true"/>
        </w:rPr>
        <w:t>)</w:t>
      </w:r>
      <w:bookmarkEnd w:id="86"/>
    </w:p>
    <w:p>
      <w:pPr>
        <w:pStyle w:val="BookText"/>
        <w:rPr/>
      </w:pPr>
      <w:r>
        <w:rPr>
          <w:rFonts w:ascii="IRNazanin" w:hAnsi="IRNazanin" w:eastAsia="IRNazanin"/>
          <w:color w:val="111111"/>
          <w:sz w:val="28"/>
          <w:sz w:val="28"/>
          <w:szCs w:val="28"/>
          <w:rtl w:val="true"/>
          <w:lang w:bidi="fa-IR"/>
        </w:rPr>
        <w:t>فی الشاهد و الیمین</w:t>
      </w:r>
    </w:p>
    <w:p>
      <w:pPr>
        <w:pStyle w:val="BookText"/>
        <w:rPr/>
      </w:pPr>
      <w:r>
        <w:rPr>
          <w:rFonts w:ascii="IRNazanin" w:hAnsi="IRNazanin" w:eastAsia="IRNazanin"/>
          <w:color w:val="111111"/>
          <w:sz w:val="28"/>
          <w:sz w:val="28"/>
          <w:szCs w:val="28"/>
          <w:rtl w:val="true"/>
          <w:lang w:bidi="fa-IR"/>
        </w:rPr>
        <w:t xml:space="preserve">و فیه بحثان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القضاء بالشاهد و الیمین، عن النبیّ صلّی‌اللّه علیه و آله، و علیّ علیه‌السّلام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محلّه المال أو ما غایته المال، کالدین، و عقد المعاوضة، و جنایة الخطأ، و شبیه</w:t>
      </w:r>
      <w:r>
        <w:rPr>
          <w:rStyle w:val="FootnoteAnchor"/>
          <w:rtl w:val="true"/>
        </w:rPr>
        <w:footnoteReference w:id="495"/>
      </w:r>
      <w:r>
        <w:rPr>
          <w:rFonts w:ascii="IRNazanin" w:hAnsi="IRNazanin" w:eastAsia="IRNazanin"/>
          <w:color w:val="111111"/>
          <w:sz w:val="28"/>
          <w:sz w:val="28"/>
          <w:szCs w:val="28"/>
          <w:rtl w:val="true"/>
          <w:lang w:bidi="fa-IR"/>
        </w:rPr>
        <w:t>العمد، و قتل الحرّ العبد، و المسلم الکافر، و الأب ابنه، و المنقّلة و المأمومة و الجائفة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النکاح أوجه،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بهما إن کان المدّعی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فی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إذا کان علی معیّن ؛ لانتقاله إلیه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العتق قولان، و یبنی</w:t>
      </w:r>
      <w:r>
        <w:rPr>
          <w:rStyle w:val="FootnoteAnchor"/>
          <w:rtl w:val="true"/>
        </w:rPr>
        <w:footnoteReference w:id="496"/>
      </w:r>
      <w:r>
        <w:rPr>
          <w:rFonts w:ascii="IRNazanin" w:hAnsi="IRNazanin" w:eastAsia="IRNazanin"/>
          <w:color w:val="111111"/>
          <w:sz w:val="28"/>
          <w:sz w:val="28"/>
          <w:szCs w:val="28"/>
          <w:rtl w:val="true"/>
          <w:lang w:bidi="fa-IR"/>
        </w:rPr>
        <w:t>علیه التدبیر و الکتابة و 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یقبل فی الطلاق، و الخلع، و الرجعة، و القذف، و القصاص، و الولاء، و الولادة، و عیوب الرجل و المرأة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اشتمل الحقّ علی الأمرین، ثبت المال، کالسرقة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أ نّه رمی زیداً عمداً فقتله و نفذ السهم إلی عمرو، ثبت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الهاشمة التابعة للموضحة نظر، من الشکّ فی مغایرة</w:t>
      </w:r>
      <w:r>
        <w:rPr>
          <w:rStyle w:val="FootnoteAnchor"/>
          <w:rtl w:val="true"/>
        </w:rPr>
        <w:footnoteReference w:id="498"/>
      </w:r>
      <w:r>
        <w:rPr>
          <w:rFonts w:ascii="IRNazanin" w:hAnsi="IRNazanin" w:eastAsia="IRNazanin"/>
          <w:color w:val="111111"/>
          <w:sz w:val="28"/>
          <w:sz w:val="28"/>
          <w:szCs w:val="28"/>
          <w:rtl w:val="true"/>
          <w:lang w:bidi="fa-IR"/>
        </w:rPr>
        <w:t>الفعلین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العبد کان ملکی فحرّرته، فشهد له عدل، ففی حلفه قولان</w:t>
      </w:r>
      <w:r>
        <w:rPr>
          <w:rStyle w:val="FootnoteAnchor"/>
          <w:rtl w:val="true"/>
        </w:rPr>
        <w:footnoteReference w:id="499"/>
      </w:r>
      <w:r>
        <w:rPr>
          <w:rFonts w:ascii="IRNazanin" w:hAnsi="IRNazanin" w:eastAsia="IRNazanin"/>
          <w:color w:val="111111"/>
          <w:sz w:val="28"/>
          <w:sz w:val="28"/>
          <w:szCs w:val="28"/>
          <w:rtl w:val="true"/>
          <w:lang w:bidi="fa-IR"/>
        </w:rPr>
        <w:t>یلتفتان</w:t>
      </w:r>
      <w:r>
        <w:rPr>
          <w:rStyle w:val="FootnoteAnchor"/>
          <w:rtl w:val="true"/>
        </w:rPr>
        <w:footnoteReference w:id="500"/>
      </w:r>
      <w:r>
        <w:rPr>
          <w:rFonts w:ascii="IRNazanin" w:hAnsi="IRNazanin" w:eastAsia="IRNazanin"/>
          <w:color w:val="111111"/>
          <w:sz w:val="28"/>
          <w:sz w:val="28"/>
          <w:szCs w:val="28"/>
          <w:rtl w:val="true"/>
          <w:lang w:bidi="fa-IR"/>
        </w:rPr>
        <w:t>إلی ثبوت العتق بذلک، أو أنّ المدّعی به فی الحال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استیلاد أمة</w:t>
      </w:r>
      <w:r>
        <w:rPr>
          <w:rStyle w:val="FootnoteAnchor"/>
          <w:rtl w:val="true"/>
        </w:rPr>
        <w:footnoteReference w:id="501"/>
      </w:r>
      <w:r>
        <w:rPr>
          <w:rFonts w:ascii="IRNazanin" w:hAnsi="IRNazanin" w:eastAsia="IRNazanin"/>
          <w:color w:val="111111"/>
          <w:sz w:val="28"/>
          <w:sz w:val="28"/>
          <w:szCs w:val="28"/>
          <w:rtl w:val="true"/>
          <w:lang w:bidi="fa-IR"/>
        </w:rPr>
        <w:t>فی ید الغیر، و أقام عدلاً، حلف و ملکها و ثبت لها الاستیلاد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نسب الولد، فإن ملکه یوماً و مات، عتقت من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شاهداً علی خلعها، حلف ؛ لأنّ غایته المال، بخلاف ما لو أقامت علیه شاهداً بالخلع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عیناً فادُّعیت، فصدّق المتبایعان مدّعیها و أقاما شاهداً ببیعها من البائع، حلف البائع، فإن امتنع، حلف المشتری</w:t>
      </w:r>
      <w:r>
        <w:rPr>
          <w:rStyle w:val="FootnoteAnchor"/>
          <w:rtl w:val="true"/>
        </w:rPr>
        <w:footnoteReference w:id="50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یشترط تقدّم الشهادة و التعدیل علی الیمین، و القضاء بهما علی الأقوی، فیغرم الشاهد النصف لو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اکتفاء ولد الناکل من الورثة بالشهادة السابقة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اکتفاء الغائب بها، و کذا الصبیّ و المجنون، و فی عدم اکتفاء الغائب من الموصی لهم بها لانفصال ملکهما، بخلاف الورثة ؛ فإنّ الملک یثبت أوّلاً للمورّث و هو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أحضر الوارث شاهداً آخر، قطع الفاضل بوجوب إعادة الشهادة</w:t>
      </w:r>
      <w:r>
        <w:rPr>
          <w:rStyle w:val="FootnoteAnchor"/>
          <w:rtl w:val="true"/>
        </w:rPr>
        <w:footnoteReference w:id="503"/>
      </w:r>
      <w:r>
        <w:rPr>
          <w:rFonts w:ascii="IRNazanin" w:hAnsi="IRNazanin" w:eastAsia="IRNazanin"/>
          <w:color w:val="111111"/>
          <w:sz w:val="28"/>
          <w:sz w:val="28"/>
          <w:szCs w:val="28"/>
          <w:rtl w:val="true"/>
          <w:lang w:bidi="fa-IR"/>
        </w:rPr>
        <w:t>؛ لأ نّها دعوی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بعدم اشتراط اجتماع الشهود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الحاضر من الورثة، أقرّ نصیب الغائب فی ید المنکر فی وجه، و انتزعه الحاکم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الغائب إذا حلف، شارک الأوّل فی العین دون الدین، و یشکل بالفتوی</w:t>
      </w:r>
      <w:r>
        <w:rPr>
          <w:rStyle w:val="FootnoteAnchor"/>
          <w:rtl w:val="true"/>
        </w:rPr>
        <w:footnoteReference w:id="504"/>
      </w:r>
      <w:r>
        <w:rPr>
          <w:rFonts w:ascii="IRNazanin" w:hAnsi="IRNazanin" w:eastAsia="IRNazanin"/>
          <w:color w:val="111111"/>
          <w:sz w:val="28"/>
          <w:sz w:val="28"/>
          <w:szCs w:val="28"/>
          <w:rtl w:val="true"/>
          <w:lang w:bidi="fa-IR"/>
        </w:rPr>
        <w:t>أنّ الشریک فی الدین یأخذ نصیبه من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أقام الحاضر أو الکامل شاهدین، أخذ نصیبه، و نصیب الباقی یأخذه الحاکم، عیناً کان أو دیناً ؛ لثبوت الحقّ و کونه ولیّاً للغائب و غیر الکامل، و ربّما توجّه فی الدین إبقاؤه فی ذمّة المدّعی علیه،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أقام بعض الورثة شاهداً بالوقف علیهم و علی نسلهم، حلفوا، فإن امتنعوا، </w:t>
      </w:r>
    </w:p>
    <w:p>
      <w:pPr>
        <w:pStyle w:val="BookText"/>
        <w:rPr/>
      </w:pPr>
      <w:r>
        <w:rPr>
          <w:rFonts w:ascii="IRNazanin" w:hAnsi="IRNazanin" w:eastAsia="IRNazanin"/>
          <w:color w:val="111111"/>
          <w:sz w:val="28"/>
          <w:sz w:val="28"/>
          <w:szCs w:val="28"/>
          <w:rtl w:val="true"/>
          <w:lang w:bidi="fa-IR"/>
        </w:rPr>
        <w:t>حکم بنصیبهم وقفاً بإقرارهم، إلاّ مع مصادمة</w:t>
      </w:r>
      <w:r>
        <w:rPr>
          <w:rStyle w:val="FootnoteAnchor"/>
          <w:rtl w:val="true"/>
        </w:rPr>
        <w:footnoteReference w:id="505"/>
      </w:r>
      <w:r>
        <w:rPr>
          <w:rFonts w:ascii="IRNazanin" w:hAnsi="IRNazanin" w:eastAsia="IRNazanin"/>
          <w:color w:val="111111"/>
          <w:sz w:val="28"/>
          <w:sz w:val="28"/>
          <w:szCs w:val="28"/>
          <w:rtl w:val="true"/>
          <w:lang w:bidi="fa-IR"/>
        </w:rPr>
        <w:t>الدین المستوعب، إلاّ أن یقضوه، و کذا</w:t>
      </w:r>
      <w:r>
        <w:rPr>
          <w:rStyle w:val="FootnoteAnchor"/>
          <w:rtl w:val="true"/>
        </w:rPr>
        <w:footnoteReference w:id="506"/>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بنصیب الآخرین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بعض، ثبت نصیب الحالف وقفاً، و الباقی طلق</w:t>
      </w:r>
      <w:r>
        <w:rPr>
          <w:rStyle w:val="FootnoteAnchor"/>
          <w:rtl w:val="true"/>
        </w:rPr>
        <w:footnoteReference w:id="507"/>
      </w:r>
      <w:r>
        <w:rPr>
          <w:rFonts w:ascii="IRNazanin" w:hAnsi="IRNazanin" w:eastAsia="IRNazanin"/>
          <w:color w:val="111111"/>
          <w:sz w:val="28"/>
          <w:sz w:val="28"/>
          <w:szCs w:val="28"/>
          <w:rtl w:val="true"/>
          <w:lang w:bidi="fa-IR"/>
        </w:rPr>
        <w:t>بالنسبة إلی الدین 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البطن الثانی لا یمین علیهم إن کان مرتّباً، و إن کان تشریکاً، حلفوا إن حصل لهم علم بالتسامع الذی لا یبلغ الحاکم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المرتّب کذلک ؛ لأنّ الأخذ</w:t>
      </w:r>
    </w:p>
    <w:p>
      <w:pPr>
        <w:pStyle w:val="BookText"/>
        <w:rPr/>
      </w:pPr>
      <w:r>
        <w:rPr>
          <w:rFonts w:ascii="IRNazanin" w:hAnsi="IRNazanin" w:eastAsia="IRNazanin"/>
          <w:color w:val="111111"/>
          <w:sz w:val="28"/>
          <w:sz w:val="28"/>
          <w:szCs w:val="28"/>
          <w:rtl w:val="true"/>
          <w:lang w:bidi="fa-IR"/>
        </w:rPr>
        <w:t>من الواقف</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نکل البطن الأوّل، حلف الثانی فی الموضعین، و ربّما قیل ببطلان حقّهم فی وقف الترتیب ؛ بناءاً علی أ نّهم یأخذون من البطن الأوّل، و قد بطل حقّهم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أثبت إخوة ثلاثة وقف تشریک، فوجد لأحدهم ولد، فله الربع إن کمل و حلف، و إن نکل، عاد إلی الإخوة عند الشیخ</w:t>
      </w:r>
      <w:r>
        <w:rPr>
          <w:rStyle w:val="FootnoteAnchor"/>
          <w:rtl w:val="true"/>
        </w:rPr>
        <w:footnoteReference w:id="509"/>
      </w:r>
      <w:r>
        <w:rPr>
          <w:rFonts w:ascii="IRNazanin" w:hAnsi="IRNazanin" w:eastAsia="IRNazanin"/>
          <w:color w:val="111111"/>
          <w:sz w:val="28"/>
          <w:sz w:val="28"/>
          <w:szCs w:val="28"/>
          <w:rtl w:val="true"/>
          <w:lang w:bidi="fa-IR"/>
        </w:rPr>
        <w:t>؛ لأ نّه بامتناعه کالمعدوم، و ردّ</w:t>
      </w:r>
    </w:p>
    <w:p>
      <w:pPr>
        <w:pStyle w:val="BookText"/>
        <w:rPr/>
      </w:pPr>
      <w:r>
        <w:rPr>
          <w:rFonts w:ascii="IRNazanin" w:hAnsi="IRNazanin" w:eastAsia="IRNazanin"/>
          <w:color w:val="111111"/>
          <w:sz w:val="28"/>
          <w:sz w:val="28"/>
          <w:szCs w:val="28"/>
          <w:rtl w:val="true"/>
          <w:lang w:bidi="fa-IR"/>
        </w:rPr>
        <w:t>باعتراف الإخوة بأ نّهم لا یستحقّونه، فیحتمل صرفه إلی الناکل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بعضهم من ردّه إلی المدّعی علیه</w:t>
      </w:r>
      <w:r>
        <w:rPr>
          <w:rStyle w:val="FootnoteAnchor"/>
          <w:rtl w:val="true"/>
        </w:rPr>
        <w:footnoteReference w:id="510"/>
      </w:r>
      <w:r>
        <w:rPr>
          <w:rFonts w:ascii="IRNazanin" w:hAnsi="IRNazanin" w:eastAsia="IRNazanin"/>
          <w:color w:val="111111"/>
          <w:sz w:val="28"/>
          <w:sz w:val="28"/>
          <w:szCs w:val="28"/>
          <w:rtl w:val="true"/>
          <w:lang w:bidi="fa-IR"/>
        </w:rPr>
        <w:t>؛ لأ نّه أُخذ منه بحجّة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قاعدة الیمین مع الشاهد تنفیه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أحد الإخوة قبل کماله، عزل له فوق الربع نصف سدس منذ موته، فإن حلف، أخذ و إلاّ ففیه الأوجه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یثبت بالشاهد الواحد فی قتل العمد اللوث، فیحلف المدّعی، إلاّ أنّ الأیمان </w:t>
      </w:r>
      <w:bookmarkStart w:id="87" w:name="pg13665_219032"/>
    </w:p>
    <w:p>
      <w:pPr>
        <w:pStyle w:val="BookText"/>
        <w:rPr/>
      </w:pPr>
      <w:bookmarkEnd w:id="87"/>
      <w:r>
        <w:rPr>
          <w:rFonts w:ascii="Amiri" w:hAnsi="Amiri" w:eastAsia="Amiri" w:cs="Amiri"/>
          <w:color w:val="111111"/>
          <w:sz w:val="28"/>
          <w:sz w:val="28"/>
          <w:szCs w:val="28"/>
          <w:rtl w:val="true"/>
          <w:lang w:bidi="ar-SA"/>
        </w:rPr>
        <w:t>عدد القسامة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بین شهادة العدل الواحد و المرأتین هنا، فیثبت بهما مع الیمین ما یثبت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بالمرأتین و الیمین، و هو متروک</w:t>
      </w:r>
      <w:r>
        <w:rPr>
          <w:rFonts w:eastAsia="IRNazanin" w:cs="IRNazanin"/>
          <w:color w:val="111111"/>
          <w:sz w:val="28"/>
          <w:szCs w:val="28"/>
          <w:rtl w:val="true"/>
          <w:lang w:bidi="fa-IR"/>
        </w:rPr>
        <w:t>.</w:t>
      </w:r>
    </w:p>
    <w:p>
      <w:pPr>
        <w:pStyle w:val="Heading3"/>
        <w:numPr>
          <w:ilvl w:val="2"/>
          <w:numId w:val="1"/>
        </w:numPr>
        <w:rPr/>
      </w:pPr>
      <w:bookmarkStart w:id="88" w:name="__RefHeading___Toc2071269_3830689328"/>
      <w:bookmarkStart w:id="89" w:name="_Toc29"/>
      <w:bookmarkEnd w:id="88"/>
      <w:r>
        <w:rPr>
          <w:rtl w:val="true"/>
        </w:rPr>
        <w:t xml:space="preserve">درس </w:t>
      </w:r>
      <w:r>
        <w:rPr>
          <w:rtl w:val="true"/>
        </w:rPr>
        <w:t>(</w:t>
      </w:r>
      <w:r>
        <w:rPr/>
        <w:t>142</w:t>
      </w:r>
      <w:r>
        <w:rPr>
          <w:rtl w:val="true"/>
        </w:rPr>
        <w:t>)</w:t>
      </w:r>
      <w:bookmarkEnd w:id="89"/>
    </w:p>
    <w:p>
      <w:pPr>
        <w:pStyle w:val="BookText"/>
        <w:rPr/>
      </w:pPr>
      <w:r>
        <w:rPr>
          <w:rFonts w:ascii="IRNazanin" w:hAnsi="IRNazanin" w:eastAsia="IRNazanin"/>
          <w:color w:val="111111"/>
          <w:sz w:val="28"/>
          <w:sz w:val="28"/>
          <w:szCs w:val="28"/>
          <w:rtl w:val="true"/>
          <w:lang w:bidi="fa-IR"/>
        </w:rPr>
        <w:t>فی تقابل الدعوی فی الأملاک</w:t>
      </w:r>
    </w:p>
    <w:p>
      <w:pPr>
        <w:pStyle w:val="BookText"/>
        <w:rPr/>
      </w:pPr>
      <w:r>
        <w:rPr>
          <w:rFonts w:ascii="IRNazanin" w:hAnsi="IRNazanin" w:eastAsia="IRNazanin"/>
          <w:color w:val="111111"/>
          <w:sz w:val="28"/>
          <w:sz w:val="28"/>
          <w:szCs w:val="28"/>
          <w:rtl w:val="true"/>
          <w:lang w:bidi="fa-IR"/>
        </w:rPr>
        <w:t>لو تداعیا عیناً متشبّثین و لا بیّنة، حلفا و اقتسماها</w:t>
      </w:r>
      <w:r>
        <w:rPr>
          <w:rStyle w:val="FootnoteAnchor"/>
          <w:rtl w:val="true"/>
        </w:rPr>
        <w:footnoteReference w:id="511"/>
      </w:r>
      <w:r>
        <w:rPr>
          <w:rFonts w:ascii="IRNazanin" w:hAnsi="IRNazanin" w:eastAsia="IRNazanin"/>
          <w:color w:val="111111"/>
          <w:sz w:val="28"/>
          <w:sz w:val="28"/>
          <w:szCs w:val="28"/>
          <w:rtl w:val="true"/>
          <w:lang w:bidi="fa-IR"/>
        </w:rPr>
        <w:t>، و کذا لو نکلا، و إلاّ فهی للحالف، فإن کان قد حلف یمین النفی، حلف بعد نکول الآخر للإثبات، و إلاّ حلف یمیناً جامعةً یقدّم</w:t>
      </w:r>
      <w:r>
        <w:rPr>
          <w:rStyle w:val="FootnoteAnchor"/>
          <w:rtl w:val="true"/>
        </w:rPr>
        <w:footnoteReference w:id="512"/>
      </w:r>
      <w:r>
        <w:rPr>
          <w:rFonts w:ascii="IRNazanin" w:hAnsi="IRNazanin" w:eastAsia="IRNazanin"/>
          <w:color w:val="111111"/>
          <w:sz w:val="28"/>
          <w:sz w:val="28"/>
          <w:szCs w:val="28"/>
          <w:rtl w:val="true"/>
          <w:lang w:bidi="fa-IR"/>
        </w:rPr>
        <w:t>فیها النفی أو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تشبّث أحدهما، حلف، و إلاّ حلف الخارج و انتزعها، و لو خرجا، فذو الید مَن صدّقه الثالث و علیه الیمین للآخر، فإن امتنع، حلف الآخر و أُغرم، و لو صدّقهما</w:t>
      </w:r>
    </w:p>
    <w:p>
      <w:pPr>
        <w:pStyle w:val="BookText"/>
        <w:rPr/>
      </w:pPr>
      <w:r>
        <w:rPr>
          <w:rFonts w:ascii="IRNazanin" w:hAnsi="IRNazanin" w:eastAsia="IRNazanin"/>
          <w:color w:val="111111"/>
          <w:sz w:val="28"/>
          <w:sz w:val="28"/>
          <w:szCs w:val="28"/>
          <w:rtl w:val="true"/>
          <w:lang w:bidi="fa-IR"/>
        </w:rPr>
        <w:t>فهی لهما بعد حلفهما أو نکولهما، و لهما إحلافه إن ادّعیا علمه، و لو أنکرهما، حلف،</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لأحدکما و لا أعرفه، اُحتمل القرعة و الیمین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لأحدهما بیّنة فهی له فی الصور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أقاما بیّنتین و خرجا، فهی للأعدل شهوداً، فإن تساووا، فالأکثر مع الیمین، قاله ابن بابویه</w:t>
      </w:r>
      <w:r>
        <w:rPr>
          <w:rStyle w:val="FootnoteAnchor"/>
          <w:rtl w:val="true"/>
        </w:rPr>
        <w:footnoteReference w:id="513"/>
      </w:r>
      <w:r>
        <w:rPr>
          <w:rFonts w:ascii="IRNazanin" w:hAnsi="IRNazanin" w:eastAsia="IRNazanin"/>
          <w:color w:val="111111"/>
          <w:sz w:val="28"/>
          <w:sz w:val="28"/>
          <w:szCs w:val="28"/>
          <w:rtl w:val="true"/>
          <w:lang w:bidi="fa-IR"/>
        </w:rPr>
        <w:t>، و الشیخ فی النهایة</w:t>
      </w:r>
      <w:r>
        <w:rPr>
          <w:rStyle w:val="FootnoteAnchor"/>
          <w:rtl w:val="true"/>
        </w:rPr>
        <w:footnoteReference w:id="514"/>
      </w:r>
      <w:r>
        <w:rPr>
          <w:rFonts w:ascii="IRNazanin" w:hAnsi="IRNazanin" w:eastAsia="IRNazanin"/>
          <w:color w:val="111111"/>
          <w:sz w:val="28"/>
          <w:sz w:val="28"/>
          <w:szCs w:val="28"/>
          <w:rtl w:val="true"/>
          <w:lang w:bidi="fa-IR"/>
        </w:rPr>
        <w:t>، و مع التساوی القرعة</w:t>
      </w:r>
      <w:r>
        <w:rPr>
          <w:rStyle w:val="FootnoteAnchor"/>
          <w:rtl w:val="true"/>
        </w:rPr>
        <w:footnoteReference w:id="515"/>
      </w:r>
      <w:r>
        <w:rPr>
          <w:rFonts w:ascii="IRNazanin" w:hAnsi="IRNazanin" w:eastAsia="IRNazanin"/>
          <w:color w:val="111111"/>
          <w:sz w:val="28"/>
          <w:sz w:val="28"/>
          <w:szCs w:val="28"/>
          <w:rtl w:val="true"/>
          <w:lang w:bidi="fa-IR"/>
        </w:rPr>
        <w:t>و الیمین، فإن امتنع، حلف الآخر و أخذ، فإن</w:t>
      </w:r>
      <w:r>
        <w:rPr>
          <w:rStyle w:val="FootnoteAnchor"/>
          <w:rtl w:val="true"/>
        </w:rPr>
        <w:footnoteReference w:id="516"/>
      </w:r>
      <w:r>
        <w:rPr>
          <w:rFonts w:ascii="IRNazanin" w:hAnsi="IRNazanin" w:eastAsia="IRNazanin"/>
          <w:color w:val="111111"/>
          <w:sz w:val="28"/>
          <w:sz w:val="28"/>
          <w:szCs w:val="28"/>
          <w:rtl w:val="true"/>
          <w:lang w:bidi="fa-IR"/>
        </w:rPr>
        <w:t>امتنعا، قسّمت نصفین، و إن تشبّثا، فهی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خرج أحدهما، قال أکثر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بالعدالة و الکثرة</w:t>
      </w:r>
      <w:r>
        <w:rPr>
          <w:rStyle w:val="FootnoteAnchor"/>
          <w:rtl w:val="true"/>
        </w:rPr>
        <w:footnoteReference w:id="517"/>
      </w:r>
      <w:r>
        <w:rPr>
          <w:rFonts w:ascii="IRNazanin" w:hAnsi="IRNazanin" w:eastAsia="IRNazanin"/>
          <w:color w:val="111111"/>
          <w:sz w:val="28"/>
          <w:sz w:val="28"/>
          <w:szCs w:val="28"/>
          <w:rtl w:val="true"/>
          <w:lang w:bidi="fa-IR"/>
        </w:rPr>
        <w:t>، و مع التساوی، الخارج ؛ أخذاً من روایة أبی بصیر</w:t>
      </w:r>
      <w:r>
        <w:rPr>
          <w:rStyle w:val="FootnoteAnchor"/>
          <w:rtl w:val="true"/>
        </w:rPr>
        <w:footnoteReference w:id="518"/>
      </w:r>
      <w:r>
        <w:rPr>
          <w:rFonts w:ascii="IRNazanin" w:hAnsi="IRNazanin" w:eastAsia="IRNazanin"/>
          <w:color w:val="111111"/>
          <w:sz w:val="28"/>
          <w:sz w:val="28"/>
          <w:szCs w:val="28"/>
          <w:rtl w:val="true"/>
          <w:lang w:bidi="fa-IR"/>
        </w:rPr>
        <w:t>و منصور، عن الصادق علیه‌السّلام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تشبّث أحدهما، اختلف</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قولا الشیخ، ففی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أولی مطلقا</w:t>
      </w:r>
      <w:r>
        <w:rPr>
          <w:rStyle w:val="FootnoteAnchor"/>
          <w:rtl w:val="true"/>
        </w:rPr>
        <w:footnoteReference w:id="521"/>
      </w:r>
      <w:r>
        <w:rPr>
          <w:rFonts w:ascii="IRNazanin" w:hAnsi="IRNazanin" w:eastAsia="IRNazanin"/>
          <w:color w:val="111111"/>
          <w:sz w:val="28"/>
          <w:sz w:val="28"/>
          <w:szCs w:val="28"/>
          <w:rtl w:val="true"/>
          <w:lang w:bidi="fa-IR"/>
        </w:rPr>
        <w:t xml:space="preserve">، و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شهدت بیّنة الداخل بالسبب فهی أولی و لو شهدت بیّنة الخارج بالسبب</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قضی للداخل مع یمینه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قضینا ببیّنة الداخل، ففی وجوب الیمین قول للفاضل</w:t>
      </w:r>
      <w:r>
        <w:rPr>
          <w:rStyle w:val="FootnoteAnchor"/>
          <w:rtl w:val="true"/>
        </w:rPr>
        <w:footnoteReference w:id="524"/>
      </w:r>
      <w:r>
        <w:rPr>
          <w:rFonts w:ascii="IRNazanin" w:hAnsi="IRNazanin" w:eastAsia="IRNazanin"/>
          <w:color w:val="111111"/>
          <w:sz w:val="28"/>
          <w:sz w:val="28"/>
          <w:szCs w:val="28"/>
          <w:rtl w:val="true"/>
          <w:lang w:bidi="fa-IR"/>
        </w:rPr>
        <w:t>، و لم یوجبها فی المبسوط</w:t>
      </w:r>
      <w:r>
        <w:rPr>
          <w:rStyle w:val="FootnoteAnchor"/>
          <w:rtl w:val="true"/>
        </w:rPr>
        <w:footnoteReference w:id="525"/>
      </w:r>
      <w:r>
        <w:rPr>
          <w:rFonts w:ascii="IRNazanin" w:hAnsi="IRNazanin" w:eastAsia="IRNazanin"/>
          <w:color w:val="111111"/>
          <w:sz w:val="28"/>
          <w:sz w:val="28"/>
          <w:szCs w:val="28"/>
          <w:rtl w:val="true"/>
          <w:lang w:bidi="fa-IR"/>
        </w:rPr>
        <w:t>؛ بناءاً علی أنّ البیّنتین لا تتساقطان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ترجیح قدیم الملک علی الید، فأثبته فی المبسوط</w:t>
      </w:r>
      <w:r>
        <w:rPr>
          <w:rStyle w:val="FootnoteAnchor"/>
          <w:rtl w:val="true"/>
        </w:rPr>
        <w:footnoteReference w:id="526"/>
      </w:r>
      <w:r>
        <w:rPr>
          <w:rFonts w:ascii="IRNazanin" w:hAnsi="IRNazanin" w:eastAsia="IRNazanin"/>
          <w:color w:val="111111"/>
          <w:sz w:val="28"/>
          <w:sz w:val="28"/>
          <w:szCs w:val="28"/>
          <w:rtl w:val="true"/>
          <w:lang w:bidi="fa-IR"/>
        </w:rPr>
        <w:t xml:space="preserve">، و نفاه فی </w:t>
      </w:r>
    </w:p>
    <w:p>
      <w:pPr>
        <w:pStyle w:val="BookText"/>
        <w:rPr/>
      </w:pPr>
      <w:r>
        <w:rPr>
          <w:rFonts w:ascii="IRNazanin" w:hAnsi="IRNazanin" w:eastAsia="IRNazanin"/>
          <w:color w:val="111111"/>
          <w:sz w:val="28"/>
          <w:sz w:val="28"/>
          <w:szCs w:val="28"/>
          <w:rtl w:val="true"/>
          <w:lang w:bidi="fa-IR"/>
        </w:rPr>
        <w:t>الخلاف</w:t>
      </w:r>
      <w:r>
        <w:rPr>
          <w:rStyle w:val="FootnoteAnchor"/>
          <w:rtl w:val="true"/>
        </w:rPr>
        <w:footnoteReference w:id="527"/>
      </w:r>
      <w:r>
        <w:rPr>
          <w:rFonts w:ascii="IRNazanin" w:hAnsi="IRNazanin" w:eastAsia="IRNazanin"/>
          <w:color w:val="111111"/>
          <w:sz w:val="28"/>
          <w:sz w:val="28"/>
          <w:szCs w:val="28"/>
          <w:rtl w:val="true"/>
          <w:lang w:bidi="fa-IR"/>
        </w:rPr>
        <w:t>؛ محتجّاً بالإجماع علی أنّ صاحب الید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شهدت بیّنة الخارج بسبق یده و لم تتعرّض للملک له، اختلف قول الشیخ فی الکتابین، فتارةً رجّح ذا الید الآن، و تارةً رجّح مَن سبقت له الید</w:t>
      </w:r>
      <w:r>
        <w:rPr>
          <w:rStyle w:val="FootnoteAnchor"/>
          <w:rtl w:val="true"/>
        </w:rPr>
        <w:footnoteReference w:id="528"/>
      </w:r>
      <w:r>
        <w:rPr>
          <w:rFonts w:ascii="IRNazanin" w:hAnsi="IRNazanin" w:eastAsia="IRNazanin"/>
          <w:color w:val="111111"/>
          <w:sz w:val="28"/>
          <w:sz w:val="28"/>
          <w:szCs w:val="28"/>
          <w:rtl w:val="true"/>
          <w:lang w:bidi="fa-IR"/>
        </w:rPr>
        <w:t>، و الثانی خیرة المختلف</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یتفرّع علیه ما لو ادّعی الخارج شراء العین من آخر ببیّنة، فإن شهدت للبائع بالملک، فهو کقدیم الملک، و إن شهدت له بالتسلیم، فهو کقدیم الید، و لو لم تتعرّض للملک و التسلیم، لم تسمع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التوفیق بین الشهود، فلا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یتحقّق التعارض بین الشاهدین، و الشاهد و المرأتین لا الشاهد و الیمین، و فی فصل الرجوع عن الشهادة من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تقابل الشاهدان، و الشاهد و الیمین فی الوصیّة بالثلث لاثنین، أُقرع</w:t>
      </w:r>
      <w:r>
        <w:rPr>
          <w:rStyle w:val="FootnoteAnchor"/>
          <w:rtl w:val="true"/>
        </w:rPr>
        <w:footnoteReference w:id="530"/>
      </w:r>
      <w:r>
        <w:rPr>
          <w:rFonts w:ascii="IRNazanin" w:hAnsi="IRNazanin" w:eastAsia="IRNazanin"/>
          <w:color w:val="111111"/>
          <w:sz w:val="28"/>
          <w:sz w:val="28"/>
          <w:szCs w:val="28"/>
          <w:rtl w:val="true"/>
          <w:lang w:bidi="fa-IR"/>
        </w:rPr>
        <w:t>، و هو صریح فی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بالقسمة فیما یتصوّر فیه الشرکة، بخلاف النکاح و النسب، فحینئذٍ تکفی القرعة فی تحقّق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أوجبنا الیمین فامتنعا، خرجا عن المدّعی به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انتزع الملک ببیّنة مطلقة، حکم بتقدّم</w:t>
      </w:r>
      <w:r>
        <w:rPr>
          <w:rStyle w:val="FootnoteAnchor"/>
          <w:rtl w:val="true"/>
        </w:rPr>
        <w:footnoteReference w:id="531"/>
      </w:r>
      <w:r>
        <w:rPr>
          <w:rFonts w:ascii="IRNazanin" w:hAnsi="IRNazanin" w:eastAsia="IRNazanin"/>
          <w:color w:val="111111"/>
          <w:sz w:val="28"/>
          <w:sz w:val="28"/>
          <w:szCs w:val="28"/>
          <w:rtl w:val="true"/>
          <w:lang w:bidi="fa-IR"/>
        </w:rPr>
        <w:t>ملک صاحبها علی الشهادة بأقلّ زمان لا غیر، فعلی هذا لا یرجع المشتری علی البائع، و تکون الثمرة و الحمل للمدّعی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بیّنة الداخل للتسجیل و إن لم یکن خصم، و کذا لدفع الیمین عنه، کما فی دعوی الودعیّ الردّ، فإنّها مقبولة بیمینه، و مع ذلک تسمع بیّنته</w:t>
      </w:r>
    </w:p>
    <w:p>
      <w:pPr>
        <w:pStyle w:val="BookText"/>
        <w:rPr/>
      </w:pPr>
      <w:r>
        <w:rPr>
          <w:rFonts w:ascii="IRNazanin" w:hAnsi="IRNazanin" w:eastAsia="IRNazanin"/>
          <w:color w:val="111111"/>
          <w:sz w:val="28"/>
          <w:sz w:val="28"/>
          <w:szCs w:val="28"/>
          <w:rtl w:val="true"/>
          <w:lang w:bidi="fa-IR"/>
        </w:rPr>
        <w:t>لدفع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بیّنة الخارج بالملک و بیّنة الداخل بالشراء من الخارج، فلا تعارض فتعمل ببیّنته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تزال یده قبل إقامتها لو کانت غائبة، کما تزال ید مدّعی هبة العین، و کما یؤمر مدّعی الإبراء بتسلیم الدین، ثمّ یثبت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البیّنة حاضرة، سمعت قبل إزالة الید و قبل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تشبّثا فادّعی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حلف الأوّل و اقتسماها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خرجا، أُقرع بینهما فی النصف مع الیمین، و لو امتنعا فللموعب</w:t>
      </w:r>
      <w:r>
        <w:rPr>
          <w:rStyle w:val="FootnoteAnchor"/>
          <w:rtl w:val="true"/>
        </w:rPr>
        <w:footnoteReference w:id="532"/>
      </w:r>
      <w:r>
        <w:rPr>
          <w:rFonts w:ascii="Amiri" w:hAnsi="Amiri" w:eastAsia="Amiri" w:cs="Amiri"/>
          <w:color w:val="111111"/>
          <w:sz w:val="28"/>
          <w:sz w:val="28"/>
          <w:szCs w:val="28"/>
          <w:rtl w:val="true"/>
          <w:lang w:bidi="ar-SA"/>
        </w:rPr>
        <w:t>ثلاثة الأرباع، و للآخر الربع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علی ثلاثة إذا تشبّثا</w:t>
      </w:r>
      <w:r>
        <w:rPr>
          <w:rStyle w:val="FootnoteAnchor"/>
          <w:rtl w:val="true"/>
        </w:rPr>
        <w:footnoteReference w:id="533"/>
      </w:r>
      <w:r>
        <w:rPr>
          <w:rFonts w:ascii="IRNazanin" w:hAnsi="IRNazanin" w:eastAsia="IRNazanin"/>
          <w:color w:val="111111"/>
          <w:sz w:val="28"/>
          <w:sz w:val="28"/>
          <w:szCs w:val="28"/>
          <w:rtl w:val="true"/>
          <w:lang w:bidi="fa-IR"/>
        </w:rPr>
        <w:t>، سواء أقاما بیّنة أو لا ؛ نظراً إلی العول، و کذا فی أمثالها من الفروض، و به أفتی الفاضل فی المختلف</w:t>
      </w:r>
      <w:r>
        <w:rPr>
          <w:rStyle w:val="FootnoteAnchor"/>
          <w:rtl w:val="true"/>
        </w:rPr>
        <w:footnoteReference w:id="534"/>
      </w:r>
      <w:r>
        <w:rPr>
          <w:rFonts w:ascii="IRNazanin" w:hAnsi="IRNazanin" w:eastAsia="IRNazanin"/>
          <w:color w:val="111111"/>
          <w:sz w:val="28"/>
          <w:sz w:val="28"/>
          <w:szCs w:val="28"/>
          <w:rtl w:val="true"/>
          <w:lang w:bidi="fa-IR"/>
        </w:rPr>
        <w:t>؛ لأنّ المنازعة وقعت فی أجزاء غیر متعیّنة</w:t>
      </w:r>
      <w:r>
        <w:rPr>
          <w:rStyle w:val="FootnoteAnchor"/>
          <w:rtl w:val="true"/>
        </w:rPr>
        <w:footnoteReference w:id="535"/>
      </w:r>
      <w:r>
        <w:rPr>
          <w:rFonts w:ascii="IRNazanin" w:hAnsi="IRNazanin" w:eastAsia="IRNazanin"/>
          <w:color w:val="111111"/>
          <w:sz w:val="28"/>
          <w:sz w:val="28"/>
          <w:szCs w:val="28"/>
          <w:rtl w:val="true"/>
          <w:lang w:bidi="fa-IR"/>
        </w:rPr>
        <w:t>و لا مشار إلیها، فهی کضرب الدیّان مع</w:t>
      </w:r>
    </w:p>
    <w:p>
      <w:pPr>
        <w:pStyle w:val="BookText"/>
        <w:rPr/>
      </w:pPr>
      <w:r>
        <w:rPr>
          <w:rFonts w:ascii="IRNazanin" w:hAnsi="IRNazanin" w:eastAsia="IRNazanin"/>
          <w:color w:val="111111"/>
          <w:sz w:val="28"/>
          <w:sz w:val="28"/>
          <w:szCs w:val="28"/>
          <w:rtl w:val="true"/>
          <w:lang w:bidi="fa-IR"/>
        </w:rPr>
        <w:t>قصور المال فی المفلّس و المیّت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تشبّث مدّعی الکلّ و النصف و الثلث و لا بیّنة، فهی أثلاث، و یحلفان للموعب</w:t>
      </w:r>
      <w:r>
        <w:rPr>
          <w:rStyle w:val="FootnoteAnchor"/>
          <w:rtl w:val="true"/>
        </w:rPr>
        <w:footnoteReference w:id="536"/>
      </w:r>
      <w:r>
        <w:rPr>
          <w:rFonts w:ascii="IRNazanin" w:hAnsi="IRNazanin" w:eastAsia="IRNazanin"/>
          <w:color w:val="111111"/>
          <w:sz w:val="28"/>
          <w:sz w:val="28"/>
          <w:szCs w:val="28"/>
          <w:rtl w:val="true"/>
          <w:lang w:bidi="fa-IR"/>
        </w:rPr>
        <w:t>، و یحلف الموعب</w:t>
      </w:r>
      <w:r>
        <w:rPr>
          <w:rStyle w:val="FootnoteAnchor"/>
          <w:rtl w:val="true"/>
        </w:rPr>
        <w:footnoteReference w:id="537"/>
      </w:r>
      <w:r>
        <w:rPr>
          <w:rFonts w:ascii="IRNazanin" w:hAnsi="IRNazanin" w:eastAsia="IRNazanin"/>
          <w:color w:val="111111"/>
          <w:sz w:val="28"/>
          <w:sz w:val="28"/>
          <w:szCs w:val="28"/>
          <w:rtl w:val="true"/>
          <w:lang w:bidi="fa-IR"/>
        </w:rPr>
        <w:t>و ذو الثلث لذی النصف، و لا یحلفان لذی الثلث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تعارضت بیّناتهم، فعلی الحکم للداخل کما قلناه، و علی الآخر لا بیّنة لمدّعی الثلث، و ینزع من یده للموعب</w:t>
      </w:r>
      <w:r>
        <w:rPr>
          <w:rStyle w:val="FootnoteAnchor"/>
          <w:rtl w:val="true"/>
        </w:rPr>
        <w:footnoteReference w:id="538"/>
      </w:r>
      <w:r>
        <w:rPr>
          <w:rFonts w:ascii="IRNazanin" w:hAnsi="IRNazanin" w:eastAsia="IRNazanin"/>
          <w:color w:val="111111"/>
          <w:sz w:val="28"/>
          <w:sz w:val="28"/>
          <w:szCs w:val="28"/>
          <w:rtl w:val="true"/>
          <w:lang w:bidi="fa-IR"/>
        </w:rPr>
        <w:t>ثلاثة أرباعه، و یقارع ذا النصف فی ربعه، و یقسّم مع النکول، و الثلث الذی فی یده للموعب، و لذی النصف ربع ما فی ید الموعب، و تصحّ من أربعة و عشرین، ثمّ تطوی إلی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جامعهم مدّعی الثلثین و أیدیهم خارجة، و تعارضت بیّناتهم، فللموعب</w:t>
      </w:r>
      <w:r>
        <w:rPr>
          <w:rStyle w:val="FootnoteAnchor"/>
          <w:rtl w:val="true"/>
        </w:rPr>
        <w:footnoteReference w:id="539"/>
      </w:r>
      <w:r>
        <w:rPr>
          <w:rFonts w:ascii="IRNazanin" w:hAnsi="IRNazanin" w:eastAsia="IRNazanin"/>
          <w:color w:val="111111"/>
          <w:sz w:val="28"/>
          <w:sz w:val="28"/>
          <w:szCs w:val="28"/>
          <w:rtl w:val="true"/>
          <w:lang w:bidi="fa-IR"/>
        </w:rPr>
        <w:t>الثلث، و یقارع ذا الثلثین فی السدس، و یتقارعان</w:t>
      </w:r>
      <w:r>
        <w:rPr>
          <w:rStyle w:val="FootnoteAnchor"/>
          <w:rtl w:val="true"/>
        </w:rPr>
        <w:footnoteReference w:id="540"/>
      </w:r>
      <w:r>
        <w:rPr>
          <w:rFonts w:ascii="IRNazanin" w:hAnsi="IRNazanin" w:eastAsia="IRNazanin"/>
          <w:color w:val="111111"/>
          <w:sz w:val="28"/>
          <w:sz w:val="28"/>
          <w:szCs w:val="28"/>
          <w:rtl w:val="true"/>
          <w:lang w:bidi="fa-IR"/>
        </w:rPr>
        <w:t>مع ذی النصف فی سدس آخر، و یتقارع</w:t>
      </w:r>
      <w:r>
        <w:rPr>
          <w:rStyle w:val="FootnoteAnchor"/>
          <w:rtl w:val="true"/>
        </w:rPr>
        <w:footnoteReference w:id="541"/>
      </w:r>
      <w:r>
        <w:rPr>
          <w:rFonts w:ascii="IRNazanin" w:hAnsi="IRNazanin" w:eastAsia="IRNazanin"/>
          <w:color w:val="111111"/>
          <w:sz w:val="28"/>
          <w:sz w:val="28"/>
          <w:szCs w:val="28"/>
          <w:rtl w:val="true"/>
          <w:lang w:bidi="fa-IR"/>
        </w:rPr>
        <w:t>الجمیع فی الثلث، و مع الامتناع من الیمین، یقسّم، و تصحّ من ستّة و ثلاثین، و لو فقدت البیّنات، فکذلک، و لو أقام اثنان منهم البیّنة أو ثلاثة،</w:t>
      </w:r>
    </w:p>
    <w:p>
      <w:pPr>
        <w:pStyle w:val="BookText"/>
        <w:rPr/>
      </w:pPr>
      <w:r>
        <w:rPr>
          <w:rFonts w:ascii="IRNazanin" w:hAnsi="IRNazanin" w:eastAsia="IRNazanin"/>
          <w:color w:val="111111"/>
          <w:sz w:val="28"/>
          <w:sz w:val="28"/>
          <w:szCs w:val="28"/>
          <w:rtl w:val="true"/>
          <w:lang w:bidi="fa-IR"/>
        </w:rPr>
        <w:t>أُزیلت دعوی الفاقد ما لم یبق شیء، و قسّم ما یقع فیه التعارض بعد القرعة و 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و تشبّثوا، فمع عدم البیّنة أو تقدیم الداخل یقسّم أرباعاً، و یحلف کلّ ثلاثة أیمان، و لو رضوا بیمین واحدة ففیه الخلاف، و لو قدّمنا الخارج، جمع کلّ ثلاثة علی ما فی ید الرابع، و الفاضل عن الدعاوی للموعب</w:t>
      </w:r>
      <w:r>
        <w:rPr>
          <w:rStyle w:val="FootnoteAnchor"/>
          <w:rtl w:val="true"/>
        </w:rPr>
        <w:footnoteReference w:id="5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یقارع فی المدّعی به و یحلف، فإن نکل، حلف الآخر، فإن نکلوا، قسّم، و تصحّ من اثنین و سبعین، و منه یعلم لو کانوا أزید، کالخمسة فصاعداً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تشبّث ثلاثة فادّعی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فإن صدّق مدّعی السدس مدّعی النصف، فلا نزاع فیسلّم إلیه السدس، و إن عزاه إلی غائب، فإن أقام مدّعی النصف البیّنة بتملّک النصف، انتزع کمال السدس </w:t>
      </w:r>
      <w:bookmarkStart w:id="90" w:name="pg13665_219037"/>
    </w:p>
    <w:p>
      <w:pPr>
        <w:pStyle w:val="BookText"/>
        <w:rPr/>
      </w:pPr>
      <w:bookmarkEnd w:id="90"/>
      <w:r>
        <w:rPr>
          <w:rFonts w:ascii="IRNazanin" w:hAnsi="IRNazanin" w:eastAsia="IRNazanin"/>
          <w:color w:val="111111"/>
          <w:sz w:val="28"/>
          <w:sz w:val="28"/>
          <w:szCs w:val="28"/>
          <w:rtl w:val="true"/>
          <w:lang w:bidi="fa-IR"/>
        </w:rPr>
        <w:t xml:space="preserve">من ید مدّعی السدس إن صدّق مدّعی النصف مدّعی الثلث علی تملّک الثلث، و إن کذّبه، انتزع من کلّ منهما نصف السدس ؛ لأ نّه ادّعی سدساً مشاعاً فلیس له تخصیص أحدهما به، و إن اعترف مدّعی النصف بالسدس للغائب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استولی علی سدسی مدّعی الثلث، أمکن انتزاعه من مدّعی الثلث إن فقد البیّنة، و إن کان له بیّنة و تحقّق التعارض، بنی علی ترجیح الداخل و الخارج</w:t>
      </w:r>
      <w:r>
        <w:rPr>
          <w:rFonts w:eastAsia="IRNazanin" w:cs="IRNazanin"/>
          <w:color w:val="111111"/>
          <w:sz w:val="28"/>
          <w:szCs w:val="28"/>
          <w:rtl w:val="true"/>
          <w:lang w:bidi="fa-IR"/>
        </w:rPr>
        <w:t>.</w:t>
      </w:r>
    </w:p>
    <w:p>
      <w:pPr>
        <w:pStyle w:val="Heading3"/>
        <w:numPr>
          <w:ilvl w:val="2"/>
          <w:numId w:val="1"/>
        </w:numPr>
        <w:rPr/>
      </w:pPr>
      <w:bookmarkStart w:id="91" w:name="__RefHeading___Toc2071271_3830689328"/>
      <w:bookmarkStart w:id="92" w:name="_Toc30"/>
      <w:bookmarkEnd w:id="91"/>
      <w:r>
        <w:rPr>
          <w:rtl w:val="true"/>
        </w:rPr>
        <w:t xml:space="preserve">درس </w:t>
      </w:r>
      <w:r>
        <w:rPr>
          <w:rtl w:val="true"/>
        </w:rPr>
        <w:t>(</w:t>
      </w:r>
      <w:r>
        <w:rPr/>
        <w:t>143</w:t>
      </w:r>
      <w:r>
        <w:rPr>
          <w:rtl w:val="true"/>
        </w:rPr>
        <w:t>)</w:t>
      </w:r>
      <w:bookmarkEnd w:id="92"/>
    </w:p>
    <w:p>
      <w:pPr>
        <w:pStyle w:val="BookText"/>
        <w:rPr/>
      </w:pPr>
      <w:r>
        <w:rPr>
          <w:rFonts w:ascii="IRNazanin" w:hAnsi="IRNazanin" w:eastAsia="IRNazanin"/>
          <w:color w:val="111111"/>
          <w:sz w:val="28"/>
          <w:sz w:val="28"/>
          <w:szCs w:val="28"/>
          <w:rtl w:val="true"/>
          <w:lang w:bidi="fa-IR"/>
        </w:rPr>
        <w:t>فی العقود</w:t>
      </w:r>
    </w:p>
    <w:p>
      <w:pPr>
        <w:pStyle w:val="BookText"/>
        <w:rPr/>
      </w:pPr>
      <w:r>
        <w:rPr>
          <w:rFonts w:ascii="IRNazanin" w:hAnsi="IRNazanin" w:eastAsia="IRNazanin"/>
          <w:color w:val="111111"/>
          <w:sz w:val="28"/>
          <w:sz w:val="28"/>
          <w:szCs w:val="28"/>
          <w:rtl w:val="true"/>
          <w:lang w:bidi="fa-IR"/>
        </w:rPr>
        <w:t xml:space="preserve">و 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ادّعیا الشراء من المتشبّث و إقباض الثمن، و أقاما بیّنتین متعارضتین، إمّا لاتّحاد التاریخ، و إمّا لإطلاقه فیهما أو فی إحداهما مع تساویهما عدالة و عدداً، فلا عبرة بتصدیق البائع هنا علی الأقوی، و یقرع عند الشیخ</w:t>
      </w:r>
      <w:r>
        <w:rPr>
          <w:rStyle w:val="FootnoteAnchor"/>
          <w:rtl w:val="true"/>
        </w:rPr>
        <w:footnoteReference w:id="543"/>
      </w:r>
      <w:r>
        <w:rPr>
          <w:rFonts w:ascii="IRNazanin" w:hAnsi="IRNazanin" w:eastAsia="IRNazanin"/>
          <w:color w:val="111111"/>
          <w:sz w:val="28"/>
          <w:sz w:val="28"/>
          <w:szCs w:val="28"/>
          <w:rtl w:val="true"/>
          <w:lang w:bidi="fa-IR"/>
        </w:rPr>
        <w:t>، و یحتمل إعمالهما فیقسّم، و التساقط فیحلف المدّعی علیه لهما لو أکذبهما، و علی القرعة یرجع مَن لم تخرجه بالثمن ؛ إذ لا تعارض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الخارج عن الیمین، حلف الآخر، و لو نکلا، قسّمت، و یرجع کلّ منهما بنصف الثمن، و لهما الفسخ عند الشیخ</w:t>
      </w:r>
      <w:r>
        <w:rPr>
          <w:rStyle w:val="FootnoteAnchor"/>
          <w:rtl w:val="true"/>
        </w:rPr>
        <w:footnoteReference w:id="544"/>
      </w:r>
      <w:r>
        <w:rPr>
          <w:rFonts w:ascii="IRNazanin" w:hAnsi="IRNazanin" w:eastAsia="IRNazanin"/>
          <w:color w:val="111111"/>
          <w:sz w:val="28"/>
          <w:sz w:val="28"/>
          <w:szCs w:val="28"/>
          <w:rtl w:val="true"/>
          <w:lang w:bidi="fa-IR"/>
        </w:rPr>
        <w:t>لعیب التبعیض، و لعلّه یری أنّ التنزّه</w:t>
      </w:r>
    </w:p>
    <w:p>
      <w:pPr>
        <w:pStyle w:val="BookText"/>
        <w:rPr/>
      </w:pPr>
      <w:r>
        <w:rPr>
          <w:rFonts w:ascii="IRNazanin" w:hAnsi="IRNazanin" w:eastAsia="IRNazanin"/>
          <w:color w:val="111111"/>
          <w:sz w:val="28"/>
          <w:sz w:val="28"/>
          <w:szCs w:val="28"/>
          <w:rtl w:val="true"/>
          <w:lang w:bidi="fa-IR"/>
        </w:rPr>
        <w:t>عن الیمین عذر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فسخ أحدهما فللآخر الجمیع، و فیه أوجه،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الشیخ فی المبسوط</w:t>
      </w:r>
      <w:r>
        <w:rPr>
          <w:rStyle w:val="FootnoteAnchor"/>
          <w:rtl w:val="true"/>
        </w:rPr>
        <w:footnoteReference w:id="5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کون الآخذ الأوّل أو الثانی ؛ لأنّ القضاء للأوّل بالنصف </w:t>
      </w:r>
    </w:p>
    <w:p>
      <w:pPr>
        <w:pStyle w:val="BookText"/>
        <w:rPr/>
      </w:pPr>
      <w:r>
        <w:rPr>
          <w:rFonts w:ascii="IRNazanin" w:hAnsi="IRNazanin" w:eastAsia="IRNazanin"/>
          <w:color w:val="111111"/>
          <w:sz w:val="28"/>
          <w:sz w:val="28"/>
          <w:szCs w:val="28"/>
          <w:rtl w:val="true"/>
          <w:lang w:bidi="fa-IR"/>
        </w:rPr>
        <w:t xml:space="preserve">إذا لم یتعقّبه فسخ یقرّر ملکه علیه بحکم الحاکم، فلیس له نقضه بأخذ الجمیع، و نعنی بالأوّل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فاتحه</w:t>
      </w:r>
      <w:r>
        <w:rPr>
          <w:rStyle w:val="FootnoteAnchor"/>
          <w:rtl w:val="true"/>
        </w:rPr>
        <w:footnoteReference w:id="546"/>
      </w:r>
      <w:r>
        <w:rPr>
          <w:rFonts w:ascii="IRNazanin" w:hAnsi="IRNazanin" w:eastAsia="IRNazanin"/>
          <w:color w:val="111111"/>
          <w:sz w:val="28"/>
          <w:sz w:val="28"/>
          <w:szCs w:val="28"/>
          <w:rtl w:val="true"/>
          <w:lang w:bidi="fa-IR"/>
        </w:rPr>
        <w:t>القاضی بتسلیم النصف فرضی</w:t>
      </w:r>
      <w:r>
        <w:rPr>
          <w:rStyle w:val="FootnoteAnchor"/>
          <w:rtl w:val="true"/>
        </w:rPr>
        <w:footnoteReference w:id="547"/>
      </w:r>
      <w:r>
        <w:rPr>
          <w:rFonts w:ascii="IRNazanin" w:hAnsi="IRNazanin" w:eastAsia="IRNazanin"/>
          <w:color w:val="111111"/>
          <w:sz w:val="28"/>
          <w:sz w:val="28"/>
          <w:szCs w:val="28"/>
          <w:rtl w:val="true"/>
          <w:lang w:bidi="fa-IR"/>
        </w:rPr>
        <w:t>، بخلاف ما إذا فسخ المفاتح، فإنّ الثانی یأخذ الجمیع قطعاً ؛ لإیجاب بیّنته الجمیع ما لم ینازع</w:t>
      </w:r>
      <w:r>
        <w:rPr>
          <w:rStyle w:val="FootnoteAnchor"/>
          <w:rtl w:val="true"/>
        </w:rPr>
        <w:footnoteReference w:id="548"/>
      </w:r>
      <w:r>
        <w:rPr>
          <w:rFonts w:ascii="IRNazanin" w:hAnsi="IRNazanin" w:eastAsia="IRNazanin"/>
          <w:color w:val="111111"/>
          <w:sz w:val="28"/>
          <w:sz w:val="28"/>
          <w:szCs w:val="28"/>
          <w:rtl w:val="true"/>
          <w:lang w:bidi="fa-IR"/>
        </w:rPr>
        <w:t xml:space="preserve">،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منهما الأخذ، و فی وجوبه حینئذٍ احتمال، من قضاء الشرع بالقسمة، و من زوال النزاع، 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الأُولی، تداعی اثنان بیع الدار من آخر و غرضهما الثمن منه، فإن صدّقهما، قضی علیه، و إلاّ فالقول قوله، فإن أقاما بیّنتین متّحدتی التاریخ، أُقرع،</w:t>
      </w:r>
    </w:p>
    <w:p>
      <w:pPr>
        <w:pStyle w:val="BookText"/>
        <w:rPr/>
      </w:pPr>
      <w:r>
        <w:rPr>
          <w:rFonts w:ascii="IRNazanin" w:hAnsi="IRNazanin" w:eastAsia="IRNazanin"/>
          <w:color w:val="111111"/>
          <w:sz w:val="28"/>
          <w:sz w:val="28"/>
          <w:szCs w:val="28"/>
          <w:rtl w:val="true"/>
          <w:lang w:bidi="fa-IR"/>
        </w:rPr>
        <w:t>و مع النکول، یقسّم الثمن بینهما علی الأصحّ، و یحتمل القسمة ابتداءاً و التساقط، و لو اختلف التاریخ، قضی علیه بالثمنین، و لو أطلقتا أو إحداهما، قیل بالتعارض</w:t>
      </w:r>
      <w:r>
        <w:rPr>
          <w:rStyle w:val="FootnoteAnchor"/>
          <w:rtl w:val="true"/>
        </w:rPr>
        <w:footnoteReference w:id="549"/>
      </w:r>
      <w:r>
        <w:rPr>
          <w:rFonts w:ascii="IRNazanin" w:hAnsi="IRNazanin" w:eastAsia="IRNazanin"/>
          <w:color w:val="111111"/>
          <w:sz w:val="28"/>
          <w:sz w:val="28"/>
          <w:szCs w:val="28"/>
          <w:rtl w:val="true"/>
          <w:lang w:bidi="fa-IR"/>
        </w:rPr>
        <w:t>، و یحتمل القضاء بالثمنین ؛ لوجوب التوفیق بین البیّنتین مهما أمکن، و یمکن اختلاف التاریخ هنا، و القولان حکاهما الشیخ ساکتاً علیهما</w:t>
      </w:r>
      <w:r>
        <w:rPr>
          <w:rStyle w:val="FootnoteAnchor"/>
          <w:rtl w:val="true"/>
        </w:rPr>
        <w:footnoteReference w:id="550"/>
      </w:r>
      <w:r>
        <w:rPr>
          <w:rFonts w:ascii="IRNazanin" w:hAnsi="IRNazanin" w:eastAsia="IRNazanin"/>
          <w:color w:val="111111"/>
          <w:sz w:val="28"/>
          <w:sz w:val="28"/>
          <w:szCs w:val="28"/>
          <w:rtl w:val="true"/>
          <w:lang w:bidi="fa-IR"/>
        </w:rPr>
        <w:t xml:space="preserve">،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فی المسألة السابقة التوفیق مع اختلاف التاریخ، فیحکم بصحّة البیعین، و یملک البائع الثمنین، بأن یبیعها، ثمّ یشتریها، ثمّ یبیعها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 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البیع لیست کافیة ؛ لجواز أن یبیع مال غیره، بخلاف الشراء،</w:t>
      </w:r>
    </w:p>
    <w:p>
      <w:pPr>
        <w:pStyle w:val="BookText"/>
        <w:rPr/>
      </w:pPr>
      <w:r>
        <w:rPr>
          <w:rFonts w:ascii="IRNazanin" w:hAnsi="IRNazanin" w:eastAsia="IRNazanin"/>
          <w:color w:val="111111"/>
          <w:sz w:val="28"/>
          <w:sz w:val="28"/>
          <w:szCs w:val="28"/>
          <w:rtl w:val="true"/>
          <w:lang w:bidi="fa-IR"/>
        </w:rPr>
        <w:t>فإنّه لا یمکن أن یشتری مال نفسه، فشراؤه من الثانی مبطل</w:t>
      </w:r>
      <w:r>
        <w:rPr>
          <w:rStyle w:val="FootnoteAnchor"/>
          <w:rtl w:val="true"/>
        </w:rPr>
        <w:footnoteReference w:id="551"/>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بائعان و مشتریان، بأن ادّعی کلّ منهما أ نّه اشتراها من آخر و أقبضه الثمن و أقاما بیّنتین، فإن تشبّثا، قسّمت بینهما و رجع کلّ منهما علی بائعه بنصف </w:t>
      </w:r>
    </w:p>
    <w:p>
      <w:pPr>
        <w:pStyle w:val="BookText"/>
        <w:rPr/>
      </w:pPr>
      <w:r>
        <w:rPr>
          <w:rFonts w:ascii="IRNazanin" w:hAnsi="IRNazanin" w:eastAsia="IRNazanin"/>
          <w:color w:val="111111"/>
          <w:sz w:val="28"/>
          <w:sz w:val="28"/>
          <w:szCs w:val="28"/>
          <w:rtl w:val="true"/>
          <w:lang w:bidi="fa-IR"/>
        </w:rPr>
        <w:t>الثمن، و إن تشبّث أحدهما، بنی علی ترجیح الداخل أو الخارج فیرجع المرجوح بالثمن، و إن خرجا و تکافأت البیّنتان، أُقرع علی الأقوی، و مع النکول یقسّم و یرجع کلّ علی بائعه بنصف الثمن، سواء کانت فی ید أحد البائعین</w:t>
      </w:r>
      <w:r>
        <w:rPr>
          <w:rStyle w:val="FootnoteAnchor"/>
          <w:rtl w:val="true"/>
        </w:rPr>
        <w:footnoteReference w:id="552"/>
      </w:r>
      <w:r>
        <w:rPr>
          <w:rFonts w:ascii="IRNazanin" w:hAnsi="IRNazanin" w:eastAsia="IRNazanin"/>
          <w:color w:val="111111"/>
          <w:sz w:val="28"/>
          <w:sz w:val="28"/>
          <w:szCs w:val="28"/>
          <w:rtl w:val="true"/>
          <w:lang w:bidi="fa-IR"/>
        </w:rPr>
        <w:t>أو ید أجنبیّ، و لکلّ منهما الفسخ، و لیس للآخر أخذ الجمیع لو فسخ أحدهما ؛ لعدم عوده إلی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عبد العتق، و ادّعی آخر شراءه من السیّد و تکافأت بیّنتاهما، فإن کان فی ید المشتری، فهو داخل و العبد خارج فیجری القولان، و إن کان فی ید السیّد، احتمل التنصیف</w:t>
      </w:r>
      <w:r>
        <w:rPr>
          <w:rStyle w:val="FootnoteAnchor"/>
          <w:rtl w:val="true"/>
        </w:rPr>
        <w:footnoteReference w:id="553"/>
      </w:r>
      <w:r>
        <w:rPr>
          <w:rFonts w:ascii="IRNazanin" w:hAnsi="IRNazanin" w:eastAsia="IRNazanin"/>
          <w:color w:val="111111"/>
          <w:sz w:val="28"/>
          <w:sz w:val="28"/>
          <w:szCs w:val="28"/>
          <w:rtl w:val="true"/>
          <w:lang w:bidi="fa-IR"/>
        </w:rPr>
        <w:t>لإعمال البیّنتین و سقوطهما، فیحلف البائع، و إن أعملنا إحداهما، أُقرع، و مع النکول یتحرّر نصفه و یملک نصفه، فإن فسخ، عتق کلّه، و إن أمسک ففی التقویم نظر، من قیام البیّنة بالمباشرة، و من إعمال بیّنة الشراء فی النصف</w:t>
      </w:r>
    </w:p>
    <w:p>
      <w:pPr>
        <w:pStyle w:val="BookText"/>
        <w:rPr/>
      </w:pPr>
      <w:r>
        <w:rPr>
          <w:rFonts w:ascii="IRNazanin" w:hAnsi="IRNazanin" w:eastAsia="IRNazanin"/>
          <w:color w:val="111111"/>
          <w:sz w:val="28"/>
          <w:sz w:val="28"/>
          <w:szCs w:val="28"/>
          <w:rtl w:val="true"/>
          <w:lang w:bidi="fa-IR"/>
        </w:rPr>
        <w:t>و هو ینفی أصل العتق، فلا یحکم بثبوت العتق بالنسبة إلی هذا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 نّه عتق قهریّ، فلا یقوّم علیه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بیّنة العبد ؛ لأنّ له یداً علی نفسه إن قدّمنا الداخل، و إلاّ قدّمت بیّنة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 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یصیر له ید بالعتق، و إلاّ فهو فی ید السیّد، أو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w:t>
      </w:r>
      <w:r>
        <w:rPr>
          <w:rStyle w:val="FootnoteAnchor"/>
          <w:rtl w:val="true"/>
        </w:rPr>
        <w:footnoteReference w:id="555"/>
      </w:r>
      <w:r>
        <w:rPr>
          <w:rFonts w:ascii="IRNazanin" w:hAnsi="IRNazanin" w:eastAsia="IRNazanin"/>
          <w:color w:val="111111"/>
          <w:sz w:val="28"/>
          <w:sz w:val="28"/>
          <w:szCs w:val="28"/>
          <w:rtl w:val="true"/>
          <w:lang w:bidi="fa-IR"/>
        </w:rPr>
        <w:t xml:space="preserve">صاحب الدار إجارة بیت بعشرة، فقال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اکتریت جمیع الدار بعشرة و لا بیّنة، احتمل تقدیم المؤجر ؛ للأصل، و التحالف و هو فتوی الشیخ</w:t>
      </w:r>
      <w:r>
        <w:rPr>
          <w:rStyle w:val="FootnoteAnchor"/>
          <w:rtl w:val="true"/>
        </w:rPr>
        <w:footnoteReference w:id="556"/>
      </w:r>
      <w:r>
        <w:rPr>
          <w:rFonts w:ascii="IRNazanin" w:hAnsi="IRNazanin" w:eastAsia="IRNazanin"/>
          <w:color w:val="111111"/>
          <w:sz w:val="28"/>
          <w:sz w:val="28"/>
          <w:szCs w:val="28"/>
          <w:rtl w:val="true"/>
          <w:lang w:bidi="fa-IR"/>
        </w:rPr>
        <w:t xml:space="preserve">، فإن کان بعد مضیّ المدّة و تحالفا، وجبت أُجرة المثل علی </w:t>
      </w:r>
      <w:bookmarkStart w:id="93" w:name="pg13665_219040"/>
    </w:p>
    <w:p>
      <w:pPr>
        <w:pStyle w:val="BookText"/>
        <w:rPr/>
      </w:pPr>
      <w:bookmarkEnd w:id="93"/>
      <w:r>
        <w:rPr>
          <w:rFonts w:ascii="IRNazanin" w:hAnsi="IRNazanin" w:eastAsia="IRNazanin"/>
          <w:color w:val="111111"/>
          <w:sz w:val="28"/>
          <w:sz w:val="28"/>
          <w:szCs w:val="28"/>
          <w:rtl w:val="true"/>
          <w:lang w:bidi="fa-IR"/>
        </w:rPr>
        <w:t>المستأجر، و إن أقاما بیّنة، عمل علی الأسبق، فإن کان بیّنة الدار، فلا بحث، و إن کان بیّنة البیت، صحّ العقدان إلاّ أ نّه ینقص من العشرة نسبة</w:t>
      </w:r>
      <w:r>
        <w:rPr>
          <w:rStyle w:val="FootnoteAnchor"/>
          <w:rtl w:val="true"/>
        </w:rPr>
        <w:footnoteReference w:id="557"/>
      </w:r>
      <w:r>
        <w:rPr>
          <w:rFonts w:ascii="IRNazanin" w:hAnsi="IRNazanin" w:eastAsia="IRNazanin"/>
          <w:color w:val="111111"/>
          <w:sz w:val="28"/>
          <w:sz w:val="28"/>
          <w:szCs w:val="28"/>
          <w:rtl w:val="true"/>
          <w:lang w:bidi="fa-IR"/>
        </w:rPr>
        <w:t>ما بین البیت و الدار فی</w:t>
      </w:r>
      <w:r>
        <w:rPr>
          <w:rStyle w:val="FootnoteAnchor"/>
          <w:rtl w:val="true"/>
        </w:rPr>
        <w:footnoteReference w:id="558"/>
      </w:r>
      <w:r>
        <w:rPr>
          <w:rFonts w:ascii="IRNazanin" w:hAnsi="IRNazanin" w:eastAsia="IRNazanin"/>
          <w:color w:val="111111"/>
          <w:sz w:val="28"/>
          <w:sz w:val="28"/>
          <w:szCs w:val="28"/>
          <w:rtl w:val="true"/>
          <w:lang w:bidi="fa-IR"/>
        </w:rPr>
        <w:t>القیمة، و یحتمل الحکم بصحّة الإجارتین مع عدم التعارض ؛ لأنّ الاستئجار الثانی یبطل ملک المستأجر فیما سبق، فإن اتّحد التاریخ، أُعملتا أو سقطتا</w:t>
      </w:r>
      <w:r>
        <w:rPr>
          <w:rStyle w:val="FootnoteAnchor"/>
          <w:rtl w:val="true"/>
        </w:rPr>
        <w:footnoteReference w:id="559"/>
      </w:r>
      <w:r>
        <w:rPr>
          <w:rFonts w:ascii="IRNazanin" w:hAnsi="IRNazanin" w:eastAsia="IRNazanin"/>
          <w:color w:val="111111"/>
          <w:sz w:val="28"/>
          <w:sz w:val="28"/>
          <w:szCs w:val="28"/>
          <w:rtl w:val="true"/>
          <w:lang w:bidi="fa-IR"/>
        </w:rPr>
        <w:t>أو أُقرع مع الیمین</w:t>
      </w:r>
      <w:r>
        <w:rPr>
          <w:rFonts w:eastAsia="IRNazanin" w:cs="IRNazanin"/>
          <w:color w:val="111111"/>
          <w:sz w:val="28"/>
          <w:szCs w:val="28"/>
          <w:rtl w:val="true"/>
          <w:lang w:bidi="fa-IR"/>
        </w:rPr>
        <w:t>.</w:t>
      </w:r>
    </w:p>
    <w:p>
      <w:pPr>
        <w:pStyle w:val="Heading3"/>
        <w:numPr>
          <w:ilvl w:val="2"/>
          <w:numId w:val="1"/>
        </w:numPr>
        <w:rPr/>
      </w:pPr>
      <w:bookmarkStart w:id="94" w:name="__RefHeading___Toc2071273_3830689328"/>
      <w:bookmarkStart w:id="95" w:name="_Toc31"/>
      <w:bookmarkEnd w:id="94"/>
      <w:r>
        <w:rPr>
          <w:rtl w:val="true"/>
        </w:rPr>
        <w:t xml:space="preserve">درس </w:t>
      </w:r>
      <w:r>
        <w:rPr>
          <w:rtl w:val="true"/>
        </w:rPr>
        <w:t>(</w:t>
      </w:r>
      <w:r>
        <w:rPr/>
        <w:t>144</w:t>
      </w:r>
      <w:r>
        <w:rPr>
          <w:rtl w:val="true"/>
        </w:rPr>
        <w:t>)</w:t>
      </w:r>
      <w:bookmarkEnd w:id="95"/>
    </w:p>
    <w:p>
      <w:pPr>
        <w:pStyle w:val="BookText"/>
        <w:rPr/>
      </w:pPr>
      <w:r>
        <w:rPr>
          <w:rFonts w:ascii="IRNazanin" w:hAnsi="IRNazanin" w:eastAsia="IRNazanin"/>
          <w:color w:val="111111"/>
          <w:sz w:val="28"/>
          <w:sz w:val="28"/>
          <w:szCs w:val="28"/>
          <w:rtl w:val="true"/>
          <w:lang w:bidi="fa-IR"/>
        </w:rPr>
        <w:t>فی الاختلاف فی الإرث و شبهه</w:t>
      </w:r>
    </w:p>
    <w:p>
      <w:pPr>
        <w:pStyle w:val="BookText"/>
        <w:rPr/>
      </w:pPr>
      <w:r>
        <w:rPr>
          <w:rFonts w:ascii="IRNazanin" w:hAnsi="IRNazanin" w:eastAsia="IRNazanin"/>
          <w:color w:val="111111"/>
          <w:sz w:val="28"/>
          <w:sz w:val="28"/>
          <w:szCs w:val="28"/>
          <w:rtl w:val="true"/>
          <w:lang w:bidi="fa-IR"/>
        </w:rPr>
        <w:t xml:space="preserve">و 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امرأة و ولدها، فادّعی الزوج سبق موتها، و الأخ سبق موت ولدها و لا بیّنة، فترکة الولد لأبیه، و ترکة الزوجة بینهما بعد الیمینین، و لو أقاما</w:t>
      </w:r>
    </w:p>
    <w:p>
      <w:pPr>
        <w:pStyle w:val="BookText"/>
        <w:rPr/>
      </w:pPr>
      <w:r>
        <w:rPr>
          <w:rFonts w:ascii="IRNazanin" w:hAnsi="IRNazanin" w:eastAsia="IRNazanin"/>
          <w:color w:val="111111"/>
          <w:sz w:val="28"/>
          <w:sz w:val="28"/>
          <w:szCs w:val="28"/>
          <w:rtl w:val="true"/>
          <w:lang w:bidi="fa-IR"/>
        </w:rPr>
        <w:t>بیّنتین متکافئتین، 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Style w:val="FootnoteAnchor"/>
          <w:rtl w:val="true"/>
        </w:rPr>
        <w:footnoteReference w:id="560"/>
      </w:r>
      <w:r>
        <w:rPr>
          <w:rFonts w:ascii="IRNazanin" w:hAnsi="IRNazanin" w:eastAsia="IRNazanin"/>
          <w:color w:val="111111"/>
          <w:sz w:val="28"/>
          <w:sz w:val="28"/>
          <w:szCs w:val="28"/>
          <w:rtl w:val="true"/>
          <w:lang w:bidi="fa-IR"/>
        </w:rPr>
        <w:t>مسلم عن ولدین، فادّعی الکافر منهما أو الرقّ سبق إسلامه أو عتقه علی الموت لیشارکه، و أنکر</w:t>
      </w:r>
      <w:r>
        <w:rPr>
          <w:rStyle w:val="FootnoteAnchor"/>
          <w:rtl w:val="true"/>
        </w:rPr>
        <w:footnoteReference w:id="561"/>
      </w:r>
      <w:r>
        <w:rPr>
          <w:rFonts w:ascii="IRNazanin" w:hAnsi="IRNazanin" w:eastAsia="IRNazanin"/>
          <w:color w:val="111111"/>
          <w:sz w:val="28"/>
          <w:sz w:val="28"/>
          <w:szCs w:val="28"/>
          <w:rtl w:val="true"/>
          <w:lang w:bidi="fa-IR"/>
        </w:rPr>
        <w:t>أخوه، حلف علی نفی العلم إن ادّعاه علیه و حاز</w:t>
      </w:r>
      <w:r>
        <w:rPr>
          <w:rStyle w:val="FootnoteAnchor"/>
          <w:rtl w:val="true"/>
        </w:rPr>
        <w:footnoteReference w:id="562"/>
      </w:r>
      <w:r>
        <w:rPr>
          <w:rFonts w:ascii="IRNazanin" w:hAnsi="IRNazanin" w:eastAsia="IRNazanin"/>
          <w:color w:val="111111"/>
          <w:sz w:val="28"/>
          <w:sz w:val="28"/>
          <w:szCs w:val="28"/>
          <w:rtl w:val="true"/>
          <w:lang w:bidi="fa-IR"/>
        </w:rPr>
        <w:t>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تعیّن وقت الإسلام و اختلفا فی تقدّم موت الأب علیه، حلف</w:t>
      </w:r>
    </w:p>
    <w:p>
      <w:pPr>
        <w:pStyle w:val="BookText"/>
        <w:rPr/>
      </w:pPr>
      <w:r>
        <w:rPr>
          <w:rFonts w:ascii="IRNazanin" w:hAnsi="IRNazanin" w:eastAsia="IRNazanin"/>
          <w:color w:val="111111"/>
          <w:sz w:val="28"/>
          <w:sz w:val="28"/>
          <w:szCs w:val="28"/>
          <w:rtl w:val="true"/>
          <w:lang w:bidi="fa-IR"/>
        </w:rPr>
        <w:t>مدّعی تأخّر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أقاما بیّنتین متناقضتین فالقرعة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تقدیم بیّنة المسلم هنا ؛ لاشتمالها علی زیادة ؛ لأنّ التاریخ الآخر </w:t>
      </w:r>
    </w:p>
    <w:p>
      <w:pPr>
        <w:pStyle w:val="BookText"/>
        <w:rPr/>
      </w:pPr>
      <w:r>
        <w:rPr>
          <w:rFonts w:ascii="IRNazanin" w:hAnsi="IRNazanin" w:eastAsia="IRNazanin"/>
          <w:color w:val="111111"/>
          <w:sz w:val="28"/>
          <w:sz w:val="28"/>
          <w:szCs w:val="28"/>
          <w:rtl w:val="true"/>
          <w:lang w:bidi="fa-IR"/>
        </w:rPr>
        <w:t>یتّفق البیّنتان فیه علی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یضعّف بأنّ بیّنة التأخّر تشهد</w:t>
      </w:r>
      <w:r>
        <w:rPr>
          <w:rStyle w:val="FootnoteAnchor"/>
          <w:rtl w:val="true"/>
        </w:rPr>
        <w:footnoteReference w:id="563"/>
      </w:r>
      <w:r>
        <w:rPr>
          <w:rFonts w:ascii="IRNazanin" w:hAnsi="IRNazanin" w:eastAsia="IRNazanin"/>
          <w:color w:val="111111"/>
          <w:sz w:val="28"/>
          <w:sz w:val="28"/>
          <w:szCs w:val="28"/>
          <w:rtl w:val="true"/>
          <w:lang w:bidi="fa-IR"/>
        </w:rPr>
        <w:t>بالحیاة فی زمان بیّنة التقدّم، فتحقّق</w:t>
      </w:r>
      <w:r>
        <w:rPr>
          <w:rStyle w:val="FootnoteAnchor"/>
          <w:rtl w:val="true"/>
        </w:rPr>
        <w:footnoteReference w:id="564"/>
      </w:r>
      <w:r>
        <w:rPr>
          <w:rFonts w:ascii="IRNazanin" w:hAnsi="IRNazanin" w:eastAsia="IRNazanin"/>
          <w:color w:val="111111"/>
          <w:sz w:val="28"/>
          <w:sz w:val="28"/>
          <w:szCs w:val="28"/>
          <w:rtl w:val="true"/>
          <w:lang w:bidi="fa-IR"/>
        </w:rPr>
        <w:t>التناقض، و أضعف من هذا الاحتمال تقدیم بیّنة التأخّر ؛ بناءاً علی أ نّه قد یغمی علیه</w:t>
      </w:r>
      <w:r>
        <w:rPr>
          <w:rStyle w:val="FootnoteAnchor"/>
          <w:rtl w:val="true"/>
        </w:rPr>
        <w:footnoteReference w:id="565"/>
      </w:r>
      <w:r>
        <w:rPr>
          <w:rFonts w:ascii="IRNazanin" w:hAnsi="IRNazanin" w:eastAsia="IRNazanin"/>
          <w:color w:val="111111"/>
          <w:sz w:val="28"/>
          <w:sz w:val="28"/>
          <w:szCs w:val="28"/>
          <w:rtl w:val="true"/>
          <w:lang w:bidi="fa-IR"/>
        </w:rPr>
        <w:t>فی التاریخ المتقدّم</w:t>
      </w:r>
      <w:r>
        <w:rPr>
          <w:rStyle w:val="FootnoteAnchor"/>
          <w:rtl w:val="true"/>
        </w:rPr>
        <w:footnoteReference w:id="566"/>
      </w:r>
      <w:r>
        <w:rPr>
          <w:rFonts w:ascii="IRNazanin" w:hAnsi="IRNazanin" w:eastAsia="IRNazanin"/>
          <w:color w:val="111111"/>
          <w:sz w:val="28"/>
          <w:sz w:val="28"/>
          <w:szCs w:val="28"/>
          <w:rtl w:val="true"/>
          <w:lang w:bidi="fa-IR"/>
        </w:rPr>
        <w:t>، فیظنّ الشاهدان موته ؛ لأ نّه قدح فی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اقتصر علی الإخبار بالموت من غیر ذکر لواحقه القاضیة بالعلم، توجّه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تقدیم بیّنة التأخّر لو شهدت بتلک القرائن بأسرها، وزادت أ نّه کان مغمی علیه، ثمّ ظهرت حیاته بعد ذلک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لا إشکال فی تقدیم بیّنة التقدّم لو شهدت بأ نّه نبش من قبره فی تاریخ التأخّر، ثمّ جعل فی منزله، و أعلم بموته إذا لم تشهد بیّنة التأخّر بأ نّه کان حیّاً فی الزمان المتخلّل بین التاریخین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w:t>
      </w:r>
      <w:r>
        <w:rPr>
          <w:rStyle w:val="FootnoteAnchor"/>
          <w:rtl w:val="true"/>
        </w:rPr>
        <w:footnoteReference w:id="567"/>
      </w:r>
      <w:r>
        <w:rPr>
          <w:rFonts w:ascii="IRNazanin" w:hAnsi="IRNazanin" w:eastAsia="IRNazanin"/>
          <w:color w:val="111111"/>
          <w:sz w:val="28"/>
          <w:sz w:val="28"/>
          <w:szCs w:val="28"/>
          <w:rtl w:val="true"/>
          <w:lang w:bidi="fa-IR"/>
        </w:rPr>
        <w:t xml:space="preserve">اجنبیّ شراء العین من المورّث أو الزوجة إصداقها، فادّعی الوارث الإرث و أقاما بیّنة، بنی علی تقدیم الخارج، و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تقدیمه هنا قطعاً ؛ لشهادة بیّنته بما یخفی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العین فی ید أجنبیّ لا یدّعیها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تناقضا قطعاً بأن یدّعی الشراء فی وقت بعینه، فتشهد</w:t>
      </w:r>
      <w:r>
        <w:rPr>
          <w:rStyle w:val="FootnoteAnchor"/>
          <w:rtl w:val="true"/>
        </w:rPr>
        <w:footnoteReference w:id="568"/>
      </w:r>
      <w:r>
        <w:rPr>
          <w:rFonts w:ascii="IRNazanin" w:hAnsi="IRNazanin" w:eastAsia="IRNazanin"/>
          <w:color w:val="111111"/>
          <w:sz w:val="28"/>
          <w:sz w:val="28"/>
          <w:szCs w:val="28"/>
          <w:rtl w:val="true"/>
          <w:lang w:bidi="fa-IR"/>
        </w:rPr>
        <w:t>البیّنة بموته قبل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فالقرعة 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شهدت بأ نّه کان غائباً عن موضع دعوی العقد بحیث لا یمکن حضوره فی ذلک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w:t>
      </w:r>
      <w:r>
        <w:rPr>
          <w:rStyle w:val="FootnoteAnchor"/>
          <w:rtl w:val="true"/>
        </w:rPr>
        <w:footnoteReference w:id="569"/>
      </w:r>
      <w:r>
        <w:rPr>
          <w:rFonts w:ascii="IRNazanin" w:hAnsi="IRNazanin" w:eastAsia="IRNazanin"/>
          <w:color w:val="111111"/>
          <w:sz w:val="28"/>
          <w:sz w:val="28"/>
          <w:szCs w:val="28"/>
          <w:rtl w:val="true"/>
          <w:lang w:bidi="fa-IR"/>
        </w:rPr>
        <w:t>عیناً فی ید أجنبیّ له و لشریکه فی الإرث، و أقام بیّنة ذات خبرة باطنة و معرفة متقادمة، فشهدت بأ نّها لا تعلم وارثاً غیرهما، سُلّمت إلیهما، و لو کان أحدهما غائباً، سُلّم إلی المدّعی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تکمل البیّنة، بأن شهدت بنفی علمها وارثاً آخر و لا خبرة لها، أولها خبرة و لم تشهد بنفی وارث آخر، لم یسلّم إلی المدّعی شیئاً إلاّ بعد البحث بحیث لو کان وارث</w:t>
      </w:r>
      <w:r>
        <w:rPr>
          <w:rStyle w:val="FootnoteAnchor"/>
          <w:rtl w:val="true"/>
        </w:rPr>
        <w:footnoteReference w:id="570"/>
      </w:r>
      <w:r>
        <w:rPr>
          <w:rFonts w:ascii="IRNazanin" w:hAnsi="IRNazanin" w:eastAsia="IRNazanin"/>
          <w:color w:val="111111"/>
          <w:sz w:val="28"/>
          <w:sz w:val="28"/>
          <w:szCs w:val="28"/>
          <w:rtl w:val="true"/>
          <w:lang w:bidi="fa-IR"/>
        </w:rPr>
        <w:t>لظهر</w:t>
      </w:r>
      <w:r>
        <w:rPr>
          <w:rStyle w:val="FootnoteAnchor"/>
          <w:rtl w:val="true"/>
        </w:rPr>
        <w:footnoteReference w:id="571"/>
      </w:r>
      <w:r>
        <w:rPr>
          <w:rFonts w:ascii="IRNazanin" w:hAnsi="IRNazanin" w:eastAsia="IRNazanin"/>
          <w:color w:val="111111"/>
          <w:sz w:val="28"/>
          <w:sz w:val="28"/>
          <w:szCs w:val="28"/>
          <w:rtl w:val="true"/>
          <w:lang w:bidi="fa-IR"/>
        </w:rPr>
        <w:t>، فیسلّم مع الضامن</w:t>
      </w:r>
      <w:r>
        <w:rPr>
          <w:rStyle w:val="FootnoteAnchor"/>
          <w:rtl w:val="true"/>
        </w:rPr>
        <w:footnoteReference w:id="572"/>
      </w:r>
      <w:r>
        <w:rPr>
          <w:rStyle w:val="FootnoteAnchor"/>
          <w:rtl w:val="true"/>
        </w:rPr>
        <w:footnoteReference w:id="573"/>
      </w:r>
      <w:r>
        <w:rPr>
          <w:rFonts w:ascii="IRNazanin" w:hAnsi="IRNazanin" w:eastAsia="IRNazanin"/>
          <w:color w:val="111111"/>
          <w:sz w:val="28"/>
          <w:sz w:val="28"/>
          <w:szCs w:val="28"/>
          <w:rtl w:val="true"/>
          <w:lang w:bidi="fa-IR"/>
        </w:rPr>
        <w:t>؛ بناءاً علی جواز ضمان الأعیان،</w:t>
      </w:r>
    </w:p>
    <w:p>
      <w:pPr>
        <w:pStyle w:val="BookText"/>
        <w:rPr/>
      </w:pP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الاکتفاء بالکفالة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الوارث محجوباً، أُعطی مع الکمال، و أُرجئ لا معه، فإذا بحث، دفع إلیه بضمین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ذا فرض، أُعطی الأقلّ إلاّ مع الکمال أو البحث 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صدّق المتشبّث المدّعی علی عدم وارث غیره، فلا عبرة به إن کان المدّعی به عیناً علی الأقوی، و إن کان دیناً، أُمر بالتسلیم، 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التصرّف فی</w:t>
      </w:r>
    </w:p>
    <w:p>
      <w:pPr>
        <w:pStyle w:val="BookText"/>
        <w:rPr/>
      </w:pPr>
      <w:r>
        <w:rPr>
          <w:rFonts w:ascii="IRNazanin" w:hAnsi="IRNazanin" w:eastAsia="IRNazanin"/>
          <w:color w:val="111111"/>
          <w:sz w:val="28"/>
          <w:sz w:val="28"/>
          <w:szCs w:val="28"/>
          <w:rtl w:val="true"/>
          <w:lang w:bidi="fa-IR"/>
        </w:rPr>
        <w:t>مال غیره لا فی مال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عتق عبده</w:t>
      </w:r>
      <w:r>
        <w:rPr>
          <w:rStyle w:val="FootnoteAnchor"/>
          <w:rtl w:val="true"/>
        </w:rPr>
        <w:footnoteReference w:id="574"/>
      </w:r>
      <w:r>
        <w:rPr>
          <w:rFonts w:ascii="IRNazanin" w:hAnsi="IRNazanin" w:eastAsia="IRNazanin"/>
          <w:color w:val="111111"/>
          <w:sz w:val="28"/>
          <w:sz w:val="28"/>
          <w:szCs w:val="28"/>
          <w:rtl w:val="true"/>
          <w:lang w:bidi="fa-IR"/>
        </w:rPr>
        <w:t>بقتله، فأقام بیّنة به، و ادّعی الوارث موته ببیّنة</w:t>
      </w:r>
      <w:r>
        <w:rPr>
          <w:rStyle w:val="FootnoteAnchor"/>
          <w:rtl w:val="true"/>
        </w:rPr>
        <w:footnoteReference w:id="575"/>
      </w:r>
      <w:r>
        <w:rPr>
          <w:rFonts w:ascii="Amiri" w:hAnsi="Amiri" w:eastAsia="Amiri" w:cs="Amiri"/>
          <w:color w:val="111111"/>
          <w:sz w:val="28"/>
          <w:sz w:val="28"/>
          <w:szCs w:val="28"/>
          <w:rtl w:val="true"/>
          <w:lang w:bidi="ar-SA"/>
        </w:rPr>
        <w:t>، فإن تناقضتا جزماً فالقرعة، و إلاّ قدّمت بیّنة القتل ؛ لأنّ کلّ قتیل میّت و لیس کلّ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 للتعارض</w:t>
      </w:r>
      <w:r>
        <w:rPr>
          <w:rStyle w:val="FootnoteAnchor"/>
          <w:rtl w:val="true"/>
        </w:rPr>
        <w:footnoteReference w:id="576"/>
      </w:r>
      <w:r>
        <w:rPr>
          <w:rFonts w:ascii="IRNazanin" w:hAnsi="IRNazanin" w:eastAsia="IRNazanin"/>
          <w:color w:val="111111"/>
          <w:sz w:val="28"/>
          <w:sz w:val="28"/>
          <w:szCs w:val="28"/>
          <w:rtl w:val="true"/>
          <w:lang w:bidi="fa-IR"/>
        </w:rPr>
        <w:t>، 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بیّنة </w:t>
      </w:r>
    </w:p>
    <w:p>
      <w:pPr>
        <w:pStyle w:val="BookText"/>
        <w:rPr/>
      </w:pPr>
      <w:r>
        <w:rPr>
          <w:rFonts w:ascii="IRNazanin" w:hAnsi="IRNazanin" w:eastAsia="IRNazanin"/>
          <w:color w:val="111111"/>
          <w:sz w:val="28"/>
          <w:sz w:val="28"/>
          <w:szCs w:val="28"/>
          <w:rtl w:val="true"/>
          <w:lang w:bidi="fa-IR"/>
        </w:rPr>
        <w:t>العبد ؛ للزیادة</w:t>
      </w:r>
      <w:r>
        <w:rPr>
          <w:rStyle w:val="FootnoteAnchor"/>
          <w:rtl w:val="true"/>
        </w:rPr>
        <w:footnoteReference w:id="577"/>
      </w:r>
      <w:r>
        <w:rPr>
          <w:rFonts w:ascii="IRNazanin" w:hAnsi="IRNazanin" w:eastAsia="IRNazanin"/>
          <w:color w:val="111111"/>
          <w:sz w:val="28"/>
          <w:sz w:val="28"/>
          <w:szCs w:val="28"/>
          <w:rtl w:val="true"/>
          <w:lang w:bidi="fa-IR"/>
        </w:rPr>
        <w:t>، 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بیّنته</w:t>
      </w:r>
      <w:r>
        <w:rPr>
          <w:rStyle w:val="FootnoteAnchor"/>
          <w:rtl w:val="true"/>
        </w:rPr>
        <w:footnoteReference w:id="578"/>
      </w:r>
      <w:r>
        <w:rPr>
          <w:rFonts w:ascii="Amiri" w:hAnsi="Amiri" w:eastAsia="Amiri" w:cs="Amiri"/>
          <w:color w:val="111111"/>
          <w:sz w:val="28"/>
          <w:sz w:val="28"/>
          <w:szCs w:val="28"/>
          <w:rtl w:val="true"/>
          <w:lang w:bidi="ar-SA"/>
        </w:rPr>
        <w:t>؛ لأ نّه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عبدین کلّ منهما ثلث ماله، فأقام کلّ منهما بیّنة بالعتق، سواء کان الشهود ورّاثاً</w:t>
      </w:r>
      <w:r>
        <w:rPr>
          <w:rStyle w:val="FootnoteAnchor"/>
          <w:rtl w:val="true"/>
        </w:rPr>
        <w:footnoteReference w:id="579"/>
      </w:r>
      <w:r>
        <w:rPr>
          <w:rFonts w:ascii="IRNazanin" w:hAnsi="IRNazanin" w:eastAsia="IRNazanin"/>
          <w:color w:val="111111"/>
          <w:sz w:val="28"/>
          <w:sz w:val="28"/>
          <w:szCs w:val="28"/>
          <w:rtl w:val="true"/>
          <w:lang w:bidi="fa-IR"/>
        </w:rPr>
        <w:t>أو لا، فإن علم السابق، صحّ خاصّة، و إن جهل أو علم الاقتران، أُقرع، و حلف الخارج إن ادّعیا السبق و إلاّ حلف الآخر، و إلاّ تحرّر نصف</w:t>
      </w:r>
    </w:p>
    <w:p>
      <w:pPr>
        <w:pStyle w:val="BookText"/>
        <w:rPr/>
      </w:pPr>
      <w:r>
        <w:rPr>
          <w:rFonts w:ascii="Amiri" w:hAnsi="Amiri" w:eastAsia="Amiri" w:cs="Amiri"/>
          <w:color w:val="111111"/>
          <w:sz w:val="28"/>
          <w:sz w:val="28"/>
          <w:szCs w:val="28"/>
          <w:rtl w:val="true"/>
          <w:lang w:bidi="ar-SA"/>
        </w:rPr>
        <w:t>کلّ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إعمال البیّنتین فیقسّم کما فی الأملاک باطل عندنا ؛ للنصّ علی القرعة فی العبید</w:t>
      </w:r>
      <w:r>
        <w:rPr>
          <w:rStyle w:val="FootnoteAnchor"/>
          <w:rtl w:val="true"/>
        </w:rPr>
        <w:footnoteReference w:id="580"/>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شهدت البیّنتان بالسبق، فالقرعة أیضاً، لکن إن خرجت علی مَن شهد له الوارثان، فلا بحث، و إن خرجت علی الآخر، احتمل عتق ثلثی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إلاّ أنّ قیمة أحدهما سدس المال و الآخر ثلثه، فإن خرج بالقرعة الخسیس، عتق کلّه و من الآخر نصفه، و إلاّ عتق النفیس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الشهادة بالوصیّة بالعتق فکذلک فی القرعة مع جهل الحال أو علم الاقتران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أجنبیّان بالوصیّة بعتق سالم الثلث، و وارثان برجوعه عنه إلی غانم الثلث، احتمل القبول ؛ لخروج الثلث من یده و لا نظر إلی أعیان الأموال و عدمه ؛ لأ نّه کالخصم للمرجوع عنه، فیحتمل علی هذا عتق سالم و ثلثی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شهد لزید عدلان بالوصیّة بعین، و شهد</w:t>
      </w:r>
      <w:r>
        <w:rPr>
          <w:rStyle w:val="FootnoteAnchor"/>
          <w:rtl w:val="true"/>
        </w:rPr>
        <w:footnoteReference w:id="582"/>
      </w:r>
      <w:r>
        <w:rPr>
          <w:rFonts w:ascii="IRNazanin" w:hAnsi="IRNazanin" w:eastAsia="IRNazanin"/>
          <w:color w:val="111111"/>
          <w:sz w:val="28"/>
          <w:sz w:val="28"/>
          <w:szCs w:val="28"/>
          <w:rtl w:val="true"/>
          <w:lang w:bidi="fa-IR"/>
        </w:rPr>
        <w:t>وارثان أ نّه رجع عنها إلی عمرو</w:t>
      </w:r>
      <w:r>
        <w:rPr>
          <w:rFonts w:eastAsia="IRNazanin" w:cs="IRNazanin"/>
          <w:color w:val="111111"/>
          <w:sz w:val="28"/>
          <w:szCs w:val="28"/>
          <w:rtl w:val="true"/>
          <w:lang w:bidi="fa-IR"/>
        </w:rPr>
        <w:t xml:space="preserve">. </w:t>
      </w:r>
      <w:bookmarkStart w:id="96" w:name="pg13665_219044"/>
    </w:p>
    <w:p>
      <w:pPr>
        <w:pStyle w:val="Heading3"/>
        <w:numPr>
          <w:ilvl w:val="2"/>
          <w:numId w:val="1"/>
        </w:numPr>
        <w:rPr/>
      </w:pPr>
      <w:bookmarkStart w:id="97" w:name="__RefHeading___Toc2071275_3830689328"/>
      <w:bookmarkStart w:id="98" w:name="_Toc32"/>
      <w:bookmarkEnd w:id="96"/>
      <w:bookmarkEnd w:id="97"/>
      <w:r>
        <w:rPr>
          <w:rtl w:val="true"/>
        </w:rPr>
        <w:t xml:space="preserve">درس </w:t>
      </w:r>
      <w:r>
        <w:rPr>
          <w:rtl w:val="true"/>
        </w:rPr>
        <w:t>(</w:t>
      </w:r>
      <w:r>
        <w:rPr/>
        <w:t>145</w:t>
      </w:r>
      <w:r>
        <w:rPr>
          <w:rtl w:val="true"/>
        </w:rPr>
        <w:t>)</w:t>
      </w:r>
      <w:bookmarkEnd w:id="98"/>
    </w:p>
    <w:p>
      <w:pPr>
        <w:pStyle w:val="BookText"/>
        <w:rPr/>
      </w:pP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لا یلحق الولد بأبوین فصاعداً عندنا، و لا بالقائف</w:t>
      </w:r>
      <w:r>
        <w:rPr>
          <w:rStyle w:val="FootnoteAnchor"/>
          <w:rtl w:val="true"/>
        </w:rPr>
        <w:footnoteReference w:id="583"/>
      </w:r>
      <w:r>
        <w:rPr>
          <w:rFonts w:ascii="IRNazanin" w:hAnsi="IRNazanin" w:eastAsia="IRNazanin"/>
          <w:color w:val="111111"/>
          <w:sz w:val="28"/>
          <w:sz w:val="28"/>
          <w:szCs w:val="28"/>
          <w:rtl w:val="true"/>
          <w:lang w:bidi="fa-IR"/>
        </w:rPr>
        <w:t>، و خبر المدلجیّ</w:t>
      </w:r>
      <w:r>
        <w:rPr>
          <w:rStyle w:val="FootnoteAnchor"/>
          <w:rtl w:val="true"/>
        </w:rPr>
        <w:footnoteReference w:id="584"/>
      </w:r>
      <w:r>
        <w:rPr>
          <w:rFonts w:ascii="IRNazanin" w:hAnsi="IRNazanin" w:eastAsia="IRNazanin"/>
          <w:color w:val="111111"/>
          <w:sz w:val="28"/>
          <w:sz w:val="28"/>
          <w:szCs w:val="28"/>
          <w:rtl w:val="true"/>
          <w:lang w:bidi="fa-IR"/>
        </w:rPr>
        <w:t>مؤوّل، و إنّما یلحق بالفراش المنفرد و الدعوی المنفردة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الفراش أو الدعوی، فالقرعة مع عدم البیّنة أو وجودها من الطرفین، و یقبل دعوی مَن علیه ولاء و إن تضمّن إزالة إرث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تداعی الزوجان متاع البیت، ففی صحیحة رفاعة،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للرجال، و لها ما للنساء، و یقسّم بینهما ما یصلح لهما</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الشیخ فی الخلاف</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عبدالرحمان بن الحجّاج،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للمرأة</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الاستبصار</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ما یصلح للنساء ؛ توفیقاً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بینهما علی الإطلاق</w:t>
      </w:r>
      <w:r>
        <w:rPr>
          <w:rStyle w:val="FootnoteAnchor"/>
          <w:rtl w:val="true"/>
        </w:rPr>
        <w:footnoteReference w:id="589"/>
      </w:r>
      <w:r>
        <w:rPr>
          <w:rFonts w:ascii="IRNazanin" w:hAnsi="IRNazanin" w:eastAsia="IRNazanin"/>
          <w:color w:val="111111"/>
          <w:sz w:val="28"/>
          <w:sz w:val="28"/>
          <w:szCs w:val="28"/>
          <w:rtl w:val="true"/>
          <w:lang w:bidi="fa-IR"/>
        </w:rPr>
        <w:t>، سواء کانت الدار لهما أو لا، و سواء کانت الزوجیّة باقیة أو لا، و سواء کان بینهما أو بین الوارث، و العمل علی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ادّعی أبو المیّتة إعارتها بعض متاعها، فکغیره، و فی مکاتبة جعفر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بغیر بیّنة</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حذف حرف الاستفهام الإنکاریّ، و الحمل بعید و الحکم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 الشیخ فی المبسوط أمر الخصمین بالصلح</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علیهما الصلح، فإن أجابا، رفعهما إلی مَن یتوسّط بینهما و لا یتولاّه بنفسه ؛ لأ نّه</w:t>
      </w:r>
    </w:p>
    <w:p>
      <w:pPr>
        <w:pStyle w:val="BookText"/>
        <w:rPr/>
      </w:pPr>
      <w:r>
        <w:rPr>
          <w:rFonts w:ascii="IRNazanin" w:hAnsi="IRNazanin" w:eastAsia="IRNazanin"/>
          <w:color w:val="111111"/>
          <w:sz w:val="28"/>
          <w:sz w:val="28"/>
          <w:szCs w:val="28"/>
          <w:rtl w:val="true"/>
          <w:lang w:bidi="fa-IR"/>
        </w:rPr>
        <w:t>نصب لقطع الحکم لا للشفاعة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للحاکم الشفاعة بالنظرة و لا غیرها، بل یثبت الحکم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قطع ابن إدریس بجواز أن یشیر علیهما بالصلح و یأمرهما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بعض المتفقّهة منعه و نسبه إلی الخطأ</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التحقیق لا نزاع فی المسألة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الحلبیّ التوصّل بحکم المخالف إلی الحقّ إذا کان الغریمان من أهل الحقّ، و لو کان أحدهما مخالفاً، جاز</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مع إمکان التوصّل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بوجوب إخراج المحبوسین</w:t>
      </w:r>
      <w:r>
        <w:rPr>
          <w:rStyle w:val="FootnoteAnchor"/>
          <w:rtl w:val="true"/>
        </w:rPr>
        <w:footnoteReference w:id="596"/>
      </w:r>
      <w:r>
        <w:rPr>
          <w:rFonts w:ascii="IRNazanin" w:hAnsi="IRNazanin" w:eastAsia="IRNazanin"/>
          <w:color w:val="111111"/>
          <w:sz w:val="28"/>
          <w:sz w:val="28"/>
          <w:szCs w:val="28"/>
          <w:rtl w:val="true"/>
          <w:lang w:bidi="fa-IR"/>
        </w:rPr>
        <w:t>إلی الجمعة و العیدین</w:t>
      </w:r>
      <w:r>
        <w:rPr>
          <w:rStyle w:val="FootnoteAnchor"/>
          <w:rtl w:val="true"/>
        </w:rPr>
        <w:footnoteReference w:id="597"/>
      </w:r>
      <w:r>
        <w:rPr>
          <w:rFonts w:ascii="IRNazanin" w:hAnsi="IRNazanin" w:eastAsia="IRNazanin"/>
          <w:color w:val="111111"/>
          <w:sz w:val="28"/>
          <w:sz w:val="28"/>
          <w:szCs w:val="28"/>
          <w:rtl w:val="true"/>
          <w:lang w:bidi="fa-IR"/>
        </w:rPr>
        <w:t>؛ لروایة عبد الرحمان بن سَیابة، عن الصادق علیه‌السّلام</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فی وجوبه ابن إدریس ؛ </w:t>
      </w:r>
    </w:p>
    <w:p>
      <w:pPr>
        <w:pStyle w:val="BookText"/>
        <w:rPr/>
      </w:pPr>
      <w:r>
        <w:rPr>
          <w:rFonts w:ascii="IRNazanin" w:hAnsi="IRNazanin" w:eastAsia="IRNazanin"/>
          <w:color w:val="111111"/>
          <w:sz w:val="28"/>
          <w:sz w:val="28"/>
          <w:szCs w:val="28"/>
          <w:rtl w:val="true"/>
          <w:lang w:bidi="fa-IR"/>
        </w:rPr>
        <w:t>لعدم تواتر الخبر، و للشکّ فی الإجماع علیه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اعتبر الحلبیّ فی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الحلم ؛ لیدفع به سفه السفیه، و الزهد</w:t>
      </w:r>
      <w:r>
        <w:rPr>
          <w:rStyle w:val="FootnoteAnchor"/>
          <w:rtl w:val="true"/>
        </w:rPr>
        <w:footnoteReference w:id="6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حرّم مجالسة حکّام الجور</w:t>
      </w:r>
      <w:r>
        <w:rPr>
          <w:rStyle w:val="FootnoteAnchor"/>
          <w:rtl w:val="true"/>
        </w:rPr>
        <w:footnoteReference w:id="601"/>
      </w:r>
      <w:r>
        <w:rPr>
          <w:rFonts w:ascii="IRNazanin" w:hAnsi="IRNazanin" w:eastAsia="IRNazanin"/>
          <w:color w:val="111111"/>
          <w:sz w:val="28"/>
          <w:sz w:val="28"/>
          <w:szCs w:val="28"/>
          <w:rtl w:val="true"/>
          <w:lang w:bidi="fa-IR"/>
        </w:rPr>
        <w:t>؛ لروایة محمّد بن مسلم، عن الباقر علیه‌السّلام</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یجوّز الحکم بالعلم لغیر المعصوم فی حقوق اللّه تعالی، و حرّم الدعوی إلاّ مع</w:t>
      </w:r>
    </w:p>
    <w:p>
      <w:pPr>
        <w:pStyle w:val="BookText"/>
        <w:rPr/>
      </w:pPr>
      <w:r>
        <w:rPr>
          <w:rFonts w:ascii="IRNazanin" w:hAnsi="IRNazanin" w:eastAsia="IRNazanin"/>
          <w:color w:val="111111"/>
          <w:sz w:val="28"/>
          <w:sz w:val="28"/>
          <w:szCs w:val="28"/>
          <w:rtl w:val="true"/>
          <w:lang w:bidi="fa-IR"/>
        </w:rPr>
        <w:t xml:space="preserve">العلم، فلو صرّح بالتهمة أو لوّح بذلک، لم تسمع دعواه،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القاضی للدرس و المذاکرة و المناظرة وقتاً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الصدوقان</w:t>
      </w:r>
      <w:r>
        <w:rPr>
          <w:rStyle w:val="FootnoteAnchor"/>
          <w:rtl w:val="true"/>
        </w:rPr>
        <w:footnoteReference w:id="604"/>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التسویة بین الخصمین فی النظر</w:t>
      </w:r>
      <w:r>
        <w:rPr>
          <w:rStyle w:val="FootnoteAnchor"/>
          <w:rtl w:val="true"/>
        </w:rPr>
        <w:footnoteReference w:id="605"/>
      </w:r>
      <w:r>
        <w:rPr>
          <w:rFonts w:ascii="Amiri" w:hAnsi="Amiri" w:eastAsia="Amiri" w:cs="Amiri"/>
          <w:color w:val="111111"/>
          <w:sz w:val="28"/>
          <w:sz w:val="28"/>
          <w:szCs w:val="28"/>
          <w:rtl w:val="true"/>
          <w:lang w:bidi="ar-SA"/>
        </w:rPr>
        <w:t>، و هو حسن مرویّ عن علیّ علیه‌السّلام</w:t>
      </w:r>
      <w:r>
        <w:rPr>
          <w:rStyle w:val="FootnoteAnchor"/>
          <w:rtl w:val="true"/>
        </w:rPr>
        <w:footnoteReference w:id="606"/>
      </w:r>
      <w:r>
        <w:rPr>
          <w:rFonts w:ascii="Amiri" w:hAnsi="Amiri" w:eastAsia="Amiri" w:cs="Amiri"/>
          <w:color w:val="111111"/>
          <w:sz w:val="28"/>
          <w:sz w:val="28"/>
          <w:szCs w:val="28"/>
          <w:rtl w:val="true"/>
          <w:lang w:bidi="ar-SA"/>
        </w:rPr>
        <w:t>، و استحبّه سلاّر</w:t>
      </w:r>
      <w:r>
        <w:rPr>
          <w:rStyle w:val="FootnoteAnchor"/>
          <w:rtl w:val="true"/>
        </w:rPr>
        <w:footnoteReference w:id="607"/>
      </w:r>
      <w:r>
        <w:rPr>
          <w:rFonts w:ascii="IRNazanin" w:hAnsi="IRNazanin" w:eastAsia="IRNazanin"/>
          <w:color w:val="111111"/>
          <w:sz w:val="28"/>
          <w:sz w:val="28"/>
          <w:szCs w:val="28"/>
          <w:rtl w:val="true"/>
          <w:lang w:bidi="fa-IR"/>
        </w:rPr>
        <w:t>، و الفاضل فی المختلف</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أوجب ابن الجنید فی التزکیة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علیّ ولی</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فی المبسوط أحوط</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اعتبر ابن الجنید فی تصرّف الوصیّ علی الیتیم و السفیه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الحاکم</w:t>
      </w:r>
      <w:r>
        <w:rPr>
          <w:rStyle w:val="FootnoteAnchor"/>
          <w:rtl w:val="true"/>
        </w:rPr>
        <w:footnoteReference w:id="611"/>
      </w:r>
      <w:r>
        <w:rPr>
          <w:rFonts w:ascii="Amiri" w:hAnsi="Amiri" w:eastAsia="Amiri" w:cs="Amiri"/>
          <w:color w:val="111111"/>
          <w:sz w:val="28"/>
          <w:sz w:val="28"/>
          <w:szCs w:val="28"/>
          <w:rtl w:val="true"/>
          <w:lang w:bidi="ar-SA"/>
        </w:rPr>
        <w:t>، و ربّما حُمل علی 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التمس الخصم حبس خصمه بعد إقامة البیّنة بالحقّ للتعدیل، أُجیب عند الشیخ</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أقام العبد بیّنة بالعتق و سأل التفریق حتّی یعدّلها، أُجیب عنده</w:t>
      </w:r>
      <w:r>
        <w:rPr>
          <w:rStyle w:val="FootnoteAnchor"/>
          <w:rtl w:val="true"/>
        </w:rPr>
        <w:footnoteReference w:id="6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العدالة، و قد صرّح فی الخلاف بالاکتفاء بالإسلام و عدم معرفة الفسق ؛ محتجّاً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النبیّ صلّی‌اللّه علیه و آله ما کان یبحث عن الاستزکاء، و کذا الصحابة و التابعون، و إنّما أحدثه شریک بن عبداللّه القاضی</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فی المبسوط</w:t>
      </w:r>
      <w:r>
        <w:rPr>
          <w:rStyle w:val="FootnoteAnchor"/>
          <w:rtl w:val="true"/>
        </w:rPr>
        <w:footnoteReference w:id="615"/>
      </w:r>
      <w:r>
        <w:rPr>
          <w:rFonts w:ascii="IRNazanin" w:hAnsi="IRNazanin" w:eastAsia="IRNazanin"/>
          <w:color w:val="111111"/>
          <w:sz w:val="28"/>
          <w:sz w:val="28"/>
          <w:szCs w:val="28"/>
          <w:rtl w:val="true"/>
          <w:lang w:bidi="fa-IR"/>
        </w:rPr>
        <w:t xml:space="preserve">؛ عملاً بظاهر الأخبار، کمرسلة یونس،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ظاهره مأموناً، جازت شهادته و لا یسأل عن باطنه</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أبی یعفور تعطی اشتراط علم العدالة</w:t>
      </w:r>
      <w:r>
        <w:rPr>
          <w:rStyle w:val="FootnoteAnchor"/>
          <w:rtl w:val="true"/>
        </w:rPr>
        <w:footnoteReference w:id="617"/>
      </w:r>
      <w:r>
        <w:rPr>
          <w:rFonts w:ascii="IRNazanin" w:hAnsi="IRNazanin" w:eastAsia="IRNazanin"/>
          <w:color w:val="111111"/>
          <w:sz w:val="28"/>
          <w:sz w:val="28"/>
          <w:szCs w:val="28"/>
          <w:rtl w:val="true"/>
          <w:lang w:bidi="fa-IR"/>
        </w:rPr>
        <w:t>، و علیه المعظم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أوجب ابن حمزة العمل علی المعسر إذا کان له حرفة</w:t>
      </w:r>
      <w:r>
        <w:rPr>
          <w:rStyle w:val="FootnoteAnchor"/>
          <w:rtl w:val="true"/>
        </w:rPr>
        <w:footnoteReference w:id="619"/>
      </w:r>
      <w:r>
        <w:rPr>
          <w:rFonts w:ascii="IRNazanin" w:hAnsi="IRNazanin" w:eastAsia="IRNazanin"/>
          <w:color w:val="111111"/>
          <w:sz w:val="28"/>
          <w:sz w:val="28"/>
          <w:szCs w:val="28"/>
          <w:rtl w:val="true"/>
          <w:lang w:bidi="fa-IR"/>
        </w:rPr>
        <w:t xml:space="preserve">؛ لروایة السکونیّ،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 آجروه و إن شئتم استعملوه</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w:t>
      </w:r>
    </w:p>
    <w:p>
      <w:pPr>
        <w:pStyle w:val="BookText"/>
        <w:rPr/>
      </w:pPr>
      <w:r>
        <w:rPr>
          <w:rFonts w:ascii="IRNazanin" w:hAnsi="IRNazanin" w:eastAsia="IRNazanin"/>
          <w:color w:val="111111"/>
          <w:sz w:val="28"/>
          <w:sz w:val="28"/>
          <w:szCs w:val="28"/>
          <w:rtl w:val="true"/>
          <w:lang w:bidi="fa-IR"/>
        </w:rPr>
        <w:t>النهایة</w:t>
      </w:r>
      <w:r>
        <w:rPr>
          <w:rStyle w:val="FootnoteAnchor"/>
          <w:rtl w:val="true"/>
        </w:rPr>
        <w:footnoteReference w:id="621"/>
      </w:r>
      <w:r>
        <w:rPr>
          <w:rFonts w:ascii="IRNazanin" w:hAnsi="IRNazanin" w:eastAsia="IRNazanin"/>
          <w:color w:val="111111"/>
          <w:sz w:val="28"/>
          <w:sz w:val="28"/>
          <w:szCs w:val="28"/>
          <w:rtl w:val="true"/>
          <w:lang w:bidi="fa-IR"/>
        </w:rPr>
        <w:t xml:space="preserve">، و ظاهره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التکسّب علی المعسر</w:t>
      </w:r>
      <w:r>
        <w:rPr>
          <w:rStyle w:val="FootnoteAnchor"/>
          <w:rtl w:val="true"/>
        </w:rPr>
        <w:footnoteReference w:id="622"/>
      </w: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به ابن إدریس</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المختلف اختار الأوّل ؛ لأنّ القادر علی التکسّب لیس بمعسر حتّی ینظر</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الغریم دفع الوثیقة إلی المدیون، عیناً کان الحقّ أو دیناً ؛ لأ نّها حجّة له لو ظهر استحقاق المقبوض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w:t>
      </w:r>
      <w:r>
        <w:rPr>
          <w:rStyle w:val="FootnoteAnchor"/>
          <w:rtl w:val="true"/>
        </w:rPr>
        <w:footnoteReference w:id="626"/>
      </w:r>
      <w:r>
        <w:rPr>
          <w:rFonts w:ascii="IRNazanin" w:hAnsi="IRNazanin" w:eastAsia="IRNazanin"/>
          <w:color w:val="111111"/>
          <w:sz w:val="28"/>
          <w:sz w:val="28"/>
          <w:szCs w:val="28"/>
          <w:rtl w:val="true"/>
          <w:lang w:bidi="fa-IR"/>
        </w:rPr>
        <w:t xml:space="preserve">الإشهاد، 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p>
    <w:p>
      <w:pPr>
        <w:pStyle w:val="BookText"/>
        <w:rPr/>
      </w:pPr>
      <w:r>
        <w:rPr>
          <w:rFonts w:ascii="Amiri" w:hAnsi="Amiri" w:eastAsia="Amiri" w:cs="Amiri"/>
          <w:color w:val="111111"/>
          <w:sz w:val="28"/>
          <w:sz w:val="28"/>
          <w:szCs w:val="28"/>
          <w:rtl w:val="true"/>
          <w:lang w:bidi="ar-SA"/>
        </w:rPr>
        <w:t>إن کان الحقّ دیناً</w:t>
      </w:r>
      <w:r>
        <w:rPr>
          <w:rStyle w:val="FootnoteAnchor"/>
          <w:rtl w:val="true"/>
        </w:rPr>
        <w:footnoteReference w:id="627"/>
      </w:r>
      <w:r>
        <w:rPr>
          <w:rFonts w:ascii="IRNazanin" w:hAnsi="IRNazanin" w:eastAsia="IRNazanin"/>
          <w:color w:val="111111"/>
          <w:sz w:val="28"/>
          <w:sz w:val="28"/>
          <w:szCs w:val="28"/>
          <w:rtl w:val="true"/>
          <w:lang w:bidi="fa-IR"/>
        </w:rPr>
        <w:t>، و جعل تولّی القضاء مستحبّاً لمن لیس له کفایة فی المعاش، أو له کفایة و لا شهرة له بالفضل، فإن کان له کفایة و شهرة، کره 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یقضی فی الخصّ لصاحب المعاقد ؛ عملاً بروایة جابر المشهورة فی قضاء علیّ علیه‌السّلام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التمس أحد الذمّیّین حکم الإسلام، أُجبر الآخر ؛ لروایة هارون بن حمزة، عن الصادق علیه‌السّلام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البرقیّ، عن علیّ علیه‌السّلام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الإمام أن یحبس فسّاق العلماء و جهّال الأطبّاء و مفالیس الأکریاء</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99" w:name="pg13665_2190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 w:name="__RefHeading___Toc2071277_3830689328"/>
      <w:bookmarkStart w:id="101" w:name="_Toc33"/>
      <w:bookmarkEnd w:id="99"/>
      <w:bookmarkEnd w:id="100"/>
      <w:r>
        <w:rPr>
          <w:rtl w:val="true"/>
        </w:rPr>
        <w:t>کتاب القسمة</w:t>
      </w:r>
      <w:bookmarkEnd w:id="1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القسمة</w:t>
      </w:r>
    </w:p>
    <w:p>
      <w:pPr>
        <w:pStyle w:val="BookText"/>
        <w:rPr/>
      </w:pPr>
      <w:r>
        <w:rPr>
          <w:rFonts w:ascii="IRNazanin" w:hAnsi="IRNazanin" w:eastAsia="IRNazanin"/>
          <w:color w:val="111111"/>
          <w:sz w:val="28"/>
          <w:sz w:val="28"/>
          <w:szCs w:val="28"/>
          <w:rtl w:val="true"/>
          <w:lang w:bidi="fa-IR"/>
        </w:rPr>
        <w:t>یستحبّ للقاضی نصب قاسم، کاملٍ، مؤمنٍ، عدلٍ، عارفٍ بالحساب و إن کان عبداً، و لا یراعی فیمن تراضی به الخصمان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اشتملت علی تقویم، لم یکف الواحد، بل لابدّ من العدلین إلاّ مع رضی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قسمة المنصوب تلزم بالقرعة، و غیره یعتبر بعدها تراضیهما فی قسمة الردّ خاصّة، و أُجرته علی المتقاسمین بالنسبة علی الأقوی إن لم یکن بیت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متساوی الأجزاء یجبر الشرکاء علی قسمته عند طلب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تجوز القسمة خرصاً ؛ إذ لیست بیعاً،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خارصین</w:t>
      </w:r>
      <w:r>
        <w:rPr>
          <w:rStyle w:val="FootnoteAnchor"/>
          <w:rtl w:val="true"/>
        </w:rPr>
        <w:footnoteReference w:id="632"/>
      </w:r>
      <w:r>
        <w:rPr>
          <w:rFonts w:ascii="IRNazanin" w:hAnsi="IRNazanin" w:eastAsia="IRNazanin"/>
          <w:color w:val="111111"/>
          <w:sz w:val="28"/>
          <w:sz w:val="28"/>
          <w:szCs w:val="28"/>
          <w:rtl w:val="true"/>
          <w:lang w:bidi="fa-IR"/>
        </w:rPr>
        <w:t>، و مختلف الأجزاء حیث لا یفحش نقص القیمة، و لا اشتمل علی ردّ کذلک، و إلاّ فهی قسمة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أحدهم قسمة الأعیان المتساویة الأجزاء بعضاً فی بعض، لم یجبر الممتنع، بل یقسّم کلّ نوع علی حدته، و لو أمکن تعدیل الثیاب و العبید بالقسمة، قسّمت قسمة إجبار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تضرّر أحد الشریکین دون الآخر بالقسمة، أُجبر غیر المتضرّر بطلب </w:t>
      </w:r>
    </w:p>
    <w:p>
      <w:pPr>
        <w:pStyle w:val="BookText"/>
        <w:rPr/>
      </w:pPr>
      <w:r>
        <w:rPr>
          <w:rFonts w:ascii="IRNazanin" w:hAnsi="IRNazanin" w:eastAsia="IRNazanin"/>
          <w:color w:val="111111"/>
          <w:sz w:val="28"/>
          <w:sz w:val="28"/>
          <w:szCs w:val="28"/>
          <w:rtl w:val="true"/>
          <w:lang w:bidi="fa-IR"/>
        </w:rPr>
        <w:t>الآخر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 أحدهما ؛ لتضرّر الطالب</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حسن إن فسّر التضرّر بعدم الانتفاع، و إن فسّر بنقص القیمة، فالأوّل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العلوّ و السفل فی الدار یقسّم بعضاً فی بعض مع إمکان التعدیل إجباراً، و لو طلب قسمة کلّ علی حدته، لم یجبر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تقسّم الأرض و إن کان فیها زرع و لمّا یقسّم، و لو اقتسماه، جاز إن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 لعدم إمکان تعدیله و إن کان سنبلاً، أمّا لو کان قصیلاً، فإنّه</w:t>
      </w:r>
    </w:p>
    <w:p>
      <w:pPr>
        <w:pStyle w:val="BookText"/>
        <w:rPr/>
      </w:pPr>
      <w:r>
        <w:rPr>
          <w:rFonts w:ascii="IRNazanin" w:hAnsi="IRNazanin" w:eastAsia="IRNazanin"/>
          <w:color w:val="111111"/>
          <w:sz w:val="28"/>
          <w:sz w:val="28"/>
          <w:szCs w:val="28"/>
          <w:rtl w:val="true"/>
          <w:lang w:bidi="fa-IR"/>
        </w:rPr>
        <w:t>یجوز قسمته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طلبا قسمة الأرض و الزرع بعضاً فی بعض، فلا إجبار، و کذا القرحان</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قال صاحب مفتاح الکرامة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کثرة، فإن کان بکسر الفاء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کغلام و غلمان، و غراب و غربان، فیکون مطّرداً، کما أشار إلیه ابن مالک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للفُعَالِ فِعْلاَنٌ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بضمّ الفاء، کان مفرده أیضاً بضمّها، لکنّه قلیل غیر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المتعدّدة، و الدکاکین المتجاورة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استوت الدور و الأقرحة فی الرغبات، قسّمت بعضاً فی 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تضرّر بعضهم بقسمة کلّ علی حدته، جمع حقّه فی ناحیة، بخلاف البستان المختلف الأنواع، فإنّه یقسّم بعضاً فی بعض</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قسمة الوقف من الطلق لا الوقف و إن تعدّد الواقف و المصرف</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أُرید قسمة الأرض مثلاً، صحّحت المسألة علی سهامهم، ثمّ عدلت بالتقویم لا بالمساحة، و جعل للسهام أوّل یعیّنه المتقاسمون</w:t>
      </w:r>
      <w:r>
        <w:rPr>
          <w:rStyle w:val="FootnoteAnchor"/>
          <w:rtl w:val="true"/>
        </w:rPr>
        <w:footnoteReference w:id="637"/>
      </w:r>
      <w:r>
        <w:rPr>
          <w:rFonts w:ascii="IRNazanin" w:hAnsi="IRNazanin" w:eastAsia="IRNazanin"/>
          <w:color w:val="111111"/>
          <w:sz w:val="28"/>
          <w:sz w:val="28"/>
          <w:szCs w:val="28"/>
          <w:rtl w:val="true"/>
          <w:lang w:bidi="fa-IR"/>
        </w:rPr>
        <w:t xml:space="preserve">، و إلاّ الحاکم، </w:t>
      </w:r>
    </w:p>
    <w:p>
      <w:pPr>
        <w:pStyle w:val="BookText"/>
        <w:rPr/>
      </w:pPr>
      <w:r>
        <w:rPr>
          <w:rFonts w:ascii="IRNazanin" w:hAnsi="IRNazanin" w:eastAsia="IRNazanin"/>
          <w:color w:val="111111"/>
          <w:sz w:val="28"/>
          <w:sz w:val="28"/>
          <w:szCs w:val="28"/>
          <w:rtl w:val="true"/>
          <w:lang w:bidi="fa-IR"/>
        </w:rPr>
        <w:t>و تکتب أسماؤهم لا أسماء السهام ؛ حذراً من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فی المبسوط فی کتابة الرقاع بعدد الرؤوس أو بعدد السهام ؛ نظراً إلی</w:t>
      </w:r>
    </w:p>
    <w:p>
      <w:pPr>
        <w:pStyle w:val="BookText"/>
        <w:rPr/>
      </w:pPr>
      <w:r>
        <w:rPr>
          <w:rFonts w:ascii="IRNazanin" w:hAnsi="IRNazanin" w:eastAsia="IRNazanin"/>
          <w:color w:val="111111"/>
          <w:sz w:val="28"/>
          <w:sz w:val="28"/>
          <w:szCs w:val="28"/>
          <w:rtl w:val="true"/>
          <w:lang w:bidi="fa-IR"/>
        </w:rPr>
        <w:t>سرعة خروج صاحب الأکثر و حصول الغرض</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ادّعی الشریک الغلط فی القسمة أو فی التقویم و لا بیّنة، حلف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الغلط فی قسمة التراضی، کاختصاص أحدهما بالعلوّ و الآخر بالسفل، أو کان فیها ردّ و کانا قد اقتسما بأنفسهما، لم یلتفت إلیه ؛ لأ نّه إن کان</w:t>
      </w:r>
    </w:p>
    <w:p>
      <w:pPr>
        <w:pStyle w:val="BookText"/>
        <w:rPr/>
      </w:pPr>
      <w:r>
        <w:rPr>
          <w:rFonts w:ascii="IRNazanin" w:hAnsi="IRNazanin" w:eastAsia="IRNazanin"/>
          <w:color w:val="111111"/>
          <w:sz w:val="28"/>
          <w:sz w:val="28"/>
          <w:szCs w:val="28"/>
          <w:rtl w:val="true"/>
          <w:lang w:bidi="fa-IR"/>
        </w:rPr>
        <w:t>مبطلاً، فظاهر، و إن کان محقّاً، فقد رضی بترک هذه الفضلة</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بإمکان عدم علمه بها حال القسمة، فالوجه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 شهادة القاسم إن کان بأُجرة</w:t>
      </w:r>
      <w:r>
        <w:rPr>
          <w:rStyle w:val="FootnoteAnchor"/>
          <w:rtl w:val="true"/>
        </w:rPr>
        <w:footnoteReference w:id="640"/>
      </w:r>
      <w:r>
        <w:rPr>
          <w:rFonts w:ascii="IRNazanin" w:hAnsi="IRNazanin" w:eastAsia="IRNazanin"/>
          <w:color w:val="111111"/>
          <w:sz w:val="28"/>
          <w:sz w:val="28"/>
          <w:szCs w:val="28"/>
          <w:rtl w:val="true"/>
          <w:lang w:bidi="fa-IR"/>
        </w:rPr>
        <w:t>، و إلاّ قبلت ؛ لعدم التهمة، و لا یحلف قاسم القاضی ؛ لأ نّه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 فی المقسوم استحقاق جزء مشاع، نقضت، خلافاً للمبسوط، فإنّه تردّد</w:t>
      </w:r>
      <w:r>
        <w:rPr>
          <w:rStyle w:val="FootnoteAnchor"/>
          <w:rtl w:val="true"/>
        </w:rPr>
        <w:footnoteReference w:id="641"/>
      </w:r>
      <w:r>
        <w:rPr>
          <w:rFonts w:ascii="Amiri" w:hAnsi="Amiri" w:eastAsia="Amiri" w:cs="Amiri"/>
          <w:color w:val="111111"/>
          <w:sz w:val="28"/>
          <w:sz w:val="28"/>
          <w:szCs w:val="28"/>
          <w:rtl w:val="true"/>
          <w:lang w:bidi="ar-SA"/>
        </w:rPr>
        <w:t>، و لو کان الجزء معیّناً</w:t>
      </w:r>
      <w:r>
        <w:rPr>
          <w:rStyle w:val="FootnoteAnchor"/>
          <w:rtl w:val="true"/>
        </w:rPr>
        <w:footnoteReference w:id="642"/>
      </w:r>
      <w:r>
        <w:rPr>
          <w:rFonts w:ascii="IRNazanin" w:hAnsi="IRNazanin" w:eastAsia="IRNazanin"/>
          <w:color w:val="111111"/>
          <w:sz w:val="28"/>
          <w:sz w:val="28"/>
          <w:szCs w:val="28"/>
          <w:rtl w:val="true"/>
          <w:lang w:bidi="fa-IR"/>
        </w:rPr>
        <w:t>و إخراجه لا یخلّ بالتعدیل، لم تنقض و إلاّ 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أن یلزم</w:t>
      </w:r>
      <w:r>
        <w:rPr>
          <w:rStyle w:val="FootnoteAnchor"/>
          <w:rtl w:val="true"/>
        </w:rPr>
        <w:footnoteReference w:id="643"/>
      </w:r>
      <w:r>
        <w:rPr>
          <w:rFonts w:ascii="IRNazanin" w:hAnsi="IRNazanin" w:eastAsia="IRNazanin"/>
          <w:color w:val="111111"/>
          <w:sz w:val="28"/>
          <w:sz w:val="28"/>
          <w:szCs w:val="28"/>
          <w:rtl w:val="true"/>
          <w:lang w:bidi="fa-IR"/>
        </w:rPr>
        <w:t>بسدّ طریقه أو مجری مائه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یضمن أحد الشرکاء درک ما یحدثه الآخر من غرس أو بناء لو ظهر الاستحقاق، فلو</w:t>
      </w:r>
      <w:r>
        <w:rPr>
          <w:rStyle w:val="FootnoteAnchor"/>
          <w:rtl w:val="true"/>
        </w:rPr>
        <w:footnoteReference w:id="644"/>
      </w:r>
      <w:r>
        <w:rPr>
          <w:rFonts w:ascii="IRNazanin" w:hAnsi="IRNazanin" w:eastAsia="IRNazanin"/>
          <w:color w:val="111111"/>
          <w:sz w:val="28"/>
          <w:sz w:val="28"/>
          <w:szCs w:val="28"/>
          <w:rtl w:val="true"/>
          <w:lang w:bidi="fa-IR"/>
        </w:rPr>
        <w:t>اقتسم الورثة، ثمّ ظهر دین و امتنعوا من أدائه، نقضت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امتنع بعضهم، بیع نصیبه و القسمة بحالها، و الوصیّة بجزء من المقسوم تبطل </w:t>
      </w:r>
    </w:p>
    <w:p>
      <w:pPr>
        <w:pStyle w:val="BookText"/>
        <w:rPr/>
      </w:pPr>
      <w:r>
        <w:rPr>
          <w:rFonts w:ascii="IRNazanin" w:hAnsi="IRNazanin" w:eastAsia="IRNazanin"/>
          <w:color w:val="111111"/>
          <w:sz w:val="28"/>
          <w:sz w:val="28"/>
          <w:szCs w:val="28"/>
          <w:rtl w:val="true"/>
          <w:lang w:bidi="fa-IR"/>
        </w:rPr>
        <w:t>القسمة، بخلاف الوصیّة بالمال المطلق، فإنّها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المهایاة بالزمان أو بالمکان، کسکنی أحدهما بیتاً، و الآخر آخر، جائزة و لیست لازمة، و إن استوفی أحدهما، فیغرم الأُجرة، و لا یجبر الممتنع علیها و إن</w:t>
      </w:r>
    </w:p>
    <w:p>
      <w:pPr>
        <w:pStyle w:val="BookText"/>
        <w:rPr/>
      </w:pPr>
      <w:r>
        <w:rPr>
          <w:rFonts w:ascii="IRNazanin" w:hAnsi="IRNazanin" w:eastAsia="IRNazanin"/>
          <w:color w:val="111111"/>
          <w:sz w:val="28"/>
          <w:sz w:val="28"/>
          <w:szCs w:val="28"/>
          <w:rtl w:val="true"/>
          <w:lang w:bidi="fa-IR"/>
        </w:rPr>
        <w:t>کانت القسمة 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ینتزعه الحاکم و یؤجره علیهما إن کان له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الاستطراق و مجری الماء عند الإطلاق باقٍ علی ما کان علیه، و عند الشرط بحسب الشرط حتّی لو شرط سدّ طریق أحدهما، جاز، خلافاً للقاضی</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یجبر الولیّ علی القسمة فی مواضع الإجبار و إن انتفت</w:t>
      </w:r>
      <w:r>
        <w:rPr>
          <w:rStyle w:val="FootnoteAnchor"/>
          <w:rtl w:val="true"/>
        </w:rPr>
        <w:footnoteReference w:id="646"/>
      </w:r>
      <w:r>
        <w:rPr>
          <w:rFonts w:ascii="IRNazanin" w:hAnsi="IRNazanin" w:eastAsia="IRNazanin"/>
          <w:color w:val="111111"/>
          <w:sz w:val="28"/>
          <w:sz w:val="28"/>
          <w:szCs w:val="28"/>
          <w:rtl w:val="true"/>
          <w:lang w:bidi="fa-IR"/>
        </w:rPr>
        <w:t>الغبطة للمولّی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للحاکم القسمة بین أصحاب الید و إن لم یثبت عنده الملک، و للشیخ قول بالمنع</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یسجّل</w:t>
      </w:r>
      <w:r>
        <w:rPr>
          <w:rStyle w:val="FootnoteAnchor"/>
          <w:rtl w:val="true"/>
        </w:rPr>
        <w:footnoteReference w:id="648"/>
      </w:r>
      <w:r>
        <w:rPr>
          <w:rFonts w:ascii="IRNazanin" w:hAnsi="IRNazanin" w:eastAsia="IRNazanin"/>
          <w:color w:val="111111"/>
          <w:sz w:val="28"/>
          <w:sz w:val="28"/>
          <w:szCs w:val="28"/>
          <w:rtl w:val="true"/>
          <w:lang w:bidi="fa-IR"/>
        </w:rPr>
        <w:t xml:space="preserve">بالملک إلاّ مقیّداً بالید، 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یقسّم حتّی یشیع الحال بین الجیران</w:t>
      </w:r>
      <w:r>
        <w:rPr>
          <w:rStyle w:val="FootnoteAnchor"/>
          <w:rtl w:val="true"/>
        </w:rPr>
        <w:footnoteReference w:id="649"/>
      </w:r>
      <w:r>
        <w:rPr>
          <w:rFonts w:ascii="Amiri" w:hAnsi="Amiri" w:eastAsia="Amiri" w:cs="Amiri"/>
          <w:color w:val="111111"/>
          <w:sz w:val="28"/>
          <w:sz w:val="28"/>
          <w:szCs w:val="28"/>
          <w:rtl w:val="true"/>
          <w:lang w:bidi="ar-SA"/>
        </w:rPr>
        <w:t>، و ینتظر مدّة یمکن أن یحضر مدّعٍ فیها</w:t>
      </w:r>
      <w:r>
        <w:rPr>
          <w:rFonts w:eastAsia="Amiri" w:cs="Amiri" w:ascii="Amiri" w:hAnsi="Amiri"/>
          <w:color w:val="111111"/>
          <w:sz w:val="28"/>
          <w:szCs w:val="28"/>
          <w:rtl w:val="true"/>
          <w:lang w:bidi="ar-SA"/>
        </w:rPr>
        <w:t xml:space="preserve">. </w:t>
      </w:r>
      <w:bookmarkStart w:id="102" w:name="pg13665_219055"/>
    </w:p>
    <w:p>
      <w:pPr>
        <w:pStyle w:val="Heading2"/>
        <w:numPr>
          <w:ilvl w:val="1"/>
          <w:numId w:val="1"/>
        </w:numPr>
        <w:rPr/>
      </w:pPr>
      <w:bookmarkStart w:id="103" w:name="__RefHeading___Toc2071279_3830689328"/>
      <w:bookmarkStart w:id="104" w:name="_Toc34"/>
      <w:bookmarkEnd w:id="102"/>
      <w:bookmarkEnd w:id="103"/>
      <w:r>
        <w:rPr>
          <w:rtl w:val="true"/>
        </w:rPr>
        <w:t>کتاب الشهادات</w:t>
      </w:r>
      <w:bookmarkEnd w:id="10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2071281_3830689328"/>
      <w:bookmarkStart w:id="106" w:name="_Toc35"/>
      <w:bookmarkEnd w:id="105"/>
      <w:r>
        <w:rPr>
          <w:rtl w:val="true"/>
        </w:rPr>
        <w:t>اشاره</w:t>
      </w:r>
      <w:bookmarkEnd w:id="10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ascii="IRNazanin" w:hAnsi="IRNazanin" w:eastAsia="IRNazanin"/>
          <w:color w:val="111111"/>
          <w:sz w:val="28"/>
          <w:sz w:val="28"/>
          <w:szCs w:val="28"/>
          <w:rtl w:val="true"/>
          <w:lang w:bidi="fa-IR"/>
        </w:rPr>
        <w:t>یجب تحمّل الشهادة إذا دعی إلیها علی الکفایة عند معظم الأصحاب</w:t>
      </w:r>
      <w:r>
        <w:rPr>
          <w:rStyle w:val="FootnoteAnchor"/>
          <w:rtl w:val="true"/>
        </w:rPr>
        <w:footnoteReference w:id="650"/>
      </w: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الصادق علیه‌السّلام بالتحمّل</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الإجابة</w:t>
      </w:r>
      <w:r>
        <w:rPr>
          <w:rStyle w:val="FootnoteAnchor"/>
          <w:rtl w:val="true"/>
        </w:rPr>
        <w:footnoteReference w:id="653"/>
      </w:r>
      <w:r>
        <w:rPr>
          <w:rFonts w:ascii="IRNazanin" w:hAnsi="IRNazanin" w:eastAsia="IRNazanin"/>
          <w:color w:val="111111"/>
          <w:sz w:val="28"/>
          <w:sz w:val="28"/>
          <w:szCs w:val="28"/>
          <w:rtl w:val="true"/>
          <w:lang w:bidi="fa-IR"/>
        </w:rPr>
        <w:t>، و هو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الأداء فواجب علی الکفایة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الشاهد ضرراً غیر مستحقّ، سقطا، سواء کان به أو بأحد من المسلمین، و قیّد فی النهایة وجوب التحمّل بأن یکون أهلاً لها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الأهلیّة تحصل بأُمور عشرة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فلا تقبل شهادة غیر الممیّز إجماعاً، و تقبل شهادة بالغ العشر فی الجراح ما لم یبلغ النفس، بشرط الاجتماع علی المباح و عدم تفرّقهم،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بأوّل قولهم</w:t>
      </w:r>
      <w:r>
        <w:rPr>
          <w:rStyle w:val="FootnoteAnchor"/>
          <w:rtl w:val="true"/>
        </w:rPr>
        <w:footnoteReference w:id="655"/>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بالغ العشر مطلقاً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لو دار جنونه، قبلت شهادته مفیقاً بعد العلم باستکمال فطنته فی التحمّل 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التفطّن لمزایا الأُمور، فتردّ شهادة المغفّل و الأبله و مَن یغلب علیه النسیان إلاّ فی الأمر الشهیر الذی لا یرتاب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فلا تقبل شهادة غیر الذمّیّ من الکفّار، و تقبل شهادة الذمّیّ فی الوصیّة</w:t>
      </w:r>
      <w:r>
        <w:rPr>
          <w:rStyle w:val="FootnoteAnchor"/>
          <w:rtl w:val="true"/>
        </w:rPr>
        <w:footnoteReference w:id="657"/>
      </w:r>
      <w:r>
        <w:rPr>
          <w:rFonts w:ascii="IRNazanin" w:hAnsi="IRNazanin" w:eastAsia="IRNazanin"/>
          <w:color w:val="111111"/>
          <w:sz w:val="28"/>
          <w:sz w:val="28"/>
          <w:szCs w:val="28"/>
          <w:rtl w:val="true"/>
          <w:lang w:bidi="fa-IR"/>
        </w:rPr>
        <w:t>لا بالولایة عند عدم عدول المسلمین و إن لم یکن فی السفر، خلافاً للمبسوط</w:t>
      </w:r>
      <w:r>
        <w:rPr>
          <w:rStyle w:val="FootnoteAnchor"/>
          <w:rtl w:val="true"/>
        </w:rPr>
        <w:footnoteReference w:id="658"/>
      </w:r>
      <w:r>
        <w:rPr>
          <w:rFonts w:ascii="IRNazanin" w:hAnsi="IRNazanin" w:eastAsia="IRNazanin"/>
          <w:color w:val="111111"/>
          <w:sz w:val="28"/>
          <w:sz w:val="28"/>
          <w:szCs w:val="28"/>
          <w:rtl w:val="true"/>
          <w:lang w:bidi="fa-IR"/>
        </w:rPr>
        <w:t>، و ابن الجنید</w:t>
      </w:r>
      <w:r>
        <w:rPr>
          <w:rStyle w:val="FootnoteAnchor"/>
          <w:rtl w:val="true"/>
        </w:rPr>
        <w:footnoteReference w:id="659"/>
      </w:r>
      <w:r>
        <w:rPr>
          <w:rFonts w:ascii="Amiri" w:hAnsi="Amiri" w:eastAsia="Amiri" w:cs="Amiri"/>
          <w:color w:val="111111"/>
          <w:sz w:val="28"/>
          <w:sz w:val="28"/>
          <w:szCs w:val="28"/>
          <w:rtl w:val="true"/>
          <w:lang w:bidi="ar-SA"/>
        </w:rPr>
        <w:t>، و الحلبیّ</w:t>
      </w:r>
      <w:r>
        <w:rPr>
          <w:rStyle w:val="FootnoteAnchor"/>
          <w:rtl w:val="true"/>
        </w:rPr>
        <w:footnoteReference w:id="660"/>
      </w:r>
      <w:r>
        <w:rPr>
          <w:rFonts w:ascii="IRNazanin" w:hAnsi="IRNazanin" w:eastAsia="IRNazanin"/>
          <w:color w:val="111111"/>
          <w:sz w:val="28"/>
          <w:sz w:val="28"/>
          <w:szCs w:val="28"/>
          <w:rtl w:val="true"/>
          <w:lang w:bidi="fa-IR"/>
        </w:rPr>
        <w:t>؛ للآیة</w:t>
      </w:r>
      <w:r>
        <w:rPr>
          <w:rStyle w:val="FootnoteAnchor"/>
          <w:rtl w:val="true"/>
        </w:rPr>
        <w:footnoteReference w:id="661"/>
      </w:r>
      <w:r>
        <w:rPr>
          <w:rFonts w:ascii="IRNazanin" w:hAnsi="IRNazanin" w:eastAsia="IRNazanin"/>
          <w:color w:val="111111"/>
          <w:sz w:val="28"/>
          <w:sz w:val="28"/>
          <w:szCs w:val="28"/>
          <w:rtl w:val="true"/>
          <w:lang w:bidi="fa-IR"/>
        </w:rPr>
        <w:t>، و حسنة هشام بن الحکم، عن الصادق علیه‌السّلام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تشترط عدالتهم فی دینهم، و یرجّحون علی فسّاق المسلمین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 الفاضل إحلاف الذمّیّ هنا بعد العصر بصورة الآیة</w:t>
      </w:r>
      <w:r>
        <w:rPr>
          <w:rStyle w:val="FootnoteAnchor"/>
          <w:rtl w:val="true"/>
        </w:rPr>
        <w:footnoteReference w:id="663"/>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قبول شهادة أهل الذمّة لملّتهم</w:t>
      </w:r>
      <w:r>
        <w:rPr>
          <w:rStyle w:val="FootnoteAnchor"/>
          <w:rtl w:val="true"/>
        </w:rPr>
        <w:footnoteReference w:id="665"/>
      </w:r>
      <w:r>
        <w:rPr>
          <w:rFonts w:ascii="IRNazanin" w:hAnsi="IRNazanin" w:eastAsia="IRNazanin"/>
          <w:color w:val="111111"/>
          <w:sz w:val="28"/>
          <w:sz w:val="28"/>
          <w:szCs w:val="28"/>
          <w:rtl w:val="true"/>
          <w:lang w:bidi="fa-IR"/>
        </w:rPr>
        <w:t>و علیهم خلاف، أثبته الشیخ فی النهایة</w:t>
      </w:r>
      <w:r>
        <w:rPr>
          <w:rStyle w:val="FootnoteAnchor"/>
          <w:rtl w:val="true"/>
        </w:rPr>
        <w:footnoteReference w:id="666"/>
      </w:r>
      <w:r>
        <w:rPr>
          <w:rFonts w:ascii="IRNazanin" w:hAnsi="IRNazanin" w:eastAsia="IRNazanin"/>
          <w:color w:val="111111"/>
          <w:sz w:val="28"/>
          <w:sz w:val="28"/>
          <w:szCs w:val="28"/>
          <w:rtl w:val="true"/>
          <w:lang w:bidi="fa-IR"/>
        </w:rPr>
        <w:t>؛ لروایة سماعة</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ترافعوا </w:t>
      </w:r>
    </w:p>
    <w:p>
      <w:pPr>
        <w:pStyle w:val="BookText"/>
        <w:rPr/>
      </w:pPr>
      <w:r>
        <w:rPr>
          <w:rFonts w:ascii="IRNazanin" w:hAnsi="IRNazanin" w:eastAsia="IRNazanin"/>
          <w:color w:val="111111"/>
          <w:sz w:val="28"/>
          <w:sz w:val="28"/>
          <w:szCs w:val="28"/>
          <w:rtl w:val="true"/>
          <w:lang w:bidi="fa-IR"/>
        </w:rPr>
        <w:t>إلینا</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 الملّتان، کالیهود و النصاری، لم تقبل قطعاً، إلاّ ما رواه الصدوق، عن عبیداللّه الحلبیّ، عن الصادق علیه‌السّلام من جواز شهادتهم علی غیر أهل ملّتهم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فلا تقبل شهادة غیر الإمامیّ مطلقاً، و یحتمل عندی انسحاب الخلاف هنا، و یعلم الإسلام و الإیمان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المخالف بین المقلّد 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فی الفروع السمعیّة غیر الإجماعیّة لا یقدح فی العدالة، کما لا یقدح فی الفروع العقلیّة، مثل الإثبات، و النفی، و المعانی، و الأحوال و بقاء الأعراض و حدوث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هی هیئة نفسانیّة راسخة تبعث علی ملازمة التقوی و المروّة، بحیث لا یلمّ بالکبائر، و لا یصرّ علی الصغائر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ذنب توعّد</w:t>
      </w:r>
      <w:r>
        <w:rPr>
          <w:rStyle w:val="FootnoteAnchor"/>
          <w:rtl w:val="true"/>
        </w:rPr>
        <w:footnoteReference w:id="670"/>
      </w:r>
      <w:r>
        <w:rPr>
          <w:rFonts w:ascii="IRNazanin" w:hAnsi="IRNazanin" w:eastAsia="IRNazanin"/>
          <w:color w:val="111111"/>
          <w:sz w:val="28"/>
          <w:sz w:val="28"/>
          <w:szCs w:val="28"/>
          <w:rtl w:val="true"/>
          <w:lang w:bidi="fa-IR"/>
        </w:rPr>
        <w:t>علیه بخصوصه بالعقاب، و عدّت سبعاً، و هی إلی السبعین أقرب و قد حقّقناه فی القواعد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الصغیرة النادرة غیر قادحة و إن أمکن تدارکها بالاستغفار، خلافاً لابن إدریس</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کلام بعض الأصحاب أنّ الذنوب کلّها کبائر</w:t>
      </w:r>
      <w:r>
        <w:rPr>
          <w:rStyle w:val="FootnoteAnchor"/>
          <w:rtl w:val="true"/>
        </w:rPr>
        <w:footnoteReference w:id="673"/>
      </w:r>
      <w:r>
        <w:rPr>
          <w:rFonts w:ascii="IRNazanin" w:hAnsi="IRNazanin" w:eastAsia="IRNazanin"/>
          <w:color w:val="111111"/>
          <w:sz w:val="28"/>
          <w:sz w:val="28"/>
          <w:szCs w:val="28"/>
          <w:rtl w:val="true"/>
          <w:lang w:bidi="fa-IR"/>
        </w:rPr>
        <w:t xml:space="preserve">؛ نظراً إلی اشتراکها </w:t>
      </w:r>
    </w:p>
    <w:p>
      <w:pPr>
        <w:pStyle w:val="BookText"/>
        <w:rPr/>
      </w:pPr>
      <w:r>
        <w:rPr>
          <w:rFonts w:ascii="IRNazanin" w:hAnsi="IRNazanin" w:eastAsia="IRNazanin"/>
          <w:color w:val="111111"/>
          <w:sz w:val="28"/>
          <w:sz w:val="28"/>
          <w:szCs w:val="28"/>
          <w:rtl w:val="true"/>
          <w:lang w:bidi="fa-IR"/>
        </w:rPr>
        <w:t>فی مخالفة أمره تعالی و نهیه، و إنّما تسمّی الصغائر</w:t>
      </w:r>
      <w:r>
        <w:rPr>
          <w:rStyle w:val="FootnoteAnchor"/>
          <w:rtl w:val="true"/>
        </w:rPr>
        <w:footnoteReference w:id="674"/>
      </w:r>
      <w:r>
        <w:rPr>
          <w:rFonts w:ascii="IRNazanin" w:hAnsi="IRNazanin" w:eastAsia="IRNazanin"/>
          <w:color w:val="111111"/>
          <w:sz w:val="28"/>
          <w:sz w:val="28"/>
          <w:szCs w:val="28"/>
          <w:rtl w:val="true"/>
          <w:lang w:bidi="fa-IR"/>
        </w:rPr>
        <w:t>بالإضافة إلی ما</w:t>
      </w:r>
      <w:r>
        <w:rPr>
          <w:rStyle w:val="FootnoteAnchor"/>
          <w:rtl w:val="true"/>
        </w:rPr>
        <w:footnoteReference w:id="675"/>
      </w:r>
      <w:r>
        <w:rPr>
          <w:rFonts w:ascii="IRNazanin" w:hAnsi="IRNazanin" w:eastAsia="IRNazanin"/>
          <w:color w:val="111111"/>
          <w:sz w:val="28"/>
          <w:sz w:val="28"/>
          <w:szCs w:val="28"/>
          <w:rtl w:val="true"/>
          <w:lang w:bidi="fa-IR"/>
        </w:rPr>
        <w:t>فوقها،</w:t>
      </w:r>
    </w:p>
    <w:p>
      <w:pPr>
        <w:pStyle w:val="BookText"/>
        <w:rPr/>
      </w:pPr>
      <w:r>
        <w:rPr>
          <w:rFonts w:ascii="IRNazanin" w:hAnsi="IRNazanin" w:eastAsia="IRNazanin"/>
          <w:color w:val="111111"/>
          <w:sz w:val="28"/>
          <w:sz w:val="28"/>
          <w:szCs w:val="28"/>
          <w:rtl w:val="true"/>
          <w:lang w:bidi="fa-IR"/>
        </w:rPr>
        <w:t>فالقبلة المحرّمة صغیرة بالنسبة إلی الزنا، و کبیرة بالنسبة إلی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ترک السنن إلاّ أن یظهر منه التهاون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تنزیه النفس عن الدناءة التی لا تلیق بأمثاله، کالسخریّة، و کشف العورة التی یتأکّد استحباب سترها فی الصلاة، و الأکل فی الأسواق غالباً، و لبس الفقیه لباس الجندیّ بحیث یسخر منه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 فی المروّة الصنائع الدنیّة، کالکنس و الحجامة و الحیاکة، و إن استغنی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یفسّق القاذف ما لم یلاعن، أو یقم البیّنة، أو یصدّقه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یزول، بأن یتوب بإکذاب نفسه و یورّی باطناً إن کان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یخطّئ</w:t>
      </w:r>
      <w:r>
        <w:rPr>
          <w:rStyle w:val="FootnoteAnchor"/>
          <w:rtl w:val="true"/>
        </w:rPr>
        <w:footnoteReference w:id="676"/>
      </w:r>
      <w:r>
        <w:rPr>
          <w:rFonts w:ascii="IRNazanin" w:hAnsi="IRNazanin" w:eastAsia="IRNazanin"/>
          <w:color w:val="111111"/>
          <w:sz w:val="28"/>
          <w:sz w:val="28"/>
          <w:szCs w:val="28"/>
          <w:rtl w:val="true"/>
          <w:lang w:bidi="fa-IR"/>
        </w:rPr>
        <w:t>نفسه فی الملأ</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یضعّف بأ نّه قذف تعریضیّ، و بأنّ اللّه تعالی سمّی القاذف الذی لا یأتی بالشهود کاذباً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الاستمرار علی التوبة إصلاح العمل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اللاّهی</w:t>
      </w:r>
      <w:r>
        <w:rPr>
          <w:rStyle w:val="FootnoteAnchor"/>
          <w:rtl w:val="true"/>
        </w:rPr>
        <w:footnoteReference w:id="679"/>
      </w:r>
      <w:r>
        <w:rPr>
          <w:rFonts w:ascii="IRNazanin" w:hAnsi="IRNazanin" w:eastAsia="IRNazanin"/>
          <w:color w:val="111111"/>
          <w:sz w:val="28"/>
          <w:sz w:val="28"/>
          <w:szCs w:val="28"/>
          <w:rtl w:val="true"/>
          <w:lang w:bidi="fa-IR"/>
        </w:rPr>
        <w:t>بالعود و الزمر و الطبل و الطنبور و شبهه فاعلاً و مستمعاً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الدفّ بصنج</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مدوّراً یضرب أحدهما بالآخر، و یقال لما یجعل فی إطار الدفّ من النحاس المدوّر 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 إلاّ فی الإملاک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الختان، فیکره المجرّد عن الصنج</w:t>
      </w:r>
      <w:r>
        <w:rPr>
          <w:rFonts w:eastAsia="IRNazanin" w:cs="IRNazanin"/>
          <w:color w:val="111111"/>
          <w:sz w:val="28"/>
          <w:szCs w:val="28"/>
          <w:rtl w:val="true"/>
          <w:lang w:bidi="fa-IR"/>
        </w:rPr>
        <w:t>.</w:t>
      </w:r>
      <w:bookmarkStart w:id="107" w:name="pg13665_219061"/>
    </w:p>
    <w:p>
      <w:pPr>
        <w:pStyle w:val="BookText"/>
        <w:rPr/>
      </w:pPr>
      <w:bookmarkEnd w:id="107"/>
      <w:r>
        <w:rPr>
          <w:rFonts w:ascii="Amiri" w:hAnsi="Amiri" w:eastAsia="Amiri" w:cs="Amiri"/>
          <w:color w:val="111111"/>
          <w:sz w:val="28"/>
          <w:sz w:val="28"/>
          <w:szCs w:val="28"/>
          <w:rtl w:val="true"/>
          <w:lang w:bidi="ar-SA"/>
        </w:rPr>
        <w:t>و شارب المسکر خمراً أو نقیعاً أو نبیذاً أو فضیخاً</w:t>
      </w:r>
      <w:r>
        <w:rPr>
          <w:rStyle w:val="FootnoteAnchor"/>
          <w:rtl w:val="true"/>
        </w:rPr>
        <w:footnoteReference w:id="681"/>
      </w:r>
      <w:r>
        <w:rPr>
          <w:rFonts w:ascii="Amiri" w:hAnsi="Amiri" w:eastAsia="Amiri" w:cs="Amiri"/>
          <w:color w:val="111111"/>
          <w:sz w:val="28"/>
          <w:sz w:val="28"/>
          <w:szCs w:val="28"/>
          <w:rtl w:val="true"/>
          <w:lang w:bidi="ar-SA"/>
        </w:rPr>
        <w:t>أو بِتْعاً</w:t>
      </w:r>
      <w:r>
        <w:rPr>
          <w:rStyle w:val="FootnoteAnchor"/>
          <w:rtl w:val="true"/>
        </w:rPr>
        <w:footnoteReference w:id="682"/>
      </w:r>
      <w:r>
        <w:rPr>
          <w:rFonts w:ascii="Amiri" w:hAnsi="Amiri" w:eastAsia="Amiri" w:cs="Amiri"/>
          <w:color w:val="111111"/>
          <w:sz w:val="28"/>
          <w:sz w:val="28"/>
          <w:szCs w:val="28"/>
          <w:rtl w:val="true"/>
          <w:lang w:bidi="ar-SA"/>
        </w:rPr>
        <w:t>أو مِزْراً</w:t>
      </w:r>
      <w:r>
        <w:rPr>
          <w:rStyle w:val="FootnoteAnchor"/>
          <w:rtl w:val="true"/>
        </w:rPr>
        <w:footnoteReference w:id="683"/>
      </w: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جِعَة</w:t>
      </w:r>
      <w:r>
        <w:rPr>
          <w:rStyle w:val="FootnoteAnchor"/>
          <w:rtl w:val="true"/>
        </w:rPr>
        <w:footnoteReference w:id="684"/>
      </w:r>
      <w:r>
        <w:rPr>
          <w:rFonts w:ascii="IRNazanin" w:hAnsi="IRNazanin" w:eastAsia="IRNazanin"/>
          <w:color w:val="111111"/>
          <w:sz w:val="28"/>
          <w:sz w:val="28"/>
          <w:szCs w:val="28"/>
          <w:rtl w:val="true"/>
          <w:lang w:bidi="fa-IR"/>
        </w:rPr>
        <w:t>، و فی حکمه العصیر إذا غلا و اشتدّ و لمّا یذهب ثلثاه، و الفقّاع و إن اعتقد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المغنّی بمدّ صوته المطرب المرجّع و سامعه و إن کان فی قرآن أو اعتقد إباحته، و یجوز الحداء للإبل 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هاجی المؤمنین، و المتغزّل بالمرأة المعروفة</w:t>
      </w:r>
    </w:p>
    <w:p>
      <w:pPr>
        <w:pStyle w:val="BookText"/>
        <w:rPr/>
      </w:pPr>
      <w:r>
        <w:rPr>
          <w:rFonts w:ascii="IRNazanin" w:hAnsi="IRNazanin" w:eastAsia="IRNazanin"/>
          <w:color w:val="111111"/>
          <w:sz w:val="28"/>
          <w:sz w:val="28"/>
          <w:szCs w:val="28"/>
          <w:rtl w:val="true"/>
          <w:lang w:bidi="fa-IR"/>
        </w:rPr>
        <w:t>المحرّمة، لا غیره من الشعر و إن کره الإکثار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 الحسد للمؤمن، و البغضاء،</w:t>
      </w:r>
    </w:p>
    <w:p>
      <w:pPr>
        <w:pStyle w:val="BookText"/>
        <w:rPr/>
      </w:pPr>
      <w:r>
        <w:rPr>
          <w:rFonts w:ascii="IRNazanin" w:hAnsi="IRNazanin" w:eastAsia="IRNazanin"/>
          <w:color w:val="111111"/>
          <w:sz w:val="28"/>
          <w:sz w:val="28"/>
          <w:szCs w:val="28"/>
          <w:rtl w:val="true"/>
          <w:lang w:bidi="fa-IR"/>
        </w:rPr>
        <w:t>و لبس الذهب و الحریر للرجال فی غیر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القمار حتّی بالجوز و البیض و الخاتم و البُقَّیرَی</w:t>
      </w:r>
      <w:r>
        <w:rPr>
          <w:rStyle w:val="FootnoteAnchor"/>
          <w:rtl w:val="true"/>
        </w:rPr>
        <w:footnoteReference w:id="685"/>
      </w:r>
      <w:r>
        <w:rPr>
          <w:rFonts w:ascii="IRNazanin" w:hAnsi="IRNazanin" w:eastAsia="IRNazanin"/>
          <w:color w:val="111111"/>
          <w:sz w:val="28"/>
          <w:sz w:val="28"/>
          <w:szCs w:val="28"/>
          <w:rtl w:val="true"/>
          <w:lang w:bidi="fa-IR"/>
        </w:rPr>
        <w:t>، و استعمال النرد و الشطرنج و إن لم یکن فیه رهان، و اتّخاذ الحمام للرهان، أمّا للأُنس و إنفاذ الکتب فجائز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التفرّج کذلک علی الأقرب و إن کره و إن سمّی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 جعل اللعب بها قادحاً ؛ لقبحه</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العلاء بن سَیابة، عن الصادق علیه‌السّلام تدفع قبحه</w:t>
      </w:r>
      <w:r>
        <w:rPr>
          <w:rStyle w:val="FootnoteAnchor"/>
          <w:rtl w:val="true"/>
        </w:rPr>
        <w:footnoteReference w:id="687"/>
      </w:r>
      <w:r>
        <w:rPr>
          <w:rFonts w:ascii="IRNazanin" w:hAnsi="IRNazanin" w:eastAsia="IRNazanin"/>
          <w:color w:val="111111"/>
          <w:sz w:val="28"/>
          <w:sz w:val="28"/>
          <w:szCs w:val="28"/>
          <w:rtl w:val="true"/>
          <w:lang w:bidi="fa-IR"/>
        </w:rPr>
        <w:t>، و فیها نصّ علی قبول شهادته</w:t>
      </w:r>
      <w:r>
        <w:rPr>
          <w:rFonts w:eastAsia="IRNazanin" w:cs="IRNazanin"/>
          <w:color w:val="111111"/>
          <w:sz w:val="28"/>
          <w:szCs w:val="28"/>
          <w:rtl w:val="true"/>
          <w:lang w:bidi="fa-IR"/>
        </w:rPr>
        <w:t>.</w:t>
      </w:r>
    </w:p>
    <w:p>
      <w:pPr>
        <w:pStyle w:val="Heading3"/>
        <w:numPr>
          <w:ilvl w:val="2"/>
          <w:numId w:val="1"/>
        </w:numPr>
        <w:rPr/>
      </w:pPr>
      <w:bookmarkStart w:id="108" w:name="__RefHeading___Toc2071283_3830689328"/>
      <w:bookmarkStart w:id="109" w:name="_Toc36"/>
      <w:bookmarkEnd w:id="108"/>
      <w:r>
        <w:rPr>
          <w:rtl w:val="true"/>
        </w:rPr>
        <w:t xml:space="preserve">درس </w:t>
      </w:r>
      <w:r>
        <w:rPr>
          <w:rtl w:val="true"/>
        </w:rPr>
        <w:t>(</w:t>
      </w:r>
      <w:r>
        <w:rPr/>
        <w:t>146</w:t>
      </w:r>
      <w:r>
        <w:rPr>
          <w:rtl w:val="true"/>
        </w:rPr>
        <w:t>)</w:t>
      </w:r>
      <w:bookmarkEnd w:id="1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المولد، فتردّ شهادة ولد الزنا و لو فی الیسیر علی الأصحّ ؛ لأ نّه </w:t>
      </w:r>
    </w:p>
    <w:p>
      <w:pPr>
        <w:pStyle w:val="BookText"/>
        <w:rPr/>
      </w:pPr>
      <w:r>
        <w:rPr>
          <w:rFonts w:ascii="IRNazanin" w:hAnsi="IRNazanin" w:eastAsia="IRNazanin"/>
          <w:color w:val="111111"/>
          <w:sz w:val="28"/>
          <w:sz w:val="28"/>
          <w:szCs w:val="28"/>
          <w:rtl w:val="true"/>
          <w:lang w:bidi="fa-IR"/>
        </w:rPr>
        <w:t>شرّ الثلاثة، و علیه معظم الأصحاب</w:t>
      </w:r>
      <w:r>
        <w:rPr>
          <w:rStyle w:val="FootnoteAnchor"/>
          <w:rtl w:val="true"/>
        </w:rPr>
        <w:footnoteReference w:id="688"/>
      </w:r>
      <w:r>
        <w:rPr>
          <w:rFonts w:ascii="IRNazanin" w:hAnsi="IRNazanin" w:eastAsia="IRNazanin"/>
          <w:color w:val="111111"/>
          <w:sz w:val="28"/>
          <w:sz w:val="28"/>
          <w:szCs w:val="28"/>
          <w:rtl w:val="true"/>
          <w:lang w:bidi="fa-IR"/>
        </w:rPr>
        <w:t>و الأخبار الصحیحة</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إیهام قبول شهادته فی الزنا</w:t>
      </w:r>
      <w:r>
        <w:rPr>
          <w:rStyle w:val="FootnoteAnchor"/>
          <w:rtl w:val="true"/>
        </w:rPr>
        <w:footnoteReference w:id="690"/>
      </w:r>
      <w:r>
        <w:rPr>
          <w:rFonts w:ascii="IRNazanin" w:hAnsi="IRNazanin" w:eastAsia="IRNazanin"/>
          <w:color w:val="111111"/>
          <w:sz w:val="28"/>
          <w:sz w:val="28"/>
          <w:szCs w:val="28"/>
          <w:rtl w:val="true"/>
          <w:lang w:bidi="fa-IR"/>
        </w:rPr>
        <w:t xml:space="preserve">، 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فی الشیء الدون</w:t>
      </w:r>
      <w:r>
        <w:rPr>
          <w:rStyle w:val="FootnoteAnchor"/>
          <w:rtl w:val="true"/>
        </w:rPr>
        <w:footnoteReference w:id="691"/>
      </w:r>
      <w:r>
        <w:rPr>
          <w:rFonts w:ascii="IRNazanin" w:hAnsi="IRNazanin" w:eastAsia="IRNazanin"/>
          <w:color w:val="111111"/>
          <w:sz w:val="28"/>
          <w:sz w:val="28"/>
          <w:szCs w:val="28"/>
          <w:rtl w:val="true"/>
          <w:lang w:bidi="fa-IR"/>
        </w:rPr>
        <w:t>؛ لروایة عیسی بن</w:t>
      </w:r>
    </w:p>
    <w:p>
      <w:pPr>
        <w:pStyle w:val="BookText"/>
        <w:rPr/>
      </w:pPr>
      <w:r>
        <w:rPr>
          <w:rFonts w:ascii="IRNazanin" w:hAnsi="IRNazanin" w:eastAsia="IRNazanin"/>
          <w:color w:val="111111"/>
          <w:sz w:val="28"/>
          <w:sz w:val="28"/>
          <w:szCs w:val="28"/>
          <w:rtl w:val="true"/>
          <w:lang w:bidi="fa-IR"/>
        </w:rPr>
        <w:t xml:space="preserve">عبداللّه،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إلاّ فی الشیء الیسیر إذا رأیت منه صلاحاً</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یعارضها أکثر منها و أصحّ</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ردّ شهادته لکفره، کما قاله المرتضی</w:t>
      </w:r>
      <w:r>
        <w:rPr>
          <w:rStyle w:val="FootnoteAnchor"/>
          <w:rtl w:val="true"/>
        </w:rPr>
        <w:footnoteReference w:id="694"/>
      </w:r>
      <w:r>
        <w:rPr>
          <w:rFonts w:ascii="IRNazanin" w:hAnsi="IRNazanin" w:eastAsia="IRNazanin"/>
          <w:color w:val="111111"/>
          <w:sz w:val="28"/>
          <w:sz w:val="28"/>
          <w:szCs w:val="28"/>
          <w:rtl w:val="true"/>
          <w:lang w:bidi="fa-IR"/>
        </w:rPr>
        <w:t>و ابن إدریس</w:t>
      </w:r>
      <w:r>
        <w:rPr>
          <w:rStyle w:val="FootnoteAnchor"/>
          <w:rtl w:val="true"/>
        </w:rPr>
        <w:footnoteReference w:id="695"/>
      </w:r>
      <w:r>
        <w:rPr>
          <w:rFonts w:ascii="IRNazanin" w:hAnsi="IRNazanin" w:eastAsia="IRNazanin"/>
          <w:color w:val="111111"/>
          <w:sz w:val="28"/>
          <w:sz w:val="28"/>
          <w:szCs w:val="28"/>
          <w:rtl w:val="true"/>
          <w:lang w:bidi="fa-IR"/>
        </w:rPr>
        <w:t>، و إنّما تردّ شهادته مع تحقّق حاله، فلا اعتبار بمن تناله الألسن و إن کثرت، ما لم یحصل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التهمة، و لیس کلّ تهمة تدفع الشهادة بالإجماع، فإنّ شهادة الصدیق لصدیقه و الوارث لمورّثه بدین مقبولة و إن کان مشرفاً علی التلف، ما لم یرثه قبل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تقبل شهادة رفقاء القافلة علی اللصوص إذا لم یکونوا مأخوذین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أُخذ الجمیع، فشهد بعضهم</w:t>
      </w:r>
      <w:r>
        <w:rPr>
          <w:rStyle w:val="FootnoteAnchor"/>
          <w:rtl w:val="true"/>
        </w:rPr>
        <w:footnoteReference w:id="696"/>
      </w:r>
      <w:r>
        <w:rPr>
          <w:rFonts w:ascii="IRNazanin" w:hAnsi="IRNazanin" w:eastAsia="IRNazanin"/>
          <w:color w:val="111111"/>
          <w:sz w:val="28"/>
          <w:sz w:val="28"/>
          <w:szCs w:val="28"/>
          <w:rtl w:val="true"/>
          <w:lang w:bidi="fa-IR"/>
        </w:rPr>
        <w:t>لبعض، و لم یتعرّضوا</w:t>
      </w:r>
      <w:r>
        <w:rPr>
          <w:rStyle w:val="FootnoteAnchor"/>
          <w:rtl w:val="true"/>
        </w:rPr>
        <w:footnoteReference w:id="697"/>
      </w:r>
      <w:r>
        <w:rPr>
          <w:rFonts w:ascii="IRNazanin" w:hAnsi="IRNazanin" w:eastAsia="IRNazanin"/>
          <w:color w:val="111111"/>
          <w:sz w:val="28"/>
          <w:sz w:val="28"/>
          <w:szCs w:val="28"/>
          <w:rtl w:val="true"/>
          <w:lang w:bidi="fa-IR"/>
        </w:rPr>
        <w:t>لذکر</w:t>
      </w:r>
      <w:r>
        <w:rPr>
          <w:rStyle w:val="FootnoteAnchor"/>
          <w:rtl w:val="true"/>
        </w:rPr>
        <w:footnoteReference w:id="698"/>
      </w:r>
      <w:r>
        <w:rPr>
          <w:rFonts w:ascii="Amiri" w:hAnsi="Amiri" w:eastAsia="Amiri" w:cs="Amiri"/>
          <w:color w:val="111111"/>
          <w:sz w:val="28"/>
          <w:sz w:val="28"/>
          <w:szCs w:val="28"/>
          <w:rtl w:val="true"/>
          <w:lang w:bidi="ar-SA"/>
        </w:rPr>
        <w:t xml:space="preserve">ما أُخذ </w:t>
      </w:r>
    </w:p>
    <w:p>
      <w:pPr>
        <w:pStyle w:val="BookText"/>
        <w:rPr/>
      </w:pPr>
      <w:r>
        <w:rPr>
          <w:rFonts w:ascii="IRNazanin" w:hAnsi="IRNazanin" w:eastAsia="IRNazanin"/>
          <w:color w:val="111111"/>
          <w:sz w:val="28"/>
          <w:sz w:val="28"/>
          <w:szCs w:val="28"/>
          <w:rtl w:val="true"/>
          <w:lang w:bidi="fa-IR"/>
        </w:rPr>
        <w:t xml:space="preserve">لهم فی شهادتهم،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w:t>
      </w:r>
      <w:r>
        <w:rPr>
          <w:rStyle w:val="FootnoteAnchor"/>
          <w:rtl w:val="true"/>
        </w:rPr>
        <w:footnoteReference w:id="699"/>
      </w:r>
      <w:r>
        <w:rPr>
          <w:rFonts w:ascii="IRNazanin" w:hAnsi="IRNazanin" w:eastAsia="IRNazanin"/>
          <w:color w:val="111111"/>
          <w:sz w:val="28"/>
          <w:sz w:val="28"/>
          <w:szCs w:val="28"/>
          <w:rtl w:val="true"/>
          <w:lang w:bidi="fa-IR"/>
        </w:rPr>
        <w:t>، و القبول قویّ، و ما هو</w:t>
      </w:r>
      <w:r>
        <w:rPr>
          <w:rStyle w:val="FootnoteAnchor"/>
          <w:rtl w:val="true"/>
        </w:rPr>
        <w:footnoteReference w:id="700"/>
      </w:r>
      <w:r>
        <w:rPr>
          <w:rFonts w:ascii="IRNazanin" w:hAnsi="IRNazanin" w:eastAsia="IRNazanin"/>
          <w:color w:val="111111"/>
          <w:sz w:val="28"/>
          <w:sz w:val="28"/>
          <w:szCs w:val="28"/>
          <w:rtl w:val="true"/>
          <w:lang w:bidi="fa-IR"/>
        </w:rPr>
        <w:t>إلاّ کشهادة بعض غرماء المدیون لبعض، و کما لو شهدا لاثنین بوصیّة من ترکة، و شهد المشهود لهما للشاهدین بوصیّة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تردّ شهادة غرماء المدیون له بمال قبل الحجر، و لا شهادة السیّد لمکاتبه فی أحد قولی الفاضل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شهد الوصیّ بمال للیتیم،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w:t>
      </w:r>
      <w:r>
        <w:rPr>
          <w:rStyle w:val="FootnoteAnchor"/>
          <w:rtl w:val="true"/>
        </w:rPr>
        <w:footnoteReference w:id="7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دفع</w:t>
      </w:r>
      <w:r>
        <w:rPr>
          <w:rStyle w:val="FootnoteAnchor"/>
          <w:rtl w:val="true"/>
        </w:rPr>
        <w:footnoteReference w:id="703"/>
      </w:r>
      <w:r>
        <w:rPr>
          <w:rFonts w:ascii="IRNazanin" w:hAnsi="IRNazanin" w:eastAsia="IRNazanin"/>
          <w:color w:val="111111"/>
          <w:sz w:val="28"/>
          <w:sz w:val="28"/>
          <w:szCs w:val="28"/>
          <w:rtl w:val="true"/>
          <w:lang w:bidi="fa-IR"/>
        </w:rPr>
        <w:t>بأنّ الوصیّ متّهم بالولایة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تأثیر هذه التُّهَمَة نظر، و خصوصاً فی مال لا أُجرة له علی حفظه أو إصلاحه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لنذکر أسباب التُّهَمَة المعتبرة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یجرّ بشهادته نفعاً، کالشریک فیما هو شریک فیه، إذا اقتضت الشهادة مشارکته، و الوارث بجرح مورّثه ؛ لأنّ الدیة تجب له عند الموت بسبب هذا الجرح، فیلزم أن یکون</w:t>
      </w:r>
      <w:r>
        <w:rPr>
          <w:rStyle w:val="FootnoteAnchor"/>
          <w:rtl w:val="true"/>
        </w:rPr>
        <w:footnoteReference w:id="704"/>
      </w:r>
      <w:r>
        <w:rPr>
          <w:rFonts w:ascii="Amiri" w:hAnsi="Amiri" w:eastAsia="Amiri" w:cs="Amiri"/>
          <w:color w:val="111111"/>
          <w:sz w:val="28"/>
          <w:sz w:val="28"/>
          <w:szCs w:val="28"/>
          <w:rtl w:val="true"/>
          <w:lang w:bidi="ar-SA"/>
        </w:rPr>
        <w:t>شاهداً لنفسه، و الوصیّ فی متعلّق وصیّته، و غرماء المفلّس و المیّت، و السیّد لعبده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ضرراً، کشهادة العاقلة بجرح شهود جنایة الخطأ، و شهادة الوکیل و الوصیّ بجرح الشهود علی الموکّل و الموصی، و شهادة الزوج بزنا زوجته الّتی قذفها علی خلاف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شهد لاثنین بصیغة واحدة متّهم فی أحدهما ففی تبعیض الشهادة نظر، من </w:t>
      </w:r>
    </w:p>
    <w:p>
      <w:pPr>
        <w:pStyle w:val="BookText"/>
        <w:rPr/>
      </w:pPr>
      <w:r>
        <w:rPr>
          <w:rFonts w:ascii="IRNazanin" w:hAnsi="IRNazanin" w:eastAsia="IRNazanin"/>
          <w:color w:val="111111"/>
          <w:sz w:val="28"/>
          <w:sz w:val="28"/>
          <w:szCs w:val="28"/>
          <w:rtl w:val="true"/>
          <w:lang w:bidi="fa-IR"/>
        </w:rPr>
        <w:t>أ نّها واحدة، و من تحقّق المقتضی فی أحد الطرفین و المانع فی الآخر، و هو أقرب، و کذا کلّ شهادة مبعّضة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الدنیویّة و إن لم تتضمّن فسقاً، و تتحقّق بأن یعلم من کلّ منهما السرور بمساءة الآخر و بالعکس أو بالتقاذف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العداوة من أحد الجانبین، اختصّ بالقبول الخالی منها دون الآخر، و إلاّ لملک کلّ غریم ردّ شهادة العدل علیه بأن یقذفه و یخاصمه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العدوّ لعدوّه، قبلت إذا لم تتضمّن فسقاً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العداوة الدینیّة فغیر مانعة ؛ لقبول شهادة المسلم علی أهل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شهادة أهل البدع عندنا ؛ لخروجهم عن الإیمان و إن اتّصفوا بالإسلام، أو لفسقهم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الأداء قبل استنطاق الحاکم، فلو تبرّع قبله، ردّت فی حقّ الآدمیّ، و لا فرق فی التبرّع قبل الدعوی أو بعدها، و لا یصیر بالردّ مجروحاً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تردّ فی حقوق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اشترک الحقّ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السرقة یثبت القطع دون الغرم علی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706"/>
      </w:r>
      <w:r>
        <w:rPr>
          <w:rFonts w:ascii="IRNazanin" w:hAnsi="IRNazanin" w:eastAsia="IRNazanin"/>
          <w:color w:val="111111"/>
          <w:sz w:val="28"/>
          <w:sz w:val="28"/>
          <w:szCs w:val="28"/>
          <w:rtl w:val="true"/>
          <w:lang w:bidi="fa-IR"/>
        </w:rPr>
        <w:t>الطلاق، و العتاق، و الرضاع، و الخلع، و العفو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القصاص فللّه فیها حقّ غالب، و من ثَمَّ لم یسقط بالتراضی، فیحتمل قبول التبرّع فیها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الوقف العامّ،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القبول، بخلاف الخاصّ إن قلنا بالانتقال إلی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شراء الأب وجه ؛ لأنّ الغرض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أ نّه إن ثبت بغیر عوض، فهو إجحاف بالبائع، و إن ثبت بعوض، توقّف علی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و بین الخلع عسر، و غایته أنّ العوض فی الخلع غیر مقصود بذاته، بخلاف الثمن فی شراء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ثبوت العوض فی الخلع، و الثمن فی العتق بشهادة التبرّع ؛ تبعاً </w:t>
      </w:r>
    </w:p>
    <w:p>
      <w:pPr>
        <w:pStyle w:val="BookText"/>
        <w:rPr/>
      </w:pPr>
      <w:r>
        <w:rPr>
          <w:rFonts w:ascii="Amiri" w:hAnsi="Amiri" w:eastAsia="Amiri" w:cs="Amiri"/>
          <w:color w:val="111111"/>
          <w:sz w:val="28"/>
          <w:sz w:val="28"/>
          <w:szCs w:val="28"/>
          <w:rtl w:val="true"/>
          <w:lang w:bidi="ar-SA"/>
        </w:rPr>
        <w:t>لحقّ اللّه تعالی ؛ إذ قد یثبت تبعاً مالا یثبت أصلاً، و أمّا احتمال ثبوت الطلاق مجرّداً</w:t>
      </w:r>
    </w:p>
    <w:p>
      <w:pPr>
        <w:pStyle w:val="BookText"/>
        <w:rPr/>
      </w:pPr>
      <w:r>
        <w:rPr>
          <w:rFonts w:ascii="IRNazanin" w:hAnsi="IRNazanin" w:eastAsia="IRNazanin"/>
          <w:color w:val="111111"/>
          <w:sz w:val="28"/>
          <w:sz w:val="28"/>
          <w:szCs w:val="28"/>
          <w:rtl w:val="true"/>
          <w:lang w:bidi="fa-IR"/>
        </w:rPr>
        <w:t>عن العوض فی الخلع، فهو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المدّعی الابن، فالقبول قویّ، و کذا لو کان مدّعی الخلع الزوجة، و فی کون النسب من حقوق اللّه تعالی احتمال ؛ لأنّ الشرع أثبت الأنساب و منع قطعها، فهی کالعتق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التعییر بردّ الشهادة، فلو شهد المستتر بالفسق فردّت ثمّ تاب، قبلت فی کلّ شیء إلاّ فیما ردّ فیه ؛ لأنّ الطبیعة تبعث</w:t>
      </w:r>
      <w:r>
        <w:rPr>
          <w:rStyle w:val="FootnoteAnchor"/>
          <w:rtl w:val="true"/>
        </w:rPr>
        <w:footnoteReference w:id="707"/>
      </w:r>
      <w:r>
        <w:rPr>
          <w:rFonts w:ascii="IRNazanin" w:hAnsi="IRNazanin" w:eastAsia="IRNazanin"/>
          <w:color w:val="111111"/>
          <w:sz w:val="28"/>
          <w:sz w:val="28"/>
          <w:szCs w:val="28"/>
          <w:rtl w:val="true"/>
          <w:lang w:bidi="fa-IR"/>
        </w:rPr>
        <w:t>علی إثبات الصدق بعد التعییر بالردّ فیورث تهمة، و أبلغ منه لو تاب فی المجلس لتقبل الشهادة</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بالقبول مع</w:t>
      </w:r>
    </w:p>
    <w:p>
      <w:pPr>
        <w:pStyle w:val="BookText"/>
        <w:rPr/>
      </w:pPr>
      <w:r>
        <w:rPr>
          <w:rFonts w:ascii="IRNazanin" w:hAnsi="IRNazanin" w:eastAsia="IRNazanin"/>
          <w:color w:val="111111"/>
          <w:sz w:val="28"/>
          <w:sz w:val="28"/>
          <w:szCs w:val="28"/>
          <w:rtl w:val="true"/>
          <w:lang w:bidi="fa-IR"/>
        </w:rPr>
        <w:t>تحقّق عدالته و توبته، کان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الفاسق المعلن، فتقبل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ردّت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بل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أن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أقبل شهادتک</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یتمّ إذا علم منه التوبة للّه بقرائن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أطلق القول بقبول شهادته</w:t>
      </w:r>
      <w:r>
        <w:rPr>
          <w:rStyle w:val="FootnoteAnchor"/>
          <w:rtl w:val="true"/>
        </w:rPr>
        <w:footnoteReference w:id="710"/>
      </w:r>
      <w:r>
        <w:rPr>
          <w:rFonts w:ascii="IRNazanin" w:hAnsi="IRNazanin" w:eastAsia="IRNazanin"/>
          <w:color w:val="111111"/>
          <w:sz w:val="28"/>
          <w:sz w:val="28"/>
          <w:szCs w:val="28"/>
          <w:rtl w:val="true"/>
          <w:lang w:bidi="fa-IR"/>
        </w:rPr>
        <w:t>إذا صار عدلاً</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یقیّده بالإعلان و غیره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الطلاق</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بناء علی أ نّه لم یحضره شاهدا عدل ؛ إذ لو حضراه و ماتا أو غابا فشهد</w:t>
      </w:r>
      <w:r>
        <w:rPr>
          <w:rStyle w:val="FootnoteAnchor"/>
          <w:rtl w:val="true"/>
        </w:rPr>
        <w:footnoteReference w:id="714"/>
      </w:r>
      <w:r>
        <w:rPr>
          <w:rFonts w:ascii="IRNazanin" w:hAnsi="IRNazanin" w:eastAsia="IRNazanin"/>
          <w:color w:val="111111"/>
          <w:sz w:val="28"/>
          <w:sz w:val="28"/>
          <w:szCs w:val="28"/>
          <w:rtl w:val="true"/>
          <w:lang w:bidi="fa-IR"/>
        </w:rPr>
        <w:t>الفاسق به فردّت، ثمّ أعادها بعد العدالة،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فسق الشاهدان بعد الطلاق، ثمّ شهدا، ثمّ عدلا فأعاداها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شهد الکافر و الصبیّ و العدوّ، ثمّ زالت الموانع، قبلت قطعاً ؛ لأنّ الردّ جری بأسباب ظاهرة لا تهمة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یملک</w:t>
      </w:r>
      <w:r>
        <w:rPr>
          <w:rStyle w:val="FootnoteAnchor"/>
          <w:rtl w:val="true"/>
        </w:rPr>
        <w:footnoteReference w:id="715"/>
      </w:r>
      <w:r>
        <w:rPr>
          <w:rFonts w:ascii="IRNazanin" w:hAnsi="IRNazanin" w:eastAsia="IRNazanin"/>
          <w:color w:val="111111"/>
          <w:sz w:val="28"/>
          <w:sz w:val="28"/>
          <w:szCs w:val="28"/>
          <w:rtl w:val="true"/>
          <w:lang w:bidi="fa-IR"/>
        </w:rPr>
        <w:t xml:space="preserve">الحاکم سماع شهادة هؤلاء ؟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 علم المانع ؛ لعدم الفائدة، و یحتمل أن یصغی إلی شهادة الفاسق، ثمّ یردّها زجراً له عن الفسق، إذا ظنّ</w:t>
      </w:r>
    </w:p>
    <w:p>
      <w:pPr>
        <w:pStyle w:val="BookText"/>
        <w:rPr/>
      </w:pPr>
      <w:r>
        <w:rPr>
          <w:rFonts w:ascii="Amiri" w:hAnsi="Amiri" w:eastAsia="Amiri" w:cs="Amiri"/>
          <w:color w:val="111111"/>
          <w:sz w:val="28"/>
          <w:sz w:val="28"/>
          <w:szCs w:val="28"/>
          <w:rtl w:val="true"/>
          <w:lang w:bidi="ar-SA"/>
        </w:rPr>
        <w:t>أنّ ذلک یؤثّر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التهمة البعضیّة، فتقبل شهادة جمیع الأقرباء لأقربائهم حتّی الابن و الأب، و لا تشترط الضمیمة فی شهادة الوالد لولده أو علیه، و کذا الأخ و الزوجان، و قیّده فی النهایة بضمیمة عدل فی الجمیع</w:t>
      </w:r>
      <w:r>
        <w:rPr>
          <w:rStyle w:val="FootnoteAnchor"/>
          <w:rtl w:val="true"/>
        </w:rPr>
        <w:footnoteReference w:id="716"/>
      </w:r>
      <w:r>
        <w:rPr>
          <w:rFonts w:ascii="IRNazanin" w:hAnsi="IRNazanin" w:eastAsia="IRNazanin"/>
          <w:color w:val="111111"/>
          <w:sz w:val="28"/>
          <w:sz w:val="28"/>
          <w:szCs w:val="28"/>
          <w:rtl w:val="true"/>
          <w:lang w:bidi="fa-IR"/>
        </w:rPr>
        <w:t>،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التهمة الاختباء للتحمّل ؛ لأ نّه ربّما کان سبباً فی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له إعلام المشهود علیه فی الحال ؛ لئلاّ یکذّبه فی الملأ فیتعرّض للتعزیر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شهادة البدویّ علی القرویّ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ابن الجنید فی المسألتین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للمختبئ 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شرط المقرّ علی الشاهد أن لا یشهد، امتنع من الشهادة، و منع من قبول شهادة البدویّ علی القرویّ إلاّ فیما کان بالبادیة</w:t>
      </w:r>
    </w:p>
    <w:p>
      <w:pPr>
        <w:pStyle w:val="BookText"/>
        <w:rPr/>
      </w:pPr>
      <w:r>
        <w:rPr>
          <w:rFonts w:ascii="IRNazanin" w:hAnsi="IRNazanin" w:eastAsia="IRNazanin"/>
          <w:color w:val="111111"/>
          <w:sz w:val="28"/>
          <w:sz w:val="28"/>
          <w:szCs w:val="28"/>
          <w:rtl w:val="true"/>
          <w:lang w:bidi="fa-IR"/>
        </w:rPr>
        <w:t>و لم یحضره قرویّ، أو کان بالقتل بغیر حضرة قرویّ</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شهادة الأجیر لمستأجره خلاف، فقبلها ابن إدریس</w:t>
      </w:r>
      <w:r>
        <w:rPr>
          <w:rStyle w:val="FootnoteAnchor"/>
          <w:rtl w:val="true"/>
        </w:rPr>
        <w:footnoteReference w:id="718"/>
      </w:r>
      <w:r>
        <w:rPr>
          <w:rFonts w:ascii="IRNazanin" w:hAnsi="IRNazanin" w:eastAsia="IRNazanin"/>
          <w:color w:val="111111"/>
          <w:sz w:val="28"/>
          <w:sz w:val="28"/>
          <w:szCs w:val="28"/>
          <w:rtl w:val="true"/>
          <w:lang w:bidi="fa-IR"/>
        </w:rPr>
        <w:t xml:space="preserve">، و قال </w:t>
      </w:r>
    </w:p>
    <w:p>
      <w:pPr>
        <w:pStyle w:val="BookText"/>
        <w:rPr/>
      </w:pPr>
      <w:r>
        <w:rPr>
          <w:rFonts w:ascii="IRNazanin" w:hAnsi="IRNazanin" w:eastAsia="IRNazanin"/>
          <w:color w:val="111111"/>
          <w:sz w:val="28"/>
          <w:sz w:val="28"/>
          <w:szCs w:val="28"/>
          <w:rtl w:val="true"/>
          <w:lang w:bidi="fa-IR"/>
        </w:rPr>
        <w:t>الصدوقان</w:t>
      </w:r>
      <w:r>
        <w:rPr>
          <w:rStyle w:val="FootnoteAnchor"/>
          <w:rtl w:val="true"/>
        </w:rPr>
        <w:footnoteReference w:id="719"/>
      </w:r>
      <w:r>
        <w:rPr>
          <w:rFonts w:ascii="Amiri" w:hAnsi="Amiri" w:eastAsia="Amiri" w:cs="Amiri"/>
          <w:color w:val="111111"/>
          <w:sz w:val="28"/>
          <w:sz w:val="28"/>
          <w:szCs w:val="28"/>
          <w:rtl w:val="true"/>
          <w:lang w:bidi="ar-SA"/>
        </w:rPr>
        <w:t>و الشامیّان</w:t>
      </w:r>
      <w:r>
        <w:rPr>
          <w:rStyle w:val="FootnoteAnchor"/>
          <w:rtl w:val="true"/>
        </w:rPr>
        <w:footnoteReference w:id="720"/>
      </w:r>
      <w:r>
        <w:rPr>
          <w:rStyle w:val="FootnoteAnchor"/>
          <w:rtl w:val="true"/>
        </w:rPr>
        <w:footnoteReference w:id="721"/>
      </w:r>
      <w:r>
        <w:rPr>
          <w:rFonts w:ascii="IRNazanin" w:hAnsi="IRNazanin" w:eastAsia="IRNazanin"/>
          <w:color w:val="111111"/>
          <w:sz w:val="28"/>
          <w:sz w:val="28"/>
          <w:szCs w:val="28"/>
          <w:rtl w:val="true"/>
          <w:lang w:bidi="fa-IR"/>
        </w:rPr>
        <w:t xml:space="preserve">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له مادام أجیراً</w:t>
      </w:r>
      <w:r>
        <w:rPr>
          <w:rStyle w:val="FootnoteAnchor"/>
          <w:rtl w:val="true"/>
        </w:rPr>
        <w:footnoteReference w:id="722"/>
      </w:r>
      <w:r>
        <w:rPr>
          <w:rFonts w:ascii="IRNazanin" w:hAnsi="IRNazanin" w:eastAsia="IRNazanin"/>
          <w:color w:val="111111"/>
          <w:sz w:val="28"/>
          <w:sz w:val="28"/>
          <w:szCs w:val="28"/>
          <w:rtl w:val="true"/>
          <w:lang w:bidi="fa-IR"/>
        </w:rPr>
        <w:t>؛ لروایة العلاء</w:t>
      </w:r>
      <w:r>
        <w:rPr>
          <w:rStyle w:val="FootnoteAnchor"/>
          <w:rtl w:val="true"/>
        </w:rPr>
        <w:footnoteReference w:id="723"/>
      </w:r>
      <w:r>
        <w:rPr>
          <w:rFonts w:ascii="Amiri" w:hAnsi="Amiri" w:eastAsia="Amiri" w:cs="Amiri"/>
          <w:color w:val="111111"/>
          <w:sz w:val="28"/>
          <w:sz w:val="28"/>
          <w:szCs w:val="28"/>
          <w:rtl w:val="true"/>
          <w:lang w:bidi="ar-SA"/>
        </w:rPr>
        <w:t>و زرعة</w:t>
      </w:r>
      <w:r>
        <w:rPr>
          <w:rStyle w:val="FootnoteAnchor"/>
          <w:rtl w:val="true"/>
        </w:rPr>
        <w:footnoteReference w:id="724"/>
      </w:r>
      <w:r>
        <w:rPr>
          <w:rFonts w:ascii="IRNazanin" w:hAnsi="IRNazanin" w:eastAsia="IRNazanin"/>
          <w:color w:val="111111"/>
          <w:sz w:val="28"/>
          <w:sz w:val="28"/>
          <w:szCs w:val="28"/>
          <w:rtl w:val="true"/>
          <w:lang w:bidi="fa-IR"/>
        </w:rPr>
        <w:t xml:space="preserve">، و فی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شهادته 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مع التهمة</w:t>
      </w:r>
      <w:r>
        <w:rPr>
          <w:rStyle w:val="FootnoteAnchor"/>
          <w:rtl w:val="true"/>
        </w:rPr>
        <w:footnoteReference w:id="726"/>
      </w:r>
      <w:r>
        <w:rPr>
          <w:rFonts w:ascii="IRNazanin" w:hAnsi="IRNazanin" w:eastAsia="IRNazanin"/>
          <w:color w:val="111111"/>
          <w:sz w:val="28"/>
          <w:sz w:val="28"/>
          <w:szCs w:val="28"/>
          <w:rtl w:val="true"/>
          <w:lang w:bidi="fa-IR"/>
        </w:rPr>
        <w:t>، کشهادة الخیّاط و القصّار لدافع الثوب إلیه،</w:t>
      </w:r>
    </w:p>
    <w:p>
      <w:pPr>
        <w:pStyle w:val="BookText"/>
        <w:rPr/>
      </w:pPr>
      <w:r>
        <w:rPr>
          <w:rFonts w:ascii="IRNazanin" w:hAnsi="IRNazanin" w:eastAsia="IRNazanin"/>
          <w:color w:val="111111"/>
          <w:sz w:val="28"/>
          <w:sz w:val="28"/>
          <w:szCs w:val="28"/>
          <w:rtl w:val="true"/>
          <w:lang w:bidi="fa-IR"/>
        </w:rPr>
        <w:t>و تقبل شهادة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السائل بکفّه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قبولها ؛ لصحیح علیّ بن جعفر، عن أخیه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لموثّقة محمّد بن مسلم،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 یرضی إذا أُعطی، و یسخط إذا منع</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إیماء إلی تهمته، و استدرک ابن إدریس، مَن دعته الضرورة إلی ذلک</w:t>
      </w:r>
      <w:r>
        <w:rPr>
          <w:rStyle w:val="FootnoteAnchor"/>
          <w:rtl w:val="true"/>
        </w:rPr>
        <w:footnoteReference w:id="729"/>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السائل بکفّه الطفیلیّ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 اختلف فیها الأصحاب، فمنعها ابن أبی عقیل مطلقاً، و ابن الجنید إلاّ علی العبد أو الکافر</w:t>
      </w:r>
      <w:r>
        <w:rPr>
          <w:rStyle w:val="FootnoteAnchor"/>
          <w:rtl w:val="true"/>
        </w:rPr>
        <w:footnoteReference w:id="730"/>
      </w:r>
      <w:r>
        <w:rPr>
          <w:rFonts w:ascii="IRNazanin" w:hAnsi="IRNazanin" w:eastAsia="IRNazanin"/>
          <w:color w:val="111111"/>
          <w:sz w:val="28"/>
          <w:sz w:val="28"/>
          <w:szCs w:val="28"/>
          <w:rtl w:val="true"/>
          <w:lang w:bidi="fa-IR"/>
        </w:rPr>
        <w:t>، و الحلبیّ منعها علی سیّده و 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المعظم علی القبول مطلقاً إلاّ علی السیّد</w:t>
      </w:r>
      <w:r>
        <w:rPr>
          <w:rStyle w:val="FootnoteAnchor"/>
          <w:rtl w:val="true"/>
        </w:rPr>
        <w:footnoteReference w:id="732"/>
      </w:r>
      <w:r>
        <w:rPr>
          <w:rFonts w:ascii="IRNazanin" w:hAnsi="IRNazanin" w:eastAsia="IRNazanin"/>
          <w:color w:val="111111"/>
          <w:sz w:val="28"/>
          <w:sz w:val="28"/>
          <w:szCs w:val="28"/>
          <w:rtl w:val="true"/>
          <w:lang w:bidi="fa-IR"/>
        </w:rPr>
        <w:t>جمعاً بین الروایات</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التهمة ؛ لمکان سلطنة السیّد علیه، و لو تحرّر بعضه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تبعّضت</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کالقنّ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توهّم العقوق، فلو شهد الولد علی والده، ردّت عند الأکثر</w:t>
      </w:r>
      <w:r>
        <w:rPr>
          <w:rStyle w:val="FootnoteAnchor"/>
          <w:rtl w:val="true"/>
        </w:rPr>
        <w:footnoteReference w:id="735"/>
      </w:r>
      <w:r>
        <w:rPr>
          <w:rFonts w:ascii="IRNazanin" w:hAnsi="IRNazanin" w:eastAsia="IRNazanin"/>
          <w:color w:val="111111"/>
          <w:sz w:val="28"/>
          <w:sz w:val="28"/>
          <w:szCs w:val="28"/>
          <w:rtl w:val="true"/>
          <w:lang w:bidi="fa-IR"/>
        </w:rPr>
        <w:t>، و نقل الشیخ فیه الإجماع</w:t>
      </w:r>
      <w:r>
        <w:rPr>
          <w:rStyle w:val="FootnoteAnchor"/>
          <w:rtl w:val="true"/>
        </w:rPr>
        <w:footnoteReference w:id="736"/>
      </w:r>
      <w:r>
        <w:rPr>
          <w:rFonts w:ascii="IRNazanin" w:hAnsi="IRNazanin" w:eastAsia="IRNazanin"/>
          <w:color w:val="111111"/>
          <w:sz w:val="28"/>
          <w:sz w:val="28"/>
          <w:szCs w:val="28"/>
          <w:rtl w:val="true"/>
          <w:lang w:bidi="fa-IR"/>
        </w:rPr>
        <w:t>، و الآیة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خبرا داود بن الحصین</w:t>
      </w:r>
      <w:r>
        <w:rPr>
          <w:rStyle w:val="FootnoteAnchor"/>
          <w:rtl w:val="true"/>
        </w:rPr>
        <w:footnoteReference w:id="738"/>
      </w:r>
      <w:r>
        <w:rPr>
          <w:rFonts w:ascii="IRNazanin" w:hAnsi="IRNazanin" w:eastAsia="IRNazanin"/>
          <w:color w:val="111111"/>
          <w:sz w:val="28"/>
          <w:sz w:val="28"/>
          <w:szCs w:val="28"/>
          <w:rtl w:val="true"/>
          <w:lang w:bidi="fa-IR"/>
        </w:rPr>
        <w:t>و علیّ بن سوید</w:t>
      </w:r>
      <w:r>
        <w:rPr>
          <w:rStyle w:val="FootnoteAnchor"/>
          <w:rtl w:val="true"/>
        </w:rPr>
        <w:footnoteReference w:id="739"/>
      </w:r>
      <w:r>
        <w:rPr>
          <w:rFonts w:ascii="IRNazanin" w:hAnsi="IRNazanin" w:eastAsia="IRNazanin"/>
          <w:color w:val="111111"/>
          <w:sz w:val="28"/>
          <w:sz w:val="28"/>
          <w:szCs w:val="28"/>
          <w:rtl w:val="true"/>
          <w:lang w:bidi="fa-IR"/>
        </w:rPr>
        <w:t>یعطی القبول، و اختاره المرتضی</w:t>
      </w:r>
      <w:r>
        <w:rPr>
          <w:rStyle w:val="FootnoteAnchor"/>
          <w:rtl w:val="true"/>
        </w:rPr>
        <w:footnoteReference w:id="740"/>
      </w:r>
      <w:r>
        <w:rPr>
          <w:rFonts w:ascii="IRNazanin" w:hAnsi="IRNazanin" w:eastAsia="IRNazanin"/>
          <w:color w:val="111111"/>
          <w:sz w:val="28"/>
          <w:sz w:val="28"/>
          <w:szCs w:val="28"/>
          <w:rtl w:val="true"/>
          <w:lang w:bidi="fa-IR"/>
        </w:rPr>
        <w:t>، و هو قویّ، و الإجماع حجّة علی مَن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حکمه الجدّ و إن علا علی الأقرب</w:t>
      </w:r>
      <w:r>
        <w:rPr>
          <w:rFonts w:eastAsia="IRNazanin" w:cs="IRNazanin"/>
          <w:color w:val="111111"/>
          <w:sz w:val="28"/>
          <w:szCs w:val="28"/>
          <w:rtl w:val="true"/>
          <w:lang w:bidi="fa-IR"/>
        </w:rPr>
        <w:t xml:space="preserve">. </w:t>
      </w:r>
      <w:bookmarkStart w:id="110" w:name="pg13665_219069"/>
    </w:p>
    <w:p>
      <w:pPr>
        <w:pStyle w:val="Heading3"/>
        <w:numPr>
          <w:ilvl w:val="2"/>
          <w:numId w:val="1"/>
        </w:numPr>
        <w:rPr/>
      </w:pPr>
      <w:bookmarkStart w:id="111" w:name="__RefHeading___Toc2071285_3830689328"/>
      <w:bookmarkStart w:id="112" w:name="_Toc37"/>
      <w:bookmarkEnd w:id="110"/>
      <w:bookmarkEnd w:id="111"/>
      <w:r>
        <w:rPr>
          <w:rtl w:val="true"/>
        </w:rPr>
        <w:t xml:space="preserve">درس </w:t>
      </w:r>
      <w:r>
        <w:rPr>
          <w:rtl w:val="true"/>
        </w:rPr>
        <w:t>(</w:t>
      </w:r>
      <w:r>
        <w:rPr/>
        <w:t>147</w:t>
      </w:r>
      <w:r>
        <w:rPr>
          <w:rtl w:val="true"/>
        </w:rPr>
        <w:t>)</w:t>
      </w:r>
      <w:bookmarkEnd w:id="112"/>
    </w:p>
    <w:p>
      <w:pPr>
        <w:pStyle w:val="BookText"/>
        <w:rPr/>
      </w:pPr>
      <w:r>
        <w:rPr>
          <w:rFonts w:ascii="IRNazanin" w:hAnsi="IRNazanin" w:eastAsia="IRNazanin"/>
          <w:color w:val="111111"/>
          <w:sz w:val="28"/>
          <w:sz w:val="28"/>
          <w:szCs w:val="28"/>
          <w:rtl w:val="true"/>
          <w:lang w:bidi="fa-IR"/>
        </w:rPr>
        <w:t>المعتبر باجتماع الشرائط حال الأداء إلی الحکم</w:t>
      </w:r>
      <w:r>
        <w:rPr>
          <w:rStyle w:val="FootnoteAnchor"/>
          <w:rtl w:val="true"/>
        </w:rPr>
        <w:footnoteReference w:id="741"/>
      </w:r>
      <w:r>
        <w:rPr>
          <w:rFonts w:ascii="IRNazanin" w:hAnsi="IRNazanin" w:eastAsia="IRNazanin"/>
          <w:color w:val="111111"/>
          <w:sz w:val="28"/>
          <w:sz w:val="28"/>
          <w:szCs w:val="28"/>
          <w:rtl w:val="true"/>
          <w:lang w:bidi="fa-IR"/>
        </w:rPr>
        <w:t>لا حال التحمّل، فلو تحمّل ناقصاً، ثمّ کمل حین الأداء،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طرأ الفسق أو الکفر أو العداوة بعد الأداء قبل الحکم، لم یحکم به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Style w:val="FootnoteAnchor"/>
          <w:rtl w:val="true"/>
        </w:rPr>
        <w:footnoteReference w:id="742"/>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 لصدق العدالة حال</w:t>
      </w:r>
      <w:r>
        <w:rPr>
          <w:rStyle w:val="FootnoteAnchor"/>
          <w:rtl w:val="true"/>
        </w:rPr>
        <w:footnoteReference w:id="743"/>
      </w:r>
      <w:r>
        <w:rPr>
          <w:rFonts w:ascii="Amiri" w:hAnsi="Amiri" w:eastAsia="Amiri" w:cs="Amiri"/>
          <w:color w:val="111111"/>
          <w:sz w:val="28"/>
          <w:sz w:val="28"/>
          <w:szCs w:val="28"/>
          <w:rtl w:val="true"/>
          <w:lang w:bidi="ar-SA"/>
        </w:rPr>
        <w:t>الشهادة</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للفاضل القولان</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حقّاً للّه‌</w:t>
      </w:r>
      <w:r>
        <w:rPr>
          <w:rStyle w:val="FootnoteAnchor"/>
          <w:rtl w:val="true"/>
        </w:rPr>
        <w:footnoteReference w:id="746"/>
      </w:r>
      <w:r>
        <w:rPr>
          <w:rFonts w:ascii="IRNazanin" w:hAnsi="IRNazanin" w:eastAsia="IRNazanin"/>
          <w:color w:val="111111"/>
          <w:sz w:val="28"/>
          <w:sz w:val="28"/>
          <w:szCs w:val="28"/>
          <w:rtl w:val="true"/>
          <w:lang w:bidi="fa-IR"/>
        </w:rPr>
        <w:t>، لم یحکم و إلاّ حکم</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اشتمل علی الحقّین، کالقصاص و القذف، غلب حقّ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السرقة یحکم بالمال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تجدّد بعد الحکم و قبل الاستیفاء، استمرّ فی غیر حقّ اللّه تعالی ؛ لبنائه علی التخفیف، و لو کان بعد الاستیفاء، فلا نقض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مانع سابق علی الحکم، نقض مطلقاً، فإن کان قتلاً أو جرحاً، فالدیة فی بیت المال و لو باشره الولیّ علی الأصحّ إذا کان بحکم الحاکم، إلاّ أن یعترف ببطلان الدعوی، و إن کان مالاً، استعید، فإن تلف، فبدله من المحکوم له، فإن أُعسر، ضمنه الحاکم عند الشیخ</w:t>
      </w:r>
      <w:r>
        <w:rPr>
          <w:rStyle w:val="FootnoteAnchor"/>
          <w:rtl w:val="true"/>
        </w:rPr>
        <w:footnoteReference w:id="748"/>
      </w:r>
      <w:r>
        <w:rPr>
          <w:rFonts w:ascii="IRNazanin" w:hAnsi="IRNazanin" w:eastAsia="IRNazanin"/>
          <w:color w:val="111111"/>
          <w:sz w:val="28"/>
          <w:sz w:val="28"/>
          <w:szCs w:val="28"/>
          <w:rtl w:val="true"/>
          <w:lang w:bidi="fa-IR"/>
        </w:rPr>
        <w:t>، ثمّ یرجع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الشهداء بعد الإقامة، حکم و إن عدّلوا بعد الموت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تقبل شهادة الأعمی فیما لا یفتقر إلی الرؤیة، و لو تحمّل الشهادة مبصراً، ثمّ </w:t>
      </w:r>
    </w:p>
    <w:p>
      <w:pPr>
        <w:pStyle w:val="BookText"/>
        <w:rPr/>
      </w:pPr>
      <w:r>
        <w:rPr>
          <w:rFonts w:ascii="IRNazanin" w:hAnsi="IRNazanin" w:eastAsia="IRNazanin"/>
          <w:color w:val="111111"/>
          <w:sz w:val="28"/>
          <w:sz w:val="28"/>
          <w:szCs w:val="28"/>
          <w:rtl w:val="true"/>
          <w:lang w:bidi="fa-IR"/>
        </w:rPr>
        <w:t>کُفّ، جازت إقامتها إن کانت ممّا لا یفتقر إلی البصر، و إلاّ اشترط معرفته بالمشهود علیه قطعاً باسمه و نسبه، أو یعرّفه عنده عدلان أو یکون مقبوضاً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تحمّله</w:t>
      </w:r>
      <w:r>
        <w:rPr>
          <w:rStyle w:val="FootnoteAnchor"/>
          <w:rtl w:val="true"/>
        </w:rPr>
        <w:footnoteReference w:id="749"/>
      </w:r>
      <w:r>
        <w:rPr>
          <w:rFonts w:ascii="IRNazanin" w:hAnsi="IRNazanin" w:eastAsia="IRNazanin"/>
          <w:color w:val="111111"/>
          <w:sz w:val="28"/>
          <w:sz w:val="28"/>
          <w:szCs w:val="28"/>
          <w:rtl w:val="true"/>
          <w:lang w:bidi="fa-IR"/>
        </w:rPr>
        <w:t>الشهادة علی ما یحتاج إلی البصر یفتقر إلی أحد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کونه مترجماً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الأصمّ مسموع فی المبصرات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جمیل،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بالقتل أُخذ بأوّل قوله لا بثانیه</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الشیخ</w:t>
      </w:r>
      <w:r>
        <w:rPr>
          <w:rStyle w:val="FootnoteAnchor"/>
          <w:rtl w:val="true"/>
        </w:rPr>
        <w:footnoteReference w:id="751"/>
      </w:r>
      <w:r>
        <w:rPr>
          <w:rFonts w:ascii="IRNazanin" w:hAnsi="IRNazanin" w:eastAsia="IRNazanin"/>
          <w:color w:val="111111"/>
          <w:sz w:val="28"/>
          <w:sz w:val="28"/>
          <w:szCs w:val="28"/>
          <w:rtl w:val="true"/>
          <w:lang w:bidi="fa-IR"/>
        </w:rPr>
        <w:t>و أتباعه</w:t>
      </w:r>
      <w:r>
        <w:rPr>
          <w:rStyle w:val="FootnoteAnchor"/>
          <w:rtl w:val="true"/>
        </w:rPr>
        <w:footnoteReference w:id="752"/>
      </w:r>
      <w:r>
        <w:rPr>
          <w:rFonts w:ascii="IRNazanin" w:hAnsi="IRNazanin" w:eastAsia="IRNazanin"/>
          <w:color w:val="111111"/>
          <w:sz w:val="28"/>
          <w:sz w:val="28"/>
          <w:szCs w:val="28"/>
          <w:rtl w:val="true"/>
          <w:lang w:bidi="fa-IR"/>
        </w:rPr>
        <w:t xml:space="preserve">، و لم یقیّدوا بالقتل، 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 قبول شهادته و هو الأصحّ، و فی طریق الروایة سهل بن زیاد، و هو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الأخرس إذا فهمت إشارته بمترجمین عدلین، قبلت شهادته، و لیس المترجمان فرعین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تکفی الإشارة فی شهادة الناطق، و مَن شهد بمعرّفین فهو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الضابط فی تحمّل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بالسماع أو الرؤیة أو بهما معاً، فتکفی الاستفاضة فی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الملک المطلق، و الوقف، و النکاح، و الموت،</w:t>
      </w:r>
    </w:p>
    <w:p>
      <w:pPr>
        <w:pStyle w:val="BookText"/>
        <w:rPr/>
      </w:pPr>
      <w:r>
        <w:rPr>
          <w:rFonts w:ascii="IRNazanin" w:hAnsi="IRNazanin" w:eastAsia="IRNazanin"/>
          <w:color w:val="111111"/>
          <w:sz w:val="28"/>
          <w:sz w:val="28"/>
          <w:szCs w:val="28"/>
          <w:rtl w:val="true"/>
          <w:lang w:bidi="fa-IR"/>
        </w:rPr>
        <w:t xml:space="preserve">و الولایة و الولاء، و العتق و الرقّ، و 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جماعة یتاخم قولهم العلم،</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یحصّله</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شاهدان</w:t>
      </w:r>
      <w:r>
        <w:rPr>
          <w:rStyle w:val="FootnoteAnchor"/>
          <w:rtl w:val="true"/>
        </w:rPr>
        <w:footnoteReference w:id="754"/>
      </w:r>
      <w:r>
        <w:rPr>
          <w:rFonts w:ascii="IRNazanin" w:hAnsi="IRNazanin" w:eastAsia="IRNazanin"/>
          <w:color w:val="111111"/>
          <w:sz w:val="28"/>
          <w:sz w:val="28"/>
          <w:szCs w:val="28"/>
          <w:rtl w:val="true"/>
          <w:lang w:bidi="fa-IR"/>
        </w:rPr>
        <w:t>؛ بناءاً علی اعتبار الظنّ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شهد بالملک</w:t>
      </w:r>
      <w:r>
        <w:rPr>
          <w:rStyle w:val="FootnoteAnchor"/>
          <w:rtl w:val="true"/>
        </w:rPr>
        <w:footnoteReference w:id="755"/>
      </w:r>
      <w:r>
        <w:rPr>
          <w:rFonts w:ascii="IRNazanin" w:hAnsi="IRNazanin" w:eastAsia="IRNazanin"/>
          <w:color w:val="111111"/>
          <w:sz w:val="28"/>
          <w:sz w:val="28"/>
          <w:szCs w:val="28"/>
          <w:rtl w:val="true"/>
          <w:lang w:bidi="fa-IR"/>
        </w:rPr>
        <w:t>و أسنده</w:t>
      </w:r>
      <w:r>
        <w:rPr>
          <w:rStyle w:val="FootnoteAnchor"/>
          <w:rtl w:val="true"/>
        </w:rPr>
        <w:footnoteReference w:id="756"/>
      </w:r>
      <w:r>
        <w:rPr>
          <w:rFonts w:ascii="IRNazanin" w:hAnsi="IRNazanin" w:eastAsia="IRNazanin"/>
          <w:color w:val="111111"/>
          <w:sz w:val="28"/>
          <w:sz w:val="28"/>
          <w:szCs w:val="28"/>
          <w:rtl w:val="true"/>
          <w:lang w:bidi="fa-IR"/>
        </w:rPr>
        <w:t xml:space="preserve">إلی سبب یثبت بالاستفاضة، کالإرث، قُبِلَ، </w:t>
      </w:r>
    </w:p>
    <w:p>
      <w:pPr>
        <w:pStyle w:val="BookText"/>
        <w:rPr/>
      </w:pPr>
      <w:r>
        <w:rPr>
          <w:rFonts w:ascii="IRNazanin" w:hAnsi="IRNazanin" w:eastAsia="IRNazanin"/>
          <w:color w:val="111111"/>
          <w:sz w:val="28"/>
          <w:sz w:val="28"/>
          <w:szCs w:val="28"/>
          <w:rtl w:val="true"/>
          <w:lang w:bidi="fa-IR"/>
        </w:rPr>
        <w:t>و لو کان لا یثبت بها، کالبیع و الغنیمة، قُبِلَ فی أصل الملک لا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الفائدة فی ترجیحه علی مدّعٍ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اجتمع فی ملک استفاضة و ید و تصرّف بلا منازع فهو منتهی الإمکان، فللشاهد القطع بالملک، و کذا کلّ واحد من الثلاثة علی الأقوی، و الید أقوی من الاستفاضة مع</w:t>
      </w:r>
      <w:r>
        <w:rPr>
          <w:rStyle w:val="FootnoteAnchor"/>
          <w:rtl w:val="true"/>
        </w:rPr>
        <w:footnoteReference w:id="757"/>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تجوز الإقامة إلاّ مع الذکر، و لا عبرة بالخطّ و إن أمن التزویر عند الحلّیّین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المدّعی ثقة و شهد آخر ثقة، أقامها</w:t>
      </w:r>
      <w:r>
        <w:rPr>
          <w:rStyle w:val="FootnoteAnchor"/>
          <w:rtl w:val="true"/>
        </w:rPr>
        <w:footnoteReference w:id="759"/>
      </w:r>
      <w:r>
        <w:rPr>
          <w:rFonts w:ascii="IRNazanin" w:hAnsi="IRNazanin" w:eastAsia="IRNazanin"/>
          <w:color w:val="111111"/>
          <w:sz w:val="28"/>
          <w:sz w:val="28"/>
          <w:szCs w:val="28"/>
          <w:rtl w:val="true"/>
          <w:lang w:bidi="fa-IR"/>
        </w:rPr>
        <w:t>؛ لروایة عمر بن یزید، عن الصادق علیه‌السّلام</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تجب إقامة الشهادة عند دعاء المدّعی و إن لم یکن استدعاه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Style w:val="FootnoteAnchor"/>
          <w:rtl w:val="true"/>
        </w:rPr>
        <w:footnoteReference w:id="761"/>
      </w:r>
      <w:r>
        <w:rPr>
          <w:rFonts w:ascii="IRNazanin" w:hAnsi="IRNazanin" w:eastAsia="IRNazanin"/>
          <w:color w:val="111111"/>
          <w:sz w:val="28"/>
          <w:sz w:val="28"/>
          <w:szCs w:val="28"/>
          <w:rtl w:val="true"/>
          <w:lang w:bidi="fa-IR"/>
        </w:rPr>
        <w:t>، و الشیخ</w:t>
      </w:r>
      <w:r>
        <w:rPr>
          <w:rStyle w:val="FootnoteAnchor"/>
          <w:rtl w:val="true"/>
        </w:rPr>
        <w:footnoteReference w:id="762"/>
      </w:r>
      <w:r>
        <w:rPr>
          <w:rFonts w:ascii="IRNazanin" w:hAnsi="IRNazanin" w:eastAsia="IRNazanin"/>
          <w:color w:val="111111"/>
          <w:sz w:val="28"/>
          <w:sz w:val="28"/>
          <w:szCs w:val="28"/>
          <w:rtl w:val="true"/>
          <w:lang w:bidi="fa-IR"/>
        </w:rPr>
        <w:t xml:space="preserve">، و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إلاّ مع الاستدعاء</w:t>
      </w:r>
      <w:r>
        <w:rPr>
          <w:rStyle w:val="FootnoteAnchor"/>
          <w:rtl w:val="true"/>
        </w:rPr>
        <w:footnoteReference w:id="763"/>
      </w:r>
      <w:r>
        <w:rPr>
          <w:rFonts w:ascii="IRNazanin" w:hAnsi="IRNazanin" w:eastAsia="IRNazanin"/>
          <w:color w:val="111111"/>
          <w:sz w:val="28"/>
          <w:sz w:val="28"/>
          <w:szCs w:val="28"/>
          <w:rtl w:val="true"/>
          <w:lang w:bidi="fa-IR"/>
        </w:rPr>
        <w:t>، إلاّ أن یخاف</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بطلان الحقّ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صاحب الحقّ لا یعلم بشهادتهما، وجب علیهما تعریفه إن خافا بطلان </w:t>
      </w:r>
      <w:bookmarkStart w:id="113" w:name="pg13665_219072"/>
    </w:p>
    <w:p>
      <w:pPr>
        <w:pStyle w:val="BookText"/>
        <w:rPr/>
      </w:pPr>
      <w:bookmarkEnd w:id="113"/>
      <w:r>
        <w:rPr>
          <w:rFonts w:ascii="IRNazanin" w:hAnsi="IRNazanin" w:eastAsia="IRNazanin"/>
          <w:color w:val="111111"/>
          <w:sz w:val="28"/>
          <w:sz w:val="28"/>
          <w:szCs w:val="28"/>
          <w:rtl w:val="true"/>
          <w:lang w:bidi="fa-IR"/>
        </w:rPr>
        <w:t>الحقّ بدون شهادتهما و کانا عدلین، و لو کان أحدهما عدلاً،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وجوب التعریف علی الفاسق تردّد،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 لتوقّع العدالة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یشهد لمخالف إذا خشی ردّ شهادته عند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الشهادة شرطاً فی النکاح و لا فی غیره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تستحبّ و خصوصاً فی النکاح و الرجعة و البیع، و هی شرط فی وقوع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التبرّی من ضمان الجریرة، و فی رجوع المالک بالأُجرة لو هرب عامل المساقاة، و استأجر علیه، و نوی الرجوع</w:t>
      </w:r>
      <w:r>
        <w:rPr>
          <w:rStyle w:val="FootnoteAnchor"/>
          <w:rtl w:val="true"/>
        </w:rPr>
        <w:footnoteReference w:id="765"/>
      </w:r>
      <w:r>
        <w:rPr>
          <w:rFonts w:ascii="IRNazanin" w:hAnsi="IRNazanin" w:eastAsia="IRNazanin"/>
          <w:color w:val="111111"/>
          <w:sz w:val="28"/>
          <w:sz w:val="28"/>
          <w:szCs w:val="28"/>
          <w:rtl w:val="true"/>
          <w:lang w:bidi="fa-IR"/>
        </w:rPr>
        <w:t>و لم یثبتا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لابدّ عند الإقامة من إتیان الشاهد بلفظ الشهادة،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بکذا، أو أنا شاهد الآن بکذا، أو شهدت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أو أتیقّن، أو أُخبر عن علم أو أُحِقّ</w:t>
      </w:r>
      <w:r>
        <w:rPr>
          <w:rStyle w:val="FootnoteAnchor"/>
          <w:rtl w:val="true"/>
        </w:rPr>
        <w:footnoteReference w:id="766"/>
      </w:r>
      <w:r>
        <w:rPr>
          <w:rFonts w:ascii="IRNazanin" w:hAnsi="IRNazanin" w:eastAsia="IRNazanin"/>
          <w:color w:val="111111"/>
          <w:sz w:val="28"/>
          <w:sz w:val="28"/>
          <w:szCs w:val="28"/>
          <w:rtl w:val="true"/>
          <w:lang w:bidi="fa-IR"/>
        </w:rPr>
        <w:t>، لم تسمع، قاله بعض الأصحاب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یشهد علی مبیع</w:t>
      </w:r>
      <w:r>
        <w:rPr>
          <w:rStyle w:val="FootnoteAnchor"/>
          <w:rtl w:val="true"/>
        </w:rPr>
        <w:footnoteReference w:id="768"/>
      </w:r>
      <w:r>
        <w:rPr>
          <w:rFonts w:ascii="IRNazanin" w:hAnsi="IRNazanin" w:eastAsia="IRNazanin"/>
          <w:color w:val="111111"/>
          <w:sz w:val="28"/>
          <w:sz w:val="28"/>
          <w:szCs w:val="28"/>
          <w:rtl w:val="true"/>
          <w:lang w:bidi="fa-IR"/>
        </w:rPr>
        <w:t>بصفات توافق علیها المتعاقدان و إن لم یعرفه الشاهد، فیشهد بما سمع منهما</w:t>
      </w:r>
      <w:r>
        <w:rPr>
          <w:rFonts w:eastAsia="IRNazanin" w:cs="IRNazanin"/>
          <w:color w:val="111111"/>
          <w:sz w:val="28"/>
          <w:szCs w:val="28"/>
          <w:rtl w:val="true"/>
          <w:lang w:bidi="fa-IR"/>
        </w:rPr>
        <w:t>.</w:t>
      </w:r>
    </w:p>
    <w:p>
      <w:pPr>
        <w:pStyle w:val="Heading3"/>
        <w:numPr>
          <w:ilvl w:val="2"/>
          <w:numId w:val="1"/>
        </w:numPr>
        <w:rPr/>
      </w:pPr>
      <w:bookmarkStart w:id="114" w:name="__RefHeading___Toc2071287_3830689328"/>
      <w:bookmarkStart w:id="115" w:name="_Toc38"/>
      <w:bookmarkEnd w:id="114"/>
      <w:r>
        <w:rPr>
          <w:rtl w:val="true"/>
        </w:rPr>
        <w:t xml:space="preserve">درس </w:t>
      </w:r>
      <w:r>
        <w:rPr>
          <w:rtl w:val="true"/>
        </w:rPr>
        <w:t>(</w:t>
      </w:r>
      <w:r>
        <w:rPr/>
        <w:t>148</w:t>
      </w:r>
      <w:r>
        <w:rPr>
          <w:rtl w:val="true"/>
        </w:rPr>
        <w:t>)</w:t>
      </w:r>
      <w:bookmarkEnd w:id="1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 موافقة الشهادة للدعوی و توافق الشاهدین معنیً لا لفظاً، فلو 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و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 قهراً أو ظلماً، قُبِلَ، بخلاف ما لو 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و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کانت الشهادة علی عقد، فاختلفا</w:t>
      </w:r>
      <w:r>
        <w:rPr>
          <w:rStyle w:val="FootnoteAnchor"/>
          <w:rtl w:val="true"/>
        </w:rPr>
        <w:footnoteReference w:id="769"/>
      </w:r>
      <w:r>
        <w:rPr>
          <w:rFonts w:ascii="IRNazanin" w:hAnsi="IRNazanin" w:eastAsia="IRNazanin"/>
          <w:color w:val="111111"/>
          <w:sz w:val="28"/>
          <w:sz w:val="28"/>
          <w:szCs w:val="28"/>
          <w:rtl w:val="true"/>
          <w:lang w:bidi="fa-IR"/>
        </w:rPr>
        <w:t>فی زمانه أو مکانه أو صفته،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 تکاذب بین الشاهدین، له الحلف مع أحدهما،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تکاذبا</w:t>
      </w:r>
      <w:r>
        <w:rPr>
          <w:rStyle w:val="FootnoteAnchor"/>
          <w:rtl w:val="true"/>
        </w:rPr>
        <w:footnoteReference w:id="770"/>
      </w:r>
      <w:r>
        <w:rPr>
          <w:rFonts w:ascii="IRNazanin" w:hAnsi="IRNazanin" w:eastAsia="IRNazanin"/>
          <w:color w:val="111111"/>
          <w:sz w:val="28"/>
          <w:sz w:val="28"/>
          <w:szCs w:val="28"/>
          <w:rtl w:val="true"/>
          <w:lang w:bidi="fa-IR"/>
        </w:rPr>
        <w:t>؛ لأنّ التعارض إنّما یکون بین البیّنتین الکاملتین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أحدهما أ نه أقرّ بألف، و الآخر بألفین، ثبت</w:t>
      </w:r>
      <w:r>
        <w:rPr>
          <w:rStyle w:val="FootnoteAnchor"/>
          <w:rtl w:val="true"/>
        </w:rPr>
        <w:footnoteReference w:id="771"/>
      </w:r>
      <w:r>
        <w:rPr>
          <w:rFonts w:ascii="IRNazanin" w:hAnsi="IRNazanin" w:eastAsia="IRNazanin"/>
          <w:color w:val="111111"/>
          <w:sz w:val="28"/>
          <w:sz w:val="28"/>
          <w:szCs w:val="28"/>
          <w:rtl w:val="true"/>
          <w:lang w:bidi="fa-IR"/>
        </w:rPr>
        <w:t>الألف بهما و الآخر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أحدهما أ نّه أقرّ بالعربیّة، و الآخر بالعجمیّة، قُبِلَ مع اختلاف الزمان، و مع اتّحاده بحیث لا یمکن الاجتماع، تردّ الشهادة ؛ للتکاذب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علی مقرّ بألف، فطلب المقرّ له أن یشهد له ببعضها، جاز ؛ لاستلزام الکلّ جزءه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قال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بیّنة لی، ثمّ أحضرها، سمعت، فلعلّه تذکّر أو کان لا یعلم، و أولی منه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ثمّ أحضرها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تنقسم الحقوق بالنسبة إلی الشهود أقساماً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إلاّ بشهادة أربعة رجال، و هو 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إلاّ بأربعة رجال أو ثلاثة و امرأتین، و هو الزنا الموجب للرجم، فإن شهد رجلان و أربع نساء، ثبت</w:t>
      </w:r>
      <w:r>
        <w:rPr>
          <w:rStyle w:val="FootnoteAnchor"/>
          <w:rtl w:val="true"/>
        </w:rPr>
        <w:footnoteReference w:id="773"/>
      </w:r>
      <w:r>
        <w:rPr>
          <w:rFonts w:ascii="IRNazanin" w:hAnsi="IRNazanin" w:eastAsia="IRNazanin"/>
          <w:color w:val="111111"/>
          <w:sz w:val="28"/>
          <w:sz w:val="28"/>
          <w:szCs w:val="28"/>
          <w:rtl w:val="true"/>
          <w:lang w:bidi="fa-IR"/>
        </w:rPr>
        <w:t>الجلد لا الرجم، فإن شهد رجل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 نساء أو انفردت النساء، فلا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الجلد برجل و ستّ </w:t>
      </w:r>
    </w:p>
    <w:p>
      <w:pPr>
        <w:pStyle w:val="BookText"/>
        <w:rPr/>
      </w:pPr>
      <w:r>
        <w:rPr>
          <w:rFonts w:ascii="IRNazanin" w:hAnsi="IRNazanin" w:eastAsia="IRNazanin"/>
          <w:color w:val="111111"/>
          <w:sz w:val="28"/>
          <w:sz w:val="28"/>
          <w:szCs w:val="28"/>
          <w:rtl w:val="true"/>
          <w:lang w:bidi="fa-IR"/>
        </w:rPr>
        <w:t>نساء</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اللواط و السحق للزنا فی شهادة النساء</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بعض الأصحاب من قبول رجلین و أربع نساء فی الجلد</w:t>
      </w:r>
      <w:r>
        <w:rPr>
          <w:rStyle w:val="FootnoteAnchor"/>
          <w:rtl w:val="true"/>
        </w:rPr>
        <w:footnoteReference w:id="776"/>
      </w:r>
      <w:r>
        <w:rPr>
          <w:rFonts w:ascii="IRNazanin" w:hAnsi="IRNazanin" w:eastAsia="IRNazanin"/>
          <w:color w:val="111111"/>
          <w:sz w:val="28"/>
          <w:sz w:val="28"/>
          <w:szCs w:val="28"/>
          <w:rtl w:val="true"/>
          <w:lang w:bidi="fa-IR"/>
        </w:rPr>
        <w:t>، و اختاره الفاضل</w:t>
      </w:r>
      <w:r>
        <w:rPr>
          <w:rStyle w:val="FootnoteAnchor"/>
          <w:rtl w:val="true"/>
        </w:rPr>
        <w:footnoteReference w:id="777"/>
      </w:r>
      <w:r>
        <w:rPr>
          <w:rFonts w:ascii="IRNazanin" w:hAnsi="IRNazanin" w:eastAsia="IRNazanin"/>
          <w:color w:val="111111"/>
          <w:sz w:val="28"/>
          <w:sz w:val="28"/>
          <w:szCs w:val="28"/>
          <w:rtl w:val="true"/>
          <w:lang w:bidi="fa-IR"/>
        </w:rPr>
        <w:t xml:space="preserve">، و ظاهر روایة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الإقرار بالزنا ففی اشتراط شهود أصله أو الاکتفاء بشاهدین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الفائدة لا فی الحدّ ؛ بل فی نشر الحرمة، و فی سقوط حدّ القذف عن القاذف لو أقام شاهدین بإقرار المقذوف بالزنا، و قوّی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الشاهدین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إلاّ برجلین، و هو إتیان البهیمة و السرقة و شرب الخمر و الردّة و القذف و الطلاق و الرجعة و العدّة و الخلع علی قول</w:t>
      </w:r>
      <w:r>
        <w:rPr>
          <w:rStyle w:val="FootnoteAnchor"/>
          <w:rtl w:val="true"/>
        </w:rPr>
        <w:footnoteReference w:id="780"/>
      </w:r>
      <w:r>
        <w:rPr>
          <w:rFonts w:ascii="IRNazanin" w:hAnsi="IRNazanin" w:eastAsia="IRNazanin"/>
          <w:color w:val="111111"/>
          <w:sz w:val="28"/>
          <w:sz w:val="28"/>
          <w:szCs w:val="28"/>
          <w:rtl w:val="true"/>
          <w:lang w:bidi="fa-IR"/>
        </w:rPr>
        <w:t>، و الوکالة و الوصایة و النسب و الهلال و الجنایة الموجبة للقود علی قول</w:t>
      </w:r>
      <w:r>
        <w:rPr>
          <w:rStyle w:val="FootnoteAnchor"/>
          <w:rtl w:val="true"/>
        </w:rPr>
        <w:footnoteReference w:id="781"/>
      </w:r>
      <w:r>
        <w:rPr>
          <w:rFonts w:ascii="IRNazanin" w:hAnsi="IRNazanin" w:eastAsia="IRNazanin"/>
          <w:color w:val="111111"/>
          <w:sz w:val="28"/>
          <w:sz w:val="28"/>
          <w:szCs w:val="28"/>
          <w:rtl w:val="true"/>
          <w:lang w:bidi="fa-IR"/>
        </w:rPr>
        <w:t>، و العتق و الولاء و التدبیر و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العتق بشاهد و امرأتین</w:t>
      </w:r>
      <w:r>
        <w:rPr>
          <w:rStyle w:val="FootnoteAnchor"/>
          <w:rtl w:val="true"/>
        </w:rPr>
        <w:footnoteReference w:id="782"/>
      </w:r>
      <w:r>
        <w:rPr>
          <w:rFonts w:ascii="IRNazanin" w:hAnsi="IRNazanin" w:eastAsia="IRNazanin"/>
          <w:color w:val="111111"/>
          <w:sz w:val="28"/>
          <w:sz w:val="28"/>
          <w:szCs w:val="28"/>
          <w:rtl w:val="true"/>
          <w:lang w:bidi="fa-IR"/>
        </w:rPr>
        <w:t>، و فی الخلاف نفاه</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النکاح عند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r>
        <w:rPr>
          <w:rStyle w:val="FootnoteAnchor"/>
          <w:rtl w:val="true"/>
        </w:rPr>
        <w:footnoteReference w:id="784"/>
      </w:r>
      <w:r>
        <w:rPr>
          <w:rFonts w:ascii="Amiri" w:hAnsi="Amiri" w:eastAsia="Amiri" w:cs="Amiri"/>
          <w:color w:val="111111"/>
          <w:sz w:val="28"/>
          <w:sz w:val="28"/>
          <w:szCs w:val="28"/>
          <w:rtl w:val="true"/>
          <w:lang w:bidi="ar-SA"/>
        </w:rPr>
        <w:t>، و سلاّر</w:t>
      </w:r>
      <w:r>
        <w:rPr>
          <w:rStyle w:val="FootnoteAnchor"/>
          <w:rtl w:val="true"/>
        </w:rPr>
        <w:footnoteReference w:id="785"/>
      </w:r>
      <w:r>
        <w:rPr>
          <w:rFonts w:ascii="IRNazanin" w:hAnsi="IRNazanin" w:eastAsia="IRNazanin"/>
          <w:color w:val="111111"/>
          <w:sz w:val="28"/>
          <w:sz w:val="28"/>
          <w:szCs w:val="28"/>
          <w:rtl w:val="true"/>
          <w:lang w:bidi="fa-IR"/>
        </w:rPr>
        <w:t xml:space="preserve">، و ابن </w:t>
      </w:r>
    </w:p>
    <w:p>
      <w:pPr>
        <w:pStyle w:val="BookText"/>
        <w:rPr/>
      </w:pPr>
      <w:r>
        <w:rPr>
          <w:rFonts w:ascii="IRNazanin" w:hAnsi="IRNazanin" w:eastAsia="IRNazanin"/>
          <w:color w:val="111111"/>
          <w:sz w:val="28"/>
          <w:sz w:val="28"/>
          <w:szCs w:val="28"/>
          <w:rtl w:val="true"/>
          <w:lang w:bidi="fa-IR"/>
        </w:rPr>
        <w:t>إدریس</w:t>
      </w:r>
      <w:r>
        <w:rPr>
          <w:rStyle w:val="FootnoteAnchor"/>
          <w:rtl w:val="true"/>
        </w:rPr>
        <w:footnoteReference w:id="786"/>
      </w:r>
      <w:r>
        <w:rPr>
          <w:rFonts w:ascii="IRNazanin" w:hAnsi="IRNazanin" w:eastAsia="IRNazanin"/>
          <w:color w:val="111111"/>
          <w:sz w:val="28"/>
          <w:sz w:val="28"/>
          <w:szCs w:val="28"/>
          <w:rtl w:val="true"/>
          <w:lang w:bidi="fa-IR"/>
        </w:rPr>
        <w:t>، و أحد قولی الشیخ</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أثبته الصدوقان</w:t>
      </w:r>
      <w:r>
        <w:rPr>
          <w:rStyle w:val="FootnoteAnchor"/>
          <w:rtl w:val="true"/>
        </w:rPr>
        <w:footnoteReference w:id="788"/>
      </w:r>
      <w:r>
        <w:rPr>
          <w:rFonts w:ascii="IRNazanin" w:hAnsi="IRNazanin" w:eastAsia="IRNazanin"/>
          <w:color w:val="111111"/>
          <w:sz w:val="28"/>
          <w:sz w:val="28"/>
          <w:szCs w:val="28"/>
          <w:rtl w:val="true"/>
          <w:lang w:bidi="fa-IR"/>
        </w:rPr>
        <w:t>و جماعة برجل و امرأتین</w:t>
      </w:r>
      <w:r>
        <w:rPr>
          <w:rStyle w:val="FootnoteAnchor"/>
          <w:rtl w:val="true"/>
        </w:rPr>
        <w:footnoteReference w:id="789"/>
      </w:r>
      <w:r>
        <w:rPr>
          <w:rFonts w:ascii="IRNazanin" w:hAnsi="IRNazanin" w:eastAsia="IRNazanin"/>
          <w:color w:val="111111"/>
          <w:sz w:val="28"/>
          <w:sz w:val="28"/>
          <w:szCs w:val="28"/>
          <w:rtl w:val="true"/>
          <w:lang w:bidi="fa-IR"/>
        </w:rPr>
        <w:t>؛ لروایة محمّد بن الفضیل عن الرضا علیه‌السّلام</w:t>
      </w:r>
      <w:r>
        <w:rPr>
          <w:rStyle w:val="FootnoteAnchor"/>
          <w:rtl w:val="true"/>
        </w:rPr>
        <w:footnoteReference w:id="790"/>
      </w:r>
      <w:r>
        <w:rPr>
          <w:rFonts w:ascii="IRNazanin" w:hAnsi="IRNazanin" w:eastAsia="IRNazanin"/>
          <w:color w:val="111111"/>
          <w:sz w:val="28"/>
          <w:sz w:val="28"/>
          <w:szCs w:val="28"/>
          <w:rtl w:val="true"/>
          <w:lang w:bidi="fa-IR"/>
        </w:rPr>
        <w:t>و غیرها</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بإزائها روایة السکونیّ، عن علیّ علیه‌السّلام</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الثبوت قویّ، و البلوغ و الجرح و التعدیل و العفو عن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ضبط الأصحاب ذلک بکلّ ما کان من حقوق الآدمیّین لیس مالاً، و لا المقصود منه</w:t>
      </w:r>
      <w:r>
        <w:rPr>
          <w:rStyle w:val="FootnoteAnchor"/>
          <w:rtl w:val="true"/>
        </w:rPr>
        <w:footnoteReference w:id="793"/>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برجلین، أو رجل و امرأتین، أو رجل و یمین، أو امرأتین و یمین، و هو ما کان مالاً أو الغرض منه المال، کقتل الخطأ، و جرح العمد المشتمل علی التعزیر، کالهاشمة و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لا قود فیه، کقتل الوالد ولده، و المسلم الکافر، و الحرّ العبد، و مشارکة العامد الخاطئ علی قول الشیخ فی الخلاف</w:t>
      </w:r>
      <w:r>
        <w:rPr>
          <w:rStyle w:val="FootnoteAnchor"/>
          <w:rtl w:val="true"/>
        </w:rPr>
        <w:footnoteReference w:id="794"/>
      </w:r>
      <w:r>
        <w:rPr>
          <w:rFonts w:ascii="IRNazanin" w:hAnsi="IRNazanin" w:eastAsia="IRNazanin"/>
          <w:color w:val="111111"/>
          <w:sz w:val="28"/>
          <w:sz w:val="28"/>
          <w:szCs w:val="28"/>
          <w:rtl w:val="true"/>
          <w:lang w:bidi="fa-IR"/>
        </w:rPr>
        <w:t>بإسقاط</w:t>
      </w:r>
      <w:r>
        <w:rPr>
          <w:rStyle w:val="FootnoteAnchor"/>
          <w:rtl w:val="true"/>
        </w:rPr>
        <w:footnoteReference w:id="795"/>
      </w:r>
      <w:r>
        <w:rPr>
          <w:rFonts w:ascii="IRNazanin" w:hAnsi="IRNazanin" w:eastAsia="IRNazanin"/>
          <w:color w:val="111111"/>
          <w:sz w:val="28"/>
          <w:sz w:val="28"/>
          <w:szCs w:val="28"/>
          <w:rtl w:val="true"/>
          <w:lang w:bidi="fa-IR"/>
        </w:rPr>
        <w:t xml:space="preserve">القود عنهما، بخلاف شریک الأب فی قتل الولد، و عقود المعاوضات، کالبیع و الإجارة و الفسوخ و الدیون و القراض و الغصب، و حقوق الأموال، کالخیار </w:t>
      </w:r>
    </w:p>
    <w:p>
      <w:pPr>
        <w:pStyle w:val="BookText"/>
        <w:rPr/>
      </w:pPr>
      <w:r>
        <w:rPr>
          <w:rFonts w:ascii="IRNazanin" w:hAnsi="IRNazanin" w:eastAsia="IRNazanin"/>
          <w:color w:val="111111"/>
          <w:sz w:val="28"/>
          <w:sz w:val="28"/>
          <w:szCs w:val="28"/>
          <w:rtl w:val="true"/>
          <w:lang w:bidi="fa-IR"/>
        </w:rPr>
        <w:t>و الأجل و الشفعة و الوصیّة له و قبض نجوم المکاتب حتّی الأخیر علی قول قویّ للشیخ</w:t>
      </w:r>
      <w:r>
        <w:rPr>
          <w:rStyle w:val="FootnoteAnchor"/>
          <w:rtl w:val="true"/>
        </w:rPr>
        <w:footnoteReference w:id="796"/>
      </w:r>
      <w:r>
        <w:rPr>
          <w:rFonts w:ascii="IRNazanin" w:hAnsi="IRNazanin" w:eastAsia="IRNazanin"/>
          <w:color w:val="111111"/>
          <w:sz w:val="28"/>
          <w:sz w:val="28"/>
          <w:szCs w:val="28"/>
          <w:rtl w:val="true"/>
          <w:lang w:bidi="fa-IR"/>
        </w:rPr>
        <w:t>حیث أطلق، و الوقف علی الأقرب إذا کان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Style w:val="FootnoteAnchor"/>
          <w:rtl w:val="true"/>
        </w:rPr>
        <w:footnoteReference w:id="797"/>
      </w:r>
      <w:r>
        <w:rPr>
          <w:rFonts w:ascii="Amiri" w:hAnsi="Amiri" w:eastAsia="Amiri" w:cs="Amiri"/>
          <w:color w:val="111111"/>
          <w:sz w:val="28"/>
          <w:sz w:val="28"/>
          <w:szCs w:val="28"/>
          <w:rtl w:val="true"/>
          <w:lang w:bidi="ar-SA"/>
        </w:rPr>
        <w:t>، و المقنعة</w:t>
      </w:r>
      <w:r>
        <w:rPr>
          <w:rStyle w:val="FootnoteAnchor"/>
          <w:rtl w:val="true"/>
        </w:rPr>
        <w:footnoteReference w:id="798"/>
      </w:r>
      <w:r>
        <w:rPr>
          <w:rFonts w:ascii="Amiri" w:hAnsi="Amiri" w:eastAsia="Amiri" w:cs="Amiri"/>
          <w:color w:val="111111"/>
          <w:sz w:val="28"/>
          <w:sz w:val="28"/>
          <w:szCs w:val="28"/>
          <w:rtl w:val="true"/>
          <w:lang w:bidi="ar-SA"/>
        </w:rPr>
        <w:t>، و الرسالة</w:t>
      </w:r>
      <w:r>
        <w:rPr>
          <w:rStyle w:val="FootnoteAnchor"/>
          <w:rtl w:val="true"/>
        </w:rPr>
        <w:footnoteReference w:id="799"/>
      </w:r>
      <w:r>
        <w:rPr>
          <w:rFonts w:ascii="IRNazanin" w:hAnsi="IRNazanin" w:eastAsia="IRNazanin"/>
          <w:color w:val="111111"/>
          <w:sz w:val="28"/>
          <w:sz w:val="28"/>
          <w:szCs w:val="28"/>
          <w:rtl w:val="true"/>
          <w:lang w:bidi="fa-IR"/>
        </w:rPr>
        <w:t>لم یذکر سوی الدین فی الثبوت بالشاهد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 منع من قبول امرأتین و یمین فی ذلک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اشتمل الحقّ علی حقّ اللّه تعالی، کالسرقة، ثبت بذلک المال دون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 رجل و امرأتان بالنکاح، ثبت المهر دون العقد</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 للتنافی، بخلاف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بشهادة الرجال و النساء منفردات و منضّمات، و هو ما یعسر اطّلاع الرجال علیه غالباً، کالولادة، و الاستهلال، و عیوب النساء الباطنة،</w:t>
      </w:r>
    </w:p>
    <w:p>
      <w:pPr>
        <w:pStyle w:val="BookText"/>
        <w:rPr/>
      </w:pPr>
      <w:r>
        <w:rPr>
          <w:rFonts w:ascii="IRNazanin" w:hAnsi="IRNazanin" w:eastAsia="IRNazanin"/>
          <w:color w:val="111111"/>
          <w:sz w:val="28"/>
          <w:sz w:val="28"/>
          <w:szCs w:val="28"/>
          <w:rtl w:val="true"/>
          <w:lang w:bidi="fa-IR"/>
        </w:rPr>
        <w:t>و الرضاع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ابن البرّاج من قبول شهادة الرجال فیما لا یجوز لهم النظر إلیه</w:t>
      </w:r>
      <w:r>
        <w:rPr>
          <w:rStyle w:val="FootnoteAnchor"/>
          <w:rtl w:val="true"/>
        </w:rPr>
        <w:footnoteReference w:id="802"/>
      </w:r>
      <w:r>
        <w:rPr>
          <w:rFonts w:ascii="IRNazanin" w:hAnsi="IRNazanin" w:eastAsia="IRNazanin"/>
          <w:color w:val="111111"/>
          <w:sz w:val="28"/>
          <w:sz w:val="28"/>
          <w:szCs w:val="28"/>
          <w:rtl w:val="true"/>
          <w:lang w:bidi="fa-IR"/>
        </w:rPr>
        <w:t>، و هو ضعیف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 بشهادة رجل واحد، و هو هلال شهر رمضان عند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الإفطار عند تمام الثلاثین علی هذا القول 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 </w:t>
      </w:r>
    </w:p>
    <w:p>
      <w:pPr>
        <w:pStyle w:val="BookText"/>
        <w:rPr/>
      </w:pPr>
      <w:r>
        <w:rPr>
          <w:rFonts w:ascii="IRNazanin" w:hAnsi="IRNazanin" w:eastAsia="IRNazanin"/>
          <w:color w:val="111111"/>
          <w:sz w:val="28"/>
          <w:sz w:val="28"/>
          <w:szCs w:val="28"/>
          <w:rtl w:val="true"/>
          <w:lang w:bidi="fa-IR"/>
        </w:rPr>
        <w:t>لأ نّه قد یثبت</w:t>
      </w:r>
      <w:r>
        <w:rPr>
          <w:rStyle w:val="FootnoteAnchor"/>
          <w:rtl w:val="true"/>
        </w:rPr>
        <w:footnoteReference w:id="804"/>
      </w:r>
      <w:r>
        <w:rPr>
          <w:rFonts w:ascii="IRNazanin" w:hAnsi="IRNazanin" w:eastAsia="IRNazanin"/>
          <w:color w:val="111111"/>
          <w:sz w:val="28"/>
          <w:sz w:val="28"/>
          <w:szCs w:val="28"/>
          <w:rtl w:val="true"/>
          <w:lang w:bidi="fa-IR"/>
        </w:rPr>
        <w:t>ضمناً ما لا یثبت صریحاً، کالنسب بالولادة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بشهادة امرأة واحدة، و هو الوصیّة بالمال و الاستهلال، فیثبت ربع الوصیّة و ربع المیراث، و بالمرأتین</w:t>
      </w:r>
      <w:r>
        <w:rPr>
          <w:rStyle w:val="FootnoteAnchor"/>
          <w:rtl w:val="true"/>
        </w:rPr>
        <w:footnoteReference w:id="806"/>
      </w:r>
      <w:r>
        <w:rPr>
          <w:rFonts w:ascii="Amiri" w:hAnsi="Amiri" w:eastAsia="Amiri" w:cs="Amiri"/>
          <w:color w:val="111111"/>
          <w:sz w:val="28"/>
          <w:sz w:val="28"/>
          <w:szCs w:val="28"/>
          <w:rtl w:val="true"/>
          <w:lang w:bidi="ar-SA"/>
        </w:rPr>
        <w:t>النصف، و بثلاث ثلاثة الأرباع،</w:t>
      </w:r>
    </w:p>
    <w:p>
      <w:pPr>
        <w:pStyle w:val="BookText"/>
        <w:rPr/>
      </w:pPr>
      <w:r>
        <w:rPr>
          <w:rFonts w:ascii="IRNazanin" w:hAnsi="IRNazanin" w:eastAsia="IRNazanin"/>
          <w:color w:val="111111"/>
          <w:sz w:val="28"/>
          <w:sz w:val="28"/>
          <w:szCs w:val="28"/>
          <w:rtl w:val="true"/>
          <w:lang w:bidi="fa-IR"/>
        </w:rPr>
        <w:t>و بأربع الجمیع، کلّ ذلک بغیر یمین، و لو حلف مع المرأتین، ثبت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تعذّر الرجال</w:t>
      </w:r>
      <w:r>
        <w:rPr>
          <w:rStyle w:val="FootnoteAnchor"/>
          <w:rtl w:val="true"/>
        </w:rPr>
        <w:footnoteReference w:id="807"/>
      </w:r>
      <w:r>
        <w:rPr>
          <w:rFonts w:ascii="IRNazanin" w:hAnsi="IRNazanin" w:eastAsia="IRNazanin"/>
          <w:color w:val="111111"/>
          <w:sz w:val="28"/>
          <w:sz w:val="28"/>
          <w:szCs w:val="28"/>
          <w:rtl w:val="true"/>
          <w:lang w:bidi="fa-IR"/>
        </w:rPr>
        <w:t>، و تبعه ابن إدریس</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للمرأة تضعیف المال لیصیر ما أوصی به الربع، فلو فعلت، قُبِلَ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استباحة المشهود له ذلک مع علمه بالحال 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إن علم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عدل واحد، ففی إلحاقه بالمرأة، أو بالمرأتین، أو سقوط شهادته، أو التفصیل بعلم الموصی له بالوصیّة فیحلف معه و إن لم یعلم الحقّ بالمرأة أوجه، و أشکل منه الخنثی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شهادة امرأتین مسلمتین مستورتین فیما لا یطّلع علیه الرجال، کعیوب النساء، و العذرة، و الحیض، و النفاس، و الولادة، و الاستهلال، و الرضاع، و لو لم یوجد إلاّ امرأة مأمونة، قبلت</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قول سلاّر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الحسن</w:t>
      </w:r>
      <w:r>
        <w:rPr>
          <w:rStyle w:val="FootnoteAnchor"/>
          <w:rtl w:val="true"/>
        </w:rPr>
        <w:footnoteReference w:id="811"/>
      </w:r>
      <w:r>
        <w:rPr>
          <w:rFonts w:ascii="IRNazanin" w:hAnsi="IRNazanin" w:eastAsia="IRNazanin"/>
          <w:color w:val="111111"/>
          <w:sz w:val="28"/>
          <w:sz w:val="28"/>
          <w:szCs w:val="28"/>
          <w:rtl w:val="true"/>
          <w:lang w:bidi="fa-IR"/>
        </w:rPr>
        <w:t>، و ابن الجنید إلی قبول شهادة النساء مع الرجال فی الطلاق</w:t>
      </w:r>
      <w:r>
        <w:rPr>
          <w:rStyle w:val="FootnoteAnchor"/>
          <w:rtl w:val="true"/>
        </w:rPr>
        <w:footnoteReference w:id="8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نادر، مع أنّ فی المبسوط ذلک، و فیه قبول شهادتهنّ منضمّات فی قتل یوجب القود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بشهادتهنّ الدیة، لا القود</w:t>
      </w:r>
      <w:r>
        <w:rPr>
          <w:rStyle w:val="FootnoteAnchor"/>
          <w:rtl w:val="true"/>
        </w:rPr>
        <w:footnoteReference w:id="814"/>
      </w:r>
      <w:r>
        <w:rPr>
          <w:rFonts w:ascii="Amiri" w:hAnsi="Amiri" w:eastAsia="Amiri" w:cs="Amiri"/>
          <w:color w:val="111111"/>
          <w:sz w:val="28"/>
          <w:sz w:val="28"/>
          <w:szCs w:val="28"/>
          <w:rtl w:val="true"/>
          <w:lang w:bidi="ar-SA"/>
        </w:rPr>
        <w:t>، و اختاره جماعة</w:t>
      </w:r>
      <w:r>
        <w:rPr>
          <w:rStyle w:val="FootnoteAnchor"/>
          <w:rtl w:val="true"/>
        </w:rPr>
        <w:footnoteReference w:id="815"/>
      </w:r>
      <w:r>
        <w:rPr>
          <w:rFonts w:ascii="IRNazanin" w:hAnsi="IRNazanin" w:eastAsia="IRNazanin"/>
          <w:color w:val="111111"/>
          <w:sz w:val="28"/>
          <w:sz w:val="28"/>
          <w:szCs w:val="28"/>
          <w:rtl w:val="true"/>
          <w:lang w:bidi="fa-IR"/>
        </w:rPr>
        <w:t>و الفاضل</w:t>
      </w:r>
      <w:r>
        <w:rPr>
          <w:rStyle w:val="FootnoteAnchor"/>
          <w:rtl w:val="true"/>
        </w:rPr>
        <w:footnoteReference w:id="816"/>
      </w:r>
      <w:r>
        <w:rPr>
          <w:rFonts w:ascii="IRNazanin" w:hAnsi="IRNazanin" w:eastAsia="IRNazanin"/>
          <w:color w:val="111111"/>
          <w:sz w:val="28"/>
          <w:sz w:val="28"/>
          <w:szCs w:val="28"/>
          <w:rtl w:val="true"/>
          <w:lang w:bidi="fa-IR"/>
        </w:rPr>
        <w:t>؛ جمعاً بین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الحلبیّ، فأثبت بشهادة المرأة الواحدة ربع دیة النفس، و بالمرأتین النصف ؛ لئلاّ یطلّ</w:t>
      </w:r>
      <w:r>
        <w:rPr>
          <w:rStyle w:val="FootnoteAnchor"/>
          <w:rtl w:val="true"/>
        </w:rPr>
        <w:footnoteReference w:id="817"/>
      </w:r>
      <w:r>
        <w:rPr>
          <w:rFonts w:ascii="IRNazanin" w:hAnsi="IRNazanin" w:eastAsia="IRNazanin"/>
          <w:color w:val="111111"/>
          <w:sz w:val="28"/>
          <w:sz w:val="28"/>
          <w:szCs w:val="28"/>
          <w:rtl w:val="true"/>
          <w:lang w:bidi="fa-IR"/>
        </w:rPr>
        <w:t>الدم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فی الخلاف</w:t>
      </w:r>
      <w:r>
        <w:rPr>
          <w:rStyle w:val="FootnoteAnchor"/>
          <w:rtl w:val="true"/>
        </w:rPr>
        <w:footnoteReference w:id="819"/>
      </w:r>
      <w:r>
        <w:rPr>
          <w:rFonts w:ascii="IRNazanin" w:hAnsi="IRNazanin" w:eastAsia="IRNazanin"/>
          <w:color w:val="111111"/>
          <w:sz w:val="28"/>
          <w:sz w:val="28"/>
          <w:szCs w:val="28"/>
          <w:rtl w:val="true"/>
          <w:lang w:bidi="fa-IR"/>
        </w:rPr>
        <w:t>و موضع من المبسوط من قبول امرأتین و رجل فی الودیعة</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الفاضل علی دعوی الودعیّ، لا المالک</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الودعیّ ینفی عنه الضمان و هو مال</w:t>
      </w:r>
      <w:r>
        <w:rPr>
          <w:rFonts w:eastAsia="IRNazanin" w:cs="IRNazanin"/>
          <w:color w:val="111111"/>
          <w:sz w:val="28"/>
          <w:szCs w:val="28"/>
          <w:rtl w:val="true"/>
          <w:lang w:bidi="fa-IR"/>
        </w:rPr>
        <w:t xml:space="preserve">. </w:t>
      </w:r>
      <w:bookmarkStart w:id="116" w:name="pg13665_219079"/>
    </w:p>
    <w:p>
      <w:pPr>
        <w:pStyle w:val="Heading3"/>
        <w:numPr>
          <w:ilvl w:val="2"/>
          <w:numId w:val="1"/>
        </w:numPr>
        <w:rPr/>
      </w:pPr>
      <w:bookmarkStart w:id="117" w:name="__RefHeading___Toc2071289_3830689328"/>
      <w:bookmarkStart w:id="118" w:name="_Toc39"/>
      <w:bookmarkEnd w:id="116"/>
      <w:bookmarkEnd w:id="117"/>
      <w:r>
        <w:rPr>
          <w:rtl w:val="true"/>
        </w:rPr>
        <w:t xml:space="preserve">درس </w:t>
      </w:r>
      <w:r>
        <w:rPr>
          <w:rtl w:val="true"/>
        </w:rPr>
        <w:t>(</w:t>
      </w:r>
      <w:r>
        <w:rPr/>
        <w:t>149</w:t>
      </w:r>
      <w:r>
        <w:rPr>
          <w:rtl w:val="true"/>
        </w:rPr>
        <w:t>)</w:t>
      </w:r>
      <w:bookmarkEnd w:id="118"/>
    </w:p>
    <w:p>
      <w:pPr>
        <w:pStyle w:val="BookText"/>
        <w:rPr/>
      </w:pPr>
      <w:r>
        <w:rPr>
          <w:rFonts w:ascii="IRNazanin" w:hAnsi="IRNazanin" w:eastAsia="IRNazanin"/>
          <w:color w:val="111111"/>
          <w:sz w:val="28"/>
          <w:sz w:val="28"/>
          <w:szCs w:val="28"/>
          <w:rtl w:val="true"/>
          <w:lang w:bidi="fa-IR"/>
        </w:rPr>
        <w:t>فی الشهادة علی الشهادة</w:t>
      </w:r>
    </w:p>
    <w:p>
      <w:pPr>
        <w:pStyle w:val="BookText"/>
        <w:rPr/>
      </w:pPr>
      <w:r>
        <w:rPr>
          <w:rFonts w:ascii="IRNazanin" w:hAnsi="IRNazanin" w:eastAsia="IRNazanin"/>
          <w:color w:val="111111"/>
          <w:sz w:val="28"/>
          <w:sz w:val="28"/>
          <w:szCs w:val="28"/>
          <w:rtl w:val="true"/>
          <w:lang w:bidi="fa-IR"/>
        </w:rPr>
        <w:t>و إنّما تجوز مرّة، فلا تسمع شهادة الفرع علی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محلّها حقوق الناس حتّی القصاص و العتق و الطلاق، لا حقوق اللّه تعالی،</w:t>
      </w:r>
    </w:p>
    <w:p>
      <w:pPr>
        <w:pStyle w:val="BookText"/>
        <w:rPr/>
      </w:pPr>
      <w:r>
        <w:rPr>
          <w:rFonts w:ascii="IRNazanin" w:hAnsi="IRNazanin" w:eastAsia="IRNazanin"/>
          <w:color w:val="111111"/>
          <w:sz w:val="28"/>
          <w:sz w:val="28"/>
          <w:szCs w:val="28"/>
          <w:rtl w:val="true"/>
          <w:lang w:bidi="fa-IR"/>
        </w:rPr>
        <w:t>کالحدود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 السرقة و القذف خلاف من مراعاة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بالزنا أو اللواط أو إتیان البهائم، ثبت</w:t>
      </w:r>
      <w:r>
        <w:rPr>
          <w:rStyle w:val="FootnoteAnchor"/>
          <w:rtl w:val="true"/>
        </w:rPr>
        <w:footnoteReference w:id="822"/>
      </w:r>
      <w:r>
        <w:rPr>
          <w:rFonts w:ascii="IRNazanin" w:hAnsi="IRNazanin" w:eastAsia="IRNazanin"/>
          <w:color w:val="111111"/>
          <w:sz w:val="28"/>
          <w:sz w:val="28"/>
          <w:szCs w:val="28"/>
          <w:rtl w:val="true"/>
          <w:lang w:bidi="fa-IR"/>
        </w:rPr>
        <w:t>بشاهدین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تسمع الشهادة علیهما فی نشر الحرمة و تحریم البهیمة أو بیعها، لا فی الحدّ و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کلّ شاهد شاهدان ؛ لتثبت شهادته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تکفی شهادة الاثنین علی کلّ من الشاهدین، بل یجوز أن یکون الأصل فرعاً لآخر ؛ بناءاً علی أنّ شهادة الأصل تثبت بشهادة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یقومون مقام الأصل فی إثبات الحقّ، اشترط مغایرة الشهود، و هذا ضعّفه الشیخ رحمه‌اللّه‌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یقبل فیه شهادة النساء علی کلّ امرأة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النساء فرعاً</w:t>
      </w:r>
      <w:r>
        <w:rPr>
          <w:rStyle w:val="FootnoteAnchor"/>
          <w:rtl w:val="true"/>
        </w:rPr>
        <w:footnoteReference w:id="824"/>
      </w:r>
      <w:r>
        <w:rPr>
          <w:rFonts w:ascii="IRNazanin" w:hAnsi="IRNazanin" w:eastAsia="IRNazanin"/>
          <w:color w:val="111111"/>
          <w:sz w:val="28"/>
          <w:sz w:val="28"/>
          <w:szCs w:val="28"/>
          <w:rtl w:val="true"/>
          <w:lang w:bidi="fa-IR"/>
        </w:rPr>
        <w:t>، و هو ضعیف</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تقبل شهادة الفرع عند تعذّر الأصل بموت أو غیبة أو خوف أو مرض و شبهه، و یکفی فی ذلک مشقّة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الخلاف قبول شهادة الفرع مع إمکان حضور الأصل و جنح إلیه</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محمّد بن مسلم تلویح ضعیف </w:t>
      </w:r>
    </w:p>
    <w:p>
      <w:pPr>
        <w:pStyle w:val="BookText"/>
        <w:rPr/>
      </w:pPr>
      <w:r>
        <w:rPr>
          <w:rFonts w:ascii="IRNazanin" w:hAnsi="IRNazanin" w:eastAsia="IRNazanin"/>
          <w:color w:val="111111"/>
          <w:sz w:val="28"/>
          <w:sz w:val="28"/>
          <w:szCs w:val="28"/>
          <w:rtl w:val="true"/>
          <w:lang w:bidi="fa-IR"/>
        </w:rPr>
        <w:t>إلیه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حضر الأصل بعد الحکم، فلا أثر، و إلاّ سقط الفرع، وافق أو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أشهده، 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بالأعدل</w:t>
      </w:r>
      <w:r>
        <w:rPr>
          <w:rStyle w:val="FootnoteAnchor"/>
          <w:rtl w:val="true"/>
        </w:rPr>
        <w:footnoteReference w:id="827"/>
      </w:r>
      <w:r>
        <w:rPr>
          <w:rFonts w:ascii="IRNazanin" w:hAnsi="IRNazanin" w:eastAsia="IRNazanin"/>
          <w:color w:val="111111"/>
          <w:sz w:val="28"/>
          <w:sz w:val="28"/>
          <w:szCs w:val="28"/>
          <w:rtl w:val="true"/>
          <w:lang w:bidi="fa-IR"/>
        </w:rPr>
        <w:t>، فإن استویا،</w:t>
      </w:r>
    </w:p>
    <w:p>
      <w:pPr>
        <w:pStyle w:val="BookText"/>
        <w:rPr/>
      </w:pPr>
      <w:r>
        <w:rPr>
          <w:rFonts w:ascii="Amiri" w:hAnsi="Amiri" w:eastAsia="Amiri" w:cs="Amiri"/>
          <w:color w:val="111111"/>
          <w:sz w:val="28"/>
          <w:sz w:val="28"/>
          <w:szCs w:val="28"/>
          <w:rtl w:val="true"/>
          <w:lang w:bidi="ar-SA"/>
        </w:rPr>
        <w:t>طرحت شهادة الفرع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الجنید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علیه اثنان، لم یلتفت إلی جحوده</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أنّ تعذّر الحضور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للفرع هنا، وافق أو خالف</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بالأوّل صحیح عبد الرحمان، عن الصادق علیه‌السّلام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لابدّ من العدالة فی الأصل و الفرع، فإن عدّله الفرع و إلاّ بحث</w:t>
      </w:r>
      <w:r>
        <w:rPr>
          <w:rStyle w:val="FootnoteAnchor"/>
          <w:rtl w:val="true"/>
        </w:rPr>
        <w:footnoteReference w:id="831"/>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طرأ فسق الأصل بعد الاسترعاء قبل الحکم، اُطّرحت، و کذا لو استرقّه المشهود علیه، و لا یمنع طریان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لابدّ من تعیین شاهدی الأصل، فلا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أشهدنا عدلان، و لیس علیه أن یشهد علی صدق شاهد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مراتب التحمّل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الاسترعاء،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شهادتی أ نّی أشهد لفلان علی فلان بکذا، و هو أعلاها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شهادته عند الحاکم</w:t>
      </w:r>
      <w:r>
        <w:rPr>
          <w:rFonts w:eastAsia="IRNazanin" w:cs="IRNazanin"/>
          <w:color w:val="111111"/>
          <w:sz w:val="28"/>
          <w:szCs w:val="28"/>
          <w:rtl w:val="true"/>
          <w:lang w:bidi="fa-IR"/>
        </w:rPr>
        <w:t xml:space="preserve">. </w:t>
      </w:r>
      <w:bookmarkStart w:id="119" w:name="pg13665_219081"/>
    </w:p>
    <w:p>
      <w:pPr>
        <w:pStyle w:val="BookText"/>
        <w:rPr/>
      </w:pPr>
      <w:bookmarkEnd w:id="119"/>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یسمعه یقول لا عند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لفلان علی فلان کذا بسبب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فی جواز الشهادة فی المرتبتین الأوّلتین غیر أ نّه یقول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أشهدنی، و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یشهد عند الحاکم، و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 لأنّ العدل لا یتسامح إلی مثل 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یذکر السبب، فلا شهادة ؛</w:t>
      </w:r>
    </w:p>
    <w:p>
      <w:pPr>
        <w:pStyle w:val="BookText"/>
        <w:rPr/>
      </w:pPr>
      <w:r>
        <w:rPr>
          <w:rFonts w:ascii="IRNazanin" w:hAnsi="IRNazanin" w:eastAsia="IRNazanin"/>
          <w:color w:val="111111"/>
          <w:sz w:val="28"/>
          <w:sz w:val="28"/>
          <w:szCs w:val="28"/>
          <w:rtl w:val="true"/>
          <w:lang w:bidi="fa-IR"/>
        </w:rPr>
        <w:t>لاعتیاد التسامح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یلحق بالمرتبة الثانیة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شهادة مبتوتة، أو مجزومة بأنّ علی فلان لفلان کذا، و 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لا أرتاب فیها أو لا أشکّ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یلحق بالأوّل أن یسمعه یسترعی شاهداً آخر إلاّ أ نّه 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أشهدنی، بل أشهد فلاناً بحضرتی</w:t>
      </w:r>
      <w:r>
        <w:rPr>
          <w:rFonts w:eastAsia="IRNazanin" w:cs="IRNazanin"/>
          <w:color w:val="111111"/>
          <w:sz w:val="28"/>
          <w:szCs w:val="28"/>
          <w:rtl w:val="true"/>
          <w:lang w:bidi="fa-IR"/>
        </w:rPr>
        <w:t>.</w:t>
      </w:r>
    </w:p>
    <w:p>
      <w:pPr>
        <w:pStyle w:val="Heading3"/>
        <w:numPr>
          <w:ilvl w:val="2"/>
          <w:numId w:val="1"/>
        </w:numPr>
        <w:rPr/>
      </w:pPr>
      <w:bookmarkStart w:id="120" w:name="__RefHeading___Toc2071291_3830689328"/>
      <w:bookmarkStart w:id="121" w:name="_Toc40"/>
      <w:bookmarkEnd w:id="120"/>
      <w:r>
        <w:rPr>
          <w:rtl w:val="true"/>
        </w:rPr>
        <w:t xml:space="preserve">درس </w:t>
      </w:r>
      <w:r>
        <w:rPr>
          <w:rtl w:val="true"/>
        </w:rPr>
        <w:t>(</w:t>
      </w:r>
      <w:r>
        <w:rPr/>
        <w:t>150</w:t>
      </w:r>
      <w:r>
        <w:rPr>
          <w:rtl w:val="true"/>
        </w:rPr>
        <w:t>)</w:t>
      </w:r>
      <w:bookmarkEnd w:id="121"/>
    </w:p>
    <w:p>
      <w:pPr>
        <w:pStyle w:val="BookText"/>
        <w:rPr/>
      </w:pPr>
      <w:r>
        <w:rPr>
          <w:rFonts w:ascii="IRNazanin" w:hAnsi="IRNazanin" w:eastAsia="IRNazanin"/>
          <w:color w:val="111111"/>
          <w:sz w:val="28"/>
          <w:sz w:val="28"/>
          <w:szCs w:val="28"/>
          <w:rtl w:val="true"/>
          <w:lang w:bidi="fa-IR"/>
        </w:rPr>
        <w:t>فی الرجوع</w:t>
      </w:r>
    </w:p>
    <w:p>
      <w:pPr>
        <w:pStyle w:val="BookText"/>
        <w:rPr/>
      </w:pPr>
      <w:r>
        <w:rPr>
          <w:rFonts w:ascii="IRNazanin" w:hAnsi="IRNazanin" w:eastAsia="IRNazanin"/>
          <w:color w:val="111111"/>
          <w:sz w:val="28"/>
          <w:sz w:val="28"/>
          <w:szCs w:val="28"/>
          <w:rtl w:val="true"/>
          <w:lang w:bidi="fa-IR"/>
        </w:rPr>
        <w:t>إذا رجع الشاهدان قبل الحکم، لم یحکم، و إن رجعا بعد الحکم بالمال، غُرّما للمشهود علیه و إن کانت العین قائمة، أو لم یستوف المال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تستعاد العین القائمة</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الوسیلة کذلک</w:t>
      </w:r>
      <w:r>
        <w:rPr>
          <w:rStyle w:val="FootnoteAnchor"/>
          <w:rtl w:val="true"/>
        </w:rPr>
        <w:footnoteReference w:id="833"/>
      </w:r>
      <w:r>
        <w:rPr>
          <w:rFonts w:ascii="IRNazanin" w:hAnsi="IRNazanin" w:eastAsia="IRNazanin"/>
          <w:color w:val="111111"/>
          <w:sz w:val="28"/>
          <w:sz w:val="28"/>
          <w:szCs w:val="28"/>
          <w:rtl w:val="true"/>
          <w:lang w:bidi="fa-IR"/>
        </w:rPr>
        <w:t>، و أ نّه لو کان قبل استیفاء الحقّ، نقض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الرجوع فیما یوجب الحدّ قبل استیفائه یبطل الحدّ، سواء کان للّه أو للإنسان ؛ لقیام الشبهة الدارئة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اصطلح الغریمان بعد الحکم علی قدر ثمّ رجعا، غُرّما أقلّ الأمرین، </w:t>
      </w:r>
    </w:p>
    <w:p>
      <w:pPr>
        <w:pStyle w:val="BookText"/>
        <w:rPr/>
      </w:pPr>
      <w:r>
        <w:rPr>
          <w:rFonts w:ascii="IRNazanin" w:hAnsi="IRNazanin" w:eastAsia="IRNazanin"/>
          <w:color w:val="111111"/>
          <w:sz w:val="28"/>
          <w:sz w:val="28"/>
          <w:szCs w:val="28"/>
          <w:rtl w:val="true"/>
          <w:lang w:bidi="fa-IR"/>
        </w:rPr>
        <w:t>و لو أبرأه، فلا رجوع، و لو رجع أحدهما، أُغرم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زادوا علی اثنین، فالمغروم موزّع علی الجمیع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رجل و عشر نسوة، فعلیه السدس،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واحدة نصف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شهود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تعمّدنا الکذب، اُقتصّ منهم و من بعضهم، و ردّ علیه مازاد</w:t>
      </w:r>
    </w:p>
    <w:p>
      <w:pPr>
        <w:pStyle w:val="BookText"/>
        <w:rPr/>
      </w:pPr>
      <w:r>
        <w:rPr>
          <w:rFonts w:ascii="IRNazanin" w:hAnsi="IRNazanin" w:eastAsia="IRNazanin"/>
          <w:color w:val="111111"/>
          <w:sz w:val="28"/>
          <w:sz w:val="28"/>
          <w:szCs w:val="28"/>
          <w:rtl w:val="true"/>
          <w:lang w:bidi="fa-IR"/>
        </w:rPr>
        <w:t>عن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فالدیة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تفرّقوا فی العمد و الخطأ، فعلی کلّ واحد لازم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تأوّل المتعمّد بظنّ أ نّه لا یقبل قوله،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یقتصّ منه</w:t>
      </w:r>
      <w:r>
        <w:rPr>
          <w:rStyle w:val="FootnoteAnchor"/>
          <w:rtl w:val="true"/>
        </w:rPr>
        <w:footnoteReference w:id="835"/>
      </w:r>
      <w:r>
        <w:rPr>
          <w:rFonts w:ascii="IRNazanin" w:hAnsi="IRNazanin" w:eastAsia="IRNazanin"/>
          <w:color w:val="111111"/>
          <w:sz w:val="28"/>
          <w:sz w:val="28"/>
          <w:szCs w:val="28"/>
          <w:rtl w:val="true"/>
          <w:lang w:bidi="fa-IR"/>
        </w:rPr>
        <w:t>، کما یقتصّ ممّن قتل مریضاً بضرب لا یقتل</w:t>
      </w:r>
      <w:r>
        <w:rPr>
          <w:rStyle w:val="FootnoteAnchor"/>
          <w:rtl w:val="true"/>
        </w:rPr>
        <w:footnoteReference w:id="836"/>
      </w:r>
      <w:r>
        <w:rPr>
          <w:rFonts w:ascii="Amiri" w:hAnsi="Amiri" w:eastAsia="Amiri" w:cs="Amiri"/>
          <w:color w:val="111111"/>
          <w:sz w:val="28"/>
          <w:sz w:val="28"/>
          <w:szCs w:val="28"/>
          <w:rtl w:val="true"/>
          <w:lang w:bidi="ar-SA"/>
        </w:rPr>
        <w:t>مثله ؛ لظنّه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رجع أحد الأربعة فی الزنا، اختصّ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تعمّدت ذلک، قُتِل و ردّ الباقون علیه ثلاثة أرباع دیته،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أوهمت، فعلیه ربع الدیة</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من کلام ابن الجنید</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الحلّیّون الحکم علی المقرّ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رجعا عن الطلاق قبل الدخول، أُغرما</w:t>
      </w:r>
      <w:r>
        <w:rPr>
          <w:rStyle w:val="FootnoteAnchor"/>
          <w:rtl w:val="true"/>
        </w:rPr>
        <w:footnoteReference w:id="840"/>
      </w:r>
      <w:r>
        <w:rPr>
          <w:rFonts w:ascii="IRNazanin" w:hAnsi="IRNazanin" w:eastAsia="IRNazanin"/>
          <w:color w:val="111111"/>
          <w:sz w:val="28"/>
          <w:sz w:val="28"/>
          <w:szCs w:val="28"/>
          <w:rtl w:val="true"/>
          <w:lang w:bidi="fa-IR"/>
        </w:rPr>
        <w:t>النصف الذی غرمه ؛ لأ نّه کان معرّضاً للسقوط بردّتها أو الفسخ لعیب، و بعد الدخول لا ضمان إلاّ أن نقول بضمان منفعة البضع فیضمنان مهر 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أبطل فی الخلاف ضمان البضع</w:t>
      </w:r>
      <w:r>
        <w:rPr>
          <w:rStyle w:val="FootnoteAnchor"/>
          <w:rtl w:val="true"/>
        </w:rPr>
        <w:footnoteReference w:id="841"/>
      </w:r>
      <w:r>
        <w:rPr>
          <w:rFonts w:ascii="IRNazanin" w:hAnsi="IRNazanin" w:eastAsia="IRNazanin"/>
          <w:color w:val="111111"/>
          <w:sz w:val="28"/>
          <w:sz w:val="28"/>
          <w:szCs w:val="28"/>
          <w:rtl w:val="true"/>
          <w:lang w:bidi="fa-IR"/>
        </w:rPr>
        <w:t>، و إلاّ لحجر علی المریض فی الطلاق إلاّ أن یخرج البضع من ثلث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رجعا عن الطلاق بعد تزویجها، رُدّت إلی الأوّل و ضمنا المهر للثانی</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تزویجها لا بحکم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رجعا عن الشهادة للزوج بالنکاح و قد دخل، غُرّما لها الزائد عن المسمّی من مهر المثل إن کان، و لو طلّق قبل الدخول، فلا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الشهادة للزوجة و رجعا، غُرّما للزوج ما قبضته إن لم یدخل</w:t>
      </w:r>
      <w:r>
        <w:rPr>
          <w:rStyle w:val="FootnoteAnchor"/>
          <w:rtl w:val="true"/>
        </w:rPr>
        <w:footnoteReference w:id="843"/>
      </w:r>
      <w:r>
        <w:rPr>
          <w:rFonts w:ascii="IRNazanin" w:hAnsi="IRNazanin" w:eastAsia="IRNazanin"/>
          <w:color w:val="111111"/>
          <w:sz w:val="28"/>
          <w:sz w:val="28"/>
          <w:szCs w:val="28"/>
          <w:rtl w:val="true"/>
          <w:lang w:bidi="fa-IR"/>
        </w:rPr>
        <w:t>، و إلاّ فالزائد عن مهر المثل من المسمّی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رجعا عن الشهادة بالمکاتبة، فإن رُدّ فی الرقّ، فلا شیء إن کان قد استوفی منافعه، و إلاّ اُحتمل ضمان أُجرتها، و إن عتق بالمکاتبة، ضمنا القیمة ؛ لأنّ ما قبضه</w:t>
      </w:r>
      <w:r>
        <w:rPr>
          <w:rStyle w:val="FootnoteAnchor"/>
          <w:rtl w:val="true"/>
        </w:rPr>
        <w:footnoteReference w:id="844"/>
      </w:r>
      <w:r>
        <w:rPr>
          <w:rFonts w:ascii="IRNazanin" w:hAnsi="IRNazanin" w:eastAsia="IRNazanin"/>
          <w:color w:val="111111"/>
          <w:sz w:val="28"/>
          <w:sz w:val="28"/>
          <w:szCs w:val="28"/>
          <w:rtl w:val="true"/>
          <w:lang w:bidi="fa-IR"/>
        </w:rPr>
        <w:t>کسبه فلا یحسب</w:t>
      </w:r>
      <w:r>
        <w:rPr>
          <w:rStyle w:val="FootnoteAnchor"/>
          <w:rtl w:val="true"/>
        </w:rPr>
        <w:footnoteReference w:id="845"/>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السیّد تعجیل غرمهما، لزمهما نقص قیمة المکاتب عن القنّ، و کذا لو رجعا عن الشهادة بالاستیلاد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رجعا عن الشهادة بالعتق، غُرّما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عن التدبیر،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الرجوع ؛ لقدرته علی نقضه، إلاّ أن یکون منذوراً و قلنا بعدم جواز الرجوع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رجعا بعد موته، أُغرما للورثة، و یحتمل التغریم للوارث و إن رجعا فی حیاة المورّث ؛ إذ لا یجب علیه إنشاء الرجوع لنفع الوارث، فنفوذ عتقه مسبّب عن 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فرق بین العمد و الخطأ فی ذلک کلّه سوی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یعزّر المعترف بالعمد دون المخطئ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التزویر، نقض الحکم و عزّروا، و أُشهروا، و أُغرموا ما فات بشهادتهم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یثبت التزویر بقاطع، کعلم الحاکم، لا بشهادة غیرهما ؛ لأ نّه تعارض</w:t>
      </w:r>
      <w:r>
        <w:rPr>
          <w:rStyle w:val="FootnoteAnchor"/>
          <w:rtl w:val="true"/>
        </w:rPr>
        <w:footnoteReference w:id="846"/>
      </w:r>
      <w:r>
        <w:rPr>
          <w:rFonts w:ascii="IRNazanin" w:hAnsi="IRNazanin" w:eastAsia="IRNazanin"/>
          <w:color w:val="111111"/>
          <w:sz w:val="28"/>
          <w:sz w:val="28"/>
          <w:szCs w:val="28"/>
          <w:rtl w:val="true"/>
          <w:lang w:bidi="fa-IR"/>
        </w:rPr>
        <w:t>، و لا بإقرارهما ؛ لأ نّه رجوع</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122" w:name="pg13665_219085"/>
    </w:p>
    <w:p>
      <w:pPr>
        <w:pStyle w:val="Heading2"/>
        <w:numPr>
          <w:ilvl w:val="1"/>
          <w:numId w:val="1"/>
        </w:numPr>
        <w:rPr/>
      </w:pPr>
      <w:bookmarkStart w:id="123" w:name="__RefHeading___Toc2071293_3830689328"/>
      <w:bookmarkStart w:id="124" w:name="_Toc41"/>
      <w:bookmarkEnd w:id="122"/>
      <w:bookmarkEnd w:id="123"/>
      <w:r>
        <w:rPr>
          <w:rtl w:val="true"/>
        </w:rPr>
        <w:t>کتاب النذر و العهد</w:t>
      </w:r>
      <w:bookmarkEnd w:id="1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071295_3830689328"/>
      <w:bookmarkStart w:id="126" w:name="_Toc42"/>
      <w:bookmarkEnd w:id="125"/>
      <w:r>
        <w:rPr>
          <w:rtl w:val="true"/>
        </w:rPr>
        <w:t>اشاره</w:t>
      </w:r>
      <w:bookmarkEnd w:id="12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النذر و العهد</w:t>
      </w:r>
    </w:p>
    <w:p>
      <w:pPr>
        <w:pStyle w:val="BookText"/>
        <w:rPr/>
      </w:pPr>
      <w:r>
        <w:rPr>
          <w:rFonts w:ascii="IRNazanin" w:hAnsi="IRNazanin" w:eastAsia="IRNazanin"/>
          <w:color w:val="111111"/>
          <w:sz w:val="28"/>
          <w:sz w:val="28"/>
          <w:szCs w:val="28"/>
          <w:rtl w:val="true"/>
          <w:lang w:bidi="fa-IR"/>
        </w:rPr>
        <w:t xml:space="preserve">أمّا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التزام الکامل، المسلم، المختار، القاصد، غیر المحجور علیه بفعل أو ترک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ناویاً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الوفاء بنذر الکافر إذا أسلم، و بما لم یقرن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أو غیره من الأسماء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کذا إن کان کذا، وجب الوفاء و لا کفّارة،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استحبّ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المشروط و غیره</w:t>
      </w:r>
      <w:r>
        <w:rPr>
          <w:rStyle w:val="FootnoteAnchor"/>
          <w:rtl w:val="true"/>
        </w:rPr>
        <w:footnoteReference w:id="848"/>
      </w:r>
      <w:r>
        <w:rPr>
          <w:rFonts w:ascii="IRNazanin" w:hAnsi="IRNazanin" w:eastAsia="IRNazanin"/>
          <w:color w:val="111111"/>
          <w:sz w:val="28"/>
          <w:sz w:val="28"/>
          <w:szCs w:val="28"/>
          <w:rtl w:val="true"/>
          <w:lang w:bidi="fa-IR"/>
        </w:rPr>
        <w:t>،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للزوج حلّ نذر الزوجة فیما عدا فعل الواجب و ترک</w:t>
      </w:r>
      <w:r>
        <w:rPr>
          <w:rStyle w:val="FootnoteAnchor"/>
          <w:rtl w:val="true"/>
        </w:rPr>
        <w:footnoteReference w:id="849"/>
      </w:r>
      <w:r>
        <w:rPr>
          <w:rFonts w:ascii="IRNazanin" w:hAnsi="IRNazanin" w:eastAsia="IRNazanin"/>
          <w:color w:val="111111"/>
          <w:sz w:val="28"/>
          <w:sz w:val="28"/>
          <w:szCs w:val="28"/>
          <w:rtl w:val="true"/>
          <w:lang w:bidi="fa-IR"/>
        </w:rPr>
        <w:t>المحرّم حتّی فی الجزاء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السیّد لعبده و الوالد لولده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زال الحجر قبل الحلّ، لزم فی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إلی معلّق علی شرط و متبرّع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یعتبر کونه سائغاً، فلو شرط الظفر بالمعصیة أو الزجر عن الطاعة، لغا، و کذا لو کان شکراً، اعتبر کونه صالحاً لتعلّق الشکر، کالعافیة، و حفظ القرآن، لا کالمعصیة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الجزاء یعتبر کونه طاعة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وقوع المتبرّع به خلاف، فمنعه </w:t>
      </w:r>
    </w:p>
    <w:p>
      <w:pPr>
        <w:pStyle w:val="BookText"/>
        <w:rPr/>
      </w:pPr>
      <w:r>
        <w:rPr>
          <w:rFonts w:ascii="IRNazanin" w:hAnsi="IRNazanin" w:eastAsia="IRNazanin"/>
          <w:color w:val="111111"/>
          <w:sz w:val="28"/>
          <w:sz w:val="28"/>
          <w:szCs w:val="28"/>
          <w:rtl w:val="true"/>
          <w:lang w:bidi="fa-IR"/>
        </w:rPr>
        <w:t>المرتضی</w:t>
      </w:r>
      <w:r>
        <w:rPr>
          <w:rStyle w:val="FootnoteAnchor"/>
          <w:rtl w:val="true"/>
        </w:rPr>
        <w:footnoteReference w:id="850"/>
      </w:r>
      <w:r>
        <w:rPr>
          <w:rFonts w:ascii="IRNazanin" w:hAnsi="IRNazanin" w:eastAsia="IRNazanin"/>
          <w:color w:val="111111"/>
          <w:sz w:val="28"/>
          <w:sz w:val="28"/>
          <w:szCs w:val="28"/>
          <w:rtl w:val="true"/>
          <w:lang w:bidi="fa-IR"/>
        </w:rPr>
        <w:t>، و الأکثر علی الوقوع</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اعتبار اللفظ فیه، فاعتبره ابن</w:t>
      </w:r>
    </w:p>
    <w:p>
      <w:pPr>
        <w:pStyle w:val="BookText"/>
        <w:rPr/>
      </w:pPr>
      <w:r>
        <w:rPr>
          <w:rFonts w:ascii="IRNazanin" w:hAnsi="IRNazanin" w:eastAsia="IRNazanin"/>
          <w:color w:val="111111"/>
          <w:sz w:val="28"/>
          <w:sz w:val="28"/>
          <w:szCs w:val="28"/>
          <w:rtl w:val="true"/>
          <w:lang w:bidi="fa-IR"/>
        </w:rPr>
        <w:t>إدریس</w:t>
      </w:r>
      <w:r>
        <w:rPr>
          <w:rStyle w:val="FootnoteAnchor"/>
          <w:rtl w:val="true"/>
        </w:rPr>
        <w:footnoteReference w:id="852"/>
      </w:r>
      <w:r>
        <w:rPr>
          <w:rFonts w:ascii="IRNazanin" w:hAnsi="IRNazanin" w:eastAsia="IRNazanin"/>
          <w:color w:val="111111"/>
          <w:sz w:val="28"/>
          <w:sz w:val="28"/>
          <w:szCs w:val="28"/>
          <w:rtl w:val="true"/>
          <w:lang w:bidi="fa-IR"/>
        </w:rPr>
        <w:t>، خلافاً للشیخین</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یشترط نیّة القربة للصیغة أو یکفی التقرّب فی الصیغة ؟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کون متعلّقه مقدوراً، فلو نذر الممتنع عقلاً أو عادة، کالجمع بین الضدّین، و الصعود إلی السماء، فلغو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تجدّد العجز، انفسخ، فإن عادت القدرة،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یکفّر لو عجز بعد وقته و التمکّن من فعله</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إن کان مضیّقاً، أو غلب علی ظنّه العجز بعده، و إلاّ فلا 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نذر الحجّ لعامه فصُدّ أو أُحصر، سقط و 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ترکه فمات قبل مضیّ الزمان، فکذلک، و کذا لو مرض أو منعه عدوّ علی إشکال، من توهّم ارتفاع العذر لو سافر، و من امتناع وقوع خلاف معلوم اللّه تعالی، و فیه بحث کلامیّ</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تعلّق النذر بالمباح شرطاً أو جزاءاً</w:t>
      </w:r>
      <w:r>
        <w:rPr>
          <w:rStyle w:val="FootnoteAnchor"/>
          <w:rtl w:val="true"/>
        </w:rPr>
        <w:footnoteReference w:id="856"/>
      </w:r>
      <w:r>
        <w:rPr>
          <w:rFonts w:ascii="IRNazanin" w:hAnsi="IRNazanin" w:eastAsia="IRNazanin"/>
          <w:color w:val="111111"/>
          <w:sz w:val="28"/>
          <w:sz w:val="28"/>
          <w:szCs w:val="28"/>
          <w:rtl w:val="true"/>
          <w:lang w:bidi="fa-IR"/>
        </w:rPr>
        <w:t xml:space="preserve">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متابعة الأَولی فی الدین أو الدنیا، و مع 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النذر ؛ لروایة الحسن بن علیّ، عن أبی الحسن </w:t>
      </w:r>
    </w:p>
    <w:p>
      <w:pPr>
        <w:pStyle w:val="BookText"/>
        <w:rPr/>
      </w:pPr>
      <w:r>
        <w:rPr>
          <w:rFonts w:ascii="IRNazanin" w:hAnsi="IRNazanin" w:eastAsia="IRNazanin"/>
          <w:color w:val="111111"/>
          <w:sz w:val="28"/>
          <w:sz w:val="28"/>
          <w:szCs w:val="28"/>
          <w:rtl w:val="true"/>
          <w:lang w:bidi="fa-IR"/>
        </w:rPr>
        <w:t>علیه‌السّلام، فی جاریة حلف فیها</w:t>
      </w:r>
      <w:r>
        <w:rPr>
          <w:rStyle w:val="FootnoteAnchor"/>
          <w:rtl w:val="true"/>
        </w:rPr>
        <w:footnoteReference w:id="857"/>
      </w:r>
      <w:r>
        <w:rPr>
          <w:rFonts w:ascii="IRNazanin" w:hAnsi="IRNazanin" w:eastAsia="IRNazanin"/>
          <w:color w:val="111111"/>
          <w:sz w:val="28"/>
          <w:sz w:val="28"/>
          <w:szCs w:val="28"/>
          <w:rtl w:val="true"/>
          <w:lang w:bidi="fa-IR"/>
        </w:rPr>
        <w:t xml:space="preserve">بیمین،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أن لا أبیعها،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للّه بنذرک</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صلاة مشروعة، وجبت، و إن کانت فریضة، تأکّدت و تعرّض للکفّارة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w:t>
      </w:r>
      <w:r>
        <w:rPr>
          <w:rStyle w:val="FootnoteAnchor"/>
          <w:rtl w:val="true"/>
        </w:rPr>
        <w:footnoteReference w:id="859"/>
      </w:r>
      <w:r>
        <w:rPr>
          <w:rFonts w:ascii="IRNazanin" w:hAnsi="IRNazanin" w:eastAsia="IRNazanin"/>
          <w:color w:val="111111"/>
          <w:sz w:val="28"/>
          <w:sz w:val="28"/>
          <w:szCs w:val="28"/>
          <w:rtl w:val="true"/>
          <w:lang w:bidi="fa-IR"/>
        </w:rPr>
        <w:t xml:space="preserve">و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نذر صیام أوّل یوم رمضان</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Style w:val="FootnoteAnchor"/>
          <w:rtl w:val="true"/>
        </w:rPr>
        <w:footnoteReference w:id="861"/>
      </w:r>
      <w:r>
        <w:rPr>
          <w:rFonts w:ascii="IRNazanin" w:hAnsi="IRNazanin" w:eastAsia="IRNazanin"/>
          <w:color w:val="111111"/>
          <w:sz w:val="28"/>
          <w:sz w:val="28"/>
          <w:szCs w:val="28"/>
          <w:rtl w:val="true"/>
          <w:lang w:bidi="fa-IR"/>
        </w:rPr>
        <w:t>نذر هیئة غیر مشروعة، کرکوعین فی رکعة و سجدة واحدة، بطل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هیئة فی غیر وقتها، کالکسوف و العید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عدداً، لزمه التثنیة ؛ لأ نّه غالب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محاذاة الفرائض</w:t>
      </w:r>
      <w:r>
        <w:rPr>
          <w:rStyle w:val="FootnoteAnchor"/>
          <w:rtl w:val="true"/>
        </w:rPr>
        <w:footnoteReference w:id="862"/>
      </w:r>
      <w:r>
        <w:rPr>
          <w:rFonts w:ascii="Amiri" w:hAnsi="Amiri" w:eastAsia="Amiri" w:cs="Amiri"/>
          <w:color w:val="111111"/>
          <w:sz w:val="28"/>
          <w:sz w:val="28"/>
          <w:szCs w:val="28"/>
          <w:rtl w:val="true"/>
          <w:lang w:bidi="ar-SA"/>
        </w:rPr>
        <w:t>، فیصلّی ثلاثاً أو أربعاً بتسلیمة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نذر صلاة و أطلق،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 الرکعة</w:t>
      </w:r>
      <w:r>
        <w:rPr>
          <w:rStyle w:val="FootnoteAnchor"/>
          <w:rtl w:val="true"/>
        </w:rPr>
        <w:footnoteReference w:id="863"/>
      </w:r>
      <w:r>
        <w:rPr>
          <w:rFonts w:ascii="IRNazanin" w:hAnsi="IRNazanin" w:eastAsia="IRNazanin"/>
          <w:color w:val="111111"/>
          <w:sz w:val="28"/>
          <w:sz w:val="28"/>
          <w:szCs w:val="28"/>
          <w:rtl w:val="true"/>
          <w:lang w:bidi="fa-IR"/>
        </w:rPr>
        <w:t>؛ للتعبّد بها</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 للنهی عن البتیراء</w:t>
      </w:r>
      <w:r>
        <w:rPr>
          <w:rStyle w:val="FootnoteAnchor"/>
          <w:rtl w:val="true"/>
        </w:rPr>
        <w:footnoteReference w:id="865"/>
      </w:r>
      <w:r>
        <w:rPr>
          <w:rStyle w:val="FootnoteAnchor"/>
          <w:rtl w:val="true"/>
        </w:rPr>
        <w:footnoteReference w:id="866"/>
      </w:r>
      <w:r>
        <w:rPr>
          <w:rFonts w:ascii="IRNazanin" w:hAnsi="IRNazanin" w:eastAsia="IRNazanin"/>
          <w:color w:val="111111"/>
          <w:sz w:val="28"/>
          <w:sz w:val="28"/>
          <w:szCs w:val="28"/>
          <w:rtl w:val="true"/>
          <w:lang w:bidi="fa-IR"/>
        </w:rPr>
        <w:t>، و فی إجزاء الثلاث أو الأربع الوجهان، و لا یجزئ الخمس فصاعداً بتسلیمة إلاّ أن یقیّده فی نذره علی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قیّده برکعة واحدة،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الانعقاد، و النهی عن التنفّل بها، و قد یلزم منه إجزاء</w:t>
      </w:r>
      <w:r>
        <w:rPr>
          <w:rStyle w:val="FootnoteAnchor"/>
          <w:rtl w:val="true"/>
        </w:rPr>
        <w:footnoteReference w:id="867"/>
      </w:r>
      <w:r>
        <w:rPr>
          <w:rFonts w:ascii="Amiri" w:hAnsi="Amiri" w:eastAsia="Amiri" w:cs="Amiri"/>
          <w:color w:val="111111"/>
          <w:sz w:val="28"/>
          <w:sz w:val="28"/>
          <w:szCs w:val="28"/>
          <w:rtl w:val="true"/>
          <w:lang w:bidi="ar-SA"/>
        </w:rPr>
        <w:t>الواحدة عند إطلاق نذر الصلاة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تجزئ الفریضة عند إطلاق الصلاة علی الأقوی ؛ لأنّ التأسیس أولی من </w:t>
      </w:r>
    </w:p>
    <w:p>
      <w:pPr>
        <w:pStyle w:val="BookText"/>
        <w:rPr/>
      </w:pPr>
      <w:r>
        <w:rPr>
          <w:rFonts w:ascii="IRNazanin" w:hAnsi="IRNazanin" w:eastAsia="IRNazanin"/>
          <w:color w:val="111111"/>
          <w:sz w:val="28"/>
          <w:sz w:val="28"/>
          <w:szCs w:val="28"/>
          <w:rtl w:val="true"/>
          <w:lang w:bidi="fa-IR"/>
        </w:rPr>
        <w:t>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سجوداً، انعقد، بخلاف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الوضوء أو الغسل المندوب أو التیمّم، انعقد، لکن یراعی فی التیمّم الشرعیّة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 وقتاً فاتّفق کونه متطهّراً، لم یجب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الطهارة، حمل علی الحقیقة و هی المائیّة، و فی وجوب التیمّم عند</w:t>
      </w:r>
    </w:p>
    <w:p>
      <w:pPr>
        <w:pStyle w:val="BookText"/>
        <w:rPr/>
      </w:pPr>
      <w:r>
        <w:rPr>
          <w:rFonts w:ascii="IRNazanin" w:hAnsi="IRNazanin" w:eastAsia="IRNazanin"/>
          <w:color w:val="111111"/>
          <w:sz w:val="28"/>
          <w:sz w:val="28"/>
          <w:szCs w:val="28"/>
          <w:rtl w:val="true"/>
          <w:lang w:bidi="fa-IR"/>
        </w:rPr>
        <w:t xml:space="preserve">تعذّرها 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جعلنا</w:t>
      </w:r>
      <w:r>
        <w:rPr>
          <w:rStyle w:val="FootnoteAnchor"/>
          <w:rtl w:val="true"/>
        </w:rPr>
        <w:footnoteReference w:id="868"/>
      </w:r>
      <w:r>
        <w:rPr>
          <w:rFonts w:ascii="IRNazanin" w:hAnsi="IRNazanin" w:eastAsia="IRNazanin"/>
          <w:color w:val="111111"/>
          <w:sz w:val="28"/>
          <w:sz w:val="28"/>
          <w:szCs w:val="28"/>
          <w:rtl w:val="true"/>
          <w:lang w:bidi="fa-IR"/>
        </w:rPr>
        <w:t>الطهارة مقولة بالتواطؤ، تخیّر فی الثلاثة، و إن کانت بالتشکیک، اُحتمل حملها علی الأقلّ، و الأعلی،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العبادة فی وقت بعینه،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w:t>
      </w:r>
      <w:r>
        <w:rPr>
          <w:rStyle w:val="FootnoteAnchor"/>
          <w:rtl w:val="true"/>
        </w:rPr>
        <w:footnoteReference w:id="869"/>
      </w:r>
      <w:r>
        <w:rPr>
          <w:rFonts w:ascii="IRNazanin" w:hAnsi="IRNazanin" w:eastAsia="IRNazanin"/>
          <w:color w:val="111111"/>
          <w:sz w:val="28"/>
          <w:sz w:val="28"/>
          <w:szCs w:val="28"/>
          <w:rtl w:val="true"/>
          <w:lang w:bidi="fa-IR"/>
        </w:rPr>
        <w:t xml:space="preserve">فعله فی غیره، لم یجزئ و کفّر إن تشخّص، و لو نذرها فی مکان معیّن، فکذلک، فلو فعله فی الأفضل،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 لما روی أنّ أمیرالمؤمنین علیه‌السّلام أمر من نذر إتیان بیت المقدس بمسجد الکوفة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نذر إتیان مسجد معیّن، لزم، و لا تلزمه فیه عبادة أُخری، 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رکعتان فیه ؛ لأنّ القصد بإتیانه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إلی بیت اللّه أو مسجد اللّه‌</w:t>
      </w:r>
      <w:r>
        <w:rPr>
          <w:rStyle w:val="FootnoteAnchor"/>
          <w:rtl w:val="true"/>
        </w:rPr>
        <w:footnoteReference w:id="871"/>
      </w:r>
      <w:r>
        <w:rPr>
          <w:rFonts w:ascii="IRNazanin" w:hAnsi="IRNazanin" w:eastAsia="IRNazanin"/>
          <w:color w:val="111111"/>
          <w:sz w:val="28"/>
          <w:sz w:val="28"/>
          <w:szCs w:val="28"/>
          <w:rtl w:val="true"/>
          <w:lang w:bidi="fa-IR"/>
        </w:rPr>
        <w:t xml:space="preserve">،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العتیق</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إلاّ أن ینویه</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لو قیّده بمکّة أو بالحرام، و یجب النسک حیث لا یجوز الدخول بغیر إحرام، فإن قیّد نذره بعدم النسک حینئذٍ، بطل رأساً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 المشی إلی المسجد،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نذر المشی و اشتمل علی رجحان </w:t>
      </w:r>
    </w:p>
    <w:p>
      <w:pPr>
        <w:pStyle w:val="BookText"/>
        <w:rPr/>
      </w:pPr>
      <w:r>
        <w:rPr>
          <w:rFonts w:ascii="IRNazanin" w:hAnsi="IRNazanin" w:eastAsia="IRNazanin"/>
          <w:color w:val="111111"/>
          <w:sz w:val="28"/>
          <w:sz w:val="28"/>
          <w:szCs w:val="28"/>
          <w:rtl w:val="true"/>
          <w:lang w:bidi="fa-IR"/>
        </w:rPr>
        <w:t>دینیّ أو دنیویّ، انعقد، و إن</w:t>
      </w:r>
      <w:r>
        <w:rPr>
          <w:rStyle w:val="FootnoteAnchor"/>
          <w:rtl w:val="true"/>
        </w:rPr>
        <w:footnoteReference w:id="874"/>
      </w:r>
      <w:r>
        <w:rPr>
          <w:rFonts w:ascii="IRNazanin" w:hAnsi="IRNazanin" w:eastAsia="IRNazanin"/>
          <w:color w:val="111111"/>
          <w:sz w:val="28"/>
          <w:sz w:val="28"/>
          <w:szCs w:val="28"/>
          <w:rtl w:val="true"/>
          <w:lang w:bidi="fa-IR"/>
        </w:rPr>
        <w:t>تساوی الأمران، التحق بالمباح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الهدی مطلقاً، فالنعم فی مکّة</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منی، لزم، و یلزم</w:t>
      </w:r>
      <w:r>
        <w:rPr>
          <w:rStyle w:val="FootnoteAnchor"/>
          <w:rtl w:val="true"/>
        </w:rPr>
        <w:footnoteReference w:id="876"/>
      </w:r>
      <w:r>
        <w:rPr>
          <w:rFonts w:ascii="IRNazanin" w:hAnsi="IRNazanin" w:eastAsia="IRNazanin"/>
          <w:color w:val="111111"/>
          <w:sz w:val="28"/>
          <w:sz w:val="28"/>
          <w:szCs w:val="28"/>
          <w:rtl w:val="true"/>
          <w:lang w:bidi="fa-IR"/>
        </w:rPr>
        <w:t>تفرقة اللحم بهما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محمّد، عن الباقر علیه‌السّلام عند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تفریقه بها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نوی غیرهما و قصد الصدقة أو الإهداء للمؤمنین، صحّ، و إن قصد الإهداء للبقعة، بطل، و إن قصد مجرّد الذبح فیها، فهو من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فی المبسوط بطلان النذر</w:t>
      </w:r>
      <w:r>
        <w:rPr>
          <w:rStyle w:val="FootnoteAnchor"/>
          <w:rtl w:val="true"/>
        </w:rPr>
        <w:footnoteReference w:id="878"/>
      </w:r>
      <w:r>
        <w:rPr>
          <w:rFonts w:ascii="IRNazanin" w:hAnsi="IRNazanin" w:eastAsia="IRNazanin"/>
          <w:color w:val="111111"/>
          <w:sz w:val="28"/>
          <w:sz w:val="28"/>
          <w:szCs w:val="28"/>
          <w:rtl w:val="true"/>
          <w:lang w:bidi="fa-IR"/>
        </w:rPr>
        <w:t>، و فی الخلاف الصحّة و أوجب التفرقة بها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محمّد السالفة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سمّی مکاناً فلینحر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ما یسمّی 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و لو بیضة</w:t>
      </w:r>
      <w:r>
        <w:rPr>
          <w:rStyle w:val="FootnoteAnchor"/>
          <w:rtl w:val="true"/>
        </w:rPr>
        <w:footnoteReference w:id="880"/>
      </w:r>
      <w:r>
        <w:rPr>
          <w:rFonts w:ascii="IRNazanin" w:hAnsi="IRNazanin" w:eastAsia="IRNazanin"/>
          <w:color w:val="111111"/>
          <w:sz w:val="28"/>
          <w:sz w:val="28"/>
          <w:szCs w:val="28"/>
          <w:rtl w:val="true"/>
          <w:lang w:bidi="fa-IR"/>
        </w:rPr>
        <w:t>؛ للخبر</w:t>
      </w:r>
      <w:r>
        <w:rPr>
          <w:rStyle w:val="FootnoteAnchor"/>
          <w:rtl w:val="true"/>
        </w:rPr>
        <w:footnoteReference w:id="881"/>
      </w:r>
      <w:r>
        <w:rPr>
          <w:rFonts w:ascii="Amiri" w:hAnsi="Amiri" w:eastAsia="Amiri" w:cs="Amiri"/>
          <w:color w:val="111111"/>
          <w:sz w:val="28"/>
          <w:sz w:val="28"/>
          <w:szCs w:val="28"/>
          <w:rtl w:val="true"/>
          <w:lang w:bidi="ar-SA"/>
        </w:rPr>
        <w:t>، ثمّ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نذر أن یهدی عبداً أو أمة أو دابّة إلی بیت اللّه، أو مشهد معیّن، بیع و صرف فی مصالحه و معونة الحاجّ و الزائرین ؛ لظاهر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أخیه</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الأُنثی من الإبل، و لا تجزئ البقرة إلاّ مع العجز، و لو عجز عن البقرة فسبع شیاه</w:t>
      </w:r>
      <w:r>
        <w:rPr>
          <w:rFonts w:eastAsia="IRNazanin" w:cs="IRNazanin"/>
          <w:color w:val="111111"/>
          <w:sz w:val="28"/>
          <w:szCs w:val="28"/>
          <w:rtl w:val="true"/>
          <w:lang w:bidi="fa-IR"/>
        </w:rPr>
        <w:t xml:space="preserve">. </w:t>
      </w:r>
      <w:bookmarkStart w:id="127" w:name="pg13665_219092"/>
    </w:p>
    <w:p>
      <w:pPr>
        <w:pStyle w:val="BookText"/>
        <w:rPr/>
      </w:pPr>
      <w:bookmarkEnd w:id="127"/>
      <w:r>
        <w:rPr>
          <w:rFonts w:ascii="IRNazanin" w:hAnsi="IRNazanin" w:eastAsia="IRNazanin"/>
          <w:color w:val="111111"/>
          <w:sz w:val="28"/>
          <w:sz w:val="28"/>
          <w:szCs w:val="28"/>
          <w:rtl w:val="true"/>
          <w:lang w:bidi="fa-IR"/>
        </w:rPr>
        <w:t>و لو نذر إهداء ظبی إلی بیت اللّه،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تبلیغه الحرم، انعقد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یصحّ نذر ستر الکعبة و تطییبها، و کذا المساجد و المشاهد، و فی قبور الصالحین 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و کذا إسراجها</w:t>
      </w:r>
      <w:r>
        <w:rPr>
          <w:rFonts w:eastAsia="IRNazanin" w:cs="IRNazanin"/>
          <w:color w:val="111111"/>
          <w:sz w:val="28"/>
          <w:szCs w:val="28"/>
          <w:rtl w:val="true"/>
          <w:lang w:bidi="fa-IR"/>
        </w:rPr>
        <w:t>.</w:t>
      </w:r>
    </w:p>
    <w:p>
      <w:pPr>
        <w:pStyle w:val="Heading3"/>
        <w:numPr>
          <w:ilvl w:val="2"/>
          <w:numId w:val="1"/>
        </w:numPr>
        <w:rPr/>
      </w:pPr>
      <w:bookmarkStart w:id="128" w:name="__RefHeading___Toc2071297_3830689328"/>
      <w:bookmarkStart w:id="129" w:name="_Toc43"/>
      <w:bookmarkEnd w:id="128"/>
      <w:r>
        <w:rPr>
          <w:rtl w:val="true"/>
        </w:rPr>
        <w:t xml:space="preserve">درس </w:t>
      </w:r>
      <w:r>
        <w:rPr>
          <w:rtl w:val="true"/>
        </w:rPr>
        <w:t>(</w:t>
      </w:r>
      <w:r>
        <w:rPr/>
        <w:t>151</w:t>
      </w:r>
      <w:r>
        <w:rPr>
          <w:rtl w:val="true"/>
        </w:rPr>
        <w:t>)</w:t>
      </w:r>
      <w:bookmarkEnd w:id="129"/>
    </w:p>
    <w:p>
      <w:pPr>
        <w:pStyle w:val="BookText"/>
        <w:rPr/>
      </w:pPr>
      <w:r>
        <w:rPr>
          <w:rFonts w:ascii="IRNazanin" w:hAnsi="IRNazanin" w:eastAsia="IRNazanin"/>
          <w:color w:val="111111"/>
          <w:sz w:val="28"/>
          <w:sz w:val="28"/>
          <w:szCs w:val="28"/>
          <w:rtl w:val="true"/>
          <w:lang w:bidi="fa-IR"/>
        </w:rPr>
        <w:t>لو نذر زیارة النبیّ صلّی‌اللّه علیه و آله، انعقد ؛ لأ نّها من أُمّهات الطاعات، سواء</w:t>
      </w:r>
    </w:p>
    <w:p>
      <w:pPr>
        <w:pStyle w:val="BookText"/>
        <w:rPr/>
      </w:pPr>
      <w:r>
        <w:rPr>
          <w:rFonts w:ascii="IRNazanin" w:hAnsi="IRNazanin" w:eastAsia="IRNazanin"/>
          <w:color w:val="111111"/>
          <w:sz w:val="28"/>
          <w:sz w:val="28"/>
          <w:szCs w:val="28"/>
          <w:rtl w:val="true"/>
          <w:lang w:bidi="fa-IR"/>
        </w:rPr>
        <w:t>قصد زیارة المسجد أو لا، و کذا زیارة أحد الأئمّة علیهم‌السلام، أو قبور أحد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نذر زیارة الأئمّة الاثنی عشر،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انصرافه إلی قصدهم فی أماکنهم، أمّا الحجّة، ففی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إماماً، لم یجزئ غیره و لو 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قیّده بوقت، وجب مع الإمکان، فإن أخلّ به عامداً، قضی و کفّر و إلاّ فالقضاء، و إن أطلق فهو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الزیارة الحضور فی المقام</w:t>
      </w:r>
      <w:r>
        <w:rPr>
          <w:rStyle w:val="FootnoteAnchor"/>
          <w:rtl w:val="true"/>
        </w:rPr>
        <w:footnoteReference w:id="884"/>
      </w:r>
      <w:r>
        <w:rPr>
          <w:rFonts w:ascii="IRNazanin" w:hAnsi="IRNazanin" w:eastAsia="IRNazanin"/>
          <w:color w:val="111111"/>
          <w:sz w:val="28"/>
          <w:sz w:val="28"/>
          <w:szCs w:val="28"/>
          <w:rtl w:val="true"/>
          <w:lang w:bidi="fa-IR"/>
        </w:rPr>
        <w:t xml:space="preserve">،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السلام ؛ لأ نّه</w:t>
      </w:r>
    </w:p>
    <w:p>
      <w:pPr>
        <w:pStyle w:val="BookText"/>
        <w:rPr/>
      </w:pPr>
      <w:r>
        <w:rPr>
          <w:rFonts w:ascii="IRNazanin" w:hAnsi="IRNazanin" w:eastAsia="IRNazanin"/>
          <w:color w:val="111111"/>
          <w:sz w:val="28"/>
          <w:sz w:val="28"/>
          <w:szCs w:val="28"/>
          <w:rtl w:val="true"/>
          <w:lang w:bidi="fa-IR"/>
        </w:rPr>
        <w:t>المتعارف من الزیارة، و لا یجب الدعاء و لا الصلاة و إن استحبّا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 الصدقة، تعیّن</w:t>
      </w:r>
      <w:r>
        <w:rPr>
          <w:rStyle w:val="FootnoteAnchor"/>
          <w:rtl w:val="true"/>
        </w:rPr>
        <w:footnoteReference w:id="885"/>
      </w:r>
      <w:r>
        <w:rPr>
          <w:rFonts w:ascii="IRNazanin" w:hAnsi="IRNazanin" w:eastAsia="IRNazanin"/>
          <w:color w:val="111111"/>
          <w:sz w:val="28"/>
          <w:sz w:val="28"/>
          <w:szCs w:val="28"/>
          <w:rtl w:val="true"/>
          <w:lang w:bidi="fa-IR"/>
        </w:rPr>
        <w:t xml:space="preserve">مقداراً و جنساً و محلاًّ و مکاناً و زماناً، و لا تجزئ القیمة فی المتعیّن، و لا یملک المنذور له الإبراء، و فی وجوب قبوله نظر یَنشأ من توهّم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کالدین أو الهبة</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xml:space="preserve">، فإن قلنا بعدمه، سقط عن الناذر، و لو أطلق قدراً فی الذمّة، صحّ، و لا یجزئ غیره، و فی إجزاء احتساب الدین هنا علی المستحقّ نظر، </w:t>
      </w:r>
    </w:p>
    <w:p>
      <w:pPr>
        <w:pStyle w:val="BookText"/>
        <w:rPr/>
      </w:pPr>
      <w:r>
        <w:rPr>
          <w:rFonts w:ascii="IRNazanin" w:hAnsi="IRNazanin" w:eastAsia="IRNazanin"/>
          <w:color w:val="111111"/>
          <w:sz w:val="28"/>
          <w:sz w:val="28"/>
          <w:szCs w:val="28"/>
          <w:rtl w:val="true"/>
          <w:lang w:bidi="fa-IR"/>
        </w:rPr>
        <w:t xml:space="preserve">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أبرأه المستحقّ هنا، أو وهبه المعیّن قبل قبضه أو اعتاض عنه،</w:t>
      </w:r>
    </w:p>
    <w:p>
      <w:pPr>
        <w:pStyle w:val="BookText"/>
        <w:rPr/>
      </w:pPr>
      <w:r>
        <w:rPr>
          <w:rFonts w:ascii="IRNazanin" w:hAnsi="IRNazanin" w:eastAsia="IRNazanin"/>
          <w:color w:val="111111"/>
          <w:sz w:val="28"/>
          <w:sz w:val="28"/>
          <w:szCs w:val="28"/>
          <w:rtl w:val="true"/>
          <w:lang w:bidi="fa-IR"/>
        </w:rPr>
        <w:t>أمکن الصحّة إن کان صیغة نذره أنّ لفلان علیّ کذا، أو عندی أو له الدابّة المعیّنة و جوّزناه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نذر الصدقة علیه أو الإهداء إلیه أو الإیصال، لم یجز الإبراء و الهبة و الاعتیاض، و علیه یتفرّع وفاة المنذور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مطالبته</w:t>
      </w:r>
      <w:r>
        <w:rPr>
          <w:rStyle w:val="FootnoteAnchor"/>
          <w:rtl w:val="true"/>
        </w:rPr>
        <w:footnoteReference w:id="887"/>
      </w:r>
      <w:r>
        <w:rPr>
          <w:rFonts w:ascii="IRNazanin" w:hAnsi="IRNazanin" w:eastAsia="IRNazanin"/>
          <w:color w:val="111111"/>
          <w:sz w:val="28"/>
          <w:sz w:val="28"/>
          <w:szCs w:val="28"/>
          <w:rtl w:val="true"/>
          <w:lang w:bidi="fa-IR"/>
        </w:rPr>
        <w:t>به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اختلفا فی الدفع، حلف المنکر، و یجوز التوکیل فی دفعه و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شاة فنمت، تفرّع النماء علی التملیک أو التصدّق، فیملکه المنذور له إن قلنا بالملک القهریّ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أتصدّق به، ففی ملکه هنا تردّد، من إجراء مأخذ</w:t>
      </w:r>
      <w:r>
        <w:rPr>
          <w:rStyle w:val="FootnoteAnchor"/>
          <w:rtl w:val="true"/>
        </w:rPr>
        <w:footnoteReference w:id="888"/>
      </w:r>
      <w:r>
        <w:rPr>
          <w:rFonts w:ascii="IRNazanin" w:hAnsi="IRNazanin" w:eastAsia="IRNazanin"/>
          <w:color w:val="111111"/>
          <w:sz w:val="28"/>
          <w:sz w:val="28"/>
          <w:szCs w:val="28"/>
          <w:rtl w:val="true"/>
          <w:lang w:bidi="fa-IR"/>
        </w:rPr>
        <w:t>الأسباب مجری وقوع المسبّب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 المال صدقة بالنذر، ففی خروجه عن ملکه تردّد، من إجرائه مجری الوقف العامّ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الفاضل بالخروج</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أطلق الصدقة، أجزأه مسمّاها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تجزئ الکلمة الطیّبة و لا تعلیم العلم، و تسمیتها صدقة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یجزئ إبراء الغریم، و فی جوازها علی الغنیّ أو الهاشمیّ إشکال، و لا إشکال مع التعیین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نذر الصدقة بما یملک، لزم، إلاّ مع الضرورة فیبطل فی قدرها، فإن أمکن التقویم و التصرّف فی المال، ثمّ تدریج الصدقة، وجب،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الصدقة بما لا یضرّ به 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سبیل اللّه‌</w:t>
      </w:r>
      <w:r>
        <w:rPr>
          <w:rStyle w:val="FootnoteAnchor"/>
          <w:rtl w:val="true"/>
        </w:rPr>
        <w:footnoteReference w:id="890"/>
      </w:r>
      <w:r>
        <w:rPr>
          <w:rFonts w:ascii="IRNazanin" w:hAnsi="IRNazanin" w:eastAsia="IRNazanin"/>
          <w:color w:val="111111"/>
          <w:sz w:val="28"/>
          <w:sz w:val="28"/>
          <w:szCs w:val="28"/>
          <w:rtl w:val="true"/>
          <w:lang w:bidi="fa-IR"/>
        </w:rPr>
        <w:t>و سبیل الخیر و سبیل الثواب کلّ قربة، کصدقة أو معونة حاجّ أو زائر أو غازٍ أو طالب علم أو عمارة مسجد أو مدرسة أو 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صرف زکاة أو خمس علی معیّن، لزم إذا لم یناف التعجیل المأمور به، و لو نافی الأفضلیّة، کالبسط أو إعطاء</w:t>
      </w:r>
      <w:r>
        <w:rPr>
          <w:rStyle w:val="FootnoteAnchor"/>
          <w:rtl w:val="true"/>
        </w:rPr>
        <w:footnoteReference w:id="891"/>
      </w:r>
      <w:r>
        <w:rPr>
          <w:rFonts w:ascii="IRNazanin" w:hAnsi="IRNazanin" w:eastAsia="IRNazanin"/>
          <w:color w:val="111111"/>
          <w:sz w:val="28"/>
          <w:sz w:val="28"/>
          <w:szCs w:val="28"/>
          <w:rtl w:val="true"/>
          <w:lang w:bidi="fa-IR"/>
        </w:rPr>
        <w:t>الرحم أو الأفقه أو الأعدل، ففیه نظر،</w:t>
      </w:r>
    </w:p>
    <w:p>
      <w:pPr>
        <w:pStyle w:val="BookText"/>
        <w:rPr/>
      </w:pPr>
      <w:r>
        <w:rPr>
          <w:rFonts w:ascii="IRNazanin" w:hAnsi="IRNazanin" w:eastAsia="IRNazanin"/>
          <w:color w:val="111111"/>
          <w:sz w:val="28"/>
          <w:sz w:val="28"/>
          <w:szCs w:val="28"/>
          <w:rtl w:val="true"/>
          <w:lang w:bidi="fa-IR"/>
        </w:rPr>
        <w:t xml:space="preserve">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خرج المعیّن عن الاستحقاق، بطل، فلو عاد إلی الاستحقاق،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النذر ما لم یکن قد 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الصدقة من ماله بشیء کثیر، فثمانون درهماً ؛ لروایة أبی بکر الحضرمیّ، عن أبی الحسن علیه‌السّلام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قال بمال کثیر، ففی قضیّة الهادی علیه‌السّلام مع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w:t>
      </w:r>
      <w:r>
        <w:rPr>
          <w:rStyle w:val="FootnoteAnchor"/>
          <w:rtl w:val="true"/>
        </w:rPr>
        <w:footnoteReference w:id="893"/>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ردّها ابن إدریس إلی المتعامل به</w:t>
      </w:r>
      <w:r>
        <w:rPr>
          <w:rStyle w:val="FootnoteAnchor"/>
          <w:rtl w:val="true"/>
        </w:rPr>
        <w:footnoteReference w:id="895"/>
      </w:r>
      <w:r>
        <w:rPr>
          <w:rFonts w:ascii="Amiri" w:hAnsi="Amiri" w:eastAsia="Amiri" w:cs="Amiri"/>
          <w:color w:val="111111"/>
          <w:sz w:val="28"/>
          <w:sz w:val="28"/>
          <w:szCs w:val="28"/>
          <w:rtl w:val="true"/>
          <w:lang w:bidi="ar-SA"/>
        </w:rPr>
        <w:t>درهماً أو دیناراً</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المطلق ثمانون درهماً، و المقیّد بنوع ثمانون من ذلک النوع</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 قربة، أجزأه مسمّاها من صلاة رکعتین، أو صوم یوم، أو الصدقة برغیف ؛ لروایة مسمع، عن الصادق علیه‌السّلام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نذر صوم یوم قدومه</w:t>
      </w:r>
      <w:r>
        <w:rPr>
          <w:rStyle w:val="FootnoteAnchor"/>
          <w:rtl w:val="true"/>
        </w:rPr>
        <w:footnoteReference w:id="899"/>
      </w:r>
      <w:r>
        <w:rPr>
          <w:rFonts w:ascii="IRNazanin" w:hAnsi="IRNazanin" w:eastAsia="IRNazanin"/>
          <w:color w:val="111111"/>
          <w:sz w:val="28"/>
          <w:sz w:val="28"/>
          <w:szCs w:val="28"/>
          <w:rtl w:val="true"/>
          <w:lang w:bidi="fa-IR"/>
        </w:rPr>
        <w:t>، بطل عند الشیخ</w:t>
      </w:r>
      <w:r>
        <w:rPr>
          <w:rStyle w:val="FootnoteAnchor"/>
          <w:rtl w:val="true"/>
        </w:rPr>
        <w:footnoteReference w:id="900"/>
      </w:r>
      <w:r>
        <w:rPr>
          <w:rFonts w:ascii="IRNazanin" w:hAnsi="IRNazanin" w:eastAsia="IRNazanin"/>
          <w:color w:val="111111"/>
          <w:sz w:val="28"/>
          <w:sz w:val="28"/>
          <w:szCs w:val="28"/>
          <w:rtl w:val="true"/>
          <w:lang w:bidi="fa-IR"/>
        </w:rPr>
        <w:t>، سواء قدم لیلاً بالإجماع أو نهاراً ؛ لعدم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نهاراً و لم یتناول، صامه</w:t>
      </w:r>
      <w:r>
        <w:rPr>
          <w:rStyle w:val="FootnoteAnchor"/>
          <w:rtl w:val="true"/>
        </w:rPr>
        <w:footnoteReference w:id="901"/>
      </w:r>
      <w:r>
        <w:rPr>
          <w:rFonts w:ascii="IRNazanin" w:hAnsi="IRNazanin" w:eastAsia="IRNazanin"/>
          <w:color w:val="111111"/>
          <w:sz w:val="28"/>
          <w:sz w:val="28"/>
          <w:szCs w:val="28"/>
          <w:rtl w:val="true"/>
          <w:lang w:bidi="fa-IR"/>
        </w:rPr>
        <w:t>و احتاط بقضائه</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إمکان النیّة و 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قدومه</w:t>
      </w:r>
      <w:r>
        <w:rPr>
          <w:rStyle w:val="FootnoteAnchor"/>
          <w:rtl w:val="true"/>
        </w:rPr>
        <w:footnoteReference w:id="903"/>
      </w:r>
      <w:r>
        <w:rPr>
          <w:rFonts w:ascii="Amiri" w:hAnsi="Amiri" w:eastAsia="Amiri" w:cs="Amiri"/>
          <w:color w:val="111111"/>
          <w:sz w:val="28"/>
          <w:sz w:val="28"/>
          <w:szCs w:val="28"/>
          <w:rtl w:val="true"/>
          <w:lang w:bidi="ar-SA"/>
        </w:rPr>
        <w:t>و بیّت</w:t>
      </w:r>
      <w:r>
        <w:rPr>
          <w:rStyle w:val="FootnoteAnchor"/>
          <w:rtl w:val="true"/>
        </w:rPr>
        <w:footnoteReference w:id="9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أجزأ أیضاً، قاله فی المبسوط</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نذره أبداً، صام ما بعده إجماعاً، فلو وجب علیه صوم متتابع،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یخلّ بالتتابع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فیما یحصل به المتابعة عن الکفّارة، ثمّ</w:t>
      </w:r>
    </w:p>
    <w:p>
      <w:pPr>
        <w:pStyle w:val="BookText"/>
        <w:rPr/>
      </w:pPr>
      <w:r>
        <w:rPr>
          <w:rFonts w:ascii="IRNazanin" w:hAnsi="IRNazanin" w:eastAsia="IRNazanin"/>
          <w:color w:val="111111"/>
          <w:sz w:val="28"/>
          <w:sz w:val="28"/>
          <w:szCs w:val="28"/>
          <w:rtl w:val="true"/>
          <w:lang w:bidi="fa-IR"/>
        </w:rPr>
        <w:t>یقضیه، سواء تقدّم علی الکفّارة فی الوجوب أم تأخّر</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فرضه إلی الإطعام</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أنّ الکفّارة مرتّبة، فالمخیّرة یمکن خروجها ؛ لعدم الضرورة، و دخولها ؛ لقیام المقتضی للتخییر و عدم صلاحیة المانع، و هو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قید التتابع</w:t>
      </w:r>
      <w:r>
        <w:rPr>
          <w:rStyle w:val="FootnoteAnchor"/>
          <w:rtl w:val="true"/>
        </w:rPr>
        <w:footnoteReference w:id="908"/>
      </w:r>
      <w:r>
        <w:rPr>
          <w:rFonts w:ascii="IRNazanin" w:hAnsi="IRNazanin" w:eastAsia="IRNazanin"/>
          <w:color w:val="111111"/>
          <w:sz w:val="28"/>
          <w:sz w:val="28"/>
          <w:szCs w:val="28"/>
          <w:rtl w:val="true"/>
          <w:lang w:bidi="fa-IR"/>
        </w:rPr>
        <w:t>فی النذر، و لا یکفی مجاوزة النصف إلاّ فی الشهر و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طرّده الشیخ فی السنة بأن یزید علی نصفها یوم</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و کذا نقله الفاضل فی القواعد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التصریح بالقائل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شرط التتابع فی المطلقة فأخلّ به، استأنف و لا کفّارة،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مجاوزة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کما صرّح به ولده فی إیضاح الفوائد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فحکاه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علیه فی النسخ التی بأیدینا من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نسبه الشهید و کذا العلاّمة فی باب النذر إلی کتاب المبسوط لم نعثر علیه فی الکتاب المذکور، و لعلّ النسخ التی اعتمد علیها هؤلاء الأعلام، کانت متوفّرة لدیهم ثمّ فقدت فی الأزمنة المتأخّرة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إلی</w:t>
      </w:r>
    </w:p>
    <w:p>
      <w:pPr>
        <w:pStyle w:val="BookText"/>
        <w:rPr/>
      </w:pPr>
      <w:r>
        <w:rPr>
          <w:rFonts w:ascii="Amiri" w:hAnsi="Amiri" w:eastAsia="Amiri" w:cs="Amiri"/>
          <w:color w:val="111111"/>
          <w:sz w:val="28"/>
          <w:sz w:val="28"/>
          <w:szCs w:val="28"/>
          <w:rtl w:val="true"/>
          <w:lang w:bidi="ar-SA"/>
        </w:rPr>
        <w:t>التحکّم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کذلک</w:t>
      </w:r>
      <w:r>
        <w:rPr>
          <w:rStyle w:val="FootnoteAnchor"/>
          <w:rtl w:val="true"/>
        </w:rPr>
        <w:footnoteReference w:id="911"/>
      </w:r>
      <w:r>
        <w:rPr>
          <w:rFonts w:ascii="Amiri" w:hAnsi="Amiri" w:eastAsia="Amiri" w:cs="Amiri"/>
          <w:color w:val="111111"/>
          <w:sz w:val="28"/>
          <w:sz w:val="28"/>
          <w:szCs w:val="28"/>
          <w:rtl w:val="true"/>
          <w:lang w:bidi="ar-SA"/>
        </w:rPr>
        <w:t>لأ نّه</w:t>
      </w:r>
      <w:r>
        <w:rPr>
          <w:rStyle w:val="FootnoteAnchor"/>
          <w:rtl w:val="true"/>
        </w:rPr>
        <w:footnoteReference w:id="912"/>
      </w:r>
      <w:r>
        <w:rPr>
          <w:rFonts w:ascii="IRNazanin" w:hAnsi="IRNazanin" w:eastAsia="IRNazanin"/>
          <w:color w:val="111111"/>
          <w:sz w:val="28"/>
          <w:sz w:val="28"/>
          <w:szCs w:val="28"/>
          <w:rtl w:val="true"/>
          <w:lang w:bidi="fa-IR"/>
        </w:rPr>
        <w:t>من باب التنبیه بالأدنی علی الأعلی، أو من باب</w:t>
      </w:r>
    </w:p>
    <w:p>
      <w:pPr>
        <w:pStyle w:val="BookText"/>
        <w:rPr/>
      </w:pPr>
      <w:r>
        <w:rPr>
          <w:rFonts w:ascii="IRNazanin" w:hAnsi="IRNazanin" w:eastAsia="IRNazanin"/>
          <w:color w:val="111111"/>
          <w:sz w:val="28"/>
          <w:sz w:val="28"/>
          <w:szCs w:val="28"/>
          <w:rtl w:val="true"/>
          <w:lang w:bidi="fa-IR"/>
        </w:rPr>
        <w:t>الحقیقة الشرعیّة المطّردة، کما طرّد الکثیر فی الإقرار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نذر عتق رقبة، أجزأت</w:t>
      </w:r>
      <w:r>
        <w:rPr>
          <w:rStyle w:val="FootnoteAnchor"/>
          <w:rtl w:val="true"/>
        </w:rPr>
        <w:footnoteReference w:id="913"/>
      </w:r>
      <w:r>
        <w:rPr>
          <w:rFonts w:ascii="IRNazanin" w:hAnsi="IRNazanin" w:eastAsia="IRNazanin"/>
          <w:color w:val="111111"/>
          <w:sz w:val="28"/>
          <w:sz w:val="28"/>
          <w:szCs w:val="28"/>
          <w:rtl w:val="true"/>
          <w:lang w:bidi="fa-IR"/>
        </w:rPr>
        <w:t>المعیبة و الصغیرة و المؤمنة و الکافرة إن جوّزنا عتق الکافر مطلقاً، کقول الشیخ فی المبسوط</w:t>
      </w:r>
      <w:r>
        <w:rPr>
          <w:rStyle w:val="FootnoteAnchor"/>
          <w:rtl w:val="true"/>
        </w:rPr>
        <w:footnoteReference w:id="914"/>
      </w:r>
      <w:r>
        <w:rPr>
          <w:rFonts w:ascii="IRNazanin" w:hAnsi="IRNazanin" w:eastAsia="IRNazanin"/>
          <w:color w:val="111111"/>
          <w:sz w:val="28"/>
          <w:sz w:val="28"/>
          <w:szCs w:val="28"/>
          <w:rtl w:val="true"/>
          <w:lang w:bidi="fa-IR"/>
        </w:rPr>
        <w:t>و الخلاف</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قیّدها بقید،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قیّد</w:t>
      </w:r>
      <w:r>
        <w:rPr>
          <w:rStyle w:val="FootnoteAnchor"/>
          <w:rtl w:val="true"/>
        </w:rPr>
        <w:footnoteReference w:id="916"/>
      </w:r>
      <w:r>
        <w:rPr>
          <w:rFonts w:ascii="IRNazanin" w:hAnsi="IRNazanin" w:eastAsia="IRNazanin"/>
          <w:color w:val="111111"/>
          <w:sz w:val="28"/>
          <w:sz w:val="28"/>
          <w:szCs w:val="28"/>
          <w:rtl w:val="true"/>
          <w:lang w:bidi="fa-IR"/>
        </w:rPr>
        <w:t>بالکفر، فإن کان لرجاء الإسلام أو صفة مرجّحة، لزم، و إن اشتمل علی معصیة، بطل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عتق الکافر لو نذر عتق معیّن</w:t>
      </w:r>
      <w:r>
        <w:rPr>
          <w:rStyle w:val="FootnoteAnchor"/>
          <w:rtl w:val="true"/>
        </w:rPr>
        <w:footnoteReference w:id="917"/>
      </w:r>
      <w:r>
        <w:rPr>
          <w:rFonts w:ascii="IRNazanin" w:hAnsi="IRNazanin" w:eastAsia="IRNazanin"/>
          <w:color w:val="111111"/>
          <w:sz w:val="28"/>
          <w:sz w:val="28"/>
          <w:szCs w:val="28"/>
          <w:rtl w:val="true"/>
          <w:lang w:bidi="fa-IR"/>
        </w:rPr>
        <w:t xml:space="preserve">؛ لتأویل روایة الحسن بن </w:t>
      </w:r>
    </w:p>
    <w:p>
      <w:pPr>
        <w:pStyle w:val="BookText"/>
        <w:rPr/>
      </w:pPr>
      <w:r>
        <w:rPr>
          <w:rFonts w:ascii="IRNazanin" w:hAnsi="IRNazanin" w:eastAsia="IRNazanin"/>
          <w:color w:val="111111"/>
          <w:sz w:val="28"/>
          <w:sz w:val="28"/>
          <w:szCs w:val="28"/>
          <w:rtl w:val="true"/>
          <w:lang w:bidi="fa-IR"/>
        </w:rPr>
        <w:t>صالح فی إعتاق علیّ علیه‌السّلام مَن کان نصرانیّاً فأسلم حین عتقه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 نذر وجب مقیّداً بزمان، یتعیّن</w:t>
      </w:r>
      <w:r>
        <w:rPr>
          <w:rStyle w:val="FootnoteAnchor"/>
          <w:rtl w:val="true"/>
        </w:rPr>
        <w:footnoteReference w:id="919"/>
      </w:r>
      <w:r>
        <w:rPr>
          <w:rFonts w:ascii="IRNazanin" w:hAnsi="IRNazanin" w:eastAsia="IRNazanin"/>
          <w:color w:val="111111"/>
          <w:sz w:val="28"/>
          <w:sz w:val="28"/>
          <w:szCs w:val="28"/>
          <w:rtl w:val="true"/>
          <w:lang w:bidi="fa-IR"/>
        </w:rPr>
        <w:t>فعله فیه، فإن أخلّ به عمداً، کفّر و قضاه، و إن کان مطلقاً، فهو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یتضیّق بوجود شرطه</w:t>
      </w:r>
      <w:r>
        <w:rPr>
          <w:rStyle w:val="FootnoteAnchor"/>
          <w:rtl w:val="true"/>
        </w:rPr>
        <w:footnoteReference w:id="920"/>
      </w:r>
      <w:r>
        <w:rPr>
          <w:rFonts w:ascii="IRNazanin" w:hAnsi="IRNazanin" w:eastAsia="IRNazanin"/>
          <w:color w:val="111111"/>
          <w:sz w:val="28"/>
          <w:sz w:val="28"/>
          <w:szCs w:val="28"/>
          <w:rtl w:val="true"/>
          <w:lang w:bidi="fa-IR"/>
        </w:rPr>
        <w:t>، و هو أحوط</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العهد کمتعلّق النذر، و أحکامه واردة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علیّ عهد اللّه أن أفعل کذا معلّقاً أو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یشترط فیه ما شُرِط</w:t>
      </w:r>
      <w:r>
        <w:rPr>
          <w:rStyle w:val="FootnoteAnchor"/>
          <w:rtl w:val="true"/>
        </w:rPr>
        <w:footnoteReference w:id="921"/>
      </w:r>
      <w:r>
        <w:rPr>
          <w:rFonts w:ascii="IRNazanin" w:hAnsi="IRNazanin" w:eastAsia="IRNazanin"/>
          <w:color w:val="111111"/>
          <w:sz w:val="28"/>
          <w:sz w:val="28"/>
          <w:szCs w:val="28"/>
          <w:rtl w:val="true"/>
          <w:lang w:bidi="fa-IR"/>
        </w:rPr>
        <w:t>فی النذر، و الخلاف فی إنعقاده بالضمیر کالنذر</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3665_219099"/>
      <w:bookmarkStart w:id="131" w:name="pg13665_219099"/>
      <w:bookmarkEnd w:id="131"/>
    </w:p>
    <w:p>
      <w:pPr>
        <w:pStyle w:val="Heading2"/>
        <w:numPr>
          <w:ilvl w:val="1"/>
          <w:numId w:val="1"/>
        </w:numPr>
        <w:rPr/>
      </w:pPr>
      <w:bookmarkStart w:id="132" w:name="pg13665_219099"/>
      <w:bookmarkStart w:id="133" w:name="__RefHeading___Toc2071299_3830689328"/>
      <w:bookmarkStart w:id="134" w:name="_Toc44"/>
      <w:bookmarkEnd w:id="132"/>
      <w:bookmarkEnd w:id="133"/>
      <w:r>
        <w:rPr>
          <w:rtl w:val="true"/>
        </w:rPr>
        <w:t>کتاب الیمین</w:t>
      </w:r>
      <w:bookmarkEnd w:id="13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071301_3830689328"/>
      <w:bookmarkStart w:id="136" w:name="_Toc45"/>
      <w:bookmarkEnd w:id="135"/>
      <w:r>
        <w:rPr>
          <w:rtl w:val="true"/>
        </w:rPr>
        <w:t>اشاره</w:t>
      </w:r>
      <w:bookmarkEnd w:id="13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الیمین</w:t>
      </w:r>
    </w:p>
    <w:p>
      <w:pPr>
        <w:pStyle w:val="BookText"/>
        <w:rPr/>
      </w:pPr>
      <w:r>
        <w:rPr>
          <w:rFonts w:ascii="IRNazanin" w:hAnsi="IRNazanin" w:eastAsia="IRNazanin"/>
          <w:color w:val="111111"/>
          <w:sz w:val="28"/>
          <w:sz w:val="28"/>
          <w:szCs w:val="28"/>
          <w:rtl w:val="true"/>
          <w:lang w:bidi="fa-IR"/>
        </w:rPr>
        <w:t xml:space="preserve">و هی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باللّه، أو بأسمائه الخاصّة لتحقیق ما یحتمل المخالفة و الموافقة فی 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اختصّ الحلف باللّه ؛ لقوله صلّی‌اللّه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حالفاً فلیحلف</w:t>
      </w:r>
    </w:p>
    <w:p>
      <w:pPr>
        <w:pStyle w:val="BookText"/>
        <w:rPr/>
      </w:pPr>
      <w:r>
        <w:rPr>
          <w:rFonts w:ascii="IRNazanin" w:hAnsi="IRNazanin" w:eastAsia="IRNazanin"/>
          <w:color w:val="111111"/>
          <w:sz w:val="28"/>
          <w:sz w:val="28"/>
          <w:szCs w:val="28"/>
          <w:rtl w:val="true"/>
          <w:lang w:bidi="fa-IR"/>
        </w:rPr>
        <w:t>باللّه أو لیذر</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الحلف بالأصنام و شبهها ؛ للنهی عن الحلف بالطواغیت، و یکره الحلف بغیر ذلک، و ربّما قیل بالتحریم و لا تنعقد به الیمین</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بالحلف بما عظّم اللّه من الحقوق،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القرآن، و حقّ رسول‌اللّه صلّی‌اللّه علیه و آله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محمّد بن مسلم،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لخلقه أن یقسموا إلاّ به</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فالحلف باللّه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 باللّه، و تاللّه، وَاَللّه‌ِ</w:t>
      </w:r>
      <w:r>
        <w:rPr>
          <w:rStyle w:val="FootnoteAnchor"/>
          <w:rtl w:val="true"/>
        </w:rPr>
        <w:footnoteReference w:id="926"/>
      </w:r>
      <w:r>
        <w:rPr>
          <w:rFonts w:ascii="Amiri" w:hAnsi="Amiri" w:eastAsia="Amiri" w:cs="Amiri"/>
          <w:color w:val="111111"/>
          <w:sz w:val="28"/>
          <w:sz w:val="28"/>
          <w:szCs w:val="28"/>
          <w:rtl w:val="true"/>
          <w:lang w:bidi="ar-SA"/>
        </w:rPr>
        <w:t>بالجرّ، و أیمن اللّه،</w:t>
      </w:r>
    </w:p>
    <w:p>
      <w:pPr>
        <w:pStyle w:val="BookText"/>
        <w:rPr/>
      </w:pPr>
      <w:r>
        <w:rPr>
          <w:rFonts w:ascii="IRNazanin" w:hAnsi="IRNazanin" w:eastAsia="IRNazanin"/>
          <w:color w:val="111111"/>
          <w:sz w:val="28"/>
          <w:sz w:val="28"/>
          <w:szCs w:val="28"/>
          <w:rtl w:val="true"/>
          <w:lang w:bidi="fa-IR"/>
        </w:rPr>
        <w:t>و ما اقتضب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باللّه هو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و مقلّب القلوب و الأبصار، و الأوّل الذی لیس کمثله شیء ؛ لأ نّه مدلول المعبود بالحقّ إله مَن فی السموات و الأرض و لم یجعل اسماً</w:t>
      </w:r>
      <w:r>
        <w:rPr>
          <w:rStyle w:val="FootnoteAnchor"/>
          <w:rtl w:val="true"/>
        </w:rPr>
        <w:footnoteReference w:id="927"/>
      </w:r>
      <w:r>
        <w:rPr>
          <w:rFonts w:ascii="Amiri" w:hAnsi="Amiri" w:eastAsia="Amiri" w:cs="Amiri"/>
          <w:color w:val="111111"/>
          <w:sz w:val="28"/>
          <w:sz w:val="28"/>
          <w:szCs w:val="28"/>
          <w:rtl w:val="true"/>
          <w:lang w:bidi="ar-SA"/>
        </w:rPr>
        <w:t>للّه تعالی</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 لأنّ مرجعه إلی أسماء تدلّ علی صفات الأفعال، کالخالق و الرازق التی هی أبعد من الأسماء الدالّة علی صفات الذات، کالرحمان الرحیم التی هی دون اسم الذات، و هو اللّه جلّ اسمه، بل هو الاسم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تنعقد بالمشترکة إذا غلبت علی اللّه، کالربّ و الخالق و البارئ و الرازق، بخلاف غیر الغائب، کالموجود و القادر، و السمیع و البصیر، و عقدها ابن الجنید بهما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تنعقد بجلال اللّه، و عظمته، و کبریائه، 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و حقّ اللّه علی الأقوی</w:t>
      </w:r>
    </w:p>
    <w:p>
      <w:pPr>
        <w:pStyle w:val="BookText"/>
        <w:rPr/>
      </w:pPr>
      <w:r>
        <w:rPr>
          <w:rFonts w:ascii="Amiri" w:hAnsi="Amiri" w:eastAsia="Amiri" w:cs="Amiri"/>
          <w:color w:val="111111"/>
          <w:sz w:val="28"/>
          <w:sz w:val="28"/>
          <w:szCs w:val="28"/>
          <w:rtl w:val="true"/>
          <w:lang w:bidi="ar-SA"/>
        </w:rPr>
        <w:t>إذا قصد به اللّه الحقّ أو المستحقّ للإلهیّة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قصد به ما یجب للّه علی عباده، لم تنعقد، و لو أطلق،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الانعقاد ؛ لأ نّ الاستعمال فی الأوّلین أغلب،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فوجهان مرتّبان و أولی بالانعقاد ؛ لأ نّه و إن اشترک إلاّ أ نّه فی اللّه أغلب، کالرحیم و العلیم و الحنّان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أو حلفت، أو أُقسم، أو أحلف، لم یکن یمیناً، حتّی یذکر المقسم به،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الإخبار دِین بنیّته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فهو یمین عند الشیخ</w:t>
      </w:r>
      <w:r>
        <w:rPr>
          <w:rStyle w:val="FootnoteAnchor"/>
          <w:rtl w:val="true"/>
        </w:rPr>
        <w:footnoteReference w:id="931"/>
      </w:r>
      <w:r>
        <w:rPr>
          <w:rFonts w:ascii="IRNazanin" w:hAnsi="IRNazanin" w:eastAsia="IRNazanin"/>
          <w:color w:val="111111"/>
          <w:sz w:val="28"/>
          <w:sz w:val="28"/>
          <w:szCs w:val="28"/>
          <w:rtl w:val="true"/>
          <w:lang w:bidi="fa-IR"/>
        </w:rPr>
        <w:t>؛ لاستعماله فی أیمان اللعان،</w:t>
      </w:r>
    </w:p>
    <w:p>
      <w:pPr>
        <w:pStyle w:val="BookText"/>
        <w:rPr/>
      </w:pP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أعزم باللّه ؛ لعدم ثبوته شرعاً و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عبرة بالظهار، و العتاق، و الطلاق، أو أیمان البیعة،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کافر، أو یعبد الصنم، أو یاهناه، أو لا أب لشانیک</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الجنید فی الطلاق، و العتاق، و الصدقة</w:t>
      </w:r>
      <w:r>
        <w:rPr>
          <w:rStyle w:val="FootnoteAnchor"/>
          <w:rtl w:val="true"/>
        </w:rPr>
        <w:footnoteReference w:id="933"/>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بالبراءة من اللّه أو رسوله أو أحد الأئمّة علیهم‌السّلام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 الکفّارة به أو بالحنث خلاف، و أوجب الشیخان بالحنث به کفّارة ظهار</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بمجرّد القول</w:t>
      </w:r>
      <w:r>
        <w:rPr>
          <w:rStyle w:val="FootnoteAnchor"/>
          <w:rtl w:val="true"/>
        </w:rPr>
        <w:footnoteReference w:id="935"/>
      </w:r>
      <w:r>
        <w:rPr>
          <w:rFonts w:ascii="IRNazanin" w:hAnsi="IRNazanin" w:eastAsia="IRNazanin"/>
          <w:color w:val="111111"/>
          <w:sz w:val="28"/>
          <w:sz w:val="28"/>
          <w:szCs w:val="28"/>
          <w:rtl w:val="true"/>
          <w:lang w:bidi="fa-IR"/>
        </w:rPr>
        <w:t>إذا لم یعلّقه علی شرط</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 لم یوجب شیئاً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توقیع العسکریّ علیه‌السّلام إلی محمّد بن الحسن الصفّار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عشرة مساکین لکلّ مسکین مدّ و یستغفر اللّه</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w:t>
      </w:r>
      <w:r>
        <w:rPr>
          <w:rStyle w:val="FootnoteAnchor"/>
          <w:rtl w:val="true"/>
        </w:rPr>
        <w:footnoteReference w:id="939"/>
      </w:r>
      <w:r>
        <w:rPr>
          <w:rFonts w:ascii="IRNazanin" w:hAnsi="IRNazanin" w:eastAsia="IRNazanin"/>
          <w:color w:val="111111"/>
          <w:sz w:val="28"/>
          <w:sz w:val="28"/>
          <w:szCs w:val="28"/>
          <w:rtl w:val="true"/>
          <w:lang w:bidi="fa-IR"/>
        </w:rPr>
        <w:t xml:space="preserve">ذا قرابة، فعلیه المشی إلی بیت اللّه عزّوجلّ </w:t>
      </w:r>
    </w:p>
    <w:p>
      <w:pPr>
        <w:pStyle w:val="BookText"/>
        <w:rPr/>
      </w:pPr>
      <w:r>
        <w:rPr>
          <w:rFonts w:ascii="IRNazanin" w:hAnsi="IRNazanin" w:eastAsia="IRNazanin"/>
          <w:color w:val="111111"/>
          <w:sz w:val="28"/>
          <w:sz w:val="28"/>
          <w:szCs w:val="28"/>
          <w:rtl w:val="true"/>
          <w:lang w:bidi="fa-IR"/>
        </w:rPr>
        <w:t>و کلّ ما یملکه فی سبیل اللّه، و هو بریٔمن دین محمّد صلّی‌اللّه علیه و آله، فإنّه یصوم ثلاثة أیّام و یتصدّق علی عشرة مساکین</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من</w:t>
      </w:r>
    </w:p>
    <w:p>
      <w:pPr>
        <w:pStyle w:val="BookText"/>
        <w:rPr/>
      </w:pPr>
      <w:r>
        <w:rPr>
          <w:rFonts w:ascii="IRNazanin" w:hAnsi="IRNazanin" w:eastAsia="IRNazanin"/>
          <w:color w:val="111111"/>
          <w:sz w:val="28"/>
          <w:sz w:val="28"/>
          <w:szCs w:val="28"/>
          <w:rtl w:val="true"/>
          <w:lang w:bidi="fa-IR"/>
        </w:rPr>
        <w:t>یمین اللغو، فإنّه لم یقصد بها التحقیق، و القصد شرط عندنا و إن نطق بالصریح</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حلف الغافل أو الساهی أو الغضبان بما یرفع القصد،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احتراز من یمین المکره، و یمین المناشدة، مثل واللّه لتفعلنّ قاصداً عقد الیمین علی صاحبه، فإنّ تحقیقه ممتنع بالنسبة إلی الحالف، و النصّ</w:t>
      </w:r>
      <w:r>
        <w:rPr>
          <w:rStyle w:val="FootnoteAnchor"/>
          <w:rtl w:val="true"/>
        </w:rPr>
        <w:footnoteReference w:id="942"/>
      </w:r>
      <w:r>
        <w:rPr>
          <w:rStyle w:val="FootnoteAnchor"/>
          <w:rtl w:val="true"/>
        </w:rPr>
        <w:footnoteReference w:id="943"/>
      </w:r>
      <w:r>
        <w:rPr>
          <w:rFonts w:ascii="IRNazanin" w:hAnsi="IRNazanin" w:eastAsia="IRNazanin"/>
          <w:color w:val="111111"/>
          <w:sz w:val="28"/>
          <w:sz w:val="28"/>
          <w:szCs w:val="28"/>
          <w:rtl w:val="true"/>
          <w:lang w:bidi="fa-IR"/>
        </w:rPr>
        <w:t>علی استحباب إجابة المناشد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اعتبرنا إمکان المخالفة و الموافقة ؛ لیخرج به الواجب، مثل الکون فی الحیّز، و الممتنع عقلاً، کالجمع بین النقیضین، أو عادة، کالصعود إلی السماء، أو شرعاً کترک</w:t>
      </w:r>
    </w:p>
    <w:p>
      <w:pPr>
        <w:pStyle w:val="BookText"/>
        <w:rPr/>
      </w:pPr>
      <w:r>
        <w:rPr>
          <w:rFonts w:ascii="IRNazanin" w:hAnsi="IRNazanin" w:eastAsia="IRNazanin"/>
          <w:color w:val="111111"/>
          <w:sz w:val="28"/>
          <w:sz w:val="28"/>
          <w:szCs w:val="28"/>
          <w:rtl w:val="true"/>
          <w:lang w:bidi="fa-IR"/>
        </w:rPr>
        <w:t>الصلاة، فإنّ کلّ ذلک لا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تجدّد العجز، فکالمقارن، إلاّ أن تعود القدرة فی غیر المقیّد بوقت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التقیید بالاستقبال ؛ لیخرج به الحلف علی الماضی و الحال إن تصوّر، و هی الغموس فی الإثم المتوعّد علیها بالنار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 أَیْمَانِهِمْ ثَمَناً قَلِیلاً</w:t>
      </w:r>
      <w:r>
        <w:rPr>
          <w:rFonts w:eastAsia="Amiri" w:cs="Amiri" w:ascii="Amiri" w:hAnsi="Amiri"/>
          <w:color w:val="111111"/>
          <w:sz w:val="28"/>
          <w:szCs w:val="28"/>
          <w:rtl w:val="true"/>
          <w:lang w:bidi="ar-SA"/>
        </w:rPr>
        <w:t>»</w:t>
      </w:r>
      <w:r>
        <w:rPr>
          <w:rStyle w:val="FootnoteAnchor"/>
          <w:rtl w:val="true"/>
        </w:rPr>
        <w:footnoteReference w:id="945"/>
      </w:r>
      <w:r>
        <w:rPr>
          <w:rFonts w:ascii="IRNazanin" w:hAnsi="IRNazanin" w:eastAsia="IRNazanin"/>
          <w:color w:val="111111"/>
          <w:sz w:val="28"/>
          <w:sz w:val="28"/>
          <w:szCs w:val="28"/>
          <w:rtl w:val="true"/>
          <w:lang w:bidi="fa-IR"/>
        </w:rPr>
        <w:t>الآیة، إن کان کاذباً</w:t>
      </w:r>
      <w:r>
        <w:rPr>
          <w:rStyle w:val="FootnoteAnchor"/>
          <w:rtl w:val="true"/>
        </w:rPr>
        <w:footnoteReference w:id="946"/>
      </w:r>
      <w:r>
        <w:rPr>
          <w:rFonts w:ascii="IRNazanin" w:hAnsi="IRNazanin" w:eastAsia="IRNazanin"/>
          <w:color w:val="111111"/>
          <w:sz w:val="28"/>
          <w:sz w:val="28"/>
          <w:szCs w:val="28"/>
          <w:rtl w:val="true"/>
          <w:lang w:bidi="fa-IR"/>
        </w:rPr>
        <w:t>و تعمّد، و إلاّ فهی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کفّارة للغموس سوی الاستغفار، و إن تضمّنت ظلماً فبعد ردّه ؛ لقوله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من الکبائر لا کفّارة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الإشراک باللّه و عقوق الوالدین و بهت المسلم </w:t>
      </w:r>
      <w:bookmarkStart w:id="137" w:name="pg13665_219105"/>
    </w:p>
    <w:p>
      <w:pPr>
        <w:pStyle w:val="BookText"/>
        <w:rPr/>
      </w:pPr>
      <w:bookmarkEnd w:id="137"/>
      <w:r>
        <w:rPr>
          <w:rFonts w:ascii="IRNazanin" w:hAnsi="IRNazanin" w:eastAsia="IRNazanin"/>
          <w:color w:val="111111"/>
          <w:sz w:val="28"/>
          <w:sz w:val="28"/>
          <w:szCs w:val="28"/>
          <w:rtl w:val="true"/>
          <w:lang w:bidi="fa-IR"/>
        </w:rPr>
        <w:t>و الفرار من الزحف و الیمین الغموس</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أُکره علی یمین الغموس، تأوّل فی المفرد أو الإسناد، فالمفرد کقصد أحد</w:t>
      </w:r>
    </w:p>
    <w:p>
      <w:pPr>
        <w:pStyle w:val="BookText"/>
        <w:rPr/>
      </w:pPr>
      <w:r>
        <w:rPr>
          <w:rFonts w:ascii="IRNazanin" w:hAnsi="IRNazanin" w:eastAsia="IRNazanin"/>
          <w:color w:val="111111"/>
          <w:sz w:val="28"/>
          <w:sz w:val="28"/>
          <w:szCs w:val="28"/>
          <w:rtl w:val="true"/>
          <w:lang w:bidi="fa-IR"/>
        </w:rPr>
        <w:t xml:space="preserve">معانی المشترکة أو المجاز، مثل أن یرید بالمکاتبة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العتق، و بالحمار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البلید، و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فعلته بمصر أو فی السفر</w:t>
      </w:r>
      <w:r>
        <w:rPr>
          <w:rStyle w:val="FootnoteAnchor"/>
          <w:rtl w:val="true"/>
        </w:rPr>
        <w:footnoteReference w:id="948"/>
      </w:r>
      <w:r>
        <w:rPr>
          <w:rFonts w:ascii="IRNazanin" w:hAnsi="IRNazanin" w:eastAsia="IRNazanin"/>
          <w:color w:val="111111"/>
          <w:sz w:val="28"/>
          <w:sz w:val="28"/>
          <w:szCs w:val="28"/>
          <w:rtl w:val="true"/>
          <w:lang w:bidi="fa-IR"/>
        </w:rPr>
        <w:t>أو وقت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کتب الواهب ابتیاعاً و أشهد، حلف علی الشراء مورّیاً، و لو لم یحسن،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للظالم التأویل و لا یخرج به عن الغموس، فإنّ النیّة نیّة المستحلف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کرّر الیمین من غیر مغایرة فی المتعلّق،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واحدة، قاله جماعة</w:t>
      </w:r>
      <w:r>
        <w:rPr>
          <w:rStyle w:val="FootnoteAnchor"/>
          <w:rtl w:val="true"/>
        </w:rPr>
        <w:footnoteReference w:id="949"/>
      </w:r>
      <w:r>
        <w:rPr>
          <w:rFonts w:ascii="IRNazanin" w:hAnsi="IRNazanin" w:eastAsia="IRNazanin"/>
          <w:color w:val="111111"/>
          <w:sz w:val="28"/>
          <w:sz w:val="28"/>
          <w:szCs w:val="28"/>
          <w:rtl w:val="true"/>
          <w:lang w:bidi="fa-IR"/>
        </w:rPr>
        <w:t>، سواء قصد التأکید أو التأسیس</w:t>
      </w:r>
      <w:r>
        <w:rPr>
          <w:rFonts w:eastAsia="IRNazanin" w:cs="IRNazanin"/>
          <w:color w:val="111111"/>
          <w:sz w:val="28"/>
          <w:szCs w:val="28"/>
          <w:rtl w:val="true"/>
          <w:lang w:bidi="fa-IR"/>
        </w:rPr>
        <w:t>.</w:t>
      </w:r>
    </w:p>
    <w:p>
      <w:pPr>
        <w:pStyle w:val="Heading3"/>
        <w:numPr>
          <w:ilvl w:val="2"/>
          <w:numId w:val="1"/>
        </w:numPr>
        <w:rPr/>
      </w:pPr>
      <w:bookmarkStart w:id="138" w:name="__RefHeading___Toc2071303_3830689328"/>
      <w:bookmarkStart w:id="139" w:name="_Toc46"/>
      <w:bookmarkEnd w:id="138"/>
      <w:r>
        <w:rPr>
          <w:rtl w:val="true"/>
        </w:rPr>
        <w:t xml:space="preserve">درس </w:t>
      </w:r>
      <w:r>
        <w:rPr>
          <w:rtl w:val="true"/>
        </w:rPr>
        <w:t>(</w:t>
      </w:r>
      <w:r>
        <w:rPr/>
        <w:t>152</w:t>
      </w:r>
      <w:r>
        <w:rPr>
          <w:rtl w:val="true"/>
        </w:rPr>
        <w:t>)</w:t>
      </w:r>
      <w:bookmarkEnd w:id="139"/>
    </w:p>
    <w:p>
      <w:pPr>
        <w:pStyle w:val="BookText"/>
        <w:rPr/>
      </w:pPr>
      <w:r>
        <w:rPr>
          <w:rFonts w:ascii="IRNazanin" w:hAnsi="IRNazanin" w:eastAsia="IRNazanin"/>
          <w:color w:val="111111"/>
          <w:sz w:val="28"/>
          <w:sz w:val="28"/>
          <w:szCs w:val="28"/>
          <w:rtl w:val="true"/>
          <w:lang w:bidi="fa-IR"/>
        </w:rPr>
        <w:t>قد تجب الیمین فی مثل إنقاذ مؤمن من ظالم و إن کان کاذباً و یتأوّل، و قد تحرم إذا کانت کاذبة لا لضرورة</w:t>
      </w:r>
      <w:r>
        <w:rPr>
          <w:rStyle w:val="FootnoteAnchor"/>
          <w:rtl w:val="true"/>
        </w:rPr>
        <w:footnoteReference w:id="950"/>
      </w:r>
      <w:r>
        <w:rPr>
          <w:rFonts w:ascii="IRNazanin" w:hAnsi="IRNazanin" w:eastAsia="IRNazanin"/>
          <w:color w:val="111111"/>
          <w:sz w:val="28"/>
          <w:sz w:val="28"/>
          <w:szCs w:val="28"/>
          <w:rtl w:val="true"/>
          <w:lang w:bidi="fa-IR"/>
        </w:rPr>
        <w:t>، و قد تستحبّ، کدفع</w:t>
      </w:r>
      <w:r>
        <w:rPr>
          <w:rStyle w:val="FootnoteAnchor"/>
          <w:rtl w:val="true"/>
        </w:rPr>
        <w:footnoteReference w:id="951"/>
      </w:r>
      <w:r>
        <w:rPr>
          <w:rFonts w:ascii="IRNazanin" w:hAnsi="IRNazanin" w:eastAsia="IRNazanin"/>
          <w:color w:val="111111"/>
          <w:sz w:val="28"/>
          <w:sz w:val="28"/>
          <w:szCs w:val="28"/>
          <w:rtl w:val="true"/>
          <w:lang w:bidi="fa-IR"/>
        </w:rPr>
        <w:t>ظالم عن ماله المجحف به، و قد تکره، کما إذا کثرت، و کالحلف علی القلیل من المال، و ما عداها مباح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یجوز الاستثناء بمشیئة اللّه تعالی لفظاً متّصلاً عادة، فلا یضرّ التنفّس أو التذکّر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تکفی النیّة و إن اقترنت بالیمین، قاله فی المبسوط</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w:t>
      </w:r>
    </w:p>
    <w:p>
      <w:pPr>
        <w:pStyle w:val="BookText"/>
        <w:rPr/>
      </w:pPr>
      <w:r>
        <w:rPr>
          <w:rFonts w:ascii="IRNazanin" w:hAnsi="IRNazanin" w:eastAsia="IRNazanin"/>
          <w:color w:val="111111"/>
          <w:sz w:val="28"/>
          <w:sz w:val="28"/>
          <w:szCs w:val="28"/>
          <w:rtl w:val="true"/>
          <w:lang w:bidi="fa-IR"/>
        </w:rPr>
        <w:t>ابن إدریس</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إن حلف سرّاً</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مطلقاً</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قویّ، و علیه تحمل روایة عبداللّه بن میمون بجواز استثناء الناسی إلی أربعین</w:t>
      </w:r>
    </w:p>
    <w:p>
      <w:pPr>
        <w:pStyle w:val="BookText"/>
        <w:rPr/>
      </w:pPr>
      <w:r>
        <w:rPr>
          <w:rFonts w:ascii="Amiri" w:hAnsi="Amiri" w:eastAsia="Amiri" w:cs="Amiri"/>
          <w:color w:val="111111"/>
          <w:sz w:val="28"/>
          <w:sz w:val="28"/>
          <w:szCs w:val="28"/>
          <w:rtl w:val="true"/>
          <w:lang w:bidi="ar-SA"/>
        </w:rPr>
        <w:t>یوماً</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أن ینویه إلاّ عند التلفّظ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متعلّقات الیمین فی ذلک، و قول الفاضل بقصره علی ما لم یعلم مشیئة اللّه تعالی إیّاه</w:t>
      </w:r>
      <w:r>
        <w:rPr>
          <w:rStyle w:val="FootnoteAnchor"/>
          <w:rtl w:val="true"/>
        </w:rPr>
        <w:footnoteReference w:id="957"/>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عقّب الطلاق و العتق و النذر و الإقرار بالمشیئة قاصداً التبرّک، لم یضرّ، و إلاّ</w:t>
      </w:r>
    </w:p>
    <w:p>
      <w:pPr>
        <w:pStyle w:val="BookText"/>
        <w:rPr/>
      </w:pP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قولان</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ابن إدریس بلغو الاستثناء فیما عدا الیمین و لزوم الإیقاع</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قویّ فی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تعلیقها بشرط فی عقدها و حلّها، سواء کان مشیئة غیره أو لا، کقوله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لأشربنّ إن شاء زید، و فی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لأشربنّ إلاّ أن یشاء زید، و کذا فی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شربت إن شاء زید، و لا شربت إلاّ أن یشاء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ینصرف الاستثناء إلی رفع المستثنی منه، فعقیب الإثبات نفی و بالعکس، و لو قصد عکس ذلک، دین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کان العقد موقوفاً و جهل</w:t>
      </w:r>
      <w:r>
        <w:rPr>
          <w:rStyle w:val="FootnoteAnchor"/>
          <w:rtl w:val="true"/>
        </w:rPr>
        <w:footnoteReference w:id="960"/>
      </w:r>
      <w:r>
        <w:rPr>
          <w:rFonts w:ascii="IRNazanin" w:hAnsi="IRNazanin" w:eastAsia="IRNazanin"/>
          <w:color w:val="111111"/>
          <w:sz w:val="28"/>
          <w:sz w:val="28"/>
          <w:szCs w:val="28"/>
          <w:rtl w:val="true"/>
          <w:lang w:bidi="fa-IR"/>
        </w:rPr>
        <w:t>الشرط فلا عقد، و کلّما کان الحلّ موقوفاً فهی منعقدة، إلاّ مع علم شرط الحلّ، و لا فرق بین تقدیم الشرط و تأخیره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یشترط فی الحالف شروط الناذر و رفع الحجر، و لا إشکال هنا فی التوقّف علی إذن الأب و إن علا، ما لم یکن فی فعل واجب أو ترک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جعل علی الترک أو الفعل جزاءاً، کصوم أو صدقة،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توقّفه علی إذن الوالی</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تصحّ من الکافر و إن لم یصحّ نذره ؛ لأنّ القربة مرادة هناک دون هذه، و لو قلنا بانعقاد نذر المباح الصرف، أُشکل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فی الخلاف من یمین الکافر ؛ نظراً إلی أ نّه لا یعرف اللّه و یمتنع منه التکفیر حینئذٍ</w:t>
      </w:r>
      <w:r>
        <w:rPr>
          <w:rStyle w:val="FootnoteAnchor"/>
          <w:rtl w:val="true"/>
        </w:rPr>
        <w:footnoteReference w:id="962"/>
      </w:r>
      <w:r>
        <w:rPr>
          <w:rFonts w:ascii="IRNazanin" w:hAnsi="IRNazanin" w:eastAsia="IRNazanin"/>
          <w:color w:val="111111"/>
          <w:sz w:val="28"/>
          <w:sz w:val="28"/>
          <w:szCs w:val="28"/>
          <w:rtl w:val="true"/>
          <w:lang w:bidi="fa-IR"/>
        </w:rPr>
        <w:t>، ثمّ تردّد، و قطع فی المبسوط بالجواز</w:t>
      </w:r>
      <w:r>
        <w:rPr>
          <w:rStyle w:val="FootnoteAnchor"/>
          <w:rtl w:val="true"/>
        </w:rPr>
        <w:footnoteReference w:id="963"/>
      </w:r>
      <w:r>
        <w:rPr>
          <w:rFonts w:ascii="IRNazanin" w:hAnsi="IRNazanin" w:eastAsia="IRNazanin"/>
          <w:color w:val="111111"/>
          <w:sz w:val="28"/>
          <w:sz w:val="28"/>
          <w:szCs w:val="28"/>
          <w:rtl w:val="true"/>
          <w:lang w:bidi="fa-IR"/>
        </w:rPr>
        <w:t>، و قطع ابن إدریس بالمنع</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فرّق بین الکافر بجحد الربّ و غیره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الفائدة فی بقاء الیمین لو أسلم، و العقاب علیها لو مات علی کفره، لا فی تدارک الکفّارة لو سبق الحنث الإسلام ؛ لأ نّها تسقط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الیمین کمتعلّق النذر، و لا إشکال هنا فی تعلّقها بالمباح، و مراعاة الأولی فی الدین أو الدنیا، و ترجیح مقتضی الیمین مع التساوی، و هذه الأولویّة متبوعة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طرأت بعد انعقاد الیمین، فلو کان البرّ أولی فی الابتداء ثمّ صارت المخالفة أولی، اُتّبع و لا کفّارة عندنا، و إنّما تجب بالحنث عمداً اختیاراً، فلو خالف ناسیاً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مکرهاً، أو اشتبه المحلوف علیه بغیره، فلا کفّارة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الیمین عند الإطلاق تنصرف إلی مدلول اللفظ حقیقة، فلو نوی الحالف خلاف الظاهر، کنیّة العامّ بالخاصّ، أو المطلق بالمقیّد، أو المجاز بالحقیقة، أو بالعکس فی</w:t>
      </w:r>
    </w:p>
    <w:p>
      <w:pPr>
        <w:pStyle w:val="BookText"/>
        <w:rPr/>
      </w:pPr>
      <w:r>
        <w:rPr>
          <w:rFonts w:ascii="IRNazanin" w:hAnsi="IRNazanin" w:eastAsia="IRNazanin"/>
          <w:color w:val="111111"/>
          <w:sz w:val="28"/>
          <w:sz w:val="28"/>
          <w:szCs w:val="28"/>
          <w:rtl w:val="true"/>
          <w:lang w:bidi="fa-IR"/>
        </w:rPr>
        <w:t>الثلاثة، صحّ، کمن حلف لا یأکل اللحم و قصد الإبل، أو لا یأکل لحماً و قصد الجنس، أو لیعتقنّ رقبة و قصد مؤمنة، أو لیعتقنّ رقبة مؤمنة و قصد مطلق الرقبة، أو</w:t>
      </w:r>
    </w:p>
    <w:p>
      <w:pPr>
        <w:pStyle w:val="BookText"/>
        <w:rPr/>
      </w:pPr>
      <w:r>
        <w:rPr>
          <w:rFonts w:ascii="IRNazanin" w:hAnsi="IRNazanin" w:eastAsia="IRNazanin"/>
          <w:color w:val="111111"/>
          <w:sz w:val="28"/>
          <w:sz w:val="28"/>
          <w:szCs w:val="28"/>
          <w:rtl w:val="true"/>
          <w:lang w:bidi="fa-IR"/>
        </w:rPr>
        <w:t>لا یشرب له ماءاً من عطش و قصد رفع المنّة، أو لا یحتمل له منّة و أراد شرب الماء إن جعلناه مجازاً إسنادیّاً و جعلنا شرب الماء حقیقة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ما لا یحتمله اللفظ، کما لو نوی بالصوم الصلاة، لغت الیمین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تعارض عموم اللفظ و خصوص السبب، فإن نوی شیئاً فذاک، و إلاّ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 علی السبب ؛ لأ نّه الباعث علی الیمین، کما لو رأی منکراً فی بلد فکرهه لأجله، فحلف علی عدم دخوله ثمّ زال المنکر، فله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حلف علی رفع المنکر إلی والٍ بعینه، فعزل، فلا 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الابتداء و الاستدامة سیّان فیما ینسب إلی المدّة، کالسکنی و الإسکان و المساکنة، دون ما لا ینسب، کالدخول و البیع، و فی التطیّب وجهان، فلو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سکنت هذه الدار و هو ساکن بها، وجب التحوّل فی الحال و إن بقی رحله لا للسکنی، بخلاف 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دخلت هذه الدار و هو فیها، أو لا بعت و قد باع بخیار فاستمرّ علیه، أو لا تزوّجت و له زوجة فلم یطلّقها</w:t>
      </w:r>
      <w:r>
        <w:rPr>
          <w:rFonts w:eastAsia="IRNazanin" w:cs="IRNazanin"/>
          <w:color w:val="111111"/>
          <w:sz w:val="28"/>
          <w:szCs w:val="28"/>
          <w:rtl w:val="true"/>
          <w:lang w:bidi="fa-IR"/>
        </w:rPr>
        <w:t xml:space="preserve">. </w:t>
      </w:r>
      <w:bookmarkStart w:id="140" w:name="pg13665_219109"/>
    </w:p>
    <w:p>
      <w:pPr>
        <w:pStyle w:val="BookText"/>
        <w:rPr/>
      </w:pPr>
      <w:bookmarkEnd w:id="140"/>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 اتّحد مدلول اللفظ، حمل علیه، کالرجل و المرأة و الإنسان و البعیر و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تعدّد مشترکاً و نوی فرداً أو جمیع الأفراد، حمل علی المنویّ، و لو لم</w:t>
      </w:r>
    </w:p>
    <w:p>
      <w:pPr>
        <w:pStyle w:val="BookText"/>
        <w:rPr/>
      </w:pPr>
      <w:r>
        <w:rPr>
          <w:rFonts w:ascii="IRNazanin" w:hAnsi="IRNazanin" w:eastAsia="IRNazanin"/>
          <w:color w:val="111111"/>
          <w:sz w:val="28"/>
          <w:sz w:val="28"/>
          <w:szCs w:val="28"/>
          <w:rtl w:val="true"/>
          <w:lang w:bidi="fa-IR"/>
        </w:rPr>
        <w:t>ینو شیئاً منها، بنی علی استعمال المشترک فی حقائقه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بین اللغة و الشرع و العرف، رجّح الشرعیّ، ثمّ العرفیّ العامّ، ثمّ العرفیّ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تعارض الشرع و العرف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الشرع، إلاّ مع جهل الحالف، فینصرف إلی ما یعلمه 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فالرأس لغةً عامّ، و عرفاً خاصّ بالأنعام، فلا یحنث برأس الطیر و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النهر لغة لجمیعه، و فی العرف فی النفی لبعضه، و فی الإثبات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حقیقة و مجاز، حمل علی الحقیقة، إلاّ أن یغلب المجاز ؛ لشهرته، فیحمل علیه، کالراویة للمزادة و قد کانت للبعیر</w:t>
      </w:r>
      <w:r>
        <w:rPr>
          <w:rFonts w:eastAsia="IRNazanin" w:cs="IRNazanin"/>
          <w:color w:val="111111"/>
          <w:sz w:val="28"/>
          <w:szCs w:val="28"/>
          <w:rtl w:val="true"/>
          <w:lang w:bidi="fa-IR"/>
        </w:rPr>
        <w:t>.</w:t>
      </w:r>
    </w:p>
    <w:p>
      <w:pPr>
        <w:pStyle w:val="Heading3"/>
        <w:numPr>
          <w:ilvl w:val="2"/>
          <w:numId w:val="1"/>
        </w:numPr>
        <w:rPr/>
      </w:pPr>
      <w:bookmarkStart w:id="141" w:name="__RefHeading___Toc2071305_3830689328"/>
      <w:bookmarkStart w:id="142" w:name="_Toc47"/>
      <w:bookmarkEnd w:id="141"/>
      <w:r>
        <w:rPr>
          <w:rtl w:val="true"/>
        </w:rPr>
        <w:t xml:space="preserve">درس </w:t>
      </w:r>
      <w:r>
        <w:rPr>
          <w:rtl w:val="true"/>
        </w:rPr>
        <w:t>(</w:t>
      </w:r>
      <w:r>
        <w:rPr/>
        <w:t>153</w:t>
      </w:r>
      <w:r>
        <w:rPr>
          <w:rtl w:val="true"/>
        </w:rPr>
        <w:t>)</w:t>
      </w:r>
      <w:bookmarkEnd w:id="142"/>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الإضافة تتخصّص بالمضاف إلیه، کدار زید و سرج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تتخصّص بالمشار إلیه، فلو تبدّلت الإضافة، زالت الیمین، بخلاف ما أشار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جمع بین الإضافة و الإشارة، کدار زید هذه و لم ینو إحداهما،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الإشارة فتبقی الیمین و إن زال ملکه، و یحتمل تغلیب الإضافة ؛ لربط الیمین بهما فتزول بزوال أحدهما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الإضافة إلی العبد تقتضی التملیک إن قلنا یملک، و إن أحلنا ذلک، أمکن حمله علی المنسوب إلیه، کالدابّة ؛ إعمالاً للّفظ فی مجازه عند تعذّر الحقیقة، و حمله علی </w:t>
      </w:r>
    </w:p>
    <w:p>
      <w:pPr>
        <w:pStyle w:val="BookText"/>
        <w:rPr/>
      </w:pPr>
      <w:r>
        <w:rPr>
          <w:rFonts w:ascii="IRNazanin" w:hAnsi="IRNazanin" w:eastAsia="IRNazanin"/>
          <w:color w:val="111111"/>
          <w:sz w:val="28"/>
          <w:sz w:val="28"/>
          <w:szCs w:val="28"/>
          <w:rtl w:val="true"/>
          <w:lang w:bidi="fa-IR"/>
        </w:rPr>
        <w:t>ما یملکه</w:t>
      </w:r>
      <w:r>
        <w:rPr>
          <w:rStyle w:val="FootnoteAnchor"/>
          <w:rtl w:val="true"/>
        </w:rPr>
        <w:footnoteReference w:id="966"/>
      </w:r>
      <w:r>
        <w:rPr>
          <w:rFonts w:ascii="IRNazanin" w:hAnsi="IRNazanin" w:eastAsia="IRNazanin"/>
          <w:color w:val="111111"/>
          <w:sz w:val="28"/>
          <w:sz w:val="28"/>
          <w:szCs w:val="28"/>
          <w:rtl w:val="true"/>
          <w:lang w:bidi="fa-IR"/>
        </w:rPr>
        <w:t>بعد عتقه أو کتابته ؛ اقتصاراً علی الحقیقة الممکنة فی الجملة، بخلاف الدابّة، فإنّه لا یتصوّر لها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الصفة قید فی الموصوف</w:t>
      </w:r>
      <w:r>
        <w:rPr>
          <w:rStyle w:val="FootnoteAnchor"/>
          <w:rtl w:val="true"/>
        </w:rPr>
        <w:footnoteReference w:id="967"/>
      </w:r>
      <w:r>
        <w:rPr>
          <w:rFonts w:ascii="IRNazanin" w:hAnsi="IRNazanin" w:eastAsia="IRNazanin"/>
          <w:color w:val="111111"/>
          <w:sz w:val="28"/>
          <w:sz w:val="28"/>
          <w:szCs w:val="28"/>
          <w:rtl w:val="true"/>
          <w:lang w:bidi="fa-IR"/>
        </w:rPr>
        <w:t>، فلو زالت فلا یمین، و لو جامعت الإشارة، فالوجهان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حلف لا یلبس قمیصاً ففتقه و اتّزر به، لم یحنث، و لو ارتدی به أو اتّزر قبل فتقه،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 لأ نّه لیس لبس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القمیص ففتقه</w:t>
      </w:r>
    </w:p>
    <w:p>
      <w:pPr>
        <w:pStyle w:val="BookText"/>
        <w:rPr/>
      </w:pPr>
      <w:r>
        <w:rPr>
          <w:rFonts w:ascii="Amiri" w:hAnsi="Amiri" w:eastAsia="Amiri" w:cs="Amiri"/>
          <w:color w:val="111111"/>
          <w:sz w:val="28"/>
          <w:sz w:val="28"/>
          <w:szCs w:val="28"/>
          <w:rtl w:val="true"/>
          <w:lang w:bidi="ar-SA"/>
        </w:rPr>
        <w:t>ثمّ لبس، فکما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الثوب و هو قمیص، فارتدی به مفتوقاً أو غیره فوجهان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تغلیب الإشارة، و من أ نّه قمیص فی الواقع، فینصرف إلی لبس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سخلة فتکبر، أو عبد فیعتق، أو حنطة فتخبز عند الشیخ</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w:t>
      </w:r>
      <w:r>
        <w:rPr>
          <w:rStyle w:val="FootnoteAnchor"/>
          <w:rtl w:val="true"/>
        </w:rPr>
        <w:footnoteReference w:id="969"/>
      </w:r>
      <w:r>
        <w:rPr>
          <w:rFonts w:ascii="IRNazanin" w:hAnsi="IRNazanin" w:eastAsia="IRNazanin"/>
          <w:color w:val="111111"/>
          <w:sz w:val="28"/>
          <w:sz w:val="28"/>
          <w:szCs w:val="28"/>
          <w:rtl w:val="true"/>
          <w:lang w:bidi="fa-IR"/>
        </w:rPr>
        <w:t xml:space="preserve">و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یحنث لو حلف علی حنطة معیّنة فأکلها خبزاً</w:t>
      </w:r>
      <w:r>
        <w:rPr>
          <w:rStyle w:val="FootnoteAnchor"/>
          <w:rtl w:val="true"/>
        </w:rPr>
        <w:footnoteReference w:id="970"/>
      </w:r>
      <w:r>
        <w:rPr>
          <w:rFonts w:ascii="IRNazanin" w:hAnsi="IRNazanin" w:eastAsia="IRNazanin"/>
          <w:color w:val="111111"/>
          <w:sz w:val="28"/>
          <w:sz w:val="28"/>
          <w:szCs w:val="28"/>
          <w:rtl w:val="true"/>
          <w:lang w:bidi="fa-IR"/>
        </w:rPr>
        <w:t>، و کذا لو غیّر</w:t>
      </w:r>
      <w:r>
        <w:rPr>
          <w:rStyle w:val="FootnoteAnchor"/>
          <w:rtl w:val="true"/>
        </w:rPr>
        <w:footnoteReference w:id="971"/>
      </w:r>
      <w:r>
        <w:rPr>
          <w:rFonts w:ascii="IRNazanin" w:hAnsi="IRNazanin" w:eastAsia="IRNazanin"/>
          <w:color w:val="111111"/>
          <w:sz w:val="28"/>
          <w:sz w:val="28"/>
          <w:szCs w:val="28"/>
          <w:rtl w:val="true"/>
          <w:lang w:bidi="fa-IR"/>
        </w:rPr>
        <w:t>الدقیق فخبزه ؛ إذ الحنطة لا تؤکل غالباً إلاّ خبزاً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التغیّر بالاستحالة، کالبیضة تصیر فرخاً و الحَبّ زرعاً فلا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زالت الصفة ثمّ عادت، عادت الیمین، کالسفینة تنقض ثمّ تعاد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فی الیمین قید فیها، فتزول بزواله، فالحلف علی عدم الخروج بغیر إذن زید مقیّد به فیحنث لو انتفی، و لو أذن فلم یسمع ثمّ خرج، فوجهان یلتفتان إلی أنّ الإذن هل هو مجرّد الأمر کما هو فی اللغة، أو أ نّه مشروط عرفاً بالإعلام ؟ إذ الإذن</w:t>
      </w:r>
    </w:p>
    <w:p>
      <w:pPr>
        <w:pStyle w:val="BookText"/>
        <w:rPr/>
      </w:pPr>
      <w:r>
        <w:rPr>
          <w:rFonts w:ascii="IRNazanin" w:hAnsi="IRNazanin" w:eastAsia="IRNazanin"/>
          <w:color w:val="111111"/>
          <w:sz w:val="28"/>
          <w:sz w:val="28"/>
          <w:szCs w:val="28"/>
          <w:rtl w:val="true"/>
          <w:lang w:bidi="fa-IR"/>
        </w:rPr>
        <w:t>یستدعی متهیّئاً لسماعه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القید فی الإثبات، توقّف البرّ علیه، کالصلاة فی</w:t>
      </w:r>
    </w:p>
    <w:p>
      <w:pPr>
        <w:pStyle w:val="BookText"/>
        <w:rPr/>
      </w:pPr>
      <w:r>
        <w:rPr>
          <w:rFonts w:ascii="IRNazanin" w:hAnsi="IRNazanin" w:eastAsia="IRNazanin"/>
          <w:color w:val="111111"/>
          <w:sz w:val="28"/>
          <w:sz w:val="28"/>
          <w:szCs w:val="28"/>
          <w:rtl w:val="true"/>
          <w:lang w:bidi="fa-IR"/>
        </w:rPr>
        <w:t>المسجد، و البیع فی السوق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التکلیم لا یتناول الرمز، و استثناؤه فی قضیّة</w:t>
      </w:r>
      <w:r>
        <w:rPr>
          <w:rStyle w:val="FootnoteAnchor"/>
          <w:rtl w:val="true"/>
        </w:rPr>
        <w:footnoteReference w:id="972"/>
      </w:r>
      <w:r>
        <w:rPr>
          <w:rFonts w:ascii="Amiri" w:hAnsi="Amiri" w:eastAsia="Amiri" w:cs="Amiri"/>
          <w:color w:val="111111"/>
          <w:sz w:val="28"/>
          <w:sz w:val="28"/>
          <w:szCs w:val="28"/>
          <w:rtl w:val="true"/>
          <w:lang w:bidi="ar-SA"/>
        </w:rPr>
        <w:t>زکریّا علیه‌السّلام</w:t>
      </w:r>
      <w:r>
        <w:rPr>
          <w:rStyle w:val="FootnoteAnchor"/>
          <w:rtl w:val="true"/>
        </w:rPr>
        <w:footnoteReference w:id="973"/>
      </w:r>
      <w:r>
        <w:rPr>
          <w:rFonts w:ascii="IRNazanin" w:hAnsi="IRNazanin" w:eastAsia="IRNazanin"/>
          <w:color w:val="111111"/>
          <w:sz w:val="28"/>
          <w:sz w:val="28"/>
          <w:szCs w:val="28"/>
          <w:rtl w:val="true"/>
          <w:lang w:bidi="fa-IR"/>
        </w:rPr>
        <w:t>من غیر الجنس، و کذا لا یتناول المکاتبة و المراسلة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حقّ الأخرس یحتمل نفوذ الإشارة بل و المکاتبة، و علیه یتفرّع بطلان صلاة الأخرس برمزه، و الکلام</w:t>
      </w:r>
      <w:r>
        <w:rPr>
          <w:rStyle w:val="FootnoteAnchor"/>
          <w:rtl w:val="true"/>
        </w:rPr>
        <w:footnoteReference w:id="974"/>
      </w:r>
      <w:r>
        <w:rPr>
          <w:rFonts w:ascii="IRNazanin" w:hAnsi="IRNazanin" w:eastAsia="IRNazanin"/>
          <w:color w:val="111111"/>
          <w:sz w:val="28"/>
          <w:sz w:val="28"/>
          <w:szCs w:val="28"/>
          <w:rtl w:val="true"/>
          <w:lang w:bidi="fa-IR"/>
        </w:rPr>
        <w:t>یتناول القرآن و الأذکار علی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التخصیص جارٍ</w:t>
      </w:r>
      <w:r>
        <w:rPr>
          <w:rStyle w:val="FootnoteAnchor"/>
          <w:rtl w:val="true"/>
        </w:rPr>
        <w:footnoteReference w:id="975"/>
      </w:r>
      <w:r>
        <w:rPr>
          <w:rFonts w:ascii="IRNazanin" w:hAnsi="IRNazanin" w:eastAsia="IRNazanin"/>
          <w:color w:val="111111"/>
          <w:sz w:val="28"/>
          <w:sz w:val="28"/>
          <w:szCs w:val="28"/>
          <w:rtl w:val="true"/>
          <w:lang w:bidi="fa-IR"/>
        </w:rPr>
        <w:t>فی القول، کالتسلیم و التکلیم، بخلاف الفعل، کالدخول، فلو حلف أن لا یسلّم علیه فسلّم علی قوم هو فیهم و نوی خروجه، فلا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حلف علی عدم الدخول علیه فاستثناه داخلاً،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w:t>
      </w:r>
    </w:p>
    <w:p>
      <w:pPr>
        <w:pStyle w:val="BookText"/>
        <w:rPr/>
      </w:pPr>
      <w:r>
        <w:rPr>
          <w:rFonts w:ascii="Amiri" w:hAnsi="Amiri" w:eastAsia="Amiri" w:cs="Amiri"/>
          <w:color w:val="111111"/>
          <w:sz w:val="28"/>
          <w:sz w:val="28"/>
          <w:szCs w:val="28"/>
          <w:rtl w:val="true"/>
          <w:lang w:bidi="ar-SA"/>
        </w:rPr>
        <w:t>لم یفرّق</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 بین شیئین</w:t>
      </w:r>
      <w:r>
        <w:rPr>
          <w:rStyle w:val="FootnoteAnchor"/>
          <w:rtl w:val="true"/>
        </w:rPr>
        <w:footnoteReference w:id="977"/>
      </w:r>
      <w:r>
        <w:rPr>
          <w:rFonts w:ascii="IRNazanin" w:hAnsi="IRNazanin" w:eastAsia="IRNazanin"/>
          <w:color w:val="111111"/>
          <w:sz w:val="28"/>
          <w:sz w:val="28"/>
          <w:szCs w:val="28"/>
          <w:rtl w:val="true"/>
          <w:lang w:bidi="fa-IR"/>
        </w:rPr>
        <w:t>أو أشیاء بواو العطف یصیّر کلّ واحد منهما مشروطاً</w:t>
      </w:r>
    </w:p>
    <w:p>
      <w:pPr>
        <w:pStyle w:val="BookText"/>
        <w:rPr/>
      </w:pPr>
      <w:r>
        <w:rPr>
          <w:rFonts w:ascii="IRNazanin" w:hAnsi="IRNazanin" w:eastAsia="IRNazanin"/>
          <w:color w:val="111111"/>
          <w:sz w:val="28"/>
          <w:sz w:val="28"/>
          <w:szCs w:val="28"/>
          <w:rtl w:val="true"/>
          <w:lang w:bidi="fa-IR"/>
        </w:rPr>
        <w:t xml:space="preserve">بالآخر ؛ قضیّة للواو،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أکلت الخبز و اللحم و الفاکهة، أو لآکلنّها، فلا حنث إلاّ بالثلاثة، و لا برّ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یحنث بکلّ واحد</w:t>
      </w:r>
      <w:r>
        <w:rPr>
          <w:rStyle w:val="FootnoteAnchor"/>
          <w:rtl w:val="true"/>
        </w:rPr>
        <w:footnoteReference w:id="978"/>
      </w:r>
      <w:r>
        <w:rPr>
          <w:rFonts w:ascii="Amiri" w:hAnsi="Amiri" w:eastAsia="Amiri" w:cs="Amiri"/>
          <w:color w:val="111111"/>
          <w:sz w:val="28"/>
          <w:sz w:val="28"/>
          <w:szCs w:val="28"/>
          <w:rtl w:val="true"/>
          <w:lang w:bidi="ar-SA"/>
        </w:rPr>
        <w:t>؛ لأنّ واو العطف بمثابة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أضاف الفعل إلی معیّن فشرکه غیره، ففی زوال الیمین وجهان عند الشیخ</w:t>
      </w:r>
      <w:r>
        <w:rPr>
          <w:rStyle w:val="FootnoteAnchor"/>
          <w:rtl w:val="true"/>
        </w:rPr>
        <w:footnoteReference w:id="979"/>
      </w:r>
      <w:r>
        <w:rPr>
          <w:rFonts w:ascii="IRNazanin" w:hAnsi="IRNazanin" w:eastAsia="IRNazanin"/>
          <w:color w:val="111111"/>
          <w:sz w:val="28"/>
          <w:sz w:val="28"/>
          <w:szCs w:val="28"/>
          <w:rtl w:val="true"/>
          <w:lang w:bidi="fa-IR"/>
        </w:rPr>
        <w:t>، و لعلّه لتعارض اللغة و العرف، کما لو حلف علی طعام اشتراه زید فاشتراه بشرکة عمرو، أو علی ثوب نَسَجه زید فنسجه بمشارکة عمرو، أو علی ثوب غزلته هند فشورکت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اقتسم زید و عمرو ما اشتریاه، لم یتغیّر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خلطا ما اشتریاه بعقدین فتجاوز الحالف النصف، حنث،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بالقطع علی الأکل من نصیب زید، إلاّ أن یرید أکل جمیع ما اشتراه زید، فلا تقع المخالفة إلاّ بأکل الجمیع</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الخلط موجباً للإشاعة، أمّا فی نحو التمر و الرمّان،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تجاوز النصف ؛ لإمکان اختصاصه بما اشتراه عمرو، و الحنث یکفی فی </w:t>
      </w:r>
      <w:bookmarkStart w:id="143" w:name="pg13665_219113"/>
    </w:p>
    <w:p>
      <w:pPr>
        <w:pStyle w:val="BookText"/>
        <w:rPr/>
      </w:pPr>
      <w:bookmarkEnd w:id="143"/>
      <w:r>
        <w:rPr>
          <w:rFonts w:ascii="IRNazanin" w:hAnsi="IRNazanin" w:eastAsia="IRNazanin"/>
          <w:color w:val="111111"/>
          <w:sz w:val="28"/>
          <w:sz w:val="28"/>
          <w:szCs w:val="28"/>
          <w:rtl w:val="true"/>
          <w:lang w:bidi="fa-IR"/>
        </w:rPr>
        <w:t>دفعه الاحتمال</w:t>
      </w:r>
      <w:r>
        <w:rPr>
          <w:rFonts w:eastAsia="IRNazanin" w:cs="IRNazanin"/>
          <w:color w:val="111111"/>
          <w:sz w:val="28"/>
          <w:szCs w:val="28"/>
          <w:rtl w:val="true"/>
          <w:lang w:bidi="fa-IR"/>
        </w:rPr>
        <w:t>.</w:t>
      </w:r>
    </w:p>
    <w:p>
      <w:pPr>
        <w:pStyle w:val="Heading3"/>
        <w:numPr>
          <w:ilvl w:val="2"/>
          <w:numId w:val="1"/>
        </w:numPr>
        <w:rPr/>
      </w:pPr>
      <w:bookmarkStart w:id="144" w:name="__RefHeading___Toc2071307_3830689328"/>
      <w:bookmarkStart w:id="145" w:name="_Toc48"/>
      <w:bookmarkEnd w:id="144"/>
      <w:r>
        <w:rPr>
          <w:rtl w:val="true"/>
        </w:rPr>
        <w:t xml:space="preserve">درس </w:t>
      </w:r>
      <w:r>
        <w:rPr>
          <w:rtl w:val="true"/>
        </w:rPr>
        <w:t>(</w:t>
      </w:r>
      <w:r>
        <w:rPr/>
        <w:t>154</w:t>
      </w:r>
      <w:r>
        <w:rPr>
          <w:rtl w:val="true"/>
        </w:rPr>
        <w:t>)</w:t>
      </w:r>
      <w:bookmarkEnd w:id="145"/>
    </w:p>
    <w:p>
      <w:pPr>
        <w:pStyle w:val="BookText"/>
        <w:rPr/>
      </w:pPr>
      <w:r>
        <w:rPr>
          <w:rFonts w:ascii="IRNazanin" w:hAnsi="IRNazanin" w:eastAsia="IRNazanin"/>
          <w:color w:val="111111"/>
          <w:sz w:val="28"/>
          <w:sz w:val="28"/>
          <w:szCs w:val="28"/>
          <w:rtl w:val="true"/>
          <w:lang w:bidi="fa-IR"/>
        </w:rPr>
        <w:t>لا یحنث فی اللبن بالجبن و الأَقِط و السمن و الزبد و الکشک، و کذا بعضها ببعض و لا فی الشاة المحلوف علی لحمها بلحم نسلها، و کذا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یسری إلی الولد</w:t>
      </w:r>
      <w:r>
        <w:rPr>
          <w:rStyle w:val="FootnoteAnchor"/>
          <w:rtl w:val="true"/>
        </w:rPr>
        <w:footnoteReference w:id="980"/>
      </w:r>
      <w:r>
        <w:rPr>
          <w:rFonts w:ascii="IRNazanin" w:hAnsi="IRNazanin" w:eastAsia="IRNazanin"/>
          <w:color w:val="111111"/>
          <w:sz w:val="28"/>
          <w:sz w:val="28"/>
          <w:szCs w:val="28"/>
          <w:rtl w:val="true"/>
          <w:lang w:bidi="fa-IR"/>
        </w:rPr>
        <w:t>، و هو قول ابن الجنید</w:t>
      </w:r>
      <w:r>
        <w:rPr>
          <w:rStyle w:val="FootnoteAnchor"/>
          <w:rtl w:val="true"/>
        </w:rPr>
        <w:footnoteReference w:id="981"/>
      </w:r>
      <w:r>
        <w:rPr>
          <w:rFonts w:ascii="IRNazanin" w:hAnsi="IRNazanin" w:eastAsia="IRNazanin"/>
          <w:color w:val="111111"/>
          <w:sz w:val="28"/>
          <w:sz w:val="28"/>
          <w:szCs w:val="28"/>
          <w:rtl w:val="true"/>
          <w:lang w:bidi="fa-IR"/>
        </w:rPr>
        <w:t>؛ لروایة عیسی بن عطیّة عن الباقر</w:t>
      </w:r>
    </w:p>
    <w:p>
      <w:pPr>
        <w:pStyle w:val="BookText"/>
        <w:rPr/>
      </w:pPr>
      <w:r>
        <w:rPr>
          <w:rFonts w:ascii="IRNazanin" w:hAnsi="IRNazanin" w:eastAsia="IRNazanin"/>
          <w:color w:val="111111"/>
          <w:sz w:val="28"/>
          <w:sz w:val="28"/>
          <w:szCs w:val="28"/>
          <w:rtl w:val="true"/>
          <w:lang w:bidi="fa-IR"/>
        </w:rPr>
        <w:t>علیه‌السّلام</w:t>
      </w:r>
      <w:r>
        <w:rPr>
          <w:rStyle w:val="FootnoteAnchor"/>
          <w:rtl w:val="true"/>
        </w:rPr>
        <w:footnoteReference w:id="982"/>
      </w:r>
      <w:r>
        <w:rPr>
          <w:rFonts w:ascii="IRNazanin" w:hAnsi="IRNazanin" w:eastAsia="IRNazanin"/>
          <w:color w:val="111111"/>
          <w:sz w:val="28"/>
          <w:sz w:val="28"/>
          <w:szCs w:val="28"/>
          <w:rtl w:val="true"/>
          <w:lang w:bidi="fa-IR"/>
        </w:rPr>
        <w:t>، و السند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یتفکّه به حتّی الأُترُجّ و النبق و اللوز، و اشترط بعضهم الرطوبة، فلا یحنث بالیابس، کالزبیب، و الرمّان، و الرطب فاکهة، و حبّ الصنوبر و البطّیخ بقسمیه، بخلاف الزیتون و البُطْم</w:t>
      </w:r>
      <w:r>
        <w:rPr>
          <w:rStyle w:val="FootnoteAnchor"/>
          <w:rtl w:val="true"/>
        </w:rPr>
        <w:footnoteReference w:id="983"/>
      </w:r>
      <w:r>
        <w:rPr>
          <w:rFonts w:ascii="Amiri" w:hAnsi="Amiri" w:eastAsia="Amiri" w:cs="Amiri"/>
          <w:color w:val="111111"/>
          <w:sz w:val="28"/>
          <w:sz w:val="28"/>
          <w:szCs w:val="28"/>
          <w:rtl w:val="true"/>
          <w:lang w:bidi="ar-SA"/>
        </w:rPr>
        <w:t>و حبّ الآس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الخیار و القثّاء و القَرْع و الباذنجان فمن 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الأُدُم</w:t>
      </w:r>
      <w:r>
        <w:rPr>
          <w:rStyle w:val="FootnoteAnchor"/>
          <w:rtl w:val="true"/>
        </w:rPr>
        <w:footnoteReference w:id="984"/>
      </w:r>
      <w:r>
        <w:rPr>
          <w:rFonts w:ascii="IRNazanin" w:hAnsi="IRNazanin" w:eastAsia="IRNazanin"/>
          <w:color w:val="111111"/>
          <w:sz w:val="28"/>
          <w:sz w:val="28"/>
          <w:szCs w:val="28"/>
          <w:rtl w:val="true"/>
          <w:lang w:bidi="fa-IR"/>
        </w:rPr>
        <w:t>ما یضاف إلی الخبز مرقة أو دهناً أو جامداً، کالجبن و العدس و التمر و 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و الأُدم و الحلواء مائعاً أو جامداً، لا الماء علی الأقرب،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یَطْعَمْهُ فَإِنَّهُ مِنِّی</w:t>
      </w:r>
      <w:r>
        <w:rPr>
          <w:rFonts w:eastAsia="Amiri" w:cs="Amiri" w:ascii="Amiri" w:hAnsi="Amiri"/>
          <w:color w:val="111111"/>
          <w:sz w:val="28"/>
          <w:szCs w:val="28"/>
          <w:rtl w:val="true"/>
          <w:lang w:bidi="ar-SA"/>
        </w:rPr>
        <w:t>»</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الذوق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اللحم لا یتناول الشحم و المخّ و الدماغ و الکبد و الطحال و الکَرِش و المصران </w:t>
      </w:r>
    </w:p>
    <w:p>
      <w:pPr>
        <w:pStyle w:val="BookText"/>
        <w:rPr/>
      </w:pPr>
      <w:r>
        <w:rPr>
          <w:rFonts w:ascii="IRNazanin" w:hAnsi="IRNazanin" w:eastAsia="IRNazanin"/>
          <w:color w:val="111111"/>
          <w:sz w:val="28"/>
          <w:sz w:val="28"/>
          <w:szCs w:val="28"/>
          <w:rtl w:val="true"/>
          <w:lang w:bidi="fa-IR"/>
        </w:rPr>
        <w:t>و القلب علی الأقوی و الألیَة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شحم الظهر أو الجنب أو ما فی تضاعیف اللحم، فیحتمل إلحاقه باللحم، و کذا الرأس و الکراع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للعین و الدین و الزکویّ و غیره، و المدبّر و المستولدة و المکاتب المشروط، دون حقّ الشفعة و الاستطراق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المنافع، کالسکنی و خدمة العبد ففیها وجهان، و المالیّة قویّة، و لهذا تصرف</w:t>
      </w:r>
    </w:p>
    <w:p>
      <w:pPr>
        <w:pStyle w:val="BookText"/>
        <w:rPr/>
      </w:pPr>
      <w:r>
        <w:rPr>
          <w:rFonts w:ascii="IRNazanin" w:hAnsi="IRNazanin" w:eastAsia="IRNazanin"/>
          <w:color w:val="111111"/>
          <w:sz w:val="28"/>
          <w:sz w:val="28"/>
          <w:szCs w:val="28"/>
          <w:rtl w:val="true"/>
          <w:lang w:bidi="fa-IR"/>
        </w:rPr>
        <w:t>فی الدین، أمّا منفعة نفسه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إلی الآلة المعتادة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الضغث</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مع التضرّر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 فی الأُمور الدنیویّة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الکفالة و الضمان و الحوالة متغایرة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للصحیح مع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الأمَة و إن أکسل أو لم یخدّرها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تتناول الهدیّة، لا العمری علی الأقرب، و الوصیّة و الصدقة الواجبة، و فی المندوبة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الوقف،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الفعل ینصرف إلی المباشرة، إلاّ مع القرینة، کبناء البیت و ضرب السلطان و حلق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للمؤلم من الاعتماد، بالسوط و العصا و اللکم و اللطم، بخلاف العضّ و الخنق و القرص، خلافاً لابن الجنید فی الثلاثة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للإخبار بالسارّ أوّلاً، بخلاف الإخبار، فإنّه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بشّره جماعة دفعة، فلکلّ ما عیّنه، و کذا الإخبار دفعة أوّلاً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 داخلٍ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ولجها بعد الیمین و إن لم یدخل غیره، و آخر داخلٍ هو مَن یتعقّب دخوله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عیّن الدار، فالأخیر مَن یتعقّبه خروجها عن ملکه إن </w:t>
      </w:r>
    </w:p>
    <w:p>
      <w:pPr>
        <w:pStyle w:val="BookText"/>
        <w:rPr/>
      </w:pPr>
      <w:r>
        <w:rPr>
          <w:rFonts w:ascii="IRNazanin" w:hAnsi="IRNazanin" w:eastAsia="IRNazanin"/>
          <w:color w:val="111111"/>
          <w:sz w:val="28"/>
          <w:sz w:val="28"/>
          <w:szCs w:val="28"/>
          <w:rtl w:val="true"/>
          <w:lang w:bidi="fa-IR"/>
        </w:rPr>
        <w:t>غلّبنا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إجراء هذا فی الدار المضافة إلیه إذا باعها و لم یتعقّبه ملک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أن لا یطأ جاریة عمّته أو غیرها أبداً، فملکها، حلّت له، إن کان قصد الحرام أو أطلق، و لو قصد العموم، لم تحلّ، إلاّ مع رجحان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w:t>
      </w:r>
    </w:p>
    <w:p>
      <w:pPr>
        <w:pStyle w:val="BookText"/>
        <w:rPr/>
      </w:pPr>
      <w:r>
        <w:rPr>
          <w:rFonts w:ascii="IRNazanin" w:hAnsi="IRNazanin" w:eastAsia="IRNazanin"/>
          <w:color w:val="111111"/>
          <w:sz w:val="28"/>
          <w:sz w:val="28"/>
          <w:szCs w:val="28"/>
          <w:rtl w:val="true"/>
          <w:lang w:bidi="fa-IR"/>
        </w:rPr>
        <w:t>عاماً فی الصوم و غیره، و لو نوی غیر ذلک، اتّبع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لا یأکل بیضاً و لیأکلنّ ما فی کمّ فلان فکان بیضاً، جعله فی الناطف</w:t>
      </w:r>
      <w:r>
        <w:rPr>
          <w:rStyle w:val="FootnoteAnchor"/>
          <w:rtl w:val="true"/>
        </w:rPr>
        <w:footnoteReference w:id="988"/>
      </w:r>
      <w:r>
        <w:rPr>
          <w:rFonts w:ascii="Amiri" w:hAnsi="Amiri" w:eastAsia="Amiri" w:cs="Amiri"/>
          <w:color w:val="111111"/>
          <w:sz w:val="28"/>
          <w:sz w:val="28"/>
          <w:szCs w:val="28"/>
          <w:rtl w:val="true"/>
          <w:lang w:bidi="ar-SA"/>
        </w:rPr>
        <w:t>و أکله، برّ</w:t>
      </w:r>
      <w:r>
        <w:rPr>
          <w:rStyle w:val="FootnoteAnchor"/>
          <w:rtl w:val="true"/>
        </w:rPr>
        <w:footnoteReference w:id="989"/>
      </w:r>
      <w:r>
        <w:rPr>
          <w:rFonts w:ascii="IRNazanin" w:hAnsi="IRNazanin" w:eastAsia="IRNazanin"/>
          <w:color w:val="111111"/>
          <w:sz w:val="28"/>
          <w:sz w:val="28"/>
          <w:szCs w:val="28"/>
          <w:rtl w:val="true"/>
          <w:lang w:bidi="fa-IR"/>
        </w:rPr>
        <w:t xml:space="preserve">و لا حنث ؛ لأ نّه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البیض الذی فی کمّه، بل أبهم، و کذا لو علّق الظهار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لبیت الحضریّ و البدویّ، فیحنثان بهما إن عرفاهما عند الشیخ</w:t>
      </w:r>
      <w:r>
        <w:rPr>
          <w:rStyle w:val="FootnoteAnchor"/>
          <w:rtl w:val="true"/>
        </w:rPr>
        <w:footnoteReference w:id="990"/>
      </w:r>
      <w:r>
        <w:rPr>
          <w:rFonts w:ascii="IRNazanin" w:hAnsi="IRNazanin" w:eastAsia="IRNazanin"/>
          <w:color w:val="111111"/>
          <w:sz w:val="28"/>
          <w:sz w:val="28"/>
          <w:szCs w:val="28"/>
          <w:rtl w:val="true"/>
          <w:lang w:bidi="fa-IR"/>
        </w:rPr>
        <w:t>، و یحتمل اختصاص کلّ بعادته، و لا یتناول الکعبة و المسجد و البیعة و الکنیسة علی قول</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ابن إدریس بالتناول</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الدهلیز و الصُفّة عند الشیخ</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یتناول اللحم السمک عنده فی المبسوط</w:t>
      </w:r>
      <w:r>
        <w:rPr>
          <w:rStyle w:val="FootnoteAnchor"/>
          <w:rtl w:val="true"/>
        </w:rPr>
        <w:footnoteReference w:id="994"/>
      </w:r>
      <w:r>
        <w:rPr>
          <w:rFonts w:ascii="IRNazanin" w:hAnsi="IRNazanin" w:eastAsia="IRNazanin"/>
          <w:color w:val="111111"/>
          <w:sz w:val="28"/>
          <w:sz w:val="28"/>
          <w:szCs w:val="28"/>
          <w:rtl w:val="true"/>
          <w:lang w:bidi="fa-IR"/>
        </w:rPr>
        <w:t xml:space="preserve">، و قطع فی الخلاف بالتناول ؛ </w:t>
      </w:r>
    </w:p>
    <w:p>
      <w:pPr>
        <w:pStyle w:val="BookText"/>
        <w:rPr/>
      </w:pPr>
      <w:r>
        <w:rPr>
          <w:rFonts w:ascii="IRNazanin" w:hAnsi="IRNazanin" w:eastAsia="IRNazanin"/>
          <w:color w:val="111111"/>
          <w:sz w:val="28"/>
          <w:sz w:val="28"/>
          <w:szCs w:val="28"/>
          <w:rtl w:val="true"/>
          <w:lang w:bidi="fa-IR"/>
        </w:rPr>
        <w:t>للآیة</w:t>
      </w:r>
      <w:r>
        <w:rPr>
          <w:rStyle w:val="FootnoteAnchor"/>
          <w:rtl w:val="true"/>
        </w:rPr>
        <w:footnoteReference w:id="995"/>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یتناول المسکر و الفقّاع</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الحَلْی لا یتناول الجوهر منفرداً</w:t>
      </w:r>
      <w:r>
        <w:rPr>
          <w:rStyle w:val="FootnoteAnchor"/>
          <w:rtl w:val="true"/>
        </w:rPr>
        <w:footnoteReference w:id="998"/>
      </w:r>
      <w:r>
        <w:rPr>
          <w:rFonts w:ascii="IRNazanin" w:hAnsi="IRNazanin" w:eastAsia="IRNazanin"/>
          <w:color w:val="111111"/>
          <w:sz w:val="28"/>
          <w:sz w:val="28"/>
          <w:szCs w:val="28"/>
          <w:rtl w:val="true"/>
          <w:lang w:bidi="fa-IR"/>
        </w:rPr>
        <w:t>، و قطع الشیخ بتناوله</w:t>
      </w:r>
      <w:r>
        <w:rPr>
          <w:rStyle w:val="FootnoteAnchor"/>
          <w:rtl w:val="true"/>
        </w:rPr>
        <w:footnoteReference w:id="999"/>
      </w:r>
      <w:r>
        <w:rPr>
          <w:rFonts w:ascii="IRNazanin" w:hAnsi="IRNazanin" w:eastAsia="IRNazanin"/>
          <w:color w:val="111111"/>
          <w:sz w:val="28"/>
          <w:sz w:val="28"/>
          <w:szCs w:val="28"/>
          <w:rtl w:val="true"/>
          <w:lang w:bidi="fa-IR"/>
        </w:rPr>
        <w:t xml:space="preserve">؛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تَسْتَخْرِجُوا مِنْهُ حِلْیَةً تَلْبَسُونَها</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146" w:name="pg13665_219117"/>
    </w:p>
    <w:p>
      <w:pPr>
        <w:pStyle w:val="Heading2"/>
        <w:numPr>
          <w:ilvl w:val="1"/>
          <w:numId w:val="1"/>
        </w:numPr>
        <w:rPr/>
      </w:pPr>
      <w:bookmarkStart w:id="147" w:name="__RefHeading___Toc2071309_3830689328"/>
      <w:bookmarkStart w:id="148" w:name="_Toc49"/>
      <w:bookmarkEnd w:id="146"/>
      <w:bookmarkEnd w:id="147"/>
      <w:r>
        <w:rPr>
          <w:rtl w:val="true"/>
        </w:rPr>
        <w:t>کتاب الکفّارات</w:t>
      </w:r>
      <w:bookmarkEnd w:id="14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2071311_3830689328"/>
      <w:bookmarkStart w:id="150" w:name="_Toc50"/>
      <w:bookmarkEnd w:id="149"/>
      <w:r>
        <w:rPr>
          <w:rtl w:val="true"/>
        </w:rPr>
        <w:t>اشاره</w:t>
      </w:r>
      <w:bookmarkEnd w:id="1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الکفّارات</w:t>
      </w:r>
    </w:p>
    <w:p>
      <w:pPr>
        <w:pStyle w:val="BookText"/>
        <w:rPr/>
      </w:pPr>
      <w:r>
        <w:rPr>
          <w:rFonts w:ascii="IRNazanin" w:hAnsi="IRNazanin" w:eastAsia="IRNazanin"/>
          <w:color w:val="111111"/>
          <w:sz w:val="28"/>
          <w:sz w:val="28"/>
          <w:szCs w:val="28"/>
          <w:rtl w:val="true"/>
          <w:lang w:bidi="fa-IR"/>
        </w:rPr>
        <w:t>لا تجب الکفّارة قبل الحنث فی الیمین و لا تجزئ، و لا فی الحلف علی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فی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إطعام عشرة مساکین لکلّ واحد مُدّ، أو کسوتهم، فمن لم یجد فصیام ثلاثة أیّام متتابعات، و فی الإیلاء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الظهار و قتل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ثمّ الصیام شهرین متتابعین، ثمّ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القتل مخیّرة</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شیخه المفید</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تدفعه الآیة</w:t>
      </w:r>
      <w:r>
        <w:rPr>
          <w:rStyle w:val="FootnoteAnchor"/>
          <w:rtl w:val="true"/>
        </w:rPr>
        <w:footnoteReference w:id="1003"/>
      </w:r>
      <w:r>
        <w:rPr>
          <w:rFonts w:ascii="IRNazanin" w:hAnsi="IRNazanin" w:eastAsia="IRNazanin"/>
          <w:color w:val="111111"/>
          <w:sz w:val="28"/>
          <w:sz w:val="28"/>
          <w:szCs w:val="28"/>
          <w:rtl w:val="true"/>
          <w:lang w:bidi="fa-IR"/>
        </w:rPr>
        <w:t>، و صحیحة عبداللّه بن سنان، عن الصادق علیه‌السّلام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کفّارة خلف النذر و العهد خلاف، و کونها کبیرة مخیّرة أولی ؛ لصحیحة عبدالملک، عنه علیه‌السّلام فی النذر</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أبی بصیر فی العهد</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النذر، کالیمین</w:t>
      </w:r>
      <w:r>
        <w:rPr>
          <w:rStyle w:val="FootnoteAnchor"/>
          <w:rtl w:val="true"/>
        </w:rPr>
        <w:footnoteReference w:id="1007"/>
      </w:r>
      <w:r>
        <w:rPr>
          <w:rFonts w:ascii="Amiri" w:hAnsi="Amiri" w:eastAsia="Amiri" w:cs="Amiri"/>
          <w:color w:val="111111"/>
          <w:sz w:val="28"/>
          <w:sz w:val="28"/>
          <w:szCs w:val="28"/>
          <w:rtl w:val="true"/>
          <w:lang w:bidi="ar-SA"/>
        </w:rPr>
        <w:t>؛ لحسنة</w:t>
      </w:r>
      <w:r>
        <w:rPr>
          <w:rStyle w:val="FootnoteAnchor"/>
          <w:rtl w:val="true"/>
        </w:rPr>
        <w:footnoteReference w:id="1008"/>
      </w:r>
      <w:r>
        <w:rPr>
          <w:rFonts w:ascii="Amiri" w:hAnsi="Amiri" w:eastAsia="Amiri" w:cs="Amiri"/>
          <w:color w:val="111111"/>
          <w:sz w:val="28"/>
          <w:sz w:val="28"/>
          <w:szCs w:val="28"/>
          <w:rtl w:val="true"/>
          <w:lang w:bidi="ar-SA"/>
        </w:rPr>
        <w:t>الحلبیّ</w:t>
      </w:r>
      <w:r>
        <w:rPr>
          <w:rStyle w:val="FootnoteAnchor"/>
          <w:rtl w:val="true"/>
        </w:rPr>
        <w:footnoteReference w:id="1009"/>
      </w:r>
      <w:r>
        <w:rPr>
          <w:rFonts w:ascii="IRNazanin" w:hAnsi="IRNazanin" w:eastAsia="IRNazanin"/>
          <w:color w:val="111111"/>
          <w:sz w:val="28"/>
          <w:sz w:val="28"/>
          <w:szCs w:val="28"/>
          <w:rtl w:val="true"/>
          <w:lang w:bidi="fa-IR"/>
        </w:rPr>
        <w:t>و حملت علی العجز، و هو</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کفّارة جزّ المرأة شعرها فی المصاب کبیرة عند الشیخ</w:t>
      </w:r>
      <w:r>
        <w:rPr>
          <w:rStyle w:val="FootnoteAnchor"/>
          <w:rtl w:val="true"/>
        </w:rPr>
        <w:footnoteReference w:id="1010"/>
      </w:r>
      <w:r>
        <w:rPr>
          <w:rFonts w:ascii="IRNazanin" w:hAnsi="IRNazanin" w:eastAsia="IRNazanin"/>
          <w:color w:val="111111"/>
          <w:sz w:val="28"/>
          <w:sz w:val="28"/>
          <w:szCs w:val="28"/>
          <w:rtl w:val="true"/>
          <w:lang w:bidi="fa-IR"/>
        </w:rPr>
        <w:t>، و الروایة به ضعیفة</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الکلّ و البعض و الجزّ و الحلق و 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إلحاق الجزّ فی غیر المصاب به بطریق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نتفته فی المصاب، فکفّارة یمین و إن کان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خدش وجهها فی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الرجل ثوبه لموت ولده أو زوجته خاصّة و إن کانت متعة، أمّا الأمة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کفّارة فی شقّ المرأة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حرّمه ابن إدریس مطلقاً علی الرجل و المرأة، و استحبّ الکفّارة علی الرجل</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الشیخان شقّ الثوب فی موت</w:t>
      </w:r>
    </w:p>
    <w:p>
      <w:pPr>
        <w:pStyle w:val="BookText"/>
        <w:rPr/>
      </w:pPr>
      <w:r>
        <w:rPr>
          <w:rFonts w:ascii="IRNazanin" w:hAnsi="IRNazanin" w:eastAsia="IRNazanin"/>
          <w:color w:val="111111"/>
          <w:sz w:val="28"/>
          <w:sz w:val="28"/>
          <w:szCs w:val="28"/>
          <w:rtl w:val="true"/>
          <w:lang w:bidi="fa-IR"/>
        </w:rPr>
        <w:t>الأب و الأخ</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بشقّ الجیب علی القریب، و شقّ المرأة علی زوجها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تزوّج فی العدّة أو بذات البعل، فارق و کفّر بخمسة أصوع</w:t>
      </w:r>
      <w:r>
        <w:rPr>
          <w:rStyle w:val="FootnoteAnchor"/>
          <w:rtl w:val="true"/>
        </w:rPr>
        <w:footnoteReference w:id="1015"/>
      </w:r>
      <w:r>
        <w:rPr>
          <w:rFonts w:ascii="Amiri" w:hAnsi="Amiri" w:eastAsia="Amiri" w:cs="Amiri"/>
          <w:color w:val="111111"/>
          <w:sz w:val="28"/>
          <w:sz w:val="28"/>
          <w:szCs w:val="28"/>
          <w:rtl w:val="true"/>
          <w:lang w:bidi="ar-SA"/>
        </w:rPr>
        <w:t>دقیقاً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IRNazanin" w:hAnsi="IRNazanin" w:eastAsia="IRNazanin"/>
          <w:color w:val="111111"/>
          <w:sz w:val="28"/>
          <w:sz w:val="28"/>
          <w:szCs w:val="28"/>
          <w:rtl w:val="true"/>
          <w:lang w:bidi="fa-IR"/>
        </w:rPr>
        <w:t xml:space="preserve">المرتضی فی ذات 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بخمسة دراهم</w:t>
      </w:r>
      <w:r>
        <w:rPr>
          <w:rStyle w:val="FootnoteAnchor"/>
          <w:rtl w:val="true"/>
        </w:rPr>
        <w:footnoteReference w:id="1016"/>
      </w:r>
      <w:r>
        <w:rPr>
          <w:rFonts w:ascii="IRNazanin" w:hAnsi="IRNazanin" w:eastAsia="IRNazanin"/>
          <w:color w:val="111111"/>
          <w:sz w:val="28"/>
          <w:sz w:val="28"/>
          <w:szCs w:val="28"/>
          <w:rtl w:val="true"/>
          <w:lang w:bidi="fa-IR"/>
        </w:rPr>
        <w:t>؛ لروایة أبی بصیر، عن الصادق</w:t>
      </w:r>
    </w:p>
    <w:p>
      <w:pPr>
        <w:pStyle w:val="BookText"/>
        <w:rPr/>
      </w:pPr>
      <w:r>
        <w:rPr>
          <w:rFonts w:ascii="IRNazanin" w:hAnsi="IRNazanin" w:eastAsia="IRNazanin"/>
          <w:color w:val="111111"/>
          <w:sz w:val="28"/>
          <w:sz w:val="28"/>
          <w:szCs w:val="28"/>
          <w:rtl w:val="true"/>
          <w:lang w:bidi="fa-IR"/>
        </w:rPr>
        <w:t>علیه‌السّلام</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الکفّارة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نام عن العشاء حتّی ینتصف اللیل، قضاها و أصبح صائماً</w:t>
      </w:r>
      <w:r>
        <w:rPr>
          <w:rStyle w:val="FootnoteAnchor"/>
          <w:rtl w:val="true"/>
        </w:rPr>
        <w:footnoteReference w:id="1019"/>
      </w:r>
      <w:r>
        <w:rPr>
          <w:rFonts w:ascii="IRNazanin" w:hAnsi="IRNazanin" w:eastAsia="IRNazanin"/>
          <w:color w:val="111111"/>
          <w:sz w:val="28"/>
          <w:sz w:val="28"/>
          <w:szCs w:val="28"/>
          <w:rtl w:val="true"/>
          <w:lang w:bidi="fa-IR"/>
        </w:rPr>
        <w:t>؛ لروایة مقطوعة</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استحبّه ابن إدریس</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العامد به أو الناسی أو السکران تردّد، و قوّی الفاضل عدمه</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یلحق بذلک ناسی غیر العشاء بالنوم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أفطر فی ذلک الیوم، أمکن وجوب الکفّارة ؛ لتعیّنه</w:t>
      </w:r>
      <w:r>
        <w:rPr>
          <w:rStyle w:val="FootnoteAnchor"/>
          <w:rtl w:val="true"/>
        </w:rPr>
        <w:footnoteReference w:id="1023"/>
      </w:r>
      <w:r>
        <w:rPr>
          <w:rFonts w:ascii="Amiri" w:hAnsi="Amiri" w:eastAsia="Amiri" w:cs="Amiri"/>
          <w:color w:val="111111"/>
          <w:sz w:val="28"/>
          <w:sz w:val="28"/>
          <w:szCs w:val="28"/>
          <w:rtl w:val="true"/>
          <w:lang w:bidi="ar-SA"/>
        </w:rPr>
        <w:t>، و عدمه ؛ لتوهّم أ نّه کفّارة و لا کفّارة فیها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سافر فیه،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مرض أو حاضت المرأة، مع احتمال عدم الوجوب فیهما و فی السفر الضروریّ ؛ لعدم قبول المکلّف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وافق العید أو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وافق صوماً متعیّناً</w:t>
      </w:r>
      <w:r>
        <w:rPr>
          <w:rStyle w:val="FootnoteAnchor"/>
          <w:rtl w:val="true"/>
        </w:rPr>
        <w:footnoteReference w:id="1024"/>
      </w:r>
      <w:r>
        <w:rPr>
          <w:rFonts w:ascii="IRNazanin" w:hAnsi="IRNazanin" w:eastAsia="IRNazanin"/>
          <w:color w:val="111111"/>
          <w:sz w:val="28"/>
          <w:sz w:val="28"/>
          <w:szCs w:val="28"/>
          <w:rtl w:val="true"/>
          <w:lang w:bidi="fa-IR"/>
        </w:rPr>
        <w:t xml:space="preserve">،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مع احتمال قضائه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ضرب مملوکه فوق الحدّ، کفّر بعتقه عند الشیخ</w:t>
      </w:r>
      <w:r>
        <w:rPr>
          <w:rStyle w:val="FootnoteAnchor"/>
          <w:rtl w:val="true"/>
        </w:rPr>
        <w:footnoteReference w:id="1025"/>
      </w:r>
      <w:r>
        <w:rPr>
          <w:rFonts w:ascii="IRNazanin" w:hAnsi="IRNazanin" w:eastAsia="IRNazanin"/>
          <w:color w:val="111111"/>
          <w:sz w:val="28"/>
          <w:sz w:val="28"/>
          <w:szCs w:val="28"/>
          <w:rtl w:val="true"/>
          <w:lang w:bidi="fa-IR"/>
        </w:rPr>
        <w:t>و القاضی</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ابن إدریس</w:t>
      </w:r>
      <w:r>
        <w:rPr>
          <w:rStyle w:val="FootnoteAnchor"/>
          <w:rtl w:val="true"/>
        </w:rPr>
        <w:footnoteReference w:id="1027"/>
      </w:r>
      <w:r>
        <w:rPr>
          <w:rFonts w:ascii="Amiri" w:hAnsi="Amiri" w:eastAsia="Amiri" w:cs="Amiri"/>
          <w:color w:val="111111"/>
          <w:sz w:val="28"/>
          <w:sz w:val="28"/>
          <w:szCs w:val="28"/>
          <w:rtl w:val="true"/>
          <w:lang w:bidi="ar-SA"/>
        </w:rPr>
        <w:t>، و استحبّه جماعة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قتله، فکفّارته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مخیّرة</w:t>
      </w:r>
      <w:r>
        <w:rPr>
          <w:rStyle w:val="FootnoteAnchor"/>
          <w:rtl w:val="true"/>
        </w:rPr>
        <w:footnoteReference w:id="1029"/>
      </w:r>
      <w:r>
        <w:rPr>
          <w:rFonts w:ascii="IRNazanin" w:hAnsi="IRNazanin" w:eastAsia="IRNazanin"/>
          <w:color w:val="111111"/>
          <w:sz w:val="28"/>
          <w:sz w:val="28"/>
          <w:szCs w:val="28"/>
          <w:rtl w:val="true"/>
          <w:lang w:bidi="fa-IR"/>
        </w:rPr>
        <w:t>؛ لروایة أبی بصیر</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الصادق علیه‌السّلام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کفّارة عمل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حوائج الإخوان</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کفّارة الاغتیاب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للمغتاب</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کفّارة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w:t>
      </w:r>
      <w:r>
        <w:rPr>
          <w:rStyle w:val="FootnoteAnchor"/>
          <w:rtl w:val="true"/>
        </w:rPr>
        <w:footnoteReference w:id="1033"/>
      </w:r>
      <w:r>
        <w:rPr>
          <w:rStyle w:val="FootnoteAnchor"/>
          <w:rtl w:val="true"/>
        </w:rPr>
        <w:footnoteReference w:id="1034"/>
      </w:r>
      <w:r>
        <w:rPr>
          <w:rFonts w:ascii="IRNazanin" w:hAnsi="IRNazanin" w:eastAsia="IRNazanin"/>
          <w:color w:val="111111"/>
          <w:sz w:val="28"/>
          <w:sz w:val="28"/>
          <w:szCs w:val="28"/>
          <w:rtl w:val="true"/>
          <w:lang w:bidi="fa-IR"/>
        </w:rPr>
        <w:t>الآیتین عند القیام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اللطم علی الخدّ الاستغفار و التوبة</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یجزئ الاستغفار عند </w:t>
      </w:r>
      <w:bookmarkStart w:id="151" w:name="pg13665_219123"/>
    </w:p>
    <w:p>
      <w:pPr>
        <w:pStyle w:val="BookText"/>
        <w:rPr/>
      </w:pPr>
      <w:bookmarkEnd w:id="151"/>
      <w:r>
        <w:rPr>
          <w:rFonts w:ascii="IRNazanin" w:hAnsi="IRNazanin" w:eastAsia="IRNazanin"/>
          <w:color w:val="111111"/>
          <w:sz w:val="28"/>
          <w:sz w:val="28"/>
          <w:szCs w:val="28"/>
          <w:rtl w:val="true"/>
          <w:lang w:bidi="fa-IR"/>
        </w:rPr>
        <w:t>العجز عن خصال الکفّارات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الظهار روایتان</w:t>
      </w:r>
      <w:r>
        <w:rPr>
          <w:rStyle w:val="FootnoteAnchor"/>
          <w:rtl w:val="true"/>
        </w:rPr>
        <w:footnoteReference w:id="1037"/>
      </w:r>
      <w:r>
        <w:rPr>
          <w:rFonts w:ascii="IRNazanin" w:hAnsi="IRNazanin" w:eastAsia="IRNazanin"/>
          <w:color w:val="111111"/>
          <w:sz w:val="28"/>
          <w:sz w:val="28"/>
          <w:szCs w:val="28"/>
          <w:rtl w:val="true"/>
          <w:lang w:bidi="fa-IR"/>
        </w:rPr>
        <w:t xml:space="preserve">أشبههما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به، و یکفی مرّة واحدة بالنیّة، و لو تجدّدت القدرة بعده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إسحاق بن عمّار فی المظاهر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و یطأ، فإذا وجد الکفّارة، کفّر</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انسحابه فی غیره</w:t>
      </w:r>
      <w:r>
        <w:rPr>
          <w:rFonts w:eastAsia="IRNazanin" w:cs="IRNazanin"/>
          <w:color w:val="111111"/>
          <w:sz w:val="28"/>
          <w:szCs w:val="28"/>
          <w:rtl w:val="true"/>
          <w:lang w:bidi="fa-IR"/>
        </w:rPr>
        <w:t>.</w:t>
      </w:r>
    </w:p>
    <w:p>
      <w:pPr>
        <w:pStyle w:val="Heading3"/>
        <w:numPr>
          <w:ilvl w:val="2"/>
          <w:numId w:val="1"/>
        </w:numPr>
        <w:rPr/>
      </w:pPr>
      <w:bookmarkStart w:id="152" w:name="__RefHeading___Toc2071313_3830689328"/>
      <w:bookmarkStart w:id="153" w:name="_Toc51"/>
      <w:bookmarkEnd w:id="152"/>
      <w:r>
        <w:rPr>
          <w:rtl w:val="true"/>
        </w:rPr>
        <w:t xml:space="preserve">درس </w:t>
      </w:r>
      <w:r>
        <w:rPr>
          <w:rtl w:val="true"/>
        </w:rPr>
        <w:t>(</w:t>
      </w:r>
      <w:r>
        <w:rPr/>
        <w:t>155</w:t>
      </w:r>
      <w:r>
        <w:rPr>
          <w:rtl w:val="true"/>
        </w:rPr>
        <w:t>)</w:t>
      </w:r>
      <w:bookmarkEnd w:id="153"/>
    </w:p>
    <w:p>
      <w:pPr>
        <w:pStyle w:val="BookText"/>
        <w:rPr/>
      </w:pPr>
      <w:r>
        <w:rPr>
          <w:rFonts w:ascii="IRNazanin" w:hAnsi="IRNazanin" w:eastAsia="IRNazanin"/>
          <w:color w:val="111111"/>
          <w:sz w:val="28"/>
          <w:sz w:val="28"/>
          <w:szCs w:val="28"/>
          <w:rtl w:val="true"/>
          <w:lang w:bidi="fa-IR"/>
        </w:rPr>
        <w:t xml:space="preserve">خصال الکفّارة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و صیام، و إطعام، و 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یتعیّن العتق علی القادر فی المرتّبة بملک الرقبة أو ثمنها إذا أمکن الاعتیاض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أهل الخدمة لمرض</w:t>
      </w:r>
      <w:r>
        <w:rPr>
          <w:rStyle w:val="FootnoteAnchor"/>
          <w:rtl w:val="true"/>
        </w:rPr>
        <w:footnoteReference w:id="1039"/>
      </w:r>
      <w:r>
        <w:rPr>
          <w:rFonts w:ascii="IRNazanin" w:hAnsi="IRNazanin" w:eastAsia="IRNazanin"/>
          <w:color w:val="111111"/>
          <w:sz w:val="28"/>
          <w:sz w:val="28"/>
          <w:szCs w:val="28"/>
          <w:rtl w:val="true"/>
          <w:lang w:bidi="fa-IR"/>
        </w:rPr>
        <w:t>أو رفعة، اشترط ملک رقبة أُخری،</w:t>
      </w:r>
    </w:p>
    <w:p>
      <w:pPr>
        <w:pStyle w:val="BookText"/>
        <w:rPr/>
      </w:pPr>
      <w:r>
        <w:rPr>
          <w:rFonts w:ascii="IRNazanin" w:hAnsi="IRNazanin" w:eastAsia="IRNazanin"/>
          <w:color w:val="111111"/>
          <w:sz w:val="28"/>
          <w:sz w:val="28"/>
          <w:szCs w:val="28"/>
          <w:rtl w:val="true"/>
          <w:lang w:bidi="fa-IR"/>
        </w:rPr>
        <w:t>و لا تباع داره و لا ثیابه إلاّ مع الفضلة فیهما عن 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بیع خادمه أو داره أو ثیابه و التبدّل</w:t>
      </w:r>
      <w:r>
        <w:rPr>
          <w:rStyle w:val="FootnoteAnchor"/>
          <w:rtl w:val="true"/>
        </w:rPr>
        <w:footnoteReference w:id="1040"/>
      </w:r>
      <w:r>
        <w:rPr>
          <w:rFonts w:ascii="IRNazanin" w:hAnsi="IRNazanin" w:eastAsia="IRNazanin"/>
          <w:color w:val="111111"/>
          <w:sz w:val="28"/>
          <w:sz w:val="28"/>
          <w:szCs w:val="28"/>
          <w:rtl w:val="true"/>
          <w:lang w:bidi="fa-IR"/>
        </w:rPr>
        <w:t xml:space="preserve">و شراء رقبة، 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أن یفضل له قوت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تباع ضیعته و تجارته و إن التحق بالمساکین،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بیع نسیئة، وجب إذا کان یتوقّع مالاً غائباً و إلاّ فلا، و لو طلب منه النقد،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المظاهر وجهان، أقربهما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إلی الصوم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المدیون المستوعب 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تکلّف العتق أجزأه إلاّ مع مطالبة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العبرة بالقدرة حال العتق لا حال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عجز فشرع فی الصوم بلحظة، ثمّ قدر، استحبّ العود، و کذا لو شرع فی الإطعام، ثمّ قدر علی الصیام أو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أیسر قبل صوم أکثر من شهر، وجب العتق</w:t>
      </w:r>
      <w:r>
        <w:rPr>
          <w:rStyle w:val="FootnoteAnchor"/>
          <w:rtl w:val="true"/>
        </w:rPr>
        <w:footnoteReference w:id="1041"/>
      </w:r>
      <w:r>
        <w:rPr>
          <w:rFonts w:ascii="IRNazanin" w:hAnsi="IRNazanin" w:eastAsia="IRNazanin"/>
          <w:color w:val="111111"/>
          <w:sz w:val="28"/>
          <w:sz w:val="28"/>
          <w:szCs w:val="28"/>
          <w:rtl w:val="true"/>
          <w:lang w:bidi="fa-IR"/>
        </w:rPr>
        <w:t>؛ لصحیحة محمّد بن مسلم، عن أحدهما علیهماالسّلام</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تعارضها صحیحته أیضاً</w:t>
      </w:r>
      <w:r>
        <w:rPr>
          <w:rStyle w:val="FootnoteAnchor"/>
          <w:rtl w:val="true"/>
        </w:rPr>
        <w:footnoteReference w:id="10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فتحمل علی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بذل له رقبة،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القبول ؛ للمنّة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یعتبر فی الصحّة أُمور تسعة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الشهادتان فی القتل إجماعاً، و فی غیره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الکافر</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یجزئ المتولّد من مسلم إذا انفصل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حسنة معمّر بن یحیی،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العتق یجوز فیه المولود إلاّ فی کفّارة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یعنی مقرّة قد بلغت الحنث</w:t>
      </w:r>
      <w:r>
        <w:rPr>
          <w:rFonts w:eastAsia="IRNazanin" w:cs="IRNazanin"/>
          <w:color w:val="111111"/>
          <w:sz w:val="28"/>
          <w:szCs w:val="28"/>
          <w:rtl w:val="true"/>
          <w:lang w:bidi="fa-IR"/>
        </w:rPr>
        <w:t>»</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روایة الحسین بن سعید</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و المعصیة، و علیها ابن الجنید،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صغیراً فی غیر کفّارة القتل، قام به حتّی یستغنی عنه</w:t>
      </w:r>
      <w:r>
        <w:rPr>
          <w:rStyle w:val="FootnoteAnchor"/>
          <w:rtl w:val="true"/>
        </w:rPr>
        <w:footnoteReference w:id="1049"/>
      </w:r>
      <w:r>
        <w:rPr>
          <w:rFonts w:ascii="IRNazanin" w:hAnsi="IRNazanin" w:eastAsia="IRNazanin"/>
          <w:color w:val="111111"/>
          <w:sz w:val="28"/>
          <w:sz w:val="28"/>
          <w:szCs w:val="28"/>
          <w:rtl w:val="true"/>
          <w:lang w:bidi="fa-IR"/>
        </w:rPr>
        <w:t xml:space="preserve">؛ لصحیحة </w:t>
      </w:r>
    </w:p>
    <w:p>
      <w:pPr>
        <w:pStyle w:val="BookText"/>
        <w:rPr/>
      </w:pPr>
      <w:r>
        <w:rPr>
          <w:rFonts w:ascii="IRNazanin" w:hAnsi="IRNazanin" w:eastAsia="IRNazanin"/>
          <w:color w:val="111111"/>
          <w:sz w:val="28"/>
          <w:sz w:val="28"/>
          <w:szCs w:val="28"/>
          <w:rtl w:val="true"/>
          <w:lang w:bidi="fa-IR"/>
        </w:rPr>
        <w:t>ابن محبوب فی مکاتبة</w:t>
      </w:r>
      <w:r>
        <w:rPr>
          <w:rStyle w:val="FootnoteAnchor"/>
          <w:rtl w:val="true"/>
        </w:rPr>
        <w:footnoteReference w:id="1050"/>
      </w:r>
      <w:r>
        <w:rPr>
          <w:rFonts w:ascii="IRNazanin" w:hAnsi="IRNazanin" w:eastAsia="IRNazanin"/>
          <w:color w:val="111111"/>
          <w:sz w:val="28"/>
          <w:sz w:val="28"/>
          <w:szCs w:val="28"/>
          <w:rtl w:val="true"/>
          <w:lang w:bidi="fa-IR"/>
        </w:rPr>
        <w:t xml:space="preserve">الرضا علیه‌السّلام،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و ذا الزمانة کالصغیر</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إسلام الأخرس بالإشارة و المسبیّ بانفراد المسلم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إسلام المراهق معتبر فی التفرقة بینه و بین أهله لا فی الإجزاء و غیره من أحکام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یجزئ ولد الزنا علی الأقرب، و منعه المرتضی ناقلاً للإجماع</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إسلام ولد الزنا بالمباشرة بعد البلوغ، و بتبعیّة السابی، و فی تحقّقه بسبب الولادة من المسلم نظر، من انتفائه عنه شرعاً، و من تولّده عنه حقیقة، فلا یقصر عن السابی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سلامتها من عیب یوجب العتق، کالعمی، و الإقعاد، و الجذام، و التنکیل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الخصیّ، و الأصمّ، و الأخرس</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سلامتها من تعلّق حقّ آخر، ففی الجانی عمداً أو خطأً قولان</w:t>
      </w:r>
      <w:r>
        <w:rPr>
          <w:rStyle w:val="FootnoteAnchor"/>
          <w:rtl w:val="true"/>
        </w:rPr>
        <w:footnoteReference w:id="1055"/>
      </w:r>
      <w:r>
        <w:rPr>
          <w:rFonts w:ascii="IRNazanin" w:hAnsi="IRNazanin" w:eastAsia="IRNazanin"/>
          <w:color w:val="111111"/>
          <w:sz w:val="28"/>
          <w:sz w:val="28"/>
          <w:szCs w:val="28"/>
          <w:rtl w:val="true"/>
          <w:lang w:bidi="fa-IR"/>
        </w:rPr>
        <w:t xml:space="preserve">، أقربهما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المراعاة بالخروج عن عهدة الجنایة، و کذا فی المدبّر ؛ لضعف التعلّق و تعجیل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w:t>
      </w:r>
      <w:r>
        <w:rPr>
          <w:rStyle w:val="FootnoteAnchor"/>
          <w:rtl w:val="true"/>
        </w:rPr>
        <w:footnoteReference w:id="1056"/>
      </w:r>
      <w:r>
        <w:rPr>
          <w:rFonts w:ascii="IRNazanin" w:hAnsi="IRNazanin" w:eastAsia="IRNazanin"/>
          <w:color w:val="111111"/>
          <w:sz w:val="28"/>
          <w:sz w:val="28"/>
          <w:szCs w:val="28"/>
          <w:rtl w:val="true"/>
          <w:lang w:bidi="fa-IR"/>
        </w:rPr>
        <w:t xml:space="preserve">؛ لصحیحة الحلبیّ، عن الصادق </w:t>
      </w:r>
    </w:p>
    <w:p>
      <w:pPr>
        <w:pStyle w:val="BookText"/>
        <w:rPr/>
      </w:pPr>
      <w:r>
        <w:rPr>
          <w:rFonts w:ascii="IRNazanin" w:hAnsi="IRNazanin" w:eastAsia="IRNazanin"/>
          <w:color w:val="111111"/>
          <w:sz w:val="28"/>
          <w:sz w:val="28"/>
          <w:szCs w:val="28"/>
          <w:rtl w:val="true"/>
          <w:lang w:bidi="fa-IR"/>
        </w:rPr>
        <w:t>علیه‌السّلام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نقض تدبیره، أجزأ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المکاتب المشروط أو غیر المؤدّی و المستولدة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یجزئ المرهون مع إجازة المرتهن، فلا یکلّف الراهن بدله قطعاً، و لو لم یُجِز، أجزأ عند الشیخ إذا کان موسراً فیؤدّی أو یرهن غیره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یجزئ المنذور عتقه أو الصدقة به، و إن کان النذر معلّقاً بشرط لم یحصل بعد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استیعابها، فلو أعتق بعض عبد، لم یجزئ، إلاّ أن یسری أو ینتقل إلیه بعد ذلک فیعتقه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غیر مستحقّة العتق بالملک، فلو ملک</w:t>
      </w:r>
      <w:r>
        <w:rPr>
          <w:rStyle w:val="FootnoteAnchor"/>
          <w:rtl w:val="true"/>
        </w:rPr>
        <w:footnoteReference w:id="1059"/>
      </w:r>
      <w:r>
        <w:rPr>
          <w:rFonts w:ascii="IRNazanin" w:hAnsi="IRNazanin" w:eastAsia="IRNazanin"/>
          <w:color w:val="111111"/>
          <w:sz w:val="28"/>
          <w:sz w:val="28"/>
          <w:szCs w:val="28"/>
          <w:rtl w:val="true"/>
          <w:lang w:bidi="fa-IR"/>
        </w:rPr>
        <w:t>أباه و نوی العتق عن الکفّارة حال الشراء أو بعده، لم یجزئ علی الأقوی من وجهی الشیخ</w:t>
      </w:r>
      <w:r>
        <w:rPr>
          <w:rStyle w:val="FootnoteAnchor"/>
          <w:rtl w:val="true"/>
        </w:rPr>
        <w:footnoteReference w:id="1060"/>
      </w:r>
      <w:r>
        <w:rPr>
          <w:rFonts w:ascii="Amiri" w:hAnsi="Amiri" w:eastAsia="Amiri" w:cs="Amiri"/>
          <w:color w:val="111111"/>
          <w:sz w:val="28"/>
          <w:sz w:val="28"/>
          <w:szCs w:val="28"/>
          <w:rtl w:val="true"/>
          <w:lang w:bidi="ar-SA"/>
        </w:rPr>
        <w:t>؛ لأنّ النیّة لم تصادف ملکاً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کذا لا یجزئ مشروط العتق عن البائع و لا عن المشتری،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العتق یقع مشترکاً بین التکفیر و بین الوفاء بالشرط</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عن المشتری</w:t>
      </w:r>
      <w:r>
        <w:rPr>
          <w:rStyle w:val="FootnoteAnchor"/>
          <w:rtl w:val="true"/>
        </w:rPr>
        <w:footnoteReference w:id="1062"/>
      </w:r>
      <w:r>
        <w:rPr>
          <w:rFonts w:ascii="IRNazanin" w:hAnsi="IRNazanin" w:eastAsia="IRNazanin"/>
          <w:color w:val="111111"/>
          <w:sz w:val="28"/>
          <w:sz w:val="28"/>
          <w:szCs w:val="28"/>
          <w:rtl w:val="true"/>
          <w:lang w:bidi="fa-IR"/>
        </w:rPr>
        <w:t>؛ لعدم وجوب العتق بالشرط، و لو وجب به فهو بسبب الکفّارة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التجرید عن العوض، فلا تجزئ المکاتبة بنوعیها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شرط </w:t>
      </w:r>
    </w:p>
    <w:p>
      <w:pPr>
        <w:pStyle w:val="BookText"/>
        <w:rPr/>
      </w:pPr>
      <w:r>
        <w:rPr>
          <w:rFonts w:ascii="IRNazanin" w:hAnsi="IRNazanin" w:eastAsia="IRNazanin"/>
          <w:color w:val="111111"/>
          <w:sz w:val="28"/>
          <w:sz w:val="28"/>
          <w:szCs w:val="28"/>
          <w:rtl w:val="true"/>
          <w:lang w:bidi="fa-IR"/>
        </w:rPr>
        <w:t>عوضاً علی العتیق، عتق و لم یجزئ ؛ لعدم تمحّض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أعتقه عن کفّارتک بکذا، لم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العتق، و لو قیل به، وجب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أمر المالک بالعتق عن الآمر بعوض أو غیره، أجزأ، و النیّة هنا من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وقت الملک الضمنیّ هنا تردّد، هل هو بالشروع فی الإعتاق أو بتمام الإعتاق یملکه</w:t>
      </w:r>
      <w:r>
        <w:rPr>
          <w:rStyle w:val="FootnoteAnchor"/>
          <w:rtl w:val="true"/>
        </w:rPr>
        <w:footnoteReference w:id="1063"/>
      </w:r>
      <w:r>
        <w:rPr>
          <w:rFonts w:ascii="IRNazanin" w:hAnsi="IRNazanin" w:eastAsia="IRNazanin"/>
          <w:color w:val="111111"/>
          <w:sz w:val="28"/>
          <w:sz w:val="28"/>
          <w:szCs w:val="28"/>
          <w:rtl w:val="true"/>
          <w:lang w:bidi="fa-IR"/>
        </w:rPr>
        <w:t>آناً ثمّ یعتق، أو یتبیّن بالإعتاق أ نّه ملکه بالأمر ؟ و مثار</w:t>
      </w:r>
      <w:r>
        <w:rPr>
          <w:rStyle w:val="FootnoteAnchor"/>
          <w:rtl w:val="true"/>
        </w:rPr>
        <w:footnoteReference w:id="1064"/>
      </w:r>
      <w:r>
        <w:rPr>
          <w:rFonts w:ascii="IRNazanin" w:hAnsi="IRNazanin" w:eastAsia="IRNazanin"/>
          <w:color w:val="111111"/>
          <w:sz w:val="28"/>
          <w:sz w:val="28"/>
          <w:szCs w:val="28"/>
          <w:rtl w:val="true"/>
          <w:lang w:bidi="fa-IR"/>
        </w:rPr>
        <w:t>هذا</w:t>
      </w:r>
      <w:r>
        <w:rPr>
          <w:rStyle w:val="FootnoteAnchor"/>
          <w:rtl w:val="true"/>
        </w:rPr>
        <w:footnoteReference w:id="1065"/>
      </w:r>
      <w:r>
        <w:rPr>
          <w:rFonts w:ascii="IRNazanin" w:hAnsi="IRNazanin" w:eastAsia="IRNazanin"/>
          <w:color w:val="111111"/>
          <w:sz w:val="28"/>
          <w:sz w:val="28"/>
          <w:szCs w:val="28"/>
          <w:rtl w:val="true"/>
          <w:lang w:bidi="fa-IR"/>
        </w:rPr>
        <w:t xml:space="preserve">قول النبیّ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فیما یملک</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طرّد البحث فی ملک الضیف الطعام بالأخذ، فله إطعام غیره، أو بالوضع فی الفم، أو بالمضغ، أو الازدراد، و لا ضرورة هنا إلی الملک ؛ إذ یکفی إباحة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 یعتبر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اعتبار التعیین خلاف،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سواء تعدّدت الکفّارات أم لا، تغایر الجنس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تجزئ نیّة المتبرّع عن المیّت إن کان وارثاً، و قد تقدّم الخلاف فی غیره و فی الحیّ</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سبب العتق، فلو نکّل به ناویاً التکفیر، عتق و لم یجزئ</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شرط بعضهم الحرّیّة</w:t>
      </w:r>
      <w:r>
        <w:rPr>
          <w:rStyle w:val="FootnoteAnchor"/>
          <w:rtl w:val="true"/>
        </w:rPr>
        <w:footnoteReference w:id="1068"/>
      </w:r>
      <w:r>
        <w:rPr>
          <w:rFonts w:ascii="IRNazanin" w:hAnsi="IRNazanin" w:eastAsia="IRNazanin"/>
          <w:color w:val="111111"/>
          <w:sz w:val="28"/>
          <w:sz w:val="28"/>
          <w:szCs w:val="28"/>
          <w:rtl w:val="true"/>
          <w:lang w:bidi="fa-IR"/>
        </w:rPr>
        <w:t>، فلو کفّر العبد بالعتق، لم یجزئ و إن أذن المولی، إمّا لأ نّه کفّر بما لم یجب علیه، و إمّا لعدم تقدیر الملک فیه، و کذا لو کفّر المولی عنه</w:t>
      </w:r>
      <w:r>
        <w:rPr>
          <w:rFonts w:eastAsia="IRNazanin" w:cs="IRNazanin"/>
          <w:color w:val="111111"/>
          <w:sz w:val="28"/>
          <w:szCs w:val="28"/>
          <w:rtl w:val="true"/>
          <w:lang w:bidi="fa-IR"/>
        </w:rPr>
        <w:t xml:space="preserve">. </w:t>
      </w:r>
      <w:bookmarkStart w:id="154" w:name="pg13665_219128"/>
    </w:p>
    <w:p>
      <w:pPr>
        <w:pStyle w:val="BookText"/>
        <w:rPr/>
      </w:pPr>
      <w:bookmarkEnd w:id="154"/>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العتق، فلا یجزئ التدبیر و إن نوی به التکفیر، و أبعد منه الاستیلاد ؛ لبعد</w:t>
      </w:r>
      <w:r>
        <w:rPr>
          <w:rStyle w:val="FootnoteAnchor"/>
          <w:rtl w:val="true"/>
        </w:rPr>
        <w:footnoteReference w:id="1069"/>
      </w:r>
      <w:r>
        <w:rPr>
          <w:rFonts w:ascii="IRNazanin" w:hAnsi="IRNazanin" w:eastAsia="IRNazanin"/>
          <w:color w:val="111111"/>
          <w:sz w:val="28"/>
          <w:sz w:val="28"/>
          <w:szCs w:val="28"/>
          <w:rtl w:val="true"/>
          <w:lang w:bidi="fa-IR"/>
        </w:rPr>
        <w:t>القصد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یجزئ الآبق و الضالّ ما لم یعلم موته ؛ لروایة أبی هاشم الجعفریّ</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إلاّ أن یعلم حیاته</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 الحیاة،</w:t>
      </w:r>
    </w:p>
    <w:p>
      <w:pPr>
        <w:pStyle w:val="BookText"/>
        <w:rPr/>
      </w:pPr>
      <w:r>
        <w:rPr>
          <w:rFonts w:ascii="IRNazanin" w:hAnsi="IRNazanin" w:eastAsia="IRNazanin"/>
          <w:color w:val="111111"/>
          <w:sz w:val="28"/>
          <w:sz w:val="28"/>
          <w:szCs w:val="28"/>
          <w:rtl w:val="true"/>
          <w:lang w:bidi="fa-IR"/>
        </w:rPr>
        <w:t>أجزأ، و إن شکّ، لم یجزئ</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یجزئ المریض و المجروح مع استقرار الحیاة</w:t>
      </w:r>
      <w:r>
        <w:rPr>
          <w:rFonts w:eastAsia="IRNazanin" w:cs="IRNazanin"/>
          <w:color w:val="111111"/>
          <w:sz w:val="28"/>
          <w:szCs w:val="28"/>
          <w:rtl w:val="true"/>
          <w:lang w:bidi="fa-IR"/>
        </w:rPr>
        <w:t>.</w:t>
      </w:r>
    </w:p>
    <w:p>
      <w:pPr>
        <w:pStyle w:val="Heading3"/>
        <w:numPr>
          <w:ilvl w:val="2"/>
          <w:numId w:val="1"/>
        </w:numPr>
        <w:rPr/>
      </w:pPr>
      <w:bookmarkStart w:id="155" w:name="__RefHeading___Toc2071315_3830689328"/>
      <w:bookmarkStart w:id="156" w:name="_Toc52"/>
      <w:bookmarkEnd w:id="155"/>
      <w:r>
        <w:rPr>
          <w:rtl w:val="true"/>
        </w:rPr>
        <w:t xml:space="preserve">درس </w:t>
      </w:r>
      <w:r>
        <w:rPr>
          <w:rtl w:val="true"/>
        </w:rPr>
        <w:t>(</w:t>
      </w:r>
      <w:r>
        <w:rPr/>
        <w:t>156</w:t>
      </w:r>
      <w:r>
        <w:rPr>
          <w:rtl w:val="true"/>
        </w:rPr>
        <w:t>)</w:t>
      </w:r>
      <w:bookmarkEnd w:id="156"/>
    </w:p>
    <w:p>
      <w:pPr>
        <w:pStyle w:val="BookText"/>
        <w:rPr/>
      </w:pPr>
      <w:r>
        <w:rPr>
          <w:rFonts w:ascii="IRNazanin" w:hAnsi="IRNazanin" w:eastAsia="IRNazanin"/>
          <w:color w:val="111111"/>
          <w:sz w:val="28"/>
          <w:sz w:val="28"/>
          <w:szCs w:val="28"/>
          <w:rtl w:val="true"/>
          <w:lang w:bidi="fa-IR"/>
        </w:rPr>
        <w:t>إذا انتقل فرض المکفّر إلی الصوم، وجب علی الحرّ شهران متتابعان فی الظهار و القتل، و علی العبد شهر متتابع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السفر الضروریّ أو الواجب عذر إذا فجأه، و لو سبق علمه به، لم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خوف الحامل و المرضع علی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خافتا علی الولد،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فیه قولان</w:t>
      </w:r>
      <w:r>
        <w:rPr>
          <w:rStyle w:val="FootnoteAnchor"/>
          <w:rtl w:val="true"/>
        </w:rPr>
        <w:footnoteReference w:id="1073"/>
      </w:r>
      <w:r>
        <w:rPr>
          <w:rFonts w:ascii="IRNazanin" w:hAnsi="IRNazanin" w:eastAsia="IRNazanin"/>
          <w:color w:val="111111"/>
          <w:sz w:val="28"/>
          <w:sz w:val="28"/>
          <w:szCs w:val="28"/>
          <w:rtl w:val="true"/>
          <w:lang w:bidi="fa-IR"/>
        </w:rPr>
        <w:t xml:space="preserve">، و کذا فیمن ضرب حتّی أفطر، و قطع بأنّ مَن وجر الماء فی حلقه معذور، و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فی العذر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المحبوس یتوخّی، فلو اتّفق فی أثناء الأوّل صوم قاطع للتتابع و لمّا یعلم، فهو معذور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یکفی الهلالیّ إذا شرع من أوّله، و إلاّ فالعدد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بقدر الفائت</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تجب نیّة الکفّارة المعیّنة و لا تجب نیّة المتابعة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وطئ المظاهر لیلاً، وجبت أُخری و لم ینقطع تتابع الأُولی علی الأقوی، و لو وطئ فی أثناء الإطعام، بنی و إن وجبت علیه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یستأنف الکفّارتین إذا تعمّد الوط‌ء لیلاً أو نهاراً ؛ محتجّاً بالإجماع</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 المختلف</w:t>
      </w:r>
      <w:r>
        <w:rPr>
          <w:rStyle w:val="FootnoteAnchor"/>
          <w:rtl w:val="true"/>
        </w:rPr>
        <w:footnoteReference w:id="1077"/>
      </w:r>
      <w:r>
        <w:rPr>
          <w:rFonts w:ascii="IRNazanin" w:hAnsi="IRNazanin" w:eastAsia="IRNazanin"/>
          <w:color w:val="111111"/>
          <w:sz w:val="28"/>
          <w:sz w:val="28"/>
          <w:szCs w:val="28"/>
          <w:rtl w:val="true"/>
          <w:lang w:bidi="fa-IR"/>
        </w:rPr>
        <w:t>؛ لوجوب الشهرین قبل المسیس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لابدّ لکلّ یوم من نیّة،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تجدیدها إلی الزوال للناسی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استمرّ النسیان حتّی زالت الشمس، لم یجزئ</w:t>
      </w:r>
      <w:r>
        <w:rPr>
          <w:rStyle w:val="FootnoteAnchor"/>
          <w:rtl w:val="true"/>
        </w:rPr>
        <w:footnoteReference w:id="1078"/>
      </w:r>
      <w:r>
        <w:rPr>
          <w:rFonts w:ascii="IRNazanin" w:hAnsi="IRNazanin" w:eastAsia="IRNazanin"/>
          <w:color w:val="111111"/>
          <w:sz w:val="28"/>
          <w:sz w:val="28"/>
          <w:szCs w:val="28"/>
          <w:rtl w:val="true"/>
          <w:lang w:bidi="fa-IR"/>
        </w:rPr>
        <w:t>ذلک الیوم، و فی قدحه فی التتابع</w:t>
      </w:r>
    </w:p>
    <w:p>
      <w:pPr>
        <w:pStyle w:val="BookText"/>
        <w:rPr/>
      </w:pPr>
      <w:r>
        <w:rPr>
          <w:rFonts w:ascii="IRNazanin" w:hAnsi="IRNazanin" w:eastAsia="IRNazanin"/>
          <w:color w:val="111111"/>
          <w:sz w:val="28"/>
          <w:sz w:val="28"/>
          <w:szCs w:val="28"/>
          <w:rtl w:val="true"/>
          <w:lang w:bidi="fa-IR"/>
        </w:rPr>
        <w:t>احتمال ضعیف ؛ للخبر</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قدر المظاهر علی الصوم إلاّ أ نّه یتضرّر بترک الجماع، انتقل إلی 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طال زمان الإطعام و تضرّر، احتمل جواز الوط‌ء قبله بالاستغفار، أو بدونه مع کفّارة أُخری، أو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جواز تعجیل الإطعام، بأن یجمع لواحد لا یوجد غیره دفعة أو لأزید منه،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انتقل إلی الإطعام، وجب إطعام ستّین مسکیناً فی کفّارة شهر رمضان و الخطأ و الظهار و النذر و العهد، و إطعام عشرة مساکین فی کفّارة الیمین ممّا یسمّی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طعاماً، کالحنطة و الشعیر و دقیقهما و خبزهما</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کفّارة الیمین أن </w:t>
      </w:r>
    </w:p>
    <w:p>
      <w:pPr>
        <w:pStyle w:val="BookText"/>
        <w:rPr/>
      </w:pPr>
      <w:r>
        <w:rPr>
          <w:rFonts w:ascii="IRNazanin" w:hAnsi="IRNazanin" w:eastAsia="IRNazanin"/>
          <w:color w:val="111111"/>
          <w:sz w:val="28"/>
          <w:sz w:val="28"/>
          <w:szCs w:val="28"/>
          <w:rtl w:val="true"/>
          <w:lang w:bidi="fa-IR"/>
        </w:rPr>
        <w:t>یطعم من أوسط ما یطعم أهله</w:t>
      </w:r>
      <w:r>
        <w:rPr>
          <w:rStyle w:val="FootnoteAnchor"/>
          <w:rtl w:val="true"/>
        </w:rPr>
        <w:footnoteReference w:id="1081"/>
      </w:r>
      <w:r>
        <w:rPr>
          <w:rFonts w:ascii="IRNazanin" w:hAnsi="IRNazanin" w:eastAsia="IRNazanin"/>
          <w:color w:val="111111"/>
          <w:sz w:val="28"/>
          <w:sz w:val="28"/>
          <w:szCs w:val="28"/>
          <w:rtl w:val="true"/>
          <w:lang w:bidi="fa-IR"/>
        </w:rPr>
        <w:t>؛ للآیة</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یجزئ التمر</w:t>
      </w:r>
    </w:p>
    <w:p>
      <w:pPr>
        <w:pStyle w:val="BookText"/>
        <w:rPr/>
      </w:pPr>
      <w:r>
        <w:rPr>
          <w:rFonts w:ascii="IRNazanin" w:hAnsi="IRNazanin" w:eastAsia="IRNazanin"/>
          <w:color w:val="111111"/>
          <w:sz w:val="28"/>
          <w:sz w:val="28"/>
          <w:szCs w:val="28"/>
          <w:rtl w:val="true"/>
          <w:lang w:bidi="fa-IR"/>
        </w:rPr>
        <w:t>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الأُدُم مع الطعام، و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و أوسطه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الزیت و الخلّ، و أدناه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المفید</w:t>
      </w:r>
      <w:r>
        <w:rPr>
          <w:rStyle w:val="FootnoteAnchor"/>
          <w:rtl w:val="true"/>
        </w:rPr>
        <w:footnoteReference w:id="1083"/>
      </w:r>
      <w:r>
        <w:rPr>
          <w:rFonts w:ascii="Amiri" w:hAnsi="Amiri" w:eastAsia="Amiri" w:cs="Amiri"/>
          <w:color w:val="111111"/>
          <w:sz w:val="28"/>
          <w:sz w:val="28"/>
          <w:szCs w:val="28"/>
          <w:rtl w:val="true"/>
          <w:lang w:bidi="ar-SA"/>
        </w:rPr>
        <w:t xml:space="preserve">و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الأُدم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لکلّ مسکین ؛ لصحیحة عبداللّه بن سنان</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مدّان فی جمیع الکفّارات</w:t>
      </w:r>
      <w:r>
        <w:rPr>
          <w:rStyle w:val="FootnoteAnchor"/>
          <w:rtl w:val="true"/>
        </w:rPr>
        <w:footnoteReference w:id="1086"/>
      </w:r>
      <w:r>
        <w:rPr>
          <w:rFonts w:ascii="Amiri" w:hAnsi="Amiri" w:eastAsia="Amiri" w:cs="Amiri"/>
          <w:color w:val="111111"/>
          <w:sz w:val="28"/>
          <w:sz w:val="28"/>
          <w:szCs w:val="28"/>
          <w:rtl w:val="true"/>
          <w:lang w:bidi="ar-SA"/>
        </w:rPr>
        <w:t>معوّلاً</w:t>
      </w:r>
      <w:r>
        <w:rPr>
          <w:rStyle w:val="FootnoteAnchor"/>
          <w:rtl w:val="true"/>
        </w:rPr>
        <w:footnoteReference w:id="1087"/>
      </w:r>
      <w:r>
        <w:rPr>
          <w:rFonts w:ascii="IRNazanin" w:hAnsi="IRNazanin" w:eastAsia="IRNazanin"/>
          <w:color w:val="111111"/>
          <w:sz w:val="28"/>
          <w:sz w:val="28"/>
          <w:szCs w:val="28"/>
          <w:rtl w:val="true"/>
          <w:lang w:bidi="fa-IR"/>
        </w:rPr>
        <w:t>علی إجماعنا، و کذا فی المبسوط</w:t>
      </w:r>
      <w:r>
        <w:rPr>
          <w:rStyle w:val="FootnoteAnchor"/>
          <w:rtl w:val="true"/>
        </w:rPr>
        <w:footnoteReference w:id="1088"/>
      </w:r>
      <w:r>
        <w:rPr>
          <w:rFonts w:ascii="IRNazanin" w:hAnsi="IRNazanin" w:eastAsia="IRNazanin"/>
          <w:color w:val="111111"/>
          <w:sz w:val="28"/>
          <w:sz w:val="28"/>
          <w:szCs w:val="28"/>
          <w:rtl w:val="true"/>
          <w:lang w:bidi="fa-IR"/>
        </w:rPr>
        <w:t>، و النهایة، و اجتزأ بالمدّ مع العجز</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علی المدّ مؤونة طحنه</w:t>
      </w:r>
    </w:p>
    <w:p>
      <w:pPr>
        <w:pStyle w:val="BookText"/>
        <w:rPr/>
      </w:pPr>
      <w:r>
        <w:rPr>
          <w:rFonts w:ascii="IRNazanin" w:hAnsi="IRNazanin" w:eastAsia="IRNazanin"/>
          <w:color w:val="111111"/>
          <w:sz w:val="28"/>
          <w:sz w:val="28"/>
          <w:szCs w:val="28"/>
          <w:rtl w:val="true"/>
          <w:lang w:bidi="fa-IR"/>
        </w:rPr>
        <w:t>و خبزه و أُدمه</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w:t>
      </w:r>
      <w:r>
        <w:rPr>
          <w:rStyle w:val="FootnoteAnchor"/>
          <w:rtl w:val="true"/>
        </w:rPr>
        <w:footnoteReference w:id="1091"/>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مدّ أو شبعه فی یومه</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ابن الجنید بالغداء و العشاء</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أطلق جماعة أنّ الواجب الإشباع مرّة</w:t>
      </w:r>
      <w:r>
        <w:rPr>
          <w:rStyle w:val="FootnoteAnchor"/>
          <w:rtl w:val="true"/>
        </w:rPr>
        <w:footnoteReference w:id="1094"/>
      </w:r>
      <w:r>
        <w:rPr>
          <w:rFonts w:ascii="IRNazanin" w:hAnsi="IRNazanin" w:eastAsia="IRNazanin"/>
          <w:color w:val="111111"/>
          <w:sz w:val="28"/>
          <w:sz w:val="28"/>
          <w:szCs w:val="28"/>
          <w:rtl w:val="true"/>
          <w:lang w:bidi="fa-IR"/>
        </w:rPr>
        <w:t xml:space="preserve">؛ لصحیح أبی بصیر، عن الباقر </w:t>
      </w:r>
    </w:p>
    <w:p>
      <w:pPr>
        <w:pStyle w:val="BookText"/>
        <w:rPr/>
      </w:pPr>
      <w:r>
        <w:rPr>
          <w:rFonts w:ascii="IRNazanin" w:hAnsi="IRNazanin" w:eastAsia="IRNazanin"/>
          <w:color w:val="111111"/>
          <w:sz w:val="28"/>
          <w:sz w:val="28"/>
          <w:szCs w:val="28"/>
          <w:rtl w:val="true"/>
          <w:lang w:bidi="fa-IR"/>
        </w:rPr>
        <w:t>علیه‌السّلام</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یجزئ الإشباع و إن قصر عن المدّ، و لو کان فیهم صغیر فکالکبیر، و لو انفردوا، احتسب الاثنان بواحد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یجزئ المریض و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التسلیم إلی ولیّ الطفل، و فی الإطعام یجزئ من غیر إذن الولیّ عند الفاضل</w:t>
      </w:r>
      <w:r>
        <w:rPr>
          <w:rStyle w:val="FootnoteAnchor"/>
          <w:rtl w:val="true"/>
        </w:rPr>
        <w:footnoteReference w:id="1096"/>
      </w:r>
      <w:r>
        <w:rPr>
          <w:rFonts w:ascii="IRNazanin" w:hAnsi="IRNazanin" w:eastAsia="IRNazanin"/>
          <w:color w:val="111111"/>
          <w:sz w:val="28"/>
          <w:sz w:val="28"/>
          <w:szCs w:val="28"/>
          <w:rtl w:val="true"/>
          <w:lang w:bidi="fa-IR"/>
        </w:rPr>
        <w:t xml:space="preserve">، و ظاهر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یشترط إذن الولیّ فی التسلیم أیضاً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أعطی الواجب لما دون العدد، لم یجز، و إن تعذّر العدد، فرّق علیهم بحسب الأیّام، فلو لم یجد سوی واحد، فرّق علیه فی ستّین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الکفّارات، جاز أن یعطی الواحد لیومه من کلّ واحدة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بإجزاء الإشباع لو أطعم مسکیناً مرّتین غداءاً و عشاءاً فی یوم ففی احتسابه بمسکینین احتمال، سواء وجد غیره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اجتماعهم فی الإعطاء أو الإطعام و إن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تجزئ القیمة عند الشیخ</w:t>
      </w:r>
      <w:r>
        <w:rPr>
          <w:rStyle w:val="FootnoteAnchor"/>
          <w:rtl w:val="true"/>
        </w:rPr>
        <w:footnoteReference w:id="1098"/>
      </w:r>
      <w:r>
        <w:rPr>
          <w:rFonts w:ascii="IRNazanin" w:hAnsi="IRNazanin" w:eastAsia="IRNazanin"/>
          <w:color w:val="111111"/>
          <w:sz w:val="28"/>
          <w:sz w:val="28"/>
          <w:szCs w:val="28"/>
          <w:rtl w:val="true"/>
          <w:lang w:bidi="fa-IR"/>
        </w:rPr>
        <w:t>و أتباعه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اشتری الطعام من المسکین و دفعه إلی غیره، أجزأ و إن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یمکن</w:t>
      </w:r>
      <w:r>
        <w:rPr>
          <w:rStyle w:val="FootnoteAnchor"/>
          <w:rtl w:val="true"/>
        </w:rPr>
        <w:footnoteReference w:id="1100"/>
      </w:r>
      <w:r>
        <w:rPr>
          <w:rFonts w:ascii="Amiri" w:hAnsi="Amiri" w:eastAsia="Amiri" w:cs="Amiri"/>
          <w:color w:val="111111"/>
          <w:sz w:val="28"/>
          <w:sz w:val="28"/>
          <w:szCs w:val="28"/>
          <w:rtl w:val="true"/>
          <w:lang w:bidi="ar-SA"/>
        </w:rPr>
        <w:t>تأدّی</w:t>
      </w:r>
      <w:r>
        <w:rPr>
          <w:rStyle w:val="FootnoteAnchor"/>
          <w:rtl w:val="true"/>
        </w:rPr>
        <w:footnoteReference w:id="1101"/>
      </w:r>
      <w:r>
        <w:rPr>
          <w:rFonts w:ascii="IRNazanin" w:hAnsi="IRNazanin" w:eastAsia="IRNazanin"/>
          <w:color w:val="111111"/>
          <w:sz w:val="28"/>
          <w:sz w:val="28"/>
          <w:szCs w:val="28"/>
          <w:rtl w:val="true"/>
          <w:lang w:bidi="fa-IR"/>
        </w:rPr>
        <w:t>وظائف الکفّارة بمدّ واحد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یملک مؤونة السنة من المؤمنین و إن کانوا فسّاقاً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جوّز بعض الأصحاب إعطاء المخالف، لا الناصب و لا الکافر</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تبیّن الدفع إلی غیر مستحقّ</w:t>
      </w:r>
      <w:r>
        <w:rPr>
          <w:rStyle w:val="FootnoteAnchor"/>
          <w:rtl w:val="true"/>
        </w:rPr>
        <w:footnoteReference w:id="1103"/>
      </w:r>
      <w:r>
        <w:rPr>
          <w:rFonts w:ascii="IRNazanin" w:hAnsi="IRNazanin" w:eastAsia="IRNazanin"/>
          <w:color w:val="111111"/>
          <w:sz w:val="28"/>
          <w:sz w:val="28"/>
          <w:szCs w:val="28"/>
          <w:rtl w:val="true"/>
          <w:lang w:bidi="fa-IR"/>
        </w:rPr>
        <w:t>و تعذّر الردّ، أجزأ إن اجتهد إلاّ أن یکون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مسمّاها و لو إزاراً أو رداءاً أو سراویل، و لا تجزئ المنطقة و النعل، و لا الدرع، و یکفی ما یواری الصغیر و إن کانوا منفردین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تعذّرت العشرة، کرّر علی الممکن فی الأیّام علی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 نّه یؤدّی إلی أن یکتسی</w:t>
      </w:r>
      <w:r>
        <w:rPr>
          <w:rStyle w:val="FootnoteAnchor"/>
          <w:rtl w:val="true"/>
        </w:rPr>
        <w:footnoteReference w:id="1104"/>
      </w:r>
      <w:r>
        <w:rPr>
          <w:rFonts w:ascii="IRNazanin" w:hAnsi="IRNazanin" w:eastAsia="IRNazanin"/>
          <w:color w:val="111111"/>
          <w:sz w:val="28"/>
          <w:sz w:val="28"/>
          <w:szCs w:val="28"/>
          <w:rtl w:val="true"/>
          <w:lang w:bidi="fa-IR"/>
        </w:rPr>
        <w:t>عشرة أثواب، و ذلک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أخذ الکبیر ما یواری الصغیر، فالأشبه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جماعة ثوبین مع القدرة و ثوباً مع العجز</w:t>
      </w:r>
      <w:r>
        <w:rPr>
          <w:rStyle w:val="FootnoteAnchor"/>
          <w:rtl w:val="true"/>
        </w:rPr>
        <w:footnoteReference w:id="1105"/>
      </w:r>
      <w:r>
        <w:rPr>
          <w:rFonts w:ascii="IRNazanin" w:hAnsi="IRNazanin" w:eastAsia="IRNazanin"/>
          <w:color w:val="111111"/>
          <w:sz w:val="28"/>
          <w:sz w:val="28"/>
          <w:szCs w:val="28"/>
          <w:rtl w:val="true"/>
          <w:lang w:bidi="fa-IR"/>
        </w:rPr>
        <w:t>، و احتاط ابن الجنید بأن یکسو المرأة ما یتمّ صلاتها فیه، کالدرع و الخمار</w:t>
      </w:r>
      <w:r>
        <w:rPr>
          <w:rStyle w:val="FootnoteAnchor"/>
          <w:rtl w:val="true"/>
        </w:rPr>
        <w:footnoteReference w:id="1106"/>
      </w:r>
      <w:r>
        <w:rPr>
          <w:rFonts w:ascii="IRNazanin" w:hAnsi="IRNazanin" w:eastAsia="IRNazanin"/>
          <w:color w:val="111111"/>
          <w:sz w:val="28"/>
          <w:sz w:val="28"/>
          <w:szCs w:val="28"/>
          <w:rtl w:val="true"/>
          <w:lang w:bidi="fa-IR"/>
        </w:rPr>
        <w:t>، و یجزئ الغسیل إلاّ أن یصیر سحیقاً أو یتخرّق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القطن و الکتّان و الصوف و الحریر للنساء، و فی إجزائه للرجال عندی</w:t>
      </w:r>
    </w:p>
    <w:p>
      <w:pPr>
        <w:pStyle w:val="BookText"/>
        <w:rPr/>
      </w:pPr>
      <w:r>
        <w:rPr>
          <w:rFonts w:ascii="IRNazanin" w:hAnsi="IRNazanin" w:eastAsia="IRNazanin"/>
          <w:color w:val="111111"/>
          <w:sz w:val="28"/>
          <w:sz w:val="28"/>
          <w:szCs w:val="28"/>
          <w:rtl w:val="true"/>
          <w:lang w:bidi="fa-IR"/>
        </w:rPr>
        <w:t>احتمال، و یجزئ</w:t>
      </w:r>
      <w:r>
        <w:rPr>
          <w:rStyle w:val="FootnoteAnchor"/>
          <w:rtl w:val="true"/>
        </w:rPr>
        <w:footnoteReference w:id="1107"/>
      </w:r>
      <w:r>
        <w:rPr>
          <w:rFonts w:ascii="IRNazanin" w:hAnsi="IRNazanin" w:eastAsia="IRNazanin"/>
          <w:color w:val="111111"/>
          <w:sz w:val="28"/>
          <w:sz w:val="28"/>
          <w:szCs w:val="28"/>
          <w:rtl w:val="true"/>
          <w:lang w:bidi="fa-IR"/>
        </w:rPr>
        <w:t>الفرو و الجلد المعتاد لبسه، و کذا القِنَّب و الشعر المعتاد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فیهم ما یجب فی المطعمین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Style w:val="FootnoteAnchor"/>
          <w:rtl w:val="true"/>
        </w:rPr>
        <w:footnoteReference w:id="1108"/>
      </w:r>
      <w:r>
        <w:rPr>
          <w:rFonts w:ascii="IRNazanin" w:hAnsi="IRNazanin" w:eastAsia="IRNazanin"/>
          <w:color w:val="111111"/>
          <w:sz w:val="28"/>
          <w:sz w:val="28"/>
          <w:szCs w:val="28"/>
          <w:rtl w:val="true"/>
          <w:lang w:bidi="fa-IR"/>
        </w:rPr>
        <w:t>کانوا واجبی النفقة و المکفّر فقیر،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الهاشمیّ مع التمکّن من الخمس و کون الدافع من غیرهم نظر، </w:t>
      </w:r>
    </w:p>
    <w:p>
      <w:pPr>
        <w:pStyle w:val="BookText"/>
        <w:rPr/>
      </w:pPr>
      <w:r>
        <w:rPr>
          <w:rFonts w:ascii="IRNazanin" w:hAnsi="IRNazanin" w:eastAsia="IRNazanin"/>
          <w:color w:val="111111"/>
          <w:sz w:val="28"/>
          <w:sz w:val="28"/>
          <w:szCs w:val="28"/>
          <w:rtl w:val="true"/>
          <w:lang w:bidi="fa-IR"/>
        </w:rPr>
        <w:t xml:space="preserve">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یجزئ ابن السبیل إذا أمکنه أخذ الزکاة أو الاستدانة، و لا الغارم و الغازی، إذا ملکا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المکاتب خلاف، فمنعه الشیخ</w:t>
      </w:r>
      <w:r>
        <w:rPr>
          <w:rStyle w:val="FootnoteAnchor"/>
          <w:rtl w:val="true"/>
        </w:rPr>
        <w:footnoteReference w:id="1110"/>
      </w:r>
      <w:r>
        <w:rPr>
          <w:rFonts w:ascii="IRNazanin" w:hAnsi="IRNazanin" w:eastAsia="IRNazanin"/>
          <w:color w:val="111111"/>
          <w:sz w:val="28"/>
          <w:sz w:val="28"/>
          <w:szCs w:val="28"/>
          <w:rtl w:val="true"/>
          <w:lang w:bidi="fa-IR"/>
        </w:rPr>
        <w:t>؛ لأ نّه قسیم للمساکین</w:t>
      </w:r>
      <w:r>
        <w:rPr>
          <w:rStyle w:val="FootnoteAnchor"/>
          <w:rtl w:val="true"/>
        </w:rPr>
        <w:footnoteReference w:id="1111"/>
      </w:r>
      <w:r>
        <w:rPr>
          <w:rFonts w:ascii="IRNazanin" w:hAnsi="IRNazanin" w:eastAsia="IRNazanin"/>
          <w:color w:val="111111"/>
          <w:sz w:val="28"/>
          <w:sz w:val="28"/>
          <w:szCs w:val="28"/>
          <w:rtl w:val="true"/>
          <w:lang w:bidi="fa-IR"/>
        </w:rPr>
        <w:t>، و جوّزه الفاضل، کالزکاة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تجوز التفرقة بین المساکین فی جنس الطعام و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یجزئ الطعام المعیب، و لا الممزوج بزوان أو تراب غیر 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إخراج الکفّارة من ترکة المیّت، ففی المخیّرة أدنی الخصال، إلاّ أن یتطوّع الوارث بالأرغب، و فی المرتّبة أدنی المرتّبة التی هی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بالأزید و ردّ الوارث، فالزائد من الثلث، فلو لم یفِ بالعلیا، أجزأت الدنیا و الزیادة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العبد فی جمیع الکفّارات الصوم، فلو أذن المولی فی العتق أو الإطعام ففی الإجزاء خلاف سبق</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تلزم الکفّارة إذا کان الحلف بإذن السیّد و الحنث بإذنه، و لو حلف بغیر إذنه، فلغو و إن حنث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w:t>
      </w:r>
      <w:r>
        <w:rPr>
          <w:rStyle w:val="FootnoteAnchor"/>
          <w:rtl w:val="true"/>
        </w:rPr>
        <w:footnoteReference w:id="1114"/>
      </w:r>
      <w:r>
        <w:rPr>
          <w:rFonts w:ascii="IRNazanin" w:hAnsi="IRNazanin" w:eastAsia="IRNazanin"/>
          <w:color w:val="111111"/>
          <w:sz w:val="28"/>
          <w:sz w:val="28"/>
          <w:szCs w:val="28"/>
          <w:rtl w:val="true"/>
          <w:lang w:bidi="fa-IR"/>
        </w:rPr>
        <w:t>؛ لأنّ الحنث من روادف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بإذنه و حنث من غیر</w:t>
      </w:r>
      <w:r>
        <w:rPr>
          <w:rStyle w:val="FootnoteAnchor"/>
          <w:rtl w:val="true"/>
        </w:rPr>
        <w:footnoteReference w:id="1115"/>
      </w:r>
      <w:r>
        <w:rPr>
          <w:rFonts w:ascii="IRNazanin" w:hAnsi="IRNazanin" w:eastAsia="IRNazanin"/>
          <w:color w:val="111111"/>
          <w:sz w:val="28"/>
          <w:sz w:val="28"/>
          <w:szCs w:val="28"/>
          <w:rtl w:val="true"/>
          <w:lang w:bidi="fa-IR"/>
        </w:rPr>
        <w:t>إذنه، فله منعه من الصوم المضرّ به، و لو لم یضرّ به، ففی المنع وجهان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زال الرقّ و لمّا یبطله السیّد،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الانعقاد، و یراعی فیه ما یراعی فی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الحلف بإذنه، ثمّ أُعتق، فیعتبر حال الأداء</w:t>
      </w:r>
      <w:r>
        <w:rPr>
          <w:rFonts w:eastAsia="IRNazanin" w:cs="IRNazanin"/>
          <w:color w:val="111111"/>
          <w:sz w:val="28"/>
          <w:szCs w:val="28"/>
          <w:rtl w:val="true"/>
          <w:lang w:bidi="fa-IR"/>
        </w:rPr>
        <w:t xml:space="preserve">. </w:t>
      </w:r>
      <w:bookmarkStart w:id="157" w:name="pg13665_219135"/>
    </w:p>
    <w:p>
      <w:pPr>
        <w:pStyle w:val="Heading2"/>
        <w:numPr>
          <w:ilvl w:val="1"/>
          <w:numId w:val="1"/>
        </w:numPr>
        <w:rPr/>
      </w:pPr>
      <w:bookmarkStart w:id="158" w:name="__RefHeading___Toc2071317_3830689328"/>
      <w:bookmarkStart w:id="159" w:name="_Toc53"/>
      <w:bookmarkEnd w:id="157"/>
      <w:bookmarkEnd w:id="158"/>
      <w:r>
        <w:rPr>
          <w:rtl w:val="true"/>
        </w:rPr>
        <w:t>کتاب العتق</w:t>
      </w:r>
      <w:bookmarkEnd w:id="15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2071319_3830689328"/>
      <w:bookmarkStart w:id="161" w:name="_Toc54"/>
      <w:bookmarkEnd w:id="160"/>
      <w:r>
        <w:rPr>
          <w:rtl w:val="true"/>
        </w:rPr>
        <w:t>اشاره</w:t>
      </w:r>
      <w:bookmarkEnd w:id="16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العتق</w:t>
      </w:r>
    </w:p>
    <w:p>
      <w:pPr>
        <w:pStyle w:val="BookText"/>
        <w:rPr/>
      </w:pPr>
      <w:r>
        <w:rPr>
          <w:rFonts w:ascii="IRNazanin" w:hAnsi="IRNazanin" w:eastAsia="IRNazanin"/>
          <w:color w:val="111111"/>
          <w:sz w:val="28"/>
          <w:sz w:val="28"/>
          <w:szCs w:val="28"/>
          <w:rtl w:val="true"/>
          <w:lang w:bidi="fa-IR"/>
        </w:rPr>
        <w:t>و فضله مشهور، و إیجابه العتق من النار عضواً بعضو فی الذکر، و بعضوین فی الأُنثی مأثور</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العتق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یختصّ الرقّ بالحربیّ و إن کان کتابیّاً، ثمّ یسری الرقّ فی عقبه و إن أسلموا حتّی یعرض المحرّر من ملک، أو عتق، أو تدبیر، أو کتابة، أو استیلاد، أو جذام، أو عمی، أو برص عند ابن حمزة</w:t>
      </w:r>
      <w:r>
        <w:rPr>
          <w:rStyle w:val="FootnoteAnchor"/>
          <w:rtl w:val="true"/>
        </w:rPr>
        <w:footnoteReference w:id="1117"/>
      </w:r>
      <w:r>
        <w:rPr>
          <w:rFonts w:ascii="IRNazanin" w:hAnsi="IRNazanin" w:eastAsia="IRNazanin"/>
          <w:color w:val="111111"/>
          <w:sz w:val="28"/>
          <w:sz w:val="28"/>
          <w:szCs w:val="28"/>
          <w:rtl w:val="true"/>
          <w:lang w:bidi="fa-IR"/>
        </w:rPr>
        <w:t>، أو إقعاد، أو تنکیل، خلافاً لابن إدریس فیه</w:t>
      </w:r>
      <w:r>
        <w:rPr>
          <w:rStyle w:val="FootnoteAnchor"/>
          <w:rtl w:val="true"/>
        </w:rPr>
        <w:footnoteReference w:id="1118"/>
      </w:r>
      <w:r>
        <w:rPr>
          <w:rFonts w:ascii="IRNazanin" w:hAnsi="IRNazanin" w:eastAsia="IRNazanin"/>
          <w:color w:val="111111"/>
          <w:sz w:val="28"/>
          <w:sz w:val="28"/>
          <w:szCs w:val="28"/>
          <w:rtl w:val="true"/>
          <w:lang w:bidi="fa-IR"/>
        </w:rPr>
        <w:t>، أو للإرث، أو إسلام العبد قبل مولاه فی دار الحرب و خروجه قبله، أو کون أحد الأبوین حرّاً إلاّ أن یشترط</w:t>
      </w:r>
      <w:r>
        <w:rPr>
          <w:rStyle w:val="FootnoteAnchor"/>
          <w:rtl w:val="true"/>
        </w:rPr>
        <w:footnoteReference w:id="1119"/>
      </w:r>
      <w:r>
        <w:rPr>
          <w:rFonts w:ascii="IRNazanin" w:hAnsi="IRNazanin" w:eastAsia="IRNazanin"/>
          <w:color w:val="111111"/>
          <w:sz w:val="28"/>
          <w:sz w:val="28"/>
          <w:szCs w:val="28"/>
          <w:rtl w:val="true"/>
          <w:lang w:bidi="fa-IR"/>
        </w:rPr>
        <w:t>علیه الرقّ فیصحّ عند الأکثر</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اعتمد الشیخ علی تأویل روایة أبی بصیر، عن الصادق علیه‌السّلام فی الرجل یتزوّج المملوکة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ولده ممالیک</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علی الشرط ؛ لتظافر الروایة بأنّ ولد </w:t>
      </w:r>
    </w:p>
    <w:p>
      <w:pPr>
        <w:pStyle w:val="BookText"/>
        <w:rPr/>
      </w:pPr>
      <w:r>
        <w:rPr>
          <w:rFonts w:ascii="Amiri" w:hAnsi="Amiri" w:eastAsia="Amiri" w:cs="Amiri"/>
          <w:color w:val="111111"/>
          <w:sz w:val="28"/>
          <w:sz w:val="28"/>
          <w:szCs w:val="28"/>
          <w:rtl w:val="true"/>
          <w:lang w:bidi="ar-SA"/>
        </w:rPr>
        <w:t>الحرّ حرّ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النکت ردّ ذلک</w:t>
      </w:r>
      <w:r>
        <w:rPr>
          <w:rStyle w:val="FootnoteAnchor"/>
          <w:rtl w:val="true"/>
        </w:rPr>
        <w:footnoteReference w:id="1123"/>
      </w:r>
      <w:r>
        <w:rPr>
          <w:rFonts w:ascii="IRNazanin" w:hAnsi="IRNazanin" w:eastAsia="IRNazanin"/>
          <w:color w:val="111111"/>
          <w:sz w:val="28"/>
          <w:sz w:val="28"/>
          <w:szCs w:val="28"/>
          <w:rtl w:val="true"/>
          <w:lang w:bidi="fa-IR"/>
        </w:rPr>
        <w:t>؛ لضعف</w:t>
      </w:r>
      <w:r>
        <w:rPr>
          <w:rStyle w:val="FootnoteAnchor"/>
          <w:rtl w:val="true"/>
        </w:rPr>
        <w:footnoteReference w:id="1124"/>
      </w:r>
      <w:r>
        <w:rPr>
          <w:rFonts w:ascii="IRNazanin" w:hAnsi="IRNazanin" w:eastAsia="IRNazanin"/>
          <w:color w:val="111111"/>
          <w:sz w:val="28"/>
          <w:sz w:val="28"/>
          <w:szCs w:val="28"/>
          <w:rtl w:val="true"/>
          <w:lang w:bidi="fa-IR"/>
        </w:rPr>
        <w:t>طریق الخبر أوّلاً، و باحتمال کون الرجل عبداً ثانیاً، و بالعدول عن الظاهر المتّفق علیه إلی تأویل غیر</w:t>
      </w:r>
    </w:p>
    <w:p>
      <w:pPr>
        <w:pStyle w:val="BookText"/>
        <w:rPr/>
      </w:pPr>
      <w:r>
        <w:rPr>
          <w:rFonts w:ascii="Amiri" w:hAnsi="Amiri" w:eastAsia="Amiri" w:cs="Amiri"/>
          <w:color w:val="111111"/>
          <w:sz w:val="28"/>
          <w:sz w:val="28"/>
          <w:szCs w:val="28"/>
          <w:rtl w:val="true"/>
          <w:lang w:bidi="ar-SA"/>
        </w:rPr>
        <w:t>متعیّن ثالثاً، و باحتمال التقیّة رابعاً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 أصل ولد الحرّ من المملوکة، و فیه روایتان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رقّ، کما فی هذه الروایة، و روایة العطّار</w:t>
      </w:r>
      <w:r>
        <w:rPr>
          <w:rStyle w:val="FootnoteAnchor"/>
          <w:rtl w:val="true"/>
        </w:rPr>
        <w:footnoteReference w:id="1125"/>
      </w:r>
      <w:r>
        <w:rPr>
          <w:rFonts w:ascii="Amiri" w:hAnsi="Amiri" w:eastAsia="Amiri" w:cs="Amiri"/>
          <w:color w:val="111111"/>
          <w:sz w:val="28"/>
          <w:sz w:val="28"/>
          <w:szCs w:val="28"/>
          <w:rtl w:val="true"/>
          <w:lang w:bidi="ar-SA"/>
        </w:rPr>
        <w:t>، و ضریس، عنه علیه‌السّلام أنّ ولد المحلّلة رقّ إلاّ أن یشترط الحرّیّة</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أفتی ابن الجنید</w:t>
      </w:r>
      <w:r>
        <w:rPr>
          <w:rStyle w:val="FootnoteAnchor"/>
          <w:rtl w:val="true"/>
        </w:rPr>
        <w:footnoteReference w:id="1127"/>
      </w:r>
      <w:r>
        <w:rPr>
          <w:rFonts w:ascii="IRNazanin" w:hAnsi="IRNazanin" w:eastAsia="IRNazanin"/>
          <w:color w:val="111111"/>
          <w:sz w:val="28"/>
          <w:sz w:val="28"/>
          <w:szCs w:val="28"/>
          <w:rtl w:val="true"/>
          <w:lang w:bidi="fa-IR"/>
        </w:rPr>
        <w:t>، و نقل المرتضی الخلاف فی ذلک بین الأصحاب</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حرّ، کروایة جمیل بن درّاج</w:t>
      </w:r>
      <w:r>
        <w:rPr>
          <w:rStyle w:val="FootnoteAnchor"/>
          <w:rtl w:val="true"/>
        </w:rPr>
        <w:footnoteReference w:id="1129"/>
      </w:r>
      <w:r>
        <w:rPr>
          <w:rFonts w:ascii="IRNazanin" w:hAnsi="IRNazanin" w:eastAsia="IRNazanin"/>
          <w:color w:val="111111"/>
          <w:sz w:val="28"/>
          <w:sz w:val="28"/>
          <w:szCs w:val="28"/>
          <w:rtl w:val="true"/>
          <w:lang w:bidi="fa-IR"/>
        </w:rPr>
        <w:t>، و مرسلة ابن أبی عمیر</w:t>
      </w:r>
      <w:r>
        <w:rPr>
          <w:rStyle w:val="FootnoteAnchor"/>
          <w:rtl w:val="true"/>
        </w:rPr>
        <w:footnoteReference w:id="113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إسحاق بن عمّار فی التزویج</w:t>
      </w:r>
      <w:r>
        <w:rPr>
          <w:rStyle w:val="FootnoteAnchor"/>
          <w:rtl w:val="true"/>
        </w:rPr>
        <w:footnoteReference w:id="1131"/>
      </w:r>
      <w:r>
        <w:rPr>
          <w:rFonts w:ascii="IRNazanin" w:hAnsi="IRNazanin" w:eastAsia="IRNazanin"/>
          <w:color w:val="111111"/>
          <w:sz w:val="28"/>
          <w:sz w:val="28"/>
          <w:szCs w:val="28"/>
          <w:rtl w:val="true"/>
          <w:lang w:bidi="fa-IR"/>
        </w:rPr>
        <w:t>، و روایة زرارة</w:t>
      </w:r>
      <w:r>
        <w:rPr>
          <w:rStyle w:val="FootnoteAnchor"/>
          <w:rtl w:val="true"/>
        </w:rPr>
        <w:footnoteReference w:id="1132"/>
      </w:r>
      <w:r>
        <w:rPr>
          <w:rFonts w:ascii="Amiri" w:hAnsi="Amiri" w:eastAsia="Amiri" w:cs="Amiri"/>
          <w:color w:val="111111"/>
          <w:sz w:val="28"/>
          <w:sz w:val="28"/>
          <w:szCs w:val="28"/>
          <w:rtl w:val="true"/>
          <w:lang w:bidi="ar-SA"/>
        </w:rPr>
        <w:t>، و عبداللّه بن محمّد فی</w:t>
      </w:r>
    </w:p>
    <w:p>
      <w:pPr>
        <w:pStyle w:val="BookText"/>
        <w:rPr/>
      </w:pPr>
      <w:r>
        <w:rPr>
          <w:rFonts w:ascii="IRNazanin" w:hAnsi="IRNazanin" w:eastAsia="IRNazanin"/>
          <w:color w:val="111111"/>
          <w:sz w:val="28"/>
          <w:sz w:val="28"/>
          <w:szCs w:val="28"/>
          <w:rtl w:val="true"/>
          <w:lang w:bidi="fa-IR"/>
        </w:rPr>
        <w:t>التحلیل</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الشیخ علی الروایة فی التحلیل</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التزویج</w:t>
      </w:r>
      <w:r>
        <w:rPr>
          <w:rStyle w:val="FootnoteAnchor"/>
          <w:rtl w:val="true"/>
        </w:rPr>
        <w:footnoteReference w:id="1135"/>
      </w:r>
      <w:r>
        <w:rPr>
          <w:rFonts w:ascii="Amiri" w:hAnsi="Amiri" w:eastAsia="Amiri" w:cs="Amiri"/>
          <w:color w:val="111111"/>
          <w:sz w:val="28"/>
          <w:sz w:val="28"/>
          <w:szCs w:val="28"/>
          <w:rtl w:val="true"/>
          <w:lang w:bidi="ar-SA"/>
        </w:rPr>
        <w:t>، إلاّ أن یشترط الحرّیّة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هذه الروایات یسهل الإذعان بجواز اشتراط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سبی المؤمن و المخالف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اشتری من الکافر قریبه، جاز، و إن کان ممّن ینعتق علیه، و یکون استنقاذاً لا شراءاً من جانب المشتری، فلا یثبت فیه خیار المجلس و الحیوان،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ردّه بالعیب و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اللقیط فی دار الحرب رقّ إذا لم یکن فیها مسلم، و کلّ مَن أقرّ بالرقّیّة من البالغین العقلاء رقّ، و لو أنکر بعد ذلک، 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معلوم الحرّیّة أو ادّعاها من قبل، لغا إقراره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بیع العبد فی الأسواق، لم یُقبل دعواه الحرّیّة إلاّ ببیّنة ؛ عملاً بالظاهر، أمّا</w:t>
      </w:r>
    </w:p>
    <w:p>
      <w:pPr>
        <w:pStyle w:val="BookText"/>
        <w:rPr/>
      </w:pPr>
      <w:r>
        <w:rPr>
          <w:rFonts w:ascii="Amiri" w:hAnsi="Amiri" w:eastAsia="Amiri" w:cs="Amiri"/>
          <w:color w:val="111111"/>
          <w:sz w:val="28"/>
          <w:sz w:val="28"/>
          <w:szCs w:val="28"/>
          <w:rtl w:val="true"/>
          <w:lang w:bidi="ar-SA"/>
        </w:rPr>
        <w:t>مجرّد الید علیه فغیر کافٍ، فیقبل دعواه حرّیّة الأصل لا عروض الحرّیّة إلاّ ببیّنة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یستقرّ ملک الرجل علی کلّ أحد سوی العمودین، و کلّ أُنثی محرّمة علیه </w:t>
      </w:r>
      <w:bookmarkStart w:id="162" w:name="pg13665_219140"/>
    </w:p>
    <w:p>
      <w:pPr>
        <w:pStyle w:val="BookText"/>
        <w:rPr/>
      </w:pPr>
      <w:bookmarkEnd w:id="162"/>
      <w:r>
        <w:rPr>
          <w:rFonts w:ascii="IRNazanin" w:hAnsi="IRNazanin" w:eastAsia="IRNazanin"/>
          <w:color w:val="111111"/>
          <w:sz w:val="28"/>
          <w:sz w:val="28"/>
          <w:szCs w:val="28"/>
          <w:rtl w:val="true"/>
          <w:lang w:bidi="fa-IR"/>
        </w:rPr>
        <w:t>نسباً و رضاعاً، فإنّهم ینعتقون فی الحال بعد فرض ملکهم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ابن إدریس</w:t>
      </w:r>
      <w:r>
        <w:rPr>
          <w:rStyle w:val="FootnoteAnchor"/>
          <w:rtl w:val="true"/>
        </w:rPr>
        <w:footnoteReference w:id="1136"/>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یشترط هذا الآن</w:t>
      </w:r>
      <w:r>
        <w:rPr>
          <w:rStyle w:val="FootnoteAnchor"/>
          <w:rtl w:val="true"/>
        </w:rPr>
        <w:footnoteReference w:id="1137"/>
      </w:r>
      <w:r>
        <w:rPr>
          <w:rFonts w:ascii="IRNazanin" w:hAnsi="IRNazanin" w:eastAsia="IRNazanin"/>
          <w:color w:val="111111"/>
          <w:sz w:val="28"/>
          <w:sz w:val="28"/>
          <w:szCs w:val="28"/>
          <w:rtl w:val="true"/>
          <w:lang w:bidi="fa-IR"/>
        </w:rPr>
        <w:t>، و علّل ابن إدریس بأ نّه لا یملکهم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ینعتق علی المرأة سوی العمودین، و فی الخنثی نظر، من الشکّ فی</w:t>
      </w:r>
    </w:p>
    <w:p>
      <w:pPr>
        <w:pStyle w:val="BookText"/>
        <w:rPr/>
      </w:pPr>
      <w:r>
        <w:rPr>
          <w:rFonts w:ascii="IRNazanin" w:hAnsi="IRNazanin" w:eastAsia="IRNazanin"/>
          <w:color w:val="111111"/>
          <w:sz w:val="28"/>
          <w:sz w:val="28"/>
          <w:szCs w:val="28"/>
          <w:rtl w:val="true"/>
          <w:lang w:bidi="fa-IR"/>
        </w:rPr>
        <w:t xml:space="preserve">الذکوریّة و إمکانها،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کالمرأة، فلا ینعتق علیها سوی العمودین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ملکها الرجل و هی من المحارم غیر العمودین، فالإشکال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ینعتق غیرهم من الأقارب، کالأخ و ابنه، و العمّ و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إعتاقهم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الملک القهریّ و الاختیاریّ، و لا بین الکلّ و البعض، فیقوّم علیه إن ملکه مختاراً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حکم لقرابة الزنا، فیملک ولده من الزنا علی قول قویّ</w:t>
      </w:r>
      <w:r>
        <w:rPr>
          <w:rStyle w:val="FootnoteAnchor"/>
          <w:rtl w:val="true"/>
        </w:rPr>
        <w:footnoteReference w:id="1138"/>
      </w:r>
      <w:r>
        <w:rPr>
          <w:rFonts w:ascii="IRNazanin" w:hAnsi="IRNazanin" w:eastAsia="IRNazanin"/>
          <w:color w:val="111111"/>
          <w:sz w:val="28"/>
          <w:sz w:val="28"/>
          <w:szCs w:val="28"/>
          <w:rtl w:val="true"/>
          <w:lang w:bidi="fa-IR"/>
        </w:rPr>
        <w:t>؛ لأنّ الحکم الشرعیّ یتبع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فعبارته الصریحة التحریر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الإعتاق علی الأقوی،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أو عَتِیق أو مُعْتَق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عبرة بالکنایة،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فککت رقبتک أو رقّک، أو أنت سائبة، أو طالق، أو لا سبیل لی علیک، أو أنت مولای، أو ابنی، و إن کان أسنّ منه، سواء قصد العتق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إشارة الأخرس کافیة، و کذا کتابته مع القرینة</w:t>
      </w:r>
      <w:r>
        <w:rPr>
          <w:rFonts w:eastAsia="IRNazanin" w:cs="IRNazanin"/>
          <w:color w:val="111111"/>
          <w:sz w:val="28"/>
          <w:szCs w:val="28"/>
          <w:rtl w:val="true"/>
          <w:lang w:bidi="fa-IR"/>
        </w:rPr>
        <w:t>.</w:t>
      </w:r>
    </w:p>
    <w:p>
      <w:pPr>
        <w:pStyle w:val="Heading3"/>
        <w:numPr>
          <w:ilvl w:val="2"/>
          <w:numId w:val="1"/>
        </w:numPr>
        <w:rPr/>
      </w:pPr>
      <w:bookmarkStart w:id="163" w:name="__RefHeading___Toc2071321_3830689328"/>
      <w:bookmarkStart w:id="164" w:name="_Toc55"/>
      <w:bookmarkEnd w:id="163"/>
      <w:r>
        <w:rPr>
          <w:rtl w:val="true"/>
        </w:rPr>
        <w:t xml:space="preserve">درس </w:t>
      </w:r>
      <w:r>
        <w:rPr>
          <w:rtl w:val="true"/>
        </w:rPr>
        <w:t>(</w:t>
      </w:r>
      <w:r>
        <w:rPr/>
        <w:t>157</w:t>
      </w:r>
      <w:r>
        <w:rPr>
          <w:rtl w:val="true"/>
        </w:rPr>
        <w:t>)</w:t>
      </w:r>
      <w:bookmarkEnd w:id="16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 صدور العتق من بالغ، عاقل، مختار، قاصد، جائز التصرّف، متقرّب إلی </w:t>
      </w:r>
    </w:p>
    <w:p>
      <w:pPr>
        <w:pStyle w:val="BookText"/>
        <w:rPr/>
      </w:pPr>
      <w:r>
        <w:rPr>
          <w:rFonts w:ascii="IRNazanin" w:hAnsi="IRNazanin" w:eastAsia="IRNazanin"/>
          <w:color w:val="111111"/>
          <w:sz w:val="28"/>
          <w:sz w:val="28"/>
          <w:szCs w:val="28"/>
          <w:rtl w:val="true"/>
          <w:lang w:bidi="fa-IR"/>
        </w:rPr>
        <w:t>اللّه تعالی، مالک، غیر معلّق علی شرط أو صفة، معبّر بما یصدق علی</w:t>
      </w:r>
      <w:r>
        <w:rPr>
          <w:rStyle w:val="FootnoteAnchor"/>
          <w:rtl w:val="true"/>
        </w:rPr>
        <w:footnoteReference w:id="1139"/>
      </w:r>
      <w:r>
        <w:rPr>
          <w:rFonts w:ascii="IRNazanin" w:hAnsi="IRNazanin" w:eastAsia="IRNazanin"/>
          <w:color w:val="111111"/>
          <w:sz w:val="28"/>
          <w:sz w:val="28"/>
          <w:szCs w:val="28"/>
          <w:rtl w:val="true"/>
          <w:lang w:bidi="fa-IR"/>
        </w:rPr>
        <w:t>الجملة بصیغة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یقع من الصبیّ لدون العشر، و فی العشر قولان</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وقوعه، و هو قول ابن إدریس فی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الجنید و العلاّمة فی المختلف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المجنون،</w:t>
      </w:r>
    </w:p>
    <w:p>
      <w:pPr>
        <w:pStyle w:val="BookText"/>
        <w:rPr/>
      </w:pPr>
      <w:r>
        <w:rPr>
          <w:rFonts w:ascii="IRNazanin" w:hAnsi="IRNazanin" w:eastAsia="IRNazanin"/>
          <w:color w:val="111111"/>
          <w:sz w:val="28"/>
          <w:sz w:val="28"/>
          <w:szCs w:val="28"/>
          <w:rtl w:val="true"/>
          <w:lang w:bidi="fa-IR"/>
        </w:rPr>
        <w:t>و المکره، و الناسی، و الغافل، و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السفیه، و المفلّس بعد الحجر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المریض إذا اغترق دینه ترکته أو زاد عن الثلث، إلاّ مع إجازة الغرماء و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الاکتفاء بإجازة الغرماء فی الصورة الأُولی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المنع من العتق لحقّهم، و من عود المال إلی الوارث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 تضمّن</w:t>
      </w:r>
      <w:r>
        <w:rPr>
          <w:rStyle w:val="FootnoteAnchor"/>
          <w:rtl w:val="true"/>
        </w:rPr>
        <w:footnoteReference w:id="1141"/>
      </w:r>
      <w:r>
        <w:rPr>
          <w:rFonts w:ascii="IRNazanin" w:hAnsi="IRNazanin" w:eastAsia="IRNazanin"/>
          <w:color w:val="111111"/>
          <w:sz w:val="28"/>
          <w:sz w:val="28"/>
          <w:szCs w:val="28"/>
          <w:rtl w:val="true"/>
          <w:lang w:bidi="fa-IR"/>
        </w:rPr>
        <w:t>الإجازة إبراء المیّت من قیمة المعتق التی تعلّق بها الدین، و إلاّ لم تعتبر إجازتهم ؛ لأنّ حظّ المیّت فی أداء</w:t>
      </w:r>
      <w:r>
        <w:rPr>
          <w:rStyle w:val="FootnoteAnchor"/>
          <w:rtl w:val="true"/>
        </w:rPr>
        <w:footnoteReference w:id="1142"/>
      </w:r>
      <w:r>
        <w:rPr>
          <w:rFonts w:ascii="IRNazanin" w:hAnsi="IRNazanin" w:eastAsia="IRNazanin"/>
          <w:color w:val="111111"/>
          <w:sz w:val="28"/>
          <w:sz w:val="28"/>
          <w:szCs w:val="28"/>
          <w:rtl w:val="true"/>
          <w:lang w:bidi="fa-IR"/>
        </w:rPr>
        <w:t>دینه أولی من تحصیل العتق، و فیه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عتق مملوک السفیه أولی و أجازه الولیّ، أمکن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غیر المتقرّب إلی اللّه تعالی، سواء قصد الثناء أو دفع الضرر أو لم یقصد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الکافر أوجه،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إن کان کفره بجحد نبیّ أو کتاب أو فریضة، و البطلان إن کان کفره بجحد الخالق، و هو قریب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 غیر المالک إلاّ فی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علّق العتق بالملک فهو لغو، إلاّ أن </w:t>
      </w:r>
    </w:p>
    <w:p>
      <w:pPr>
        <w:pStyle w:val="BookText"/>
        <w:rPr/>
      </w:pPr>
      <w:r>
        <w:rPr>
          <w:rFonts w:ascii="IRNazanin" w:hAnsi="IRNazanin" w:eastAsia="IRNazanin"/>
          <w:color w:val="111111"/>
          <w:sz w:val="28"/>
          <w:sz w:val="28"/>
          <w:szCs w:val="28"/>
          <w:rtl w:val="true"/>
          <w:lang w:bidi="fa-IR"/>
        </w:rPr>
        <w:t xml:space="preserve">یجعله نذراً أو عهداً أو یمیناً، و حینئذٍ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إعتاقه إن 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صیغة</w:t>
      </w:r>
      <w:r>
        <w:rPr>
          <w:rStyle w:val="FootnoteAnchor"/>
          <w:rtl w:val="true"/>
        </w:rPr>
        <w:footnoteReference w:id="1143"/>
      </w:r>
      <w:r>
        <w:rPr>
          <w:rFonts w:ascii="IRNazanin" w:hAnsi="IRNazanin" w:eastAsia="IRNazanin"/>
          <w:color w:val="111111"/>
          <w:sz w:val="28"/>
          <w:sz w:val="28"/>
          <w:szCs w:val="28"/>
          <w:rtl w:val="true"/>
          <w:lang w:bidi="fa-IR"/>
        </w:rPr>
        <w:t xml:space="preserve">،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 نّه حرّ إن ملکته، ففی افتقاره إلی الصیغة نظر، من تصریح الروایة بالعتق</w:t>
      </w:r>
      <w:r>
        <w:rPr>
          <w:rStyle w:val="FootnoteAnchor"/>
          <w:rtl w:val="true"/>
        </w:rPr>
        <w:footnoteReference w:id="1144"/>
      </w:r>
      <w:r>
        <w:rPr>
          <w:rFonts w:ascii="IRNazanin" w:hAnsi="IRNazanin" w:eastAsia="IRNazanin"/>
          <w:color w:val="111111"/>
          <w:sz w:val="28"/>
          <w:sz w:val="28"/>
          <w:szCs w:val="28"/>
          <w:rtl w:val="true"/>
          <w:lang w:bidi="fa-IR"/>
        </w:rPr>
        <w:t>، و قطع المحقّق بافتقاره إلی الصیغة</w:t>
      </w:r>
      <w:r>
        <w:rPr>
          <w:rStyle w:val="FootnoteAnchor"/>
          <w:rtl w:val="true"/>
        </w:rPr>
        <w:footnoteReference w:id="1145"/>
      </w:r>
      <w:r>
        <w:rPr>
          <w:rFonts w:ascii="IRNazanin" w:hAnsi="IRNazanin" w:eastAsia="IRNazanin"/>
          <w:color w:val="111111"/>
          <w:sz w:val="28"/>
          <w:sz w:val="28"/>
          <w:szCs w:val="28"/>
          <w:rtl w:val="true"/>
          <w:lang w:bidi="fa-IR"/>
        </w:rPr>
        <w:t>؛ لئلاّ یقع العتق فی غیر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بالاکتفاء بالملک الضمنیّ، کملک القریب آناً، ثمّ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أجاز المالک عتق الفضولیّ،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المعتق الموسر الأجنبیّ</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أعتق رقیق مَن له علیه ولایة، لم یصحّ، إلاّ مع المصلحة أو التقویم بمعنی البیع، و یحتمل الصحّة و یکون ضامناً للقیمة، کعتق البائع ذی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أطلق صحّة عتق عبد الابن من أبیه</w:t>
      </w:r>
      <w:r>
        <w:rPr>
          <w:rStyle w:val="FootnoteAnchor"/>
          <w:rtl w:val="true"/>
        </w:rPr>
        <w:footnoteReference w:id="1147"/>
      </w:r>
      <w:r>
        <w:rPr>
          <w:rFonts w:ascii="IRNazanin" w:hAnsi="IRNazanin" w:eastAsia="IRNazanin"/>
          <w:color w:val="111111"/>
          <w:sz w:val="28"/>
          <w:sz w:val="28"/>
          <w:szCs w:val="28"/>
          <w:rtl w:val="true"/>
          <w:lang w:bidi="fa-IR"/>
        </w:rPr>
        <w:t>، و به روایة رجالها زیدیّة، عن زید یرفعها إلی النبیّ صلّی‌اللّه علیه و آله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مع التعلیق،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إن فعلت کذا، أو إذا طلعت الشمس، إلاّ فی التدبیر المعلّق بالوفاة و ما قلناه من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العبارة عن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 ذاتک أو جملتک أو بدنک أو جسدک، لا یدک و رأسک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أتی بصیغة النداء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 فإن لم یقصد الإنشاء أو اشتبه، فلا حرّیّة، و إن قصد الإنشاء، ففیه إشکال، من بعده عن شبه الإنشاء، و من صلاحیة اللفظ مع القصد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قال للمسمّی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و قصد الإخبار أو الإنشاء، فذانک</w:t>
      </w:r>
      <w:r>
        <w:rPr>
          <w:rStyle w:val="FootnoteAnchor"/>
          <w:rtl w:val="true"/>
        </w:rPr>
        <w:footnoteReference w:id="1149"/>
      </w:r>
      <w:r>
        <w:rPr>
          <w:rFonts w:ascii="IRNazanin" w:hAnsi="IRNazanin" w:eastAsia="IRNazanin"/>
          <w:color w:val="111111"/>
          <w:sz w:val="28"/>
          <w:sz w:val="28"/>
          <w:szCs w:val="28"/>
          <w:rtl w:val="true"/>
          <w:lang w:bidi="fa-IR"/>
        </w:rPr>
        <w:t>و إن جهل قصده بموت أو جنون ففی الحکم بالحرّیّة إشکال، من الشکّ فیالسبب، و من قضیّة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التعیین لفظاً أو نیّة، ففیه خلاف</w:t>
      </w:r>
      <w:r>
        <w:rPr>
          <w:rStyle w:val="FootnoteAnchor"/>
          <w:rtl w:val="true"/>
        </w:rPr>
        <w:footnoteReference w:id="1150"/>
      </w:r>
      <w:r>
        <w:rPr>
          <w:rFonts w:ascii="IRNazanin" w:hAnsi="IRNazanin" w:eastAsia="IRNazanin"/>
          <w:color w:val="111111"/>
          <w:sz w:val="28"/>
          <w:sz w:val="28"/>
          <w:szCs w:val="28"/>
          <w:rtl w:val="true"/>
          <w:lang w:bidi="fa-IR"/>
        </w:rPr>
        <w:t xml:space="preserve">، فإن لم نشرطه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عبیدی حرّ، عیّن مَن شاء، و لو مات،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بالقرعة و إن کان حیّاً</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 نّها</w:t>
      </w:r>
    </w:p>
    <w:p>
      <w:pPr>
        <w:pStyle w:val="BookText"/>
        <w:rPr/>
      </w:pPr>
      <w:r>
        <w:rPr>
          <w:rFonts w:ascii="IRNazanin" w:hAnsi="IRNazanin" w:eastAsia="IRNazanin"/>
          <w:color w:val="111111"/>
          <w:sz w:val="28"/>
          <w:sz w:val="28"/>
          <w:szCs w:val="28"/>
          <w:rtl w:val="true"/>
          <w:lang w:bidi="fa-IR"/>
        </w:rPr>
        <w:t>لاستخراج ما هو معیّن فی نفسه، لا لتحصیل التعیین، فیحتمل تعیین الوارث مع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عدل المعتق عمّن عیّنه، لم یقبل و لم ینعتق الثانی ؛ لأ نّه لم یبق محلّ للعتق، بخلاف ما لو أعتق معیّناً و اشتبه فعیّن، ثمّ عدل فإنّهما ینعتقان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المریض عبیده المستغرقة، أو ثلثهم، أو أوصی، استخرج بالقرعة علی القولین، و لا یجوز الشیوع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نصّ علیه فوجهان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العتق علی السرایة، و وجوب العمل بقصده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المرویّ فی القرعة، عن النبیّ صلّی‌اللّه علیه و آله</w:t>
      </w:r>
      <w:r>
        <w:rPr>
          <w:rStyle w:val="FootnoteAnchor"/>
          <w:rtl w:val="true"/>
        </w:rPr>
        <w:footnoteReference w:id="1152"/>
      </w:r>
      <w:r>
        <w:rPr>
          <w:rFonts w:ascii="Amiri" w:hAnsi="Amiri" w:eastAsia="Amiri" w:cs="Amiri"/>
          <w:color w:val="111111"/>
          <w:sz w:val="28"/>
          <w:sz w:val="28"/>
          <w:szCs w:val="28"/>
          <w:rtl w:val="true"/>
          <w:lang w:bidi="ar-SA"/>
        </w:rPr>
        <w:t>، و عن علیّ علیه‌السّلام</w:t>
      </w:r>
      <w:r>
        <w:rPr>
          <w:rStyle w:val="FootnoteAnchor"/>
          <w:rtl w:val="true"/>
        </w:rPr>
        <w:footnoteReference w:id="1153"/>
      </w:r>
      <w:r>
        <w:rPr>
          <w:rFonts w:ascii="IRNazanin" w:hAnsi="IRNazanin" w:eastAsia="IRNazanin"/>
          <w:color w:val="111111"/>
          <w:sz w:val="28"/>
          <w:sz w:val="28"/>
          <w:szCs w:val="28"/>
          <w:rtl w:val="true"/>
          <w:lang w:bidi="fa-IR"/>
        </w:rPr>
        <w:t xml:space="preserve">، و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تجزئتهم ثلاثة أجزاء</w:t>
      </w:r>
      <w:r>
        <w:rPr>
          <w:rStyle w:val="FootnoteAnchor"/>
          <w:rtl w:val="true"/>
        </w:rPr>
        <w:footnoteReference w:id="1154"/>
      </w:r>
      <w:r>
        <w:rPr>
          <w:rFonts w:ascii="IRNazanin" w:hAnsi="IRNazanin" w:eastAsia="IRNazanin"/>
          <w:color w:val="111111"/>
          <w:sz w:val="28"/>
          <w:sz w:val="28"/>
          <w:szCs w:val="28"/>
          <w:rtl w:val="true"/>
          <w:lang w:bidi="fa-IR"/>
        </w:rPr>
        <w:t>، فحینئذٍ یقرع بکتابة أسماء العبید، فإن أُخرج علی الحرّیّة، کفت الواحدة، و إلاّ أخرج 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کتابة الحرّیّة فی رقعة، و الرقّیّة فی رقعتین، و یخرج علی أسمائهم، فإن تساوت </w:t>
      </w:r>
    </w:p>
    <w:p>
      <w:pPr>
        <w:pStyle w:val="BookText"/>
        <w:rPr/>
      </w:pPr>
      <w:r>
        <w:rPr>
          <w:rFonts w:ascii="IRNazanin" w:hAnsi="IRNazanin" w:eastAsia="IRNazanin"/>
          <w:color w:val="111111"/>
          <w:sz w:val="28"/>
          <w:sz w:val="28"/>
          <w:szCs w:val="28"/>
          <w:rtl w:val="true"/>
          <w:lang w:bidi="fa-IR"/>
        </w:rPr>
        <w:t xml:space="preserve">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للعدد</w:t>
      </w:r>
      <w:r>
        <w:rPr>
          <w:rStyle w:val="FootnoteAnchor"/>
          <w:rtl w:val="true"/>
        </w:rPr>
        <w:footnoteReference w:id="1155"/>
      </w:r>
      <w:r>
        <w:rPr>
          <w:rFonts w:ascii="IRNazanin" w:hAnsi="IRNazanin" w:eastAsia="IRNazanin"/>
          <w:color w:val="111111"/>
          <w:sz w:val="28"/>
          <w:sz w:val="28"/>
          <w:szCs w:val="28"/>
          <w:rtl w:val="true"/>
          <w:lang w:bidi="fa-IR"/>
        </w:rPr>
        <w:t xml:space="preserve">ثلث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و کذا إن اختلفت و أمکن التعدیل بالعدد، مثل أن یکون العدد ستّة، و کلّ اثنین یساویان ألفاً، إلاّ أنّ أحدهما یساوی أکثر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تنافی العدد و القیمة، مثل ستّة، قیمة واحد ألف، و اثنین ألف، و ثلاثة ألف، اعتبرت القیمة عند الشیخ</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یکن للعدد ثلث و أمکن التعدیل بالقیمة، کخمسة، قیمة واحد ألف، و اثنین ألف، و اثنین أیضاً ألف، اعتبرت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یمکن التعدیل بها، مثل أن یکون قیمة واحد ألفاً، و اثنین ألفاً، و اثنین ثلاثة آلاف، أمکن تجزئتهم ثلاثة أجزاء، فیجعل الواحد جزءاً، و یضمّ إلی الخسیسین أقلّ النفیسین قیمة، فیجعلان جزءاً، و یبقی الأرفع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کتابة خمس رقاع هنا و فی الذی قبله، 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تعدّی التجزئة إلی أربعة أجزاء فی نحو الثمانیة، أو خمسة أجزاء فی العشرة، أو الإفراد نظر، من قربه إلی ما فعله النبیّ صلّی‌اللّه علیه و آله</w:t>
      </w:r>
      <w:r>
        <w:rPr>
          <w:rStyle w:val="FootnoteAnchor"/>
          <w:rtl w:val="true"/>
        </w:rPr>
        <w:footnoteReference w:id="1157"/>
      </w:r>
      <w:r>
        <w:rPr>
          <w:rFonts w:ascii="IRNazanin" w:hAnsi="IRNazanin" w:eastAsia="IRNazanin"/>
          <w:color w:val="111111"/>
          <w:sz w:val="28"/>
          <w:sz w:val="28"/>
          <w:szCs w:val="28"/>
          <w:rtl w:val="true"/>
          <w:lang w:bidi="fa-IR"/>
        </w:rPr>
        <w:t>، و من عدم الاکتفاء به ؛ إذ لابدّ من إعادة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بالإفراد فی جمیع الصور ؛ لأنّ کلّ عبد یمکن تعلّق العتق به و عدمه، فإذا جعل اثنان جزءاً، أمکن أن یکون قد ضمنا ما یتعلّق به العتق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الوارث و القرعة علی الندب</w:t>
      </w:r>
      <w:r>
        <w:rPr>
          <w:rStyle w:val="FootnoteAnchor"/>
          <w:rtl w:val="true"/>
        </w:rPr>
        <w:footnoteReference w:id="1158"/>
      </w:r>
      <w:r>
        <w:rPr>
          <w:rFonts w:ascii="IRNazanin" w:hAnsi="IRNazanin" w:eastAsia="IRNazanin"/>
          <w:color w:val="111111"/>
          <w:sz w:val="28"/>
          <w:sz w:val="28"/>
          <w:szCs w:val="28"/>
          <w:rtl w:val="true"/>
          <w:lang w:bidi="fa-IR"/>
        </w:rPr>
        <w:t>، و الروایات حکایة حال</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 أحکام الدعوی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3665_219145"/>
    </w:p>
    <w:p>
      <w:pPr>
        <w:pStyle w:val="Heading3"/>
        <w:numPr>
          <w:ilvl w:val="2"/>
          <w:numId w:val="1"/>
        </w:numPr>
        <w:rPr/>
      </w:pPr>
      <w:bookmarkStart w:id="166" w:name="__RefHeading___Toc2071323_3830689328"/>
      <w:bookmarkStart w:id="167" w:name="_Toc56"/>
      <w:bookmarkEnd w:id="165"/>
      <w:bookmarkEnd w:id="166"/>
      <w:r>
        <w:rPr>
          <w:rtl w:val="true"/>
        </w:rPr>
        <w:t xml:space="preserve">درس </w:t>
      </w:r>
      <w:r>
        <w:rPr>
          <w:rtl w:val="true"/>
        </w:rPr>
        <w:t>(</w:t>
      </w:r>
      <w:r>
        <w:rPr/>
        <w:t>158</w:t>
      </w:r>
      <w:r>
        <w:rPr>
          <w:rtl w:val="true"/>
        </w:rPr>
        <w:t>)</w:t>
      </w:r>
      <w:bookmarkEnd w:id="167"/>
    </w:p>
    <w:p>
      <w:pPr>
        <w:pStyle w:val="BookText"/>
        <w:rPr/>
      </w:pPr>
      <w:r>
        <w:rPr>
          <w:rFonts w:ascii="IRNazanin" w:hAnsi="IRNazanin" w:eastAsia="IRNazanin"/>
          <w:color w:val="111111"/>
          <w:sz w:val="28"/>
          <w:sz w:val="28"/>
          <w:szCs w:val="28"/>
          <w:rtl w:val="true"/>
          <w:lang w:bidi="fa-IR"/>
        </w:rPr>
        <w:t xml:space="preserve">لو اشتری أمة بکراً نسیئة إلی سنة و أعتقها و تزوّجها و جعل عتقها مهرها و أحبلها و مات و لا ترکة، ففی 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رقّاً و حملها کهیئتها</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کثیر من‌الأصحاب</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الفاضل علی وقوع العتق فیمرض الموت</w:t>
      </w:r>
      <w:r>
        <w:rPr>
          <w:rStyle w:val="FootnoteAnchor"/>
          <w:rtl w:val="true"/>
        </w:rPr>
        <w:footnoteReference w:id="11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فی الولد، و حملت علی فساد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ینافیه قوله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w:t>
      </w:r>
    </w:p>
    <w:p>
      <w:pPr>
        <w:pStyle w:val="BookText"/>
        <w:rPr/>
      </w:pPr>
      <w:r>
        <w:rPr>
          <w:rFonts w:ascii="IRNazanin" w:hAnsi="IRNazanin" w:eastAsia="IRNazanin"/>
          <w:color w:val="111111"/>
          <w:sz w:val="28"/>
          <w:sz w:val="28"/>
          <w:szCs w:val="28"/>
          <w:rtl w:val="true"/>
          <w:lang w:bidi="fa-IR"/>
        </w:rPr>
        <w:t>فعتقه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علی أ نّه فعل ذلک مضارّة و العتق یشترط فیه القربة، و لا یتمّ أیضاً فی الولد، و ردّها ابن إدریس و حکم بصحّة العتق و حرّیّة الولد</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فی النکت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164"/>
      </w:r>
      <w:r>
        <w:rPr>
          <w:rFonts w:ascii="IRNazanin" w:hAnsi="IRNazanin" w:eastAsia="IRNazanin"/>
          <w:color w:val="111111"/>
          <w:sz w:val="28"/>
          <w:sz w:val="28"/>
          <w:szCs w:val="28"/>
          <w:rtl w:val="true"/>
          <w:lang w:bidi="fa-IR"/>
        </w:rPr>
        <w:t>استثناء هذا الحکم من جمیع الأُصول المنافیة لعلّة غیر معقولة</w:t>
      </w:r>
      <w:r>
        <w:rPr>
          <w:rStyle w:val="FootnoteAnchor"/>
          <w:rtl w:val="true"/>
        </w:rPr>
        <w:footnoteReference w:id="1165"/>
      </w:r>
      <w:r>
        <w:rPr>
          <w:rFonts w:ascii="IRNazanin" w:hAnsi="IRNazanin" w:eastAsia="IRNazanin"/>
          <w:color w:val="111111"/>
          <w:sz w:val="28"/>
          <w:sz w:val="28"/>
          <w:szCs w:val="28"/>
          <w:rtl w:val="true"/>
          <w:lang w:bidi="fa-IR"/>
        </w:rPr>
        <w:t>، ثمّ عدل إلی قول ابن إدریس ؛ لأ نّه خبر واحد لم یعضده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علی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البکر و الثیّب سواء فی الحکم</w:t>
      </w:r>
      <w:r>
        <w:rPr>
          <w:rStyle w:val="FootnoteAnchor"/>
          <w:rtl w:val="true"/>
        </w:rPr>
        <w:footnoteReference w:id="1166"/>
      </w:r>
      <w:r>
        <w:rPr>
          <w:rFonts w:ascii="IRNazanin" w:hAnsi="IRNazanin" w:eastAsia="IRNazanin"/>
          <w:color w:val="111111"/>
          <w:sz w:val="28"/>
          <w:sz w:val="28"/>
          <w:szCs w:val="28"/>
          <w:rtl w:val="true"/>
          <w:lang w:bidi="fa-IR"/>
        </w:rPr>
        <w:t xml:space="preserve">، و أنّ الأجل لا یتقیّد بالسنة، و أ نّه لا فرق بین جعل عتقها مهرها و بین إمهارها غیره، و أنّ العبد لو اشتراه نسیئة، ثمّ أعتقه کذلک،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الحکم إلی الشراء نقداً إذا لم یدفع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 نقداً، و أ نّه لا یکفی أن یخلف شیئاً لا یحیط بثمنها ؛ لظاهر الروایة، و أ نّه </w:t>
      </w:r>
    </w:p>
    <w:p>
      <w:pPr>
        <w:pStyle w:val="BookText"/>
        <w:rPr/>
      </w:pPr>
      <w:r>
        <w:rPr>
          <w:rFonts w:ascii="Amiri" w:hAnsi="Amiri" w:eastAsia="Amiri" w:cs="Amiri"/>
          <w:color w:val="111111"/>
          <w:sz w:val="28"/>
          <w:sz w:val="28"/>
          <w:szCs w:val="28"/>
          <w:rtl w:val="true"/>
          <w:lang w:bidi="ar-SA"/>
        </w:rPr>
        <w:t>لو فلّس و الحالة</w:t>
      </w:r>
      <w:r>
        <w:rPr>
          <w:rStyle w:val="FootnoteAnchor"/>
          <w:rtl w:val="true"/>
        </w:rPr>
        <w:footnoteReference w:id="1167"/>
      </w:r>
      <w:r>
        <w:rPr>
          <w:rFonts w:ascii="IRNazanin" w:hAnsi="IRNazanin" w:eastAsia="IRNazanin"/>
          <w:color w:val="111111"/>
          <w:sz w:val="28"/>
          <w:sz w:val="28"/>
          <w:szCs w:val="28"/>
          <w:rtl w:val="true"/>
          <w:lang w:bidi="fa-IR"/>
        </w:rPr>
        <w:t>هذه، انتزعت علی إشکال، من الرجوع فی العین، و من تعلیق البطلان علی ما إذا لم یخلف ما یقوم بثمنها، و لا یتصوّر ذلک فی غیر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تقدّم الوضع علی موته، ففی الرقّیّة نظر، من توهّم أنّ الحکم هناک لتبعیّة الحمل للحامل، و ألاّ یلزم استرقاق مَن حکم بحرّیّته منفصلاً و إن تطاولت المدّة،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أوصی بعتق مَن یخرج من الثلث، وجب علی الوصیّ أو الوارث إعتاقه، فإن امتنعوا فالحاکم، و لا یحکم بحرّیّته إلاّ بالصیغة و إن طالت</w:t>
      </w:r>
      <w:r>
        <w:rPr>
          <w:rStyle w:val="FootnoteAnchor"/>
          <w:rtl w:val="true"/>
        </w:rPr>
        <w:footnoteReference w:id="1168"/>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الکسب عند الشیخ فی المبسوط للعتیق ؛ لاستقرار سبب العتق بالوفاة، فکأ نّه کاشف،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یملکه إلاّ بعد العتق، و قبله یکون أحقّ به</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الفاضلان بتبعیّة الکسب للملک و قبل العتق مملوک للوارث</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أن یمنع ملک الوارث</w:t>
      </w:r>
      <w:r>
        <w:rPr>
          <w:rStyle w:val="FootnoteAnchor"/>
          <w:rtl w:val="true"/>
        </w:rPr>
        <w:footnoteReference w:id="1171"/>
      </w:r>
      <w:r>
        <w:rPr>
          <w:rFonts w:ascii="IRNazanin" w:hAnsi="IRNazanin" w:eastAsia="IRNazanin"/>
          <w:color w:val="111111"/>
          <w:sz w:val="28"/>
          <w:sz w:val="28"/>
          <w:szCs w:val="28"/>
          <w:rtl w:val="true"/>
          <w:lang w:bidi="fa-IR"/>
        </w:rPr>
        <w:t>؛ للآیة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 بقیمة الموصی بعتقه عند الوفاة، و بالمنجّز فی المرض حین الإعتاق عند الشیخ</w:t>
      </w:r>
      <w:r>
        <w:rPr>
          <w:rStyle w:val="FootnoteAnchor"/>
          <w:rtl w:val="true"/>
        </w:rPr>
        <w:footnoteReference w:id="1173"/>
      </w:r>
      <w:r>
        <w:rPr>
          <w:rFonts w:ascii="IRNazanin" w:hAnsi="IRNazanin" w:eastAsia="IRNazanin"/>
          <w:color w:val="111111"/>
          <w:sz w:val="28"/>
          <w:sz w:val="28"/>
          <w:szCs w:val="28"/>
          <w:rtl w:val="true"/>
          <w:lang w:bidi="fa-IR"/>
        </w:rPr>
        <w:t>، و ابن الجنید</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الفاضل تارة یقول بقولهما، و تارة یساوی بین </w:t>
      </w:r>
    </w:p>
    <w:p>
      <w:pPr>
        <w:pStyle w:val="BookText"/>
        <w:rPr/>
      </w:pPr>
      <w:r>
        <w:rPr>
          <w:rFonts w:ascii="Amiri" w:hAnsi="Amiri" w:eastAsia="Amiri" w:cs="Amiri"/>
          <w:color w:val="111111"/>
          <w:sz w:val="28"/>
          <w:sz w:val="28"/>
          <w:szCs w:val="28"/>
          <w:rtl w:val="true"/>
          <w:lang w:bidi="ar-SA"/>
        </w:rPr>
        <w:t>المنجّز و المؤخّر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الاعتبار فی الترکة بأقلّ الأمرین من</w:t>
      </w:r>
      <w:r>
        <w:rPr>
          <w:rStyle w:val="FootnoteAnchor"/>
          <w:rtl w:val="true"/>
        </w:rPr>
        <w:footnoteReference w:id="1176"/>
      </w:r>
      <w:r>
        <w:rPr>
          <w:rFonts w:ascii="IRNazanin" w:hAnsi="IRNazanin" w:eastAsia="IRNazanin"/>
          <w:color w:val="111111"/>
          <w:sz w:val="28"/>
          <w:sz w:val="28"/>
          <w:szCs w:val="28"/>
          <w:rtl w:val="true"/>
          <w:lang w:bidi="fa-IR"/>
        </w:rPr>
        <w:t>الوفاة و قبض الوارث، فلو زادت قیمة المعتق عند الوفاة، فهی عند الفاضل بمثابة الکسب</w:t>
      </w:r>
      <w:r>
        <w:rPr>
          <w:rStyle w:val="FootnoteAnchor"/>
          <w:rtl w:val="true"/>
        </w:rPr>
        <w:footnoteReference w:id="1177"/>
      </w:r>
      <w:r>
        <w:rPr>
          <w:rStyle w:val="FootnoteAnchor"/>
          <w:rtl w:val="true"/>
        </w:rPr>
        <w:footnoteReference w:id="1178"/>
      </w:r>
      <w:r>
        <w:rPr>
          <w:rFonts w:ascii="IRNazanin" w:hAnsi="IRNazanin" w:eastAsia="IRNazanin"/>
          <w:color w:val="111111"/>
          <w:sz w:val="28"/>
          <w:sz w:val="28"/>
          <w:szCs w:val="28"/>
          <w:rtl w:val="true"/>
          <w:lang w:bidi="fa-IR"/>
        </w:rPr>
        <w:t>، فإن خلف ضعف قیمته الأُولی فصاعداً، عُتق کلّه ؛ لأنّ الزیادة فی الحرّیّة غیر محسوبة من الترکة، و إن</w:t>
      </w:r>
    </w:p>
    <w:p>
      <w:pPr>
        <w:pStyle w:val="BookText"/>
        <w:rPr/>
      </w:pPr>
      <w:r>
        <w:rPr>
          <w:rFonts w:ascii="IRNazanin" w:hAnsi="IRNazanin" w:eastAsia="IRNazanin"/>
          <w:color w:val="111111"/>
          <w:sz w:val="28"/>
          <w:sz w:val="28"/>
          <w:szCs w:val="28"/>
          <w:rtl w:val="true"/>
          <w:lang w:bidi="fa-IR"/>
        </w:rPr>
        <w:t>نقص ماله أو لم یخلف سواه، حسب نصیب الرقّیّة من الترکة، فیکثر، فیقلّ العتق، فیکثر الرقّ، فتزید الترکة، فیکثر العتق، و ذلک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قیمته عشرة وقت العتق فصارت عند الوفاة إلی عشرین و لم یخلف</w:t>
      </w:r>
    </w:p>
    <w:p>
      <w:pPr>
        <w:pStyle w:val="BookText"/>
        <w:rPr/>
      </w:pPr>
      <w:r>
        <w:rPr>
          <w:rFonts w:ascii="IRNazanin" w:hAnsi="IRNazanin" w:eastAsia="IRNazanin"/>
          <w:color w:val="111111"/>
          <w:sz w:val="28"/>
          <w:sz w:val="28"/>
          <w:szCs w:val="28"/>
          <w:rtl w:val="true"/>
          <w:lang w:bidi="fa-IR"/>
        </w:rPr>
        <w:t xml:space="preserve">سواه،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منه شیء، و له من زیادة القیمة شیء، و للورثة شیئان بإزاء المعتق، فهو فی تقدیر أربعة أشیاء، فیعتق منه نصفه الذی هو الآن یساوی عشرة، و قد کان یساوی خمسة، و للورثة نصفه الذی یساوی عشرة، و هو ضعف ما عتق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ما لو زادت القیمة عن ذلک، أو خلّف معه شیئاً آخر، و عندهما لا عبرة بالزیادة أصلاً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نقصت قیمته عند الوفاة، کأن عادت إلی خمسة، فعنده لا یتغیّر الحکم لو لم یکن سواه، و إن کان له مال غیره، اُعتبر ضعف قیمته الآن، و عندهما یلزم الدور ؛ لأنّ الترکة معتبرة بالوفاة، فلا یحصل للوارث ضعف ما عتق ؛ لأنّ المعتق منه ثلاثة، و هو یساوی آن الإعتاق ثلاثة و ثلثاً، فیجب أن یکون لهم ضعفها عند الوفاة، و هو متعذّر، فینقص العتق عن الثلث</w:t>
      </w:r>
      <w:r>
        <w:rPr>
          <w:rFonts w:eastAsia="IRNazanin" w:cs="IRNazanin"/>
          <w:color w:val="111111"/>
          <w:sz w:val="28"/>
          <w:szCs w:val="28"/>
          <w:rtl w:val="true"/>
          <w:lang w:bidi="fa-IR"/>
        </w:rPr>
        <w:t xml:space="preserve">. </w:t>
      </w:r>
      <w:bookmarkStart w:id="168" w:name="pg13665_219148"/>
    </w:p>
    <w:p>
      <w:pPr>
        <w:pStyle w:val="BookText"/>
        <w:rPr/>
      </w:pPr>
      <w:bookmarkEnd w:id="168"/>
      <w:r>
        <w:rPr>
          <w:rFonts w:ascii="IRNazanin" w:hAnsi="IRNazanin" w:eastAsia="IRNazanin"/>
          <w:color w:val="111111"/>
          <w:sz w:val="28"/>
          <w:sz w:val="28"/>
          <w:szCs w:val="28"/>
          <w:rtl w:val="true"/>
          <w:lang w:bidi="fa-IR"/>
        </w:rPr>
        <w:t>و کلّما فرض عتق، کان للوارث ضعفه، فیکثر نصیب الوارث بقلّة المعتق</w:t>
      </w:r>
      <w:r>
        <w:rPr>
          <w:rStyle w:val="FootnoteAnchor"/>
          <w:rtl w:val="true"/>
        </w:rPr>
        <w:footnoteReference w:id="1180"/>
      </w:r>
      <w:r>
        <w:rPr>
          <w:rFonts w:ascii="IRNazanin" w:hAnsi="IRNazanin" w:eastAsia="IRNazanin"/>
          <w:color w:val="111111"/>
          <w:sz w:val="28"/>
          <w:sz w:val="28"/>
          <w:szCs w:val="28"/>
          <w:rtl w:val="true"/>
          <w:lang w:bidi="fa-IR"/>
        </w:rPr>
        <w:t>، و یکثر المعتق</w:t>
      </w:r>
      <w:r>
        <w:rPr>
          <w:rStyle w:val="FootnoteAnchor"/>
          <w:rtl w:val="true"/>
        </w:rPr>
        <w:footnoteReference w:id="1181"/>
      </w:r>
      <w:r>
        <w:rPr>
          <w:rFonts w:ascii="IRNazanin" w:hAnsi="IRNazanin" w:eastAsia="IRNazanin"/>
          <w:color w:val="111111"/>
          <w:sz w:val="28"/>
          <w:sz w:val="28"/>
          <w:szCs w:val="28"/>
          <w:rtl w:val="true"/>
          <w:lang w:bidi="fa-IR"/>
        </w:rPr>
        <w:t>بکثرة النصیب، فیقلّ النصیب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منه شیء عاد إلی نصف شیء، فیبقی العبد فی تقدیر خمسة إلاّ نصف شیء تعدل ضعف ما عتق، فتکون الخمسة إلاّ نصف شیء تعدل شیئین، أُجبر و قابل تصیر خمسة کاملة تعدل شیئین و نصفاً، فالشیء اثنان و قد عاد إلی نصف شیء فیکون واحداً، و ذلک خمس العبد الآن، و قد کانت قیمته آن الإعتاق اثنین، و قد بقی للورثة أربعة أخماسه، و ذلک یساوی أربعة الآن، و هو ضعف قیمة الجزء المعتق منه یوم الإعتاق</w:t>
      </w:r>
      <w:r>
        <w:rPr>
          <w:rFonts w:eastAsia="IRNazanin" w:cs="IRNazanin"/>
          <w:color w:val="111111"/>
          <w:sz w:val="28"/>
          <w:szCs w:val="28"/>
          <w:rtl w:val="true"/>
          <w:lang w:bidi="fa-IR"/>
        </w:rPr>
        <w:t>.</w:t>
      </w:r>
    </w:p>
    <w:p>
      <w:pPr>
        <w:pStyle w:val="Heading3"/>
        <w:numPr>
          <w:ilvl w:val="2"/>
          <w:numId w:val="1"/>
        </w:numPr>
        <w:rPr/>
      </w:pPr>
      <w:bookmarkStart w:id="169" w:name="__RefHeading___Toc2071325_3830689328"/>
      <w:bookmarkStart w:id="170" w:name="_Toc57"/>
      <w:bookmarkEnd w:id="169"/>
      <w:r>
        <w:rPr>
          <w:rtl w:val="true"/>
        </w:rPr>
        <w:t xml:space="preserve">درس </w:t>
      </w:r>
      <w:r>
        <w:rPr>
          <w:rtl w:val="true"/>
        </w:rPr>
        <w:t>(</w:t>
      </w:r>
      <w:r>
        <w:rPr/>
        <w:t>159</w:t>
      </w:r>
      <w:r>
        <w:rPr>
          <w:rtl w:val="true"/>
        </w:rPr>
        <w:t>)</w:t>
      </w:r>
      <w:bookmarkEnd w:id="170"/>
    </w:p>
    <w:p>
      <w:pPr>
        <w:pStyle w:val="BookText"/>
        <w:rPr/>
      </w:pPr>
      <w:r>
        <w:rPr>
          <w:rFonts w:ascii="IRNazanin" w:hAnsi="IRNazanin" w:eastAsia="IRNazanin"/>
          <w:color w:val="111111"/>
          <w:sz w:val="28"/>
          <w:sz w:val="28"/>
          <w:szCs w:val="28"/>
          <w:rtl w:val="true"/>
          <w:lang w:bidi="fa-IR"/>
        </w:rPr>
        <w:t>روی إسحاق بن عمّار، عن الصادق علیه‌السّلام فیمن أعتق عبده و زوّجه ابنته، و شرط علیه، إن أغارها ردّه فی الرقّ، أنّ له شرطه</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الشیخ، و طرّد الحکم فی الشروط</w:t>
      </w:r>
      <w:r>
        <w:rPr>
          <w:rStyle w:val="FootnoteAnchor"/>
          <w:rtl w:val="true"/>
        </w:rPr>
        <w:footnoteReference w:id="1183"/>
      </w:r>
      <w:r>
        <w:rPr>
          <w:rFonts w:ascii="IRNazanin" w:hAnsi="IRNazanin" w:eastAsia="IRNazanin"/>
          <w:color w:val="111111"/>
          <w:sz w:val="28"/>
          <w:sz w:val="28"/>
          <w:szCs w:val="28"/>
          <w:rtl w:val="true"/>
          <w:lang w:bidi="fa-IR"/>
        </w:rPr>
        <w:t>، و القاضی کذلک، و جوّز اشتراط مال معلوم علیه إن أخلّ بالشرط</w:t>
      </w:r>
      <w:r>
        <w:rPr>
          <w:rStyle w:val="FootnoteAnchor"/>
          <w:rtl w:val="true"/>
        </w:rPr>
        <w:footnoteReference w:id="1184"/>
      </w:r>
      <w:r>
        <w:rPr>
          <w:rFonts w:ascii="IRNazanin" w:hAnsi="IRNazanin" w:eastAsia="IRNazanin"/>
          <w:color w:val="111111"/>
          <w:sz w:val="28"/>
          <w:sz w:val="28"/>
          <w:szCs w:val="28"/>
          <w:rtl w:val="true"/>
          <w:lang w:bidi="fa-IR"/>
        </w:rPr>
        <w:t>، و هو خیرة الصدوق</w:t>
      </w:r>
      <w:r>
        <w:rPr>
          <w:rStyle w:val="FootnoteAnchor"/>
          <w:rtl w:val="true"/>
        </w:rPr>
        <w:footnoteReference w:id="1185"/>
      </w:r>
      <w:r>
        <w:rPr>
          <w:rFonts w:ascii="IRNazanin" w:hAnsi="IRNazanin" w:eastAsia="IRNazanin"/>
          <w:color w:val="111111"/>
          <w:sz w:val="28"/>
          <w:sz w:val="28"/>
          <w:szCs w:val="28"/>
          <w:rtl w:val="true"/>
          <w:lang w:bidi="fa-IR"/>
        </w:rPr>
        <w:t>؛ لصحیحة محمّد بن مسلم، عن أحدهما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علیهماالسّلام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ابن إدریس</w:t>
      </w:r>
      <w:r>
        <w:rPr>
          <w:rStyle w:val="FootnoteAnchor"/>
          <w:rtl w:val="true"/>
        </w:rPr>
        <w:footnoteReference w:id="1187"/>
      </w:r>
      <w:r>
        <w:rPr>
          <w:rFonts w:ascii="IRNazanin" w:hAnsi="IRNazanin" w:eastAsia="IRNazanin"/>
          <w:color w:val="111111"/>
          <w:sz w:val="28"/>
          <w:sz w:val="28"/>
          <w:szCs w:val="28"/>
          <w:rtl w:val="true"/>
          <w:lang w:bidi="fa-IR"/>
        </w:rPr>
        <w:t>و الفاضل أبطلا اشتراط عوده رقّاً، و جعله الفاضل مبطلاً للعتق</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یعقوب بن شعیب، عن الصادق علیه‌السّلام فی مَن اشترط فی عتق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خدمته خمسین سنة، فأبقت فمات لیس للورثة استخدامها</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الأکثر ؛ لصحّتها</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تأوّلها ابن إدریس بوجوب الأُجرة ؛ لفوات وقت الخدمة</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الروایة،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ذکره الشیخ</w:t>
      </w:r>
      <w:r>
        <w:rPr>
          <w:rStyle w:val="FootnoteAnchor"/>
          <w:rtl w:val="true"/>
        </w:rPr>
        <w:footnoteReference w:id="1192"/>
      </w:r>
      <w:r>
        <w:rPr>
          <w:rFonts w:ascii="IRNazanin" w:hAnsi="IRNazanin" w:eastAsia="IRNazanin"/>
          <w:color w:val="111111"/>
          <w:sz w:val="28"/>
          <w:sz w:val="28"/>
          <w:szCs w:val="28"/>
          <w:rtl w:val="true"/>
          <w:lang w:bidi="fa-IR"/>
        </w:rPr>
        <w:t>و ابن الجنید</w:t>
      </w:r>
      <w:r>
        <w:rPr>
          <w:rStyle w:val="FootnoteAnchor"/>
          <w:rtl w:val="true"/>
        </w:rPr>
        <w:footnoteReference w:id="1193"/>
      </w:r>
      <w:r>
        <w:rPr>
          <w:rFonts w:ascii="IRNazanin" w:hAnsi="IRNazanin" w:eastAsia="IRNazanin"/>
          <w:color w:val="111111"/>
          <w:sz w:val="28"/>
          <w:sz w:val="28"/>
          <w:szCs w:val="28"/>
          <w:rtl w:val="true"/>
          <w:lang w:bidi="fa-IR"/>
        </w:rPr>
        <w:t xml:space="preserve">، و زاد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w:t>
      </w:r>
    </w:p>
    <w:p>
      <w:pPr>
        <w:pStyle w:val="BookText"/>
        <w:rPr/>
      </w:pPr>
      <w:r>
        <w:rPr>
          <w:rFonts w:ascii="IRNazanin" w:hAnsi="IRNazanin" w:eastAsia="IRNazanin"/>
          <w:color w:val="111111"/>
          <w:sz w:val="28"/>
          <w:sz w:val="28"/>
          <w:szCs w:val="28"/>
          <w:rtl w:val="true"/>
          <w:lang w:bidi="fa-IR"/>
        </w:rPr>
        <w:t>لو مات المعتق فالخدمة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منع</w:t>
      </w:r>
      <w:r>
        <w:rPr>
          <w:rStyle w:val="FootnoteAnchor"/>
          <w:rtl w:val="true"/>
        </w:rPr>
        <w:footnoteReference w:id="1194"/>
      </w:r>
      <w:r>
        <w:rPr>
          <w:rFonts w:ascii="IRNazanin" w:hAnsi="IRNazanin" w:eastAsia="IRNazanin"/>
          <w:color w:val="111111"/>
          <w:sz w:val="28"/>
          <w:sz w:val="28"/>
          <w:szCs w:val="28"/>
          <w:rtl w:val="true"/>
          <w:lang w:bidi="fa-IR"/>
        </w:rPr>
        <w:t>العتیق من الشرط، فکالفوات، و أوجب علی السیّد نفقته و کسوته تلک المدّة ؛ لقطعه عن التکسّب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الفاضل باشتراط قبول العتیق شرط الخدمة و غیرها، فلو لم یقبل، بطل العتق</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شرط علیه مالاً فأولی باشتراط القبول ؛ لأنّ الخدمة استثناء و المال منفرد </w:t>
      </w:r>
    </w:p>
    <w:p>
      <w:pPr>
        <w:pStyle w:val="BookText"/>
        <w:rPr/>
      </w:pPr>
      <w:r>
        <w:rPr>
          <w:rFonts w:ascii="Amiri" w:hAnsi="Amiri" w:eastAsia="Amiri" w:cs="Amiri"/>
          <w:color w:val="111111"/>
          <w:sz w:val="28"/>
          <w:sz w:val="28"/>
          <w:szCs w:val="28"/>
          <w:rtl w:val="true"/>
          <w:lang w:bidi="ar-SA"/>
        </w:rPr>
        <w:t>عن الرقبة</w:t>
      </w:r>
      <w:r>
        <w:rPr>
          <w:rStyle w:val="FootnoteAnchor"/>
          <w:rtl w:val="true"/>
        </w:rPr>
        <w:footnoteReference w:id="119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عتق أوّل ما یملکه</w:t>
      </w:r>
      <w:r>
        <w:rPr>
          <w:rStyle w:val="FootnoteAnchor"/>
          <w:rtl w:val="true"/>
        </w:rPr>
        <w:footnoteReference w:id="1197"/>
      </w:r>
      <w:r>
        <w:rPr>
          <w:rFonts w:ascii="IRNazanin" w:hAnsi="IRNazanin" w:eastAsia="IRNazanin"/>
          <w:color w:val="111111"/>
          <w:sz w:val="28"/>
          <w:sz w:val="28"/>
          <w:szCs w:val="28"/>
          <w:rtl w:val="true"/>
          <w:lang w:bidi="fa-IR"/>
        </w:rPr>
        <w:t>، أو أوّل ما تلده أمته، فملک جماعة، أو ولدت توأمین دفعة، عتق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لم یقیّد فی الولادة بالدفعة</w:t>
      </w:r>
      <w:r>
        <w:rPr>
          <w:rStyle w:val="FootnoteAnchor"/>
          <w:rtl w:val="true"/>
        </w:rPr>
        <w:footnoteReference w:id="1198"/>
      </w:r>
      <w:r>
        <w:rPr>
          <w:rFonts w:ascii="IRNazanin" w:hAnsi="IRNazanin" w:eastAsia="IRNazanin"/>
          <w:color w:val="111111"/>
          <w:sz w:val="28"/>
          <w:sz w:val="28"/>
          <w:szCs w:val="28"/>
          <w:rtl w:val="true"/>
          <w:lang w:bidi="fa-IR"/>
        </w:rPr>
        <w:t>، کما فی الروایة من قضاء أمیرالمؤمنین علیه‌السّلام</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نزّلها ابن إدریس علی إرادة الناذر أوّل حمل</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فملک جماعة دفعة بإرث أو عقد مثلاً، عتق واحد بالقرعة ؛ لصحیح الحلبیّ، عن الصادق علیه‌السّلام</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w:t>
      </w:r>
      <w:r>
        <w:rPr>
          <w:rStyle w:val="FootnoteAnchor"/>
          <w:rtl w:val="true"/>
        </w:rPr>
        <w:footnoteReference w:id="1202"/>
      </w:r>
      <w:r>
        <w:rPr>
          <w:rFonts w:ascii="IRNazanin" w:hAnsi="IRNazanin" w:eastAsia="IRNazanin"/>
          <w:color w:val="111111"/>
          <w:sz w:val="28"/>
          <w:sz w:val="28"/>
          <w:szCs w:val="28"/>
          <w:rtl w:val="true"/>
          <w:lang w:bidi="fa-IR"/>
        </w:rPr>
        <w:t>؛ لروایة الصیقل عنه علیه‌السّلام</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 ابن إدریس النذر رأساً ؛ لعدم الأوّلیّة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الفرق بین أوّل مملوک و بین أوّل ما یملک بناءاً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فتعمّ فیسری العموم إلی الأوّل، و أمّا مملوک، فنکرة فی الإثبات و هی غیر عامّة، و لو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ساوت الإضافة إلی مملوک فی الحکم، و لو أُرید بمملوک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نذر عتق آخر ما یملک أو آخر مملوک، فکما سبق، إلاّ أ نّه یشترط </w:t>
      </w:r>
    </w:p>
    <w:p>
      <w:pPr>
        <w:pStyle w:val="BookText"/>
        <w:rPr/>
      </w:pPr>
      <w:r>
        <w:rPr>
          <w:rFonts w:ascii="Amiri" w:hAnsi="Amiri" w:eastAsia="Amiri" w:cs="Amiri"/>
          <w:color w:val="111111"/>
          <w:sz w:val="28"/>
          <w:sz w:val="28"/>
          <w:szCs w:val="28"/>
          <w:rtl w:val="true"/>
          <w:lang w:bidi="ar-SA"/>
        </w:rPr>
        <w:t>تعقّب</w:t>
      </w:r>
      <w:r>
        <w:rPr>
          <w:rStyle w:val="FootnoteAnchor"/>
          <w:rtl w:val="true"/>
        </w:rPr>
        <w:footnoteReference w:id="1205"/>
      </w:r>
      <w:r>
        <w:rPr>
          <w:rFonts w:ascii="IRNazanin" w:hAnsi="IRNazanin" w:eastAsia="IRNazanin"/>
          <w:color w:val="111111"/>
          <w:sz w:val="28"/>
          <w:sz w:val="28"/>
          <w:szCs w:val="28"/>
          <w:rtl w:val="true"/>
          <w:lang w:bidi="fa-IR"/>
        </w:rPr>
        <w:t>موته له، و کسبه قبل موت السیّد موروث قطعاً، إن اشترطنا</w:t>
      </w:r>
      <w:r>
        <w:rPr>
          <w:rStyle w:val="FootnoteAnchor"/>
          <w:rtl w:val="true"/>
        </w:rPr>
        <w:footnoteReference w:id="1206"/>
      </w:r>
      <w:r>
        <w:rPr>
          <w:rFonts w:ascii="IRNazanin" w:hAnsi="IRNazanin" w:eastAsia="IRNazanin"/>
          <w:color w:val="111111"/>
          <w:sz w:val="28"/>
          <w:sz w:val="28"/>
          <w:szCs w:val="28"/>
          <w:rtl w:val="true"/>
          <w:lang w:bidi="fa-IR"/>
        </w:rPr>
        <w:t>إیقاع الصیغة من الوارث، و إن اجتزأنا بحصول شرط</w:t>
      </w:r>
      <w:r>
        <w:rPr>
          <w:rStyle w:val="FootnoteAnchor"/>
          <w:rtl w:val="true"/>
        </w:rPr>
        <w:footnoteReference w:id="1207"/>
      </w:r>
      <w:r>
        <w:rPr>
          <w:rFonts w:ascii="IRNazanin" w:hAnsi="IRNazanin" w:eastAsia="IRNazanin"/>
          <w:color w:val="111111"/>
          <w:sz w:val="28"/>
          <w:sz w:val="28"/>
          <w:szCs w:val="28"/>
          <w:rtl w:val="true"/>
          <w:lang w:bidi="fa-IR"/>
        </w:rPr>
        <w:t>النذر فی العتق فإشکال، من الشکّ فی کون موت السیّد کاشفاً عن حصول الشرط، أو أنّ له مدخلاً فی السببیّة، و کذا لو وجد له ولد بین الملک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 العتق بالنذر و شبهه علی فعل، کالوط‌ء، لزم، فلو أخرجها عن ملکه، بطل، فلو عادت، لم یعد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الصحیح، عن أحدهما علیهماالسّلام</w:t>
      </w:r>
      <w:r>
        <w:rPr>
          <w:rStyle w:val="FootnoteAnchor"/>
          <w:rtl w:val="true"/>
        </w:rPr>
        <w:footnoteReference w:id="1208"/>
      </w:r>
      <w:r>
        <w:rPr>
          <w:rFonts w:ascii="IRNazanin" w:hAnsi="IRNazanin" w:eastAsia="IRNazanin"/>
          <w:color w:val="111111"/>
          <w:sz w:val="28"/>
          <w:sz w:val="28"/>
          <w:szCs w:val="28"/>
          <w:rtl w:val="true"/>
          <w:lang w:bidi="fa-IR"/>
        </w:rPr>
        <w:t>لیس فیه نذر، بل مجرّد تعلیق</w:t>
      </w:r>
      <w:r>
        <w:rPr>
          <w:rStyle w:val="FootnoteAnchor"/>
          <w:rtl w:val="true"/>
        </w:rPr>
        <w:footnoteReference w:id="1209"/>
      </w:r>
      <w:r>
        <w:rPr>
          <w:rFonts w:ascii="IRNazanin" w:hAnsi="IRNazanin" w:eastAsia="IRNazanin"/>
          <w:color w:val="111111"/>
          <w:sz w:val="28"/>
          <w:sz w:val="28"/>
          <w:szCs w:val="28"/>
          <w:rtl w:val="true"/>
          <w:lang w:bidi="fa-IR"/>
        </w:rPr>
        <w:t>، و حمله الأصحاب علی النذر ؛ موافقة للأُصول</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بعضهم</w:t>
      </w:r>
      <w:r>
        <w:rPr>
          <w:rStyle w:val="FootnoteAnchor"/>
          <w:rtl w:val="true"/>
        </w:rPr>
        <w:footnoteReference w:id="1211"/>
      </w:r>
      <w:r>
        <w:rPr>
          <w:rFonts w:ascii="IRNazanin" w:hAnsi="IRNazanin" w:eastAsia="IRNazanin"/>
          <w:color w:val="111111"/>
          <w:sz w:val="28"/>
          <w:sz w:val="28"/>
          <w:szCs w:val="28"/>
          <w:rtl w:val="true"/>
          <w:lang w:bidi="fa-IR"/>
        </w:rPr>
        <w:t>فی حلّه بخروجها عن الملک ؛ لنفوذ النذر فی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بأنّ قرینة الحال تخصّصه بملکه و قد زال، کما قال فی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خرجت من</w:t>
      </w:r>
      <w:r>
        <w:rPr>
          <w:rStyle w:val="FootnoteAnchor"/>
          <w:rtl w:val="true"/>
        </w:rPr>
        <w:footnoteReference w:id="1212"/>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عمّم الشرط،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وطئتها فهی حرّة، لم ینحلّ النذر بخروجها، فلو عادت و وطئ، تحرّرت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 عتق کلّ عبد له قدیم، حمل علی ستّة أشهر فصاعداً، و لو نقصوا عن ذلک، احتمل عتق أقدمهم إن کان فیهم أقدم، و عتق الجمیع إن کانوا قد ملکوا دفعة، و کذا کلّ أمة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نذر الصدقة بماله القدیم، أو أبرأ غریمه القدیم، ففی </w:t>
      </w:r>
    </w:p>
    <w:p>
      <w:pPr>
        <w:pStyle w:val="BookText"/>
        <w:rPr/>
      </w:pPr>
      <w:r>
        <w:rPr>
          <w:rFonts w:ascii="IRNazanin" w:hAnsi="IRNazanin" w:eastAsia="IRNazanin"/>
          <w:color w:val="111111"/>
          <w:sz w:val="28"/>
          <w:sz w:val="28"/>
          <w:szCs w:val="28"/>
          <w:rtl w:val="true"/>
          <w:lang w:bidi="fa-IR"/>
        </w:rPr>
        <w:t>الحمل علی الحقیقة الشرعیّة أو العرفیّة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مرّ بعاشر</w:t>
      </w:r>
      <w:r>
        <w:rPr>
          <w:rStyle w:val="FootnoteAnchor"/>
          <w:rtl w:val="true"/>
        </w:rPr>
        <w:footnoteReference w:id="121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عبیدی أحرار، أو کنت أعتقتهم، فلا عبرة به إنشاءاً و لا إخباراً ما لم یقصد العتق، أو یکن قد أعتق منهم شیئاً، فینصرف إلیه و إن کان واحداً</w:t>
      </w:r>
    </w:p>
    <w:p>
      <w:pPr>
        <w:pStyle w:val="BookText"/>
        <w:rPr/>
      </w:pPr>
      <w:r>
        <w:rPr>
          <w:rFonts w:ascii="IRNazanin" w:hAnsi="IRNazanin" w:eastAsia="IRNazanin"/>
          <w:color w:val="111111"/>
          <w:sz w:val="28"/>
          <w:sz w:val="28"/>
          <w:szCs w:val="28"/>
          <w:rtl w:val="true"/>
          <w:lang w:bidi="fa-IR"/>
        </w:rPr>
        <w:t xml:space="preserve">باطناً، و فی الظاهر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یطالب بما یصدق علیه الجمع، کالثلاثة فصاعداً</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إن کان الإخبار لا فی محلّ الاضطرار، لا کصورة الفرض، فإنّ القرینة تمنع من نفوذ الإخبار فی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عتق الحمل لا یسری إلی الحامل و بالعکس ؛ لأنّ السرایة فی الأشقاص لا فی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السکونیّ، عنه علیه‌السّلام،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یتحرّر الحمل بعتقها و إن استثناه ؛ لأ نّه منها</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القدماء</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الحسن بن علیّ الوشّاء، عن الرضا علیه‌السّلام، فی جاریة دبّرت و هی 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به فهو مدبّر و إلاّ فهو رقّ</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العتیق ماله إذا علم به السیّد و إلاّ فله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171" w:name="pg13665_219153"/>
    </w:p>
    <w:p>
      <w:pPr>
        <w:pStyle w:val="BookText"/>
        <w:rPr/>
      </w:pPr>
      <w:bookmarkEnd w:id="171"/>
      <w:r>
        <w:rPr>
          <w:rFonts w:ascii="IRNazanin" w:hAnsi="IRNazanin" w:eastAsia="IRNazanin"/>
          <w:color w:val="111111"/>
          <w:sz w:val="28"/>
          <w:sz w:val="28"/>
          <w:szCs w:val="28"/>
          <w:rtl w:val="true"/>
          <w:lang w:bidi="fa-IR"/>
        </w:rPr>
        <w:t xml:space="preserve">و فی صحیح حریز،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مالک و أنت حرّ برضا المملوک و لا یبدأ بالحرّیّة</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بمضمونها أفتی القدماء</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الحلّیّون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للسیّد مطلقاً</w:t>
      </w:r>
      <w:r>
        <w:rPr>
          <w:rStyle w:val="FootnoteAnchor"/>
          <w:rtl w:val="true"/>
        </w:rPr>
        <w:footnoteReference w:id="1221"/>
      </w:r>
      <w:r>
        <w:rPr>
          <w:rFonts w:ascii="IRNazanin" w:hAnsi="IRNazanin" w:eastAsia="IRNazanin"/>
          <w:color w:val="111111"/>
          <w:sz w:val="28"/>
          <w:sz w:val="28"/>
          <w:szCs w:val="28"/>
          <w:rtl w:val="true"/>
          <w:lang w:bidi="fa-IR"/>
        </w:rPr>
        <w:t>؛ بناءاً علی أنّ العبد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ولی مالک، فالمال للعتیق</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عمر بن زید، عن الصادق علیه‌السّلام مصرّحة بملکه فاضل الضریبة، و جواز تصدّقه به، و عتقه منه، غیر أ نّه لا ولاء له علیه، بل هو سائبة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ضمن العبد جریرته، لم یصحّ، و بذلک أفتی فی النهایة</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071327_3830689328"/>
      <w:bookmarkStart w:id="173" w:name="_Toc58"/>
      <w:bookmarkEnd w:id="172"/>
      <w:r>
        <w:rPr>
          <w:rtl w:val="true"/>
        </w:rPr>
        <w:t xml:space="preserve">درس </w:t>
      </w:r>
      <w:r>
        <w:rPr>
          <w:rtl w:val="true"/>
        </w:rPr>
        <w:t>(</w:t>
      </w:r>
      <w:r>
        <w:rPr/>
        <w:t>160</w:t>
      </w:r>
      <w:r>
        <w:rPr>
          <w:rtl w:val="true"/>
        </w:rPr>
        <w:t>)</w:t>
      </w:r>
      <w:bookmarkEnd w:id="173"/>
    </w:p>
    <w:p>
      <w:pPr>
        <w:pStyle w:val="BookText"/>
        <w:rPr/>
      </w:pPr>
      <w:r>
        <w:rPr>
          <w:rFonts w:ascii="IRNazanin" w:hAnsi="IRNazanin" w:eastAsia="IRNazanin"/>
          <w:color w:val="111111"/>
          <w:sz w:val="28"/>
          <w:sz w:val="28"/>
          <w:szCs w:val="28"/>
          <w:rtl w:val="true"/>
          <w:lang w:bidi="fa-IR"/>
        </w:rPr>
        <w:t>فیه مسائل عشر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بعتق عبیده المستغرقین، أو نجّز عتقهم، ثمّ ظهر دین مستغرق، بطلا، و إن فضل من العبید، أُعتق ثلث الفاضل مع عدم الإجازة، فلو کان </w:t>
      </w:r>
    </w:p>
    <w:p>
      <w:pPr>
        <w:pStyle w:val="BookText"/>
        <w:rPr/>
      </w:pPr>
      <w:r>
        <w:rPr>
          <w:rFonts w:ascii="IRNazanin" w:hAnsi="IRNazanin" w:eastAsia="IRNazanin"/>
          <w:color w:val="111111"/>
          <w:sz w:val="28"/>
          <w:sz w:val="28"/>
          <w:szCs w:val="28"/>
          <w:rtl w:val="true"/>
          <w:lang w:bidi="fa-IR"/>
        </w:rPr>
        <w:t>العبید ضعف الدین، جعلوا قسمین</w:t>
      </w:r>
      <w:r>
        <w:rPr>
          <w:rStyle w:val="FootnoteAnchor"/>
          <w:rtl w:val="true"/>
        </w:rPr>
        <w:footnoteReference w:id="1226"/>
      </w:r>
      <w:r>
        <w:rPr>
          <w:rFonts w:ascii="IRNazanin" w:hAnsi="IRNazanin" w:eastAsia="IRNazanin"/>
          <w:color w:val="111111"/>
          <w:sz w:val="28"/>
          <w:sz w:val="28"/>
          <w:szCs w:val="28"/>
          <w:rtl w:val="true"/>
          <w:lang w:bidi="fa-IR"/>
        </w:rPr>
        <w:t>و کتب رقعة للترکة و أُخری للدین، فیعتق ثلث مَن خرج ترکة، و یباع الباقی</w:t>
      </w:r>
      <w:r>
        <w:rPr>
          <w:rStyle w:val="FootnoteAnchor"/>
          <w:rtl w:val="true"/>
        </w:rPr>
        <w:footnoteReference w:id="1227"/>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الدین ثلث العبید، کتب رقعتان للترکة، و أُخری للدین، و لا فرق بین العبد الواحد و بین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عبده أو أوصی بعتقه و علیه دین، فإن کانت قیمته ضعف الدین، صحّ و عتق کلّه و سعی فی نصفه للدیّان و فی ثلثه للورثة، و إن نقصت قیمته عن الضعف، بطل عتقه</w:t>
      </w:r>
      <w:r>
        <w:rPr>
          <w:rStyle w:val="FootnoteAnchor"/>
          <w:rtl w:val="true"/>
        </w:rPr>
        <w:footnoteReference w:id="1228"/>
      </w:r>
      <w:r>
        <w:rPr>
          <w:rFonts w:ascii="Amiri" w:hAnsi="Amiri" w:eastAsia="Amiri" w:cs="Amiri"/>
          <w:color w:val="111111"/>
          <w:sz w:val="28"/>
          <w:sz w:val="28"/>
          <w:szCs w:val="28"/>
          <w:rtl w:val="true"/>
          <w:lang w:bidi="ar-SA"/>
        </w:rPr>
        <w:t>؛ معوّلاً علی أخبار صحاح</w:t>
      </w:r>
      <w:r>
        <w:rPr>
          <w:rStyle w:val="FootnoteAnchor"/>
          <w:rtl w:val="true"/>
        </w:rPr>
        <w:footnoteReference w:id="1229"/>
      </w:r>
      <w:r>
        <w:rPr>
          <w:rFonts w:ascii="IRNazanin" w:hAnsi="IRNazanin" w:eastAsia="IRNazanin"/>
          <w:color w:val="111111"/>
          <w:sz w:val="28"/>
          <w:sz w:val="28"/>
          <w:szCs w:val="28"/>
          <w:rtl w:val="true"/>
          <w:lang w:bidi="fa-IR"/>
        </w:rPr>
        <w:t>أعرض عنها ابن إدریس</w:t>
      </w:r>
      <w:r>
        <w:rPr>
          <w:rStyle w:val="FootnoteAnchor"/>
          <w:rtl w:val="true"/>
        </w:rPr>
        <w:footnoteReference w:id="1230"/>
      </w:r>
      <w:r>
        <w:rPr>
          <w:rFonts w:ascii="Amiri" w:hAnsi="Amiri" w:eastAsia="Amiri" w:cs="Amiri"/>
          <w:color w:val="111111"/>
          <w:sz w:val="28"/>
          <w:sz w:val="28"/>
          <w:szCs w:val="28"/>
          <w:rtl w:val="true"/>
          <w:lang w:bidi="ar-SA"/>
        </w:rPr>
        <w:t>، إلاّ أن یکون منجّزاً ؛ بناءاً علی قاعدته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بعتق عبده و قیمته ضعف الثلث فما زاد، عتق بقدر الثلث، کما لو کانت قیمته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ابن إدریس عن الشیخ أ نّها إذا بلغت الضعف، بطلت الوصیّة</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المریض إماءاً</w:t>
      </w:r>
      <w:r>
        <w:rPr>
          <w:rStyle w:val="FootnoteAnchor"/>
          <w:rtl w:val="true"/>
        </w:rPr>
        <w:footnoteReference w:id="1232"/>
      </w:r>
      <w:r>
        <w:rPr>
          <w:rFonts w:ascii="IRNazanin" w:hAnsi="IRNazanin" w:eastAsia="IRNazanin"/>
          <w:color w:val="111111"/>
          <w:sz w:val="28"/>
          <w:sz w:val="28"/>
          <w:szCs w:val="28"/>
          <w:rtl w:val="true"/>
          <w:lang w:bidi="fa-IR"/>
        </w:rPr>
        <w:t>فلم یخرجن من الثلث، عتقت الخارجة</w:t>
      </w:r>
    </w:p>
    <w:p>
      <w:pPr>
        <w:pStyle w:val="BookText"/>
        <w:rPr/>
      </w:pPr>
      <w:r>
        <w:rPr>
          <w:rFonts w:ascii="IRNazanin" w:hAnsi="IRNazanin" w:eastAsia="IRNazanin"/>
          <w:color w:val="111111"/>
          <w:sz w:val="28"/>
          <w:sz w:val="28"/>
          <w:szCs w:val="28"/>
          <w:rtl w:val="true"/>
          <w:lang w:bidi="fa-IR"/>
        </w:rPr>
        <w:t>بالقرعة، فلو ظهر بها حمل متجدّد فهو حرّ، و إن کان سابقاً ففیه القولان</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ثلاثة أعبد تستغرق ترکته فمات أحدهم قبله، أُقرع بین المیّت و الحیّین، فإن ظهرت الحرّیّة علی المیّت، 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موته حرّاً، فمؤونة التجهیز </w:t>
      </w:r>
    </w:p>
    <w:p>
      <w:pPr>
        <w:pStyle w:val="BookText"/>
        <w:rPr/>
      </w:pPr>
      <w:r>
        <w:rPr>
          <w:rFonts w:ascii="IRNazanin" w:hAnsi="IRNazanin" w:eastAsia="IRNazanin"/>
          <w:color w:val="111111"/>
          <w:sz w:val="28"/>
          <w:sz w:val="28"/>
          <w:szCs w:val="28"/>
          <w:rtl w:val="true"/>
          <w:lang w:bidi="fa-IR"/>
        </w:rPr>
        <w:t>علی وارثه</w:t>
      </w:r>
      <w:r>
        <w:rPr>
          <w:rStyle w:val="FootnoteAnchor"/>
          <w:rtl w:val="true"/>
        </w:rPr>
        <w:footnoteReference w:id="1234"/>
      </w:r>
      <w:r>
        <w:rPr>
          <w:rFonts w:ascii="IRNazanin" w:hAnsi="IRNazanin" w:eastAsia="IRNazanin"/>
          <w:color w:val="111111"/>
          <w:sz w:val="28"/>
          <w:sz w:val="28"/>
          <w:szCs w:val="28"/>
          <w:rtl w:val="true"/>
          <w:lang w:bidi="fa-IR"/>
        </w:rPr>
        <w:t>أو فی بیت المال و فیه دقیقة، و إن ظهرت علی أحد الباقیین، تبیّنّا</w:t>
      </w:r>
      <w:r>
        <w:rPr>
          <w:rStyle w:val="FootnoteAnchor"/>
          <w:rtl w:val="true"/>
        </w:rPr>
        <w:footnoteReference w:id="1235"/>
      </w:r>
      <w:r>
        <w:rPr>
          <w:rFonts w:ascii="IRNazanin" w:hAnsi="IRNazanin" w:eastAsia="IRNazanin"/>
          <w:color w:val="111111"/>
          <w:sz w:val="28"/>
          <w:sz w:val="28"/>
          <w:szCs w:val="28"/>
          <w:rtl w:val="true"/>
          <w:lang w:bidi="fa-IR"/>
        </w:rPr>
        <w:t>موته رقّاً، و مؤونة التجهیز علی الوارث، ثمّ لا یحتسب من الترکة، فإن کان الخارج ثلث الباقیین، عتق، و إن نقص عن الثلث، کمل من الآخر، و إن زاد، عتق منه بقدر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دبّر ثلاثة أو أوصی بعتقهم، ثمّ مات أحدهم قبله، لم یدخل فی القرعة ؛ لعدم احتمال مسیس الحرّیّة له، و لو مات بعد السیّد، أُدخل، فإن خرج، عتق، و إلاّ عتق مَن یخرج من الحیّین و یحسب</w:t>
      </w:r>
      <w:r>
        <w:rPr>
          <w:rStyle w:val="FootnoteAnchor"/>
          <w:rtl w:val="true"/>
        </w:rPr>
        <w:footnoteReference w:id="1236"/>
      </w:r>
      <w:r>
        <w:rPr>
          <w:rFonts w:ascii="IRNazanin" w:hAnsi="IRNazanin" w:eastAsia="IRNazanin"/>
          <w:color w:val="111111"/>
          <w:sz w:val="28"/>
          <w:sz w:val="28"/>
          <w:szCs w:val="28"/>
          <w:rtl w:val="true"/>
          <w:lang w:bidi="fa-IR"/>
        </w:rPr>
        <w:t>المیّت علی الورثة إن کان قد قبض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 بین العتق و غیره فی الوصیّة، قدّم السابق، و قدّم الشیخ العتق و المکاتبة مطلقاً</w:t>
      </w:r>
      <w:r>
        <w:rPr>
          <w:rStyle w:val="FootnoteAnchor"/>
          <w:rtl w:val="true"/>
        </w:rPr>
        <w:footnoteReference w:id="1237"/>
      </w:r>
      <w:r>
        <w:rPr>
          <w:rFonts w:ascii="IRNazanin" w:hAnsi="IRNazanin" w:eastAsia="IRNazanin"/>
          <w:color w:val="111111"/>
          <w:sz w:val="28"/>
          <w:sz w:val="28"/>
          <w:szCs w:val="28"/>
          <w:rtl w:val="true"/>
          <w:lang w:bidi="fa-IR"/>
        </w:rPr>
        <w:t>؛ لبنائهما علی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المعتق المستوعب فی المرض قبل السیّد، ففی حرّیّته کلّه لعدم الفائدة للوارث فی ردّه إلی الثلث، أو رقّه کلّه لعدم تملّک الوارث ضعفه، أو حرّیّة ثلثه کما لو بقی أوجه، و الفائدة فی 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مزاحمة الوصایا لو کان له سواه، فعلی الوجهین الأوّلین لا یزاحمها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استغرق الدین الترکة، فأعتق الوارث عبداً منها، بنی علی انتقالها إلیه ؛ لامتناع ملک بغیر مالک، أو لا</w:t>
      </w:r>
      <w:r>
        <w:rPr>
          <w:rStyle w:val="FootnoteAnchor"/>
          <w:rtl w:val="true"/>
        </w:rPr>
        <w:footnoteReference w:id="1238"/>
      </w:r>
      <w:r>
        <w:rPr>
          <w:rFonts w:ascii="IRNazanin" w:hAnsi="IRNazanin" w:eastAsia="IRNazanin"/>
          <w:color w:val="111111"/>
          <w:sz w:val="28"/>
          <w:sz w:val="28"/>
          <w:szCs w:val="28"/>
          <w:rtl w:val="true"/>
          <w:lang w:bidi="fa-IR"/>
        </w:rPr>
        <w:t>؛ للآیة</w:t>
      </w:r>
      <w:r>
        <w:rPr>
          <w:rStyle w:val="FootnoteAnchor"/>
          <w:rtl w:val="true"/>
        </w:rPr>
        <w:footnoteReference w:id="1239"/>
      </w:r>
      <w:r>
        <w:rPr>
          <w:rFonts w:ascii="IRNazanin" w:hAnsi="IRNazanin" w:eastAsia="IRNazanin"/>
          <w:color w:val="111111"/>
          <w:sz w:val="28"/>
          <w:sz w:val="28"/>
          <w:szCs w:val="28"/>
          <w:rtl w:val="true"/>
          <w:lang w:bidi="fa-IR"/>
        </w:rPr>
        <w:t>، و به قال الشیخ</w:t>
      </w:r>
      <w:r>
        <w:rPr>
          <w:rStyle w:val="FootnoteAnchor"/>
          <w:rtl w:val="true"/>
        </w:rPr>
        <w:footnoteReference w:id="1240"/>
      </w:r>
      <w:r>
        <w:rPr>
          <w:rFonts w:ascii="IRNazanin" w:hAnsi="IRNazanin" w:eastAsia="IRNazanin"/>
          <w:color w:val="111111"/>
          <w:sz w:val="28"/>
          <w:sz w:val="28"/>
          <w:szCs w:val="28"/>
          <w:rtl w:val="true"/>
          <w:lang w:bidi="fa-IR"/>
        </w:rPr>
        <w:t xml:space="preserve">، فعلی الثانی </w:t>
      </w:r>
      <w:bookmarkStart w:id="174" w:name="pg13665_219156"/>
    </w:p>
    <w:p>
      <w:pPr>
        <w:pStyle w:val="BookText"/>
        <w:rPr/>
      </w:pPr>
      <w:bookmarkEnd w:id="174"/>
      <w:r>
        <w:rPr>
          <w:rFonts w:ascii="IRNazanin" w:hAnsi="IRNazanin" w:eastAsia="IRNazanin"/>
          <w:color w:val="111111"/>
          <w:sz w:val="28"/>
          <w:sz w:val="28"/>
          <w:szCs w:val="28"/>
          <w:rtl w:val="true"/>
          <w:lang w:bidi="fa-IR"/>
        </w:rPr>
        <w:t>یبطل، و علی الأوّل یبنی علی تعلّق الدین بها هل یشبه تعلّق الأرش بالجانی، أو الرهن ؟ فعلی الأوّل یصحّ مراعی بالأداء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عتق عبده إن کان المقبل زیداً، و نذر آخر عتق عبده إن لم یکن زیداً، ثمّ هلک و تعذّر الاستعلام، فالقرعة، و یحتمل عدم عتق أحدهما ؛ لعدم العلم بشرطه</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اجتمعا لواحد، أُقرع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للمعتق مال غائب تنجّز عتق ثلث الحاضر، ثمّ کلّما حضر شیء، عتق ثلثه، و فی وجوب تحصیله علی الوارث مع الإمکان نظر، فإن قلنا به، ففی توقّف العتق علی قبض الوارث أو الاکتفاء بتمکّنه منه نظر،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Heading3"/>
        <w:numPr>
          <w:ilvl w:val="2"/>
          <w:numId w:val="1"/>
        </w:numPr>
        <w:rPr/>
      </w:pPr>
      <w:bookmarkStart w:id="175" w:name="__RefHeading___Toc2071329_3830689328"/>
      <w:bookmarkStart w:id="176" w:name="_Toc59"/>
      <w:bookmarkEnd w:id="175"/>
      <w:r>
        <w:rPr>
          <w:rtl w:val="true"/>
        </w:rPr>
        <w:t xml:space="preserve">درس </w:t>
      </w:r>
      <w:r>
        <w:rPr>
          <w:rtl w:val="true"/>
        </w:rPr>
        <w:t>(</w:t>
      </w:r>
      <w:r>
        <w:rPr/>
        <w:t>161</w:t>
      </w:r>
      <w:r>
        <w:rPr>
          <w:rtl w:val="true"/>
        </w:rPr>
        <w:t>)</w:t>
      </w:r>
      <w:bookmarkEnd w:id="176"/>
    </w:p>
    <w:p>
      <w:pPr>
        <w:pStyle w:val="BookText"/>
        <w:rPr/>
      </w:pPr>
      <w:r>
        <w:rPr>
          <w:rFonts w:ascii="IRNazanin" w:hAnsi="IRNazanin" w:eastAsia="IRNazanin"/>
          <w:color w:val="111111"/>
          <w:sz w:val="28"/>
          <w:sz w:val="28"/>
          <w:szCs w:val="28"/>
          <w:rtl w:val="true"/>
          <w:lang w:bidi="fa-IR"/>
        </w:rPr>
        <w:t xml:space="preserve">خواصّ العتق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 بالقرابة، و العمی، و الجذام، و الإقعاد، و التنکیل، و القرعة ؛ إذ الأصل الشیاع و لکن تشوّف</w:t>
      </w:r>
      <w:r>
        <w:rPr>
          <w:rStyle w:val="FootnoteAnchor"/>
          <w:rtl w:val="true"/>
        </w:rPr>
        <w:footnoteReference w:id="1242"/>
      </w:r>
      <w:r>
        <w:rPr>
          <w:rFonts w:ascii="IRNazanin" w:hAnsi="IRNazanin" w:eastAsia="IRNazanin"/>
          <w:color w:val="111111"/>
          <w:sz w:val="28"/>
          <w:sz w:val="28"/>
          <w:szCs w:val="28"/>
          <w:rtl w:val="true"/>
          <w:lang w:bidi="fa-IR"/>
        </w:rPr>
        <w:t>الشرع إلی الإکمال، و تقدیمه علی غیره عند الشیخ</w:t>
      </w:r>
      <w:r>
        <w:rPr>
          <w:rStyle w:val="FootnoteAnchor"/>
          <w:rtl w:val="true"/>
        </w:rPr>
        <w:footnoteReference w:id="1243"/>
      </w:r>
      <w:r>
        <w:rPr>
          <w:rFonts w:ascii="IRNazanin" w:hAnsi="IRNazanin" w:eastAsia="IRNazanin"/>
          <w:color w:val="111111"/>
          <w:sz w:val="28"/>
          <w:sz w:val="28"/>
          <w:szCs w:val="28"/>
          <w:rtl w:val="true"/>
          <w:lang w:bidi="fa-IR"/>
        </w:rPr>
        <w:t>و قد سبق ذلک</w:t>
      </w:r>
      <w:r>
        <w:rPr>
          <w:rStyle w:val="FootnoteAnchor"/>
          <w:rtl w:val="true"/>
        </w:rPr>
        <w:footnoteReference w:id="1244"/>
      </w:r>
      <w:r>
        <w:rPr>
          <w:rFonts w:ascii="IRNazanin" w:hAnsi="IRNazanin" w:eastAsia="IRNazanin"/>
          <w:color w:val="111111"/>
          <w:sz w:val="28"/>
          <w:sz w:val="28"/>
          <w:szCs w:val="28"/>
          <w:rtl w:val="true"/>
          <w:lang w:bidi="fa-IR"/>
        </w:rPr>
        <w:t>، و السرایة، و الولاء ؛ للنقل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أعتق شقصاً من عبده، عتق جمیعه ؛ لقوله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للّه شریک</w:t>
      </w:r>
      <w:r>
        <w:rPr>
          <w:rFonts w:eastAsia="IRNazanin" w:cs="IRNazanin"/>
          <w:color w:val="111111"/>
          <w:sz w:val="28"/>
          <w:szCs w:val="28"/>
          <w:rtl w:val="true"/>
          <w:lang w:bidi="fa-IR"/>
        </w:rPr>
        <w:t>»</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مریضاً، و لا یخرج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بعتق شقص من عبده أو دبّر شقصاً منه، ثمّ مات و لا یسع الثلث زیادة عن الشقص، فلا سرایة، و لو وسع، ففی السرایة وجهان، کما إذا أوصی بعتق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شقص من عبد له فیه شریک و وسع الثلث نصیب الشریک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 روی أحمد بن زیاد، عن أبی الحسن علیه‌السّلام تقویمه</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النهایة</w:t>
      </w:r>
      <w:r>
        <w:rPr>
          <w:rStyle w:val="FootnoteAnchor"/>
          <w:rtl w:val="true"/>
        </w:rPr>
        <w:footnoteReference w:id="1247"/>
      </w:r>
      <w:r>
        <w:rPr>
          <w:rFonts w:ascii="IRNazanin" w:hAnsi="IRNazanin" w:eastAsia="IRNazanin"/>
          <w:color w:val="111111"/>
          <w:sz w:val="28"/>
          <w:sz w:val="28"/>
          <w:szCs w:val="28"/>
          <w:rtl w:val="true"/>
          <w:lang w:bidi="fa-IR"/>
        </w:rPr>
        <w:t>، خلافاً للمبسوط</w:t>
      </w:r>
      <w:r>
        <w:rPr>
          <w:rStyle w:val="FootnoteAnchor"/>
          <w:rtl w:val="true"/>
        </w:rPr>
        <w:footnoteReference w:id="1248"/>
      </w:r>
      <w:r>
        <w:rPr>
          <w:rFonts w:ascii="IRNazanin" w:hAnsi="IRNazanin" w:eastAsia="IRNazanin"/>
          <w:color w:val="111111"/>
          <w:sz w:val="28"/>
          <w:sz w:val="28"/>
          <w:szCs w:val="28"/>
          <w:rtl w:val="true"/>
          <w:lang w:bidi="fa-IR"/>
        </w:rPr>
        <w:t>، و ابن إدریس</w:t>
      </w:r>
      <w:r>
        <w:rPr>
          <w:rStyle w:val="FootnoteAnchor"/>
          <w:rtl w:val="true"/>
        </w:rPr>
        <w:footnoteReference w:id="1249"/>
      </w:r>
      <w:r>
        <w:rPr>
          <w:rFonts w:ascii="IRNazanin" w:hAnsi="IRNazanin" w:eastAsia="IRNazanin"/>
          <w:color w:val="111111"/>
          <w:sz w:val="28"/>
          <w:sz w:val="28"/>
          <w:szCs w:val="28"/>
          <w:rtl w:val="true"/>
          <w:lang w:bidi="fa-IR"/>
        </w:rPr>
        <w:t>؛ لزوال ملکه بموته، و الأوّل أثبت ؛ لسبق السبب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فتوی السیّد ابن طاووس فی کتابیه</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العتق علی محلّه و إن کان حیّاً ؛ لروایة حمزة بن حمران</w:t>
      </w:r>
      <w:r>
        <w:rPr>
          <w:rStyle w:val="FootnoteAnchor"/>
          <w:rtl w:val="true"/>
        </w:rPr>
        <w:footnoteReference w:id="1251"/>
      </w:r>
      <w:r>
        <w:rPr>
          <w:rFonts w:ascii="IRNazanin" w:hAnsi="IRNazanin" w:eastAsia="IRNazanin"/>
          <w:color w:val="111111"/>
          <w:sz w:val="28"/>
          <w:sz w:val="28"/>
          <w:szCs w:val="28"/>
          <w:rtl w:val="true"/>
          <w:lang w:bidi="fa-IR"/>
        </w:rPr>
        <w:t>، و ضعف طریق روایة السرایة</w:t>
      </w:r>
      <w:r>
        <w:rPr>
          <w:rStyle w:val="FootnoteAnchor"/>
          <w:rtl w:val="true"/>
        </w:rPr>
        <w:footnoteReference w:id="1252"/>
      </w:r>
      <w:r>
        <w:rPr>
          <w:rFonts w:ascii="IRNazanin" w:hAnsi="IRNazanin" w:eastAsia="IRNazanin"/>
          <w:color w:val="111111"/>
          <w:sz w:val="28"/>
          <w:sz w:val="28"/>
          <w:szCs w:val="28"/>
          <w:rtl w:val="true"/>
          <w:lang w:bidi="fa-IR"/>
        </w:rPr>
        <w:t>و الأصل، و البعد عن العامّة، و لکن معظم الأصحاب علی خلافه</w:t>
      </w:r>
      <w:r>
        <w:rPr>
          <w:rStyle w:val="FootnoteAnchor"/>
          <w:rtl w:val="true"/>
        </w:rPr>
        <w:footnoteReference w:id="1253"/>
      </w:r>
      <w:r>
        <w:rPr>
          <w:rFonts w:ascii="IRNazanin" w:hAnsi="IRNazanin" w:eastAsia="IRNazanin"/>
          <w:color w:val="111111"/>
          <w:sz w:val="28"/>
          <w:sz w:val="28"/>
          <w:szCs w:val="28"/>
          <w:rtl w:val="true"/>
          <w:lang w:bidi="fa-IR"/>
        </w:rPr>
        <w:t xml:space="preserve">، 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السرایة فی نصیب الغیر إذا کان المعتق حیّاً موسراً</w:t>
      </w:r>
      <w:r>
        <w:rPr>
          <w:rStyle w:val="FootnoteAnchor"/>
          <w:rtl w:val="true"/>
        </w:rPr>
        <w:footnoteReference w:id="1254"/>
      </w:r>
      <w:r>
        <w:rPr>
          <w:rFonts w:ascii="IRNazanin" w:hAnsi="IRNazanin" w:eastAsia="IRNazanin"/>
          <w:color w:val="111111"/>
          <w:sz w:val="28"/>
          <w:sz w:val="28"/>
          <w:szCs w:val="28"/>
          <w:rtl w:val="true"/>
          <w:lang w:bidi="fa-IR"/>
        </w:rPr>
        <w:t>، بأن یملک حال العتق زیادة عن داره</w:t>
      </w:r>
    </w:p>
    <w:p>
      <w:pPr>
        <w:pStyle w:val="BookText"/>
        <w:rPr/>
      </w:pPr>
      <w:r>
        <w:rPr>
          <w:rFonts w:ascii="IRNazanin" w:hAnsi="IRNazanin" w:eastAsia="IRNazanin"/>
          <w:color w:val="111111"/>
          <w:sz w:val="28"/>
          <w:sz w:val="28"/>
          <w:szCs w:val="28"/>
          <w:rtl w:val="true"/>
          <w:lang w:bidi="fa-IR"/>
        </w:rPr>
        <w:t>و خادمه و دابّته و ثیابه المعتادة و قوت یومه له و لعیاله ممّا یسع نصیب الشریک أو</w:t>
      </w:r>
    </w:p>
    <w:p>
      <w:pPr>
        <w:pStyle w:val="BookText"/>
        <w:rPr/>
      </w:pPr>
      <w:r>
        <w:rPr>
          <w:rFonts w:ascii="IRNazanin" w:hAnsi="IRNazanin" w:eastAsia="IRNazanin"/>
          <w:color w:val="111111"/>
          <w:sz w:val="28"/>
          <w:sz w:val="28"/>
          <w:szCs w:val="28"/>
          <w:rtl w:val="true"/>
          <w:lang w:bidi="fa-IR"/>
        </w:rPr>
        <w:t>بعضه علی الأقوی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أیسر بعد العتق، فلا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Style w:val="FootnoteAnchor"/>
          <w:rtl w:val="true"/>
        </w:rPr>
        <w:footnoteReference w:id="1255"/>
      </w:r>
      <w:r>
        <w:rPr>
          <w:rFonts w:ascii="Amiri" w:hAnsi="Amiri" w:eastAsia="Amiri" w:cs="Amiri"/>
          <w:color w:val="111111"/>
          <w:sz w:val="28"/>
          <w:sz w:val="28"/>
          <w:szCs w:val="28"/>
          <w:rtl w:val="true"/>
          <w:lang w:bidi="ar-SA"/>
        </w:rPr>
        <w:t xml:space="preserve">و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القربة، </w:t>
      </w:r>
    </w:p>
    <w:p>
      <w:pPr>
        <w:pStyle w:val="BookText"/>
        <w:rPr/>
      </w:pPr>
      <w:r>
        <w:rPr>
          <w:rFonts w:ascii="IRNazanin" w:hAnsi="IRNazanin" w:eastAsia="IRNazanin"/>
          <w:color w:val="111111"/>
          <w:sz w:val="28"/>
          <w:sz w:val="28"/>
          <w:szCs w:val="28"/>
          <w:rtl w:val="true"/>
          <w:lang w:bidi="fa-IR"/>
        </w:rPr>
        <w:t>فلا تقویم، بل یسعی العبد، فإن أبی، لم یجبر، و إن قصد الإضرار، فکّه إن کان موسراً، و بطل العتق إن کان معسراً</w:t>
      </w:r>
      <w:r>
        <w:rPr>
          <w:rStyle w:val="FootnoteAnchor"/>
          <w:rtl w:val="true"/>
        </w:rPr>
        <w:footnoteReference w:id="1256"/>
      </w:r>
      <w:r>
        <w:rPr>
          <w:rFonts w:ascii="IRNazanin" w:hAnsi="IRNazanin" w:eastAsia="IRNazanin"/>
          <w:color w:val="111111"/>
          <w:sz w:val="28"/>
          <w:sz w:val="28"/>
          <w:szCs w:val="28"/>
          <w:rtl w:val="true"/>
          <w:lang w:bidi="fa-IR"/>
        </w:rPr>
        <w:t>، و به ورد الخبر الصحیح، عن الصادق</w:t>
      </w:r>
    </w:p>
    <w:p>
      <w:pPr>
        <w:pStyle w:val="BookText"/>
        <w:rPr/>
      </w:pPr>
      <w:r>
        <w:rPr>
          <w:rFonts w:ascii="IRNazanin" w:hAnsi="IRNazanin" w:eastAsia="IRNazanin"/>
          <w:color w:val="111111"/>
          <w:sz w:val="28"/>
          <w:sz w:val="28"/>
          <w:szCs w:val="28"/>
          <w:rtl w:val="true"/>
          <w:lang w:bidi="fa-IR"/>
        </w:rPr>
        <w:t>علیه‌السّلام</w:t>
      </w:r>
      <w:r>
        <w:rPr>
          <w:rStyle w:val="FootnoteAnchor"/>
          <w:rtl w:val="true"/>
        </w:rPr>
        <w:footnoteReference w:id="1257"/>
      </w:r>
      <w:r>
        <w:rPr>
          <w:rFonts w:ascii="IRNazanin" w:hAnsi="IRNazanin" w:eastAsia="IRNazanin"/>
          <w:color w:val="111111"/>
          <w:sz w:val="28"/>
          <w:sz w:val="28"/>
          <w:szCs w:val="28"/>
          <w:rtl w:val="true"/>
          <w:lang w:bidi="fa-IR"/>
        </w:rPr>
        <w:t xml:space="preserve">، و إن کان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 مع الیسار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إدریس أبطل العتق مع الإضرار ؛ لعدم التقرّب</w:t>
      </w:r>
      <w:r>
        <w:rPr>
          <w:rStyle w:val="FootnoteAnchor"/>
          <w:rtl w:val="true"/>
        </w:rPr>
        <w:footnoteReference w:id="1258"/>
      </w:r>
      <w:r>
        <w:rPr>
          <w:rFonts w:ascii="IRNazanin" w:hAnsi="IRNazanin" w:eastAsia="IRNazanin"/>
          <w:color w:val="111111"/>
          <w:sz w:val="28"/>
          <w:sz w:val="28"/>
          <w:szCs w:val="28"/>
          <w:rtl w:val="true"/>
          <w:lang w:bidi="fa-IR"/>
        </w:rPr>
        <w:t>، و ظاهر الروایة بخلافه</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العبد، و لم یذکر التقویم</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أعتق للّه</w:t>
      </w:r>
    </w:p>
    <w:p>
      <w:pPr>
        <w:pStyle w:val="BookText"/>
        <w:rPr/>
      </w:pPr>
      <w:r>
        <w:rPr>
          <w:rFonts w:ascii="IRNazanin" w:hAnsi="IRNazanin" w:eastAsia="IRNazanin"/>
          <w:color w:val="111111"/>
          <w:sz w:val="28"/>
          <w:sz w:val="28"/>
          <w:szCs w:val="28"/>
          <w:rtl w:val="true"/>
          <w:lang w:bidi="fa-IR"/>
        </w:rPr>
        <w:t>غیر مضارّ، تخیّر الشریک بین إلزامه قیمة نصیبه إن کان موسراً، و بین استسعاء العبد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للسرایة شرطان آخران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العتق اختیاریّاً، و یکفی اختیار السبب، کالشراء و الاتّهاب للقریب، و فی التنکیل إشکال، من تحریم السبب، و من تأثیره فی ملکه، فلو ورث شِقصاً من قریبه، لم یسر عند الحلّیّین</w:t>
      </w:r>
      <w:r>
        <w:rPr>
          <w:rStyle w:val="FootnoteAnchor"/>
          <w:rtl w:val="true"/>
        </w:rPr>
        <w:footnoteReference w:id="1262"/>
      </w:r>
      <w:r>
        <w:rPr>
          <w:rFonts w:ascii="IRNazanin" w:hAnsi="IRNazanin" w:eastAsia="IRNazanin"/>
          <w:color w:val="111111"/>
          <w:sz w:val="28"/>
          <w:sz w:val="28"/>
          <w:szCs w:val="28"/>
          <w:rtl w:val="true"/>
          <w:lang w:bidi="fa-IR"/>
        </w:rPr>
        <w:t xml:space="preserve">، 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یتعلّق بالشِقص حقّ لازم، کالوقف، و الکتابة، و الاستیلاد ؛ ترجیحاً لأسبق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بالسرایة ؛ للعموم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السرایة إلی الرهن أقوی، و أقوی منه التدبیر، و أقوی منهما الوصیّة بعتق الشِقص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جعل نصیب المعتق مورداً للعتق أو جمیع العبد، فلو جعله نصیب الشریک، لم یصحّ ؛ لامتناع کون التابع متبوعاً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أعتق الشریکان دفعة، فلا تقویم ؛ للتدافع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العتق باللفظ، أو بالأداء، أو المراعاة أوجه، و صحیحة محمّد بن قیس عن الصادق علیه‌السّلام مصرّحة بالشراء</w:t>
      </w:r>
      <w:r>
        <w:rPr>
          <w:rStyle w:val="FootnoteAnchor"/>
          <w:rtl w:val="true"/>
        </w:rPr>
        <w:footnoteReference w:id="1265"/>
      </w:r>
      <w:r>
        <w:rPr>
          <w:rFonts w:ascii="IRNazanin" w:hAnsi="IRNazanin" w:eastAsia="IRNazanin"/>
          <w:color w:val="111111"/>
          <w:sz w:val="28"/>
          <w:sz w:val="28"/>
          <w:szCs w:val="28"/>
          <w:rtl w:val="true"/>
          <w:lang w:bidi="fa-IR"/>
        </w:rPr>
        <w:t>، و هو عبارة الأکثر</w:t>
      </w:r>
      <w:r>
        <w:rPr>
          <w:rStyle w:val="FootnoteAnchor"/>
          <w:rtl w:val="true"/>
        </w:rPr>
        <w:footnoteReference w:id="1266"/>
      </w:r>
      <w:r>
        <w:rPr>
          <w:rFonts w:ascii="IRNazanin" w:hAnsi="IRNazanin" w:eastAsia="IRNazanin"/>
          <w:color w:val="111111"/>
          <w:sz w:val="28"/>
          <w:sz w:val="28"/>
          <w:szCs w:val="28"/>
          <w:rtl w:val="true"/>
          <w:lang w:bidi="fa-IR"/>
        </w:rPr>
        <w:t>، فعلی هذا یقوّی اعتبار الأداء، فلو أعتق الشریک حصّته، صحّ و تعتبر القیمة یوم الأداء، و لو مات العتیق قبله، مات مبعّضاً و لا شیء علی المباشر، و لو وجب علیه حدّ قبل الأداء، فکالمبعّض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أیسر المباشر بعد العتق، أمکن التقویم علی هذا القول، و لو اختلفا فی القیمة، عرض علی المُقوّمین، فإن تعذّر، حلف الشریک ؛ لأ نّه ینتزع منه، و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بالمباشرة، حلف المباشر ؛ لأ نّه 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اثنان دفعة، قوّمت حصّة مَن عداهما علیهما بالسویّة، تساویا أو اختلفا فی الحصّة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تداعی الشریکان العتق، حلفا و استقرّ الرقّ بینهما، و علی القول باللفظ، ینعتق علیهما مع یسارهما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یسعی العبد، یکون النصیب رقّاً حتّی یؤدّی فیعتق</w:t>
      </w:r>
      <w:r>
        <w:rPr>
          <w:rStyle w:val="FootnoteAnchor"/>
          <w:rtl w:val="true"/>
        </w:rPr>
        <w:footnoteReference w:id="1267"/>
      </w:r>
      <w:r>
        <w:rPr>
          <w:rFonts w:ascii="IRNazanin" w:hAnsi="IRNazanin" w:eastAsia="IRNazanin"/>
          <w:color w:val="111111"/>
          <w:sz w:val="28"/>
          <w:sz w:val="28"/>
          <w:szCs w:val="28"/>
          <w:rtl w:val="true"/>
          <w:lang w:bidi="fa-IR"/>
        </w:rPr>
        <w:t xml:space="preserve">، کالمکاتب المطلق و جمیع السعی له، و ظاهر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w:t>
      </w:r>
    </w:p>
    <w:p>
      <w:pPr>
        <w:pStyle w:val="BookText"/>
        <w:rPr/>
      </w:pPr>
      <w:r>
        <w:rPr>
          <w:rFonts w:ascii="IRNazanin" w:hAnsi="IRNazanin" w:eastAsia="IRNazanin"/>
          <w:color w:val="111111"/>
          <w:sz w:val="28"/>
          <w:sz w:val="28"/>
          <w:szCs w:val="28"/>
          <w:rtl w:val="true"/>
          <w:lang w:bidi="fa-IR"/>
        </w:rPr>
        <w:t>السعی علیه</w:t>
      </w:r>
      <w:r>
        <w:rPr>
          <w:rStyle w:val="FootnoteAnchor"/>
          <w:rtl w:val="true"/>
        </w:rPr>
        <w:footnoteReference w:id="1268"/>
      </w:r>
      <w:r>
        <w:rPr>
          <w:rFonts w:ascii="IRNazanin" w:hAnsi="IRNazanin" w:eastAsia="IRNazanin"/>
          <w:color w:val="111111"/>
          <w:sz w:val="28"/>
          <w:sz w:val="28"/>
          <w:szCs w:val="28"/>
          <w:rtl w:val="true"/>
          <w:lang w:bidi="fa-IR"/>
        </w:rPr>
        <w:t>، فیتهایئان، فیتناول المعتاد، کالاحتطاب، و النادر، کالالتقاط، و النفقة و الفطرة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ملک بجزئه الحرّ مالاً لم یشارکه المولی، کالإرث و الوصیّة</w:t>
      </w:r>
    </w:p>
    <w:p>
      <w:pPr>
        <w:pStyle w:val="BookText"/>
        <w:rPr/>
      </w:pPr>
      <w:r>
        <w:rPr>
          <w:rFonts w:ascii="IRNazanin" w:hAnsi="IRNazanin" w:eastAsia="IRNazanin"/>
          <w:color w:val="111111"/>
          <w:sz w:val="28"/>
          <w:sz w:val="28"/>
          <w:szCs w:val="28"/>
          <w:rtl w:val="true"/>
          <w:lang w:bidi="fa-IR"/>
        </w:rPr>
        <w:t>و ءان کان فی نوبة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امتنعا من المهایاة، لم یجبرا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فروع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بعتق نصیبه و نصیب شریکه، فعلی القول بالسرایة فالوصیّة تأکید و یجبر الشریک علی أخذ القیمة، و علی القول الآخر یحتمل المساواة ؛ إذ عتق البعض سبب فی التقویم ما لم یمنع مانع و هنا زال المانع أعنی حقّ الوارث من الترکة بالإیصاء، و یحتمل المنع، کما لو أوصی بشراء عبد الغیر و عتقه، فإنّه لا یجبر</w:t>
      </w:r>
    </w:p>
    <w:p>
      <w:pPr>
        <w:pStyle w:val="BookText"/>
        <w:rPr/>
      </w:pPr>
      <w:r>
        <w:rPr>
          <w:rFonts w:ascii="IRNazanin" w:hAnsi="IRNazanin" w:eastAsia="IRNazanin"/>
          <w:color w:val="111111"/>
          <w:sz w:val="28"/>
          <w:sz w:val="28"/>
          <w:szCs w:val="28"/>
          <w:rtl w:val="true"/>
          <w:lang w:bidi="fa-IR"/>
        </w:rPr>
        <w:t>مالکه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أعتق بعض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بتبعیّة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أدخله فی المعتق</w:t>
      </w:r>
      <w:r>
        <w:rPr>
          <w:rStyle w:val="FootnoteAnchor"/>
          <w:rtl w:val="true"/>
        </w:rPr>
        <w:footnoteReference w:id="1269"/>
      </w:r>
      <w:r>
        <w:rPr>
          <w:rFonts w:ascii="IRNazanin" w:hAnsi="IRNazanin" w:eastAsia="IRNazanin"/>
          <w:color w:val="111111"/>
          <w:sz w:val="28"/>
          <w:sz w:val="28"/>
          <w:szCs w:val="28"/>
          <w:rtl w:val="true"/>
          <w:lang w:bidi="fa-IR"/>
        </w:rPr>
        <w:t>و تأخّر الأداء حتّی وضعت، بنی علی ما مرّ، فعلی اعتبار الأداء یلزم بقیمة نصیب الشریک من الحمل منفصلاً یوم الأداء لا حین سقوطه، و علی الآخر، تقوّم حبلی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الشریک صنعة تزید بها القیمة، فإن تعذّر استعلامها، حلف المعتق، و إن کان محسناً لها فعلی الأداء یقوّم صانعاً، و علی الإعتاق یحلف المعتق علی عدم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أدّی القیمة، ثمّ طالبه الشریک بالصنعة فادّعی تأخّرها عن الأداء، حلف إن أمکن التجدّد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شریکه فی عتق نصیبه، فبادر إلی عتق ملکه، قوّم علیه نصیب الموکّل إن لم نشرط</w:t>
      </w:r>
      <w:r>
        <w:rPr>
          <w:rStyle w:val="FootnoteAnchor"/>
          <w:rtl w:val="true"/>
        </w:rPr>
        <w:footnoteReference w:id="1270"/>
      </w:r>
      <w:r>
        <w:rPr>
          <w:rFonts w:ascii="IRNazanin" w:hAnsi="IRNazanin" w:eastAsia="IRNazanin"/>
          <w:color w:val="111111"/>
          <w:sz w:val="28"/>
          <w:sz w:val="28"/>
          <w:szCs w:val="28"/>
          <w:rtl w:val="true"/>
          <w:lang w:bidi="fa-IR"/>
        </w:rPr>
        <w:t xml:space="preserve">الأداء، و إن شرطناه فللوکیل إعتاقه و لا تقویم، و إن بادر </w:t>
      </w:r>
      <w:bookmarkStart w:id="177" w:name="pg13665_219161"/>
    </w:p>
    <w:p>
      <w:pPr>
        <w:pStyle w:val="BookText"/>
        <w:rPr/>
      </w:pPr>
      <w:bookmarkEnd w:id="177"/>
      <w:r>
        <w:rPr>
          <w:rFonts w:ascii="Amiri" w:hAnsi="Amiri" w:eastAsia="Amiri" w:cs="Amiri"/>
          <w:color w:val="111111"/>
          <w:sz w:val="28"/>
          <w:sz w:val="28"/>
          <w:szCs w:val="28"/>
          <w:rtl w:val="true"/>
          <w:lang w:bidi="ar-SA"/>
        </w:rPr>
        <w:t>بعتق ما وُکّل فیه، قوّم علی الموکّل ؛ لأ نّه سبب، و ربّما احتمل عدم التقویم ؛ لأنّ</w:t>
      </w:r>
    </w:p>
    <w:p>
      <w:pPr>
        <w:pStyle w:val="BookText"/>
        <w:rPr/>
      </w:pPr>
      <w:r>
        <w:rPr>
          <w:rFonts w:ascii="IRNazanin" w:hAnsi="IRNazanin" w:eastAsia="IRNazanin"/>
          <w:color w:val="111111"/>
          <w:sz w:val="28"/>
          <w:sz w:val="28"/>
          <w:szCs w:val="28"/>
          <w:rtl w:val="true"/>
          <w:lang w:bidi="fa-IR"/>
        </w:rPr>
        <w:t>المباشر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أعتقهما دفعة فلا تقویم، و إن أعتق نصفاً شائعاً منهما، أمکن أن یقوّم علی</w:t>
      </w:r>
    </w:p>
    <w:p>
      <w:pPr>
        <w:pStyle w:val="BookText"/>
        <w:rPr/>
      </w:pPr>
      <w:r>
        <w:rPr>
          <w:rFonts w:ascii="IRNazanin" w:hAnsi="IRNazanin" w:eastAsia="IRNazanin"/>
          <w:color w:val="111111"/>
          <w:sz w:val="28"/>
          <w:sz w:val="28"/>
          <w:szCs w:val="28"/>
          <w:rtl w:val="true"/>
          <w:lang w:bidi="fa-IR"/>
        </w:rPr>
        <w:t xml:space="preserve">کلّ واحد منهما ربع العبد، و إن أعتق نصفاً و لم ینو شیئاً،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إلیهما، و یحتمل إلی نصیبه ؛ لأنّ تصرّفه فی ماله هو الغالب، و یحتمل إلی نصیب الشریک ؛ لأ نّه المأذون فیه، و البطلان ؛ لعدم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کلّف العبد السعی لإعسار المباشر، انقطع بإعتاق صاحب النصیب، و لو قلنا بأ نّه یسعی سعی الأحرار، بطل العتق ؛ لأ نّه تحصیل الحاصل</w:t>
      </w:r>
      <w:r>
        <w:rPr>
          <w:rFonts w:eastAsia="IRNazanin" w:cs="IRNazanin"/>
          <w:color w:val="111111"/>
          <w:sz w:val="28"/>
          <w:szCs w:val="28"/>
          <w:rtl w:val="true"/>
          <w:lang w:bidi="fa-IR"/>
        </w:rPr>
        <w:t>.</w:t>
      </w:r>
    </w:p>
    <w:p>
      <w:pPr>
        <w:pStyle w:val="Heading3"/>
        <w:numPr>
          <w:ilvl w:val="2"/>
          <w:numId w:val="1"/>
        </w:numPr>
        <w:rPr/>
      </w:pPr>
      <w:bookmarkStart w:id="178" w:name="__RefHeading___Toc2071331_3830689328"/>
      <w:bookmarkStart w:id="179" w:name="_Toc60"/>
      <w:bookmarkEnd w:id="178"/>
      <w:r>
        <w:rPr>
          <w:rtl w:val="true"/>
        </w:rPr>
        <w:t xml:space="preserve">درس </w:t>
      </w:r>
      <w:r>
        <w:rPr>
          <w:rtl w:val="true"/>
        </w:rPr>
        <w:t>(</w:t>
      </w:r>
      <w:r>
        <w:rPr/>
        <w:t>162</w:t>
      </w:r>
      <w:r>
        <w:rPr>
          <w:rtl w:val="true"/>
        </w:rPr>
        <w:t>)</w:t>
      </w:r>
      <w:bookmarkEnd w:id="179"/>
    </w:p>
    <w:p>
      <w:pPr>
        <w:pStyle w:val="BookText"/>
        <w:rPr/>
      </w:pPr>
      <w:r>
        <w:rPr>
          <w:rFonts w:ascii="IRNazanin" w:hAnsi="IRNazanin" w:eastAsia="IRNazanin"/>
          <w:color w:val="111111"/>
          <w:sz w:val="28"/>
          <w:sz w:val="28"/>
          <w:szCs w:val="28"/>
          <w:rtl w:val="true"/>
          <w:lang w:bidi="fa-IR"/>
        </w:rPr>
        <w:t>إذا تبرّع بالعتق، ثبت الولاء للمنعم، و سری من الجانبین فیرث به أقرباء المنعم العتیق و ذرّیّته، ما لم یکن أحدهم حرّ الأصل فلا ولاء علیه، أو یکن ثَمَّ نسب و إن</w:t>
      </w:r>
    </w:p>
    <w:p>
      <w:pPr>
        <w:pStyle w:val="BookText"/>
        <w:rPr/>
      </w:pPr>
      <w:r>
        <w:rPr>
          <w:rFonts w:ascii="IRNazanin" w:hAnsi="IRNazanin" w:eastAsia="IRNazanin"/>
          <w:color w:val="111111"/>
          <w:sz w:val="28"/>
          <w:sz w:val="28"/>
          <w:szCs w:val="28"/>
          <w:rtl w:val="true"/>
          <w:lang w:bidi="fa-IR"/>
        </w:rPr>
        <w:t>بعد، أو تبرّأ المعتق من ضمان الجریرة عند العتق لا بعده علی قول قویّ</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الإشهاد فی 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شرط فی ثبوته، و علیه تحمل صحیحة ابن سنان، عن الصادق علیه‌السّلام فی الأمر بالإشهاد</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ابن الجنید</w:t>
      </w:r>
      <w:r>
        <w:rPr>
          <w:rStyle w:val="FootnoteAnchor"/>
          <w:rtl w:val="true"/>
        </w:rPr>
        <w:footnoteReference w:id="1273"/>
      </w:r>
      <w:r>
        <w:rPr>
          <w:rFonts w:ascii="IRNazanin" w:hAnsi="IRNazanin" w:eastAsia="IRNazanin"/>
          <w:color w:val="111111"/>
          <w:sz w:val="28"/>
          <w:sz w:val="28"/>
          <w:szCs w:val="28"/>
          <w:rtl w:val="true"/>
          <w:lang w:bidi="fa-IR"/>
        </w:rPr>
        <w:t>، و الصدوق</w:t>
      </w:r>
      <w:r>
        <w:rPr>
          <w:rStyle w:val="FootnoteAnchor"/>
          <w:rtl w:val="true"/>
        </w:rPr>
        <w:footnoteReference w:id="1274"/>
      </w:r>
      <w:r>
        <w:rPr>
          <w:rFonts w:ascii="Amiri" w:hAnsi="Amiri" w:eastAsia="Amiri" w:cs="Amiri"/>
          <w:color w:val="111111"/>
          <w:sz w:val="28"/>
          <w:sz w:val="28"/>
          <w:szCs w:val="28"/>
          <w:rtl w:val="true"/>
          <w:lang w:bidi="ar-SA"/>
        </w:rPr>
        <w:t xml:space="preserve">، و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شرط الصحّة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یرث العتیق المنعم، و نقل الشیخ فیه الإجماع</w:t>
      </w:r>
      <w:r>
        <w:rPr>
          <w:rStyle w:val="FootnoteAnchor"/>
          <w:rtl w:val="true"/>
        </w:rPr>
        <w:footnoteReference w:id="1276"/>
      </w:r>
      <w:r>
        <w:rPr>
          <w:rFonts w:ascii="IRNazanin" w:hAnsi="IRNazanin" w:eastAsia="IRNazanin"/>
          <w:color w:val="111111"/>
          <w:sz w:val="28"/>
          <w:sz w:val="28"/>
          <w:szCs w:val="28"/>
          <w:rtl w:val="true"/>
          <w:lang w:bidi="fa-IR"/>
        </w:rPr>
        <w:t>، و به یضعّف قول الصدوق</w:t>
      </w:r>
      <w:r>
        <w:rPr>
          <w:rStyle w:val="FootnoteAnchor"/>
          <w:rtl w:val="true"/>
        </w:rPr>
        <w:footnoteReference w:id="1277"/>
      </w:r>
      <w:r>
        <w:rPr>
          <w:rFonts w:ascii="IRNazanin" w:hAnsi="IRNazanin" w:eastAsia="IRNazanin"/>
          <w:color w:val="111111"/>
          <w:sz w:val="28"/>
          <w:sz w:val="28"/>
          <w:szCs w:val="28"/>
          <w:rtl w:val="true"/>
          <w:lang w:bidi="fa-IR"/>
        </w:rPr>
        <w:t>، و ابن الجنید بالإرث</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دار الولاء، توارثا، کما لو اشتری العتیق أبا المنعم فأعتقه و انجرّ ولاؤه من مولی أُمّ المُنعِم إلی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یورث الولاء ؛ لأ نّه لحمة کلحمة النَّسب و النسب لا یورث، فلو خلّف المنعم ابنین</w:t>
      </w:r>
      <w:r>
        <w:rPr>
          <w:rStyle w:val="FootnoteAnchor"/>
          <w:rtl w:val="true"/>
        </w:rPr>
        <w:footnoteReference w:id="1279"/>
      </w:r>
      <w:r>
        <w:rPr>
          <w:rFonts w:ascii="IRNazanin" w:hAnsi="IRNazanin" w:eastAsia="IRNazanin"/>
          <w:color w:val="111111"/>
          <w:sz w:val="28"/>
          <w:sz w:val="28"/>
          <w:szCs w:val="28"/>
          <w:rtl w:val="true"/>
          <w:lang w:bidi="fa-IR"/>
        </w:rPr>
        <w:t>و مات أحدهما عن ابن، ثمّ العتیق، فولاؤه للابن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جعلناه موروثاً، شارکه ابن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یحجب الزوج المنعم عن النصف، خلافاً للحلبیّ، و وافق فی عدم حجب الزوجة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اختلف الأصحاب فی الوارث بالولاء، ففی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بیننا أ نّه العصبة دون الأولاد إذا کان المنعم امرأة</w:t>
      </w:r>
      <w:r>
        <w:rPr>
          <w:rStyle w:val="FootnoteAnchor"/>
          <w:rtl w:val="true"/>
        </w:rPr>
        <w:footnoteReference w:id="1281"/>
      </w:r>
      <w:r>
        <w:rPr>
          <w:rFonts w:ascii="IRNazanin" w:hAnsi="IRNazanin" w:eastAsia="IRNazanin"/>
          <w:color w:val="111111"/>
          <w:sz w:val="28"/>
          <w:sz w:val="28"/>
          <w:szCs w:val="28"/>
          <w:rtl w:val="true"/>
          <w:lang w:bidi="fa-IR"/>
        </w:rPr>
        <w:t>، و کأ نّه لم یعتدّ بخلاف الحسن حیث جعل الولاء لأولادها مطلقاً</w:t>
      </w:r>
      <w:r>
        <w:rPr>
          <w:rStyle w:val="FootnoteAnchor"/>
          <w:rtl w:val="true"/>
        </w:rPr>
        <w:footnoteReference w:id="1282"/>
      </w:r>
      <w:r>
        <w:rPr>
          <w:rFonts w:ascii="IRNazanin" w:hAnsi="IRNazanin" w:eastAsia="IRNazanin"/>
          <w:color w:val="111111"/>
          <w:sz w:val="28"/>
          <w:sz w:val="28"/>
          <w:szCs w:val="28"/>
          <w:rtl w:val="true"/>
          <w:lang w:bidi="fa-IR"/>
        </w:rPr>
        <w:t>، و المفید حیث خصّه بالذکور</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رجلاً فأولاده الذکور و الإناث علی الأظهر فی المذهب</w:t>
      </w:r>
      <w:r>
        <w:rPr>
          <w:rStyle w:val="FootnoteAnchor"/>
          <w:rtl w:val="true"/>
        </w:rPr>
        <w:footnoteReference w:id="1284"/>
      </w:r>
      <w:r>
        <w:rPr>
          <w:rFonts w:ascii="IRNazanin" w:hAnsi="IRNazanin" w:eastAsia="IRNazanin"/>
          <w:color w:val="111111"/>
          <w:sz w:val="28"/>
          <w:sz w:val="28"/>
          <w:szCs w:val="28"/>
          <w:rtl w:val="true"/>
          <w:lang w:bidi="fa-IR"/>
        </w:rPr>
        <w:t xml:space="preserve">؛ لروایة عبدالرحمان بن الحجّاج،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رسول‌اللّه </w:t>
      </w:r>
    </w:p>
    <w:p>
      <w:pPr>
        <w:pStyle w:val="BookText"/>
        <w:rPr/>
      </w:pPr>
      <w:r>
        <w:rPr>
          <w:rFonts w:ascii="IRNazanin" w:hAnsi="IRNazanin" w:eastAsia="IRNazanin"/>
          <w:color w:val="111111"/>
          <w:sz w:val="28"/>
          <w:sz w:val="28"/>
          <w:szCs w:val="28"/>
          <w:rtl w:val="true"/>
          <w:lang w:bidi="fa-IR"/>
        </w:rPr>
        <w:t>صلّی‌اللّه علیه و آله دفع میراث مولی حمزة إلی ابنته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لقوله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لحمة کلحمة النسب لا یباع و لا یوهب</w:t>
      </w:r>
      <w:r>
        <w:rPr>
          <w:rFonts w:eastAsia="IRNazanin" w:cs="IRNazanin"/>
          <w:color w:val="111111"/>
          <w:sz w:val="28"/>
          <w:szCs w:val="28"/>
          <w:rtl w:val="true"/>
          <w:lang w:bidi="fa-IR"/>
        </w:rPr>
        <w:t>»</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 نّه أبعد من قول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البنات الولاء</w:t>
      </w:r>
      <w:r>
        <w:rPr>
          <w:rStyle w:val="FootnoteAnchor"/>
          <w:rtl w:val="true"/>
        </w:rPr>
        <w:footnoteReference w:id="1287"/>
      </w:r>
      <w:r>
        <w:rPr>
          <w:rFonts w:ascii="IRNazanin" w:hAnsi="IRNazanin" w:eastAsia="IRNazanin"/>
          <w:color w:val="111111"/>
          <w:sz w:val="28"/>
          <w:sz w:val="28"/>
          <w:szCs w:val="28"/>
          <w:rtl w:val="true"/>
          <w:lang w:bidi="fa-IR"/>
        </w:rPr>
        <w:t>؛ لصحیحتی</w:t>
      </w:r>
      <w:r>
        <w:rPr>
          <w:rStyle w:val="FootnoteAnchor"/>
          <w:rtl w:val="true"/>
        </w:rPr>
        <w:footnoteReference w:id="1288"/>
      </w:r>
      <w:r>
        <w:rPr>
          <w:rFonts w:ascii="Amiri" w:hAnsi="Amiri" w:eastAsia="Amiri" w:cs="Amiri"/>
          <w:color w:val="111111"/>
          <w:sz w:val="28"/>
          <w:sz w:val="28"/>
          <w:szCs w:val="28"/>
          <w:rtl w:val="true"/>
          <w:lang w:bidi="ar-SA"/>
        </w:rPr>
        <w:t>محمّد بن قیس</w:t>
      </w:r>
      <w:r>
        <w:rPr>
          <w:rStyle w:val="FootnoteAnchor"/>
          <w:rtl w:val="true"/>
        </w:rPr>
        <w:footnoteReference w:id="1289"/>
      </w:r>
      <w:r>
        <w:rPr>
          <w:rFonts w:ascii="IRNazanin" w:hAnsi="IRNazanin" w:eastAsia="IRNazanin"/>
          <w:color w:val="111111"/>
          <w:sz w:val="28"/>
          <w:sz w:val="28"/>
          <w:szCs w:val="28"/>
          <w:rtl w:val="true"/>
          <w:lang w:bidi="fa-IR"/>
        </w:rPr>
        <w:t>و برید عن الباقر و الصادق علیهماالسّلام</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 نّهنّ لا یعقلن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لوارث المال حتّی قرابة الأُمّ</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 أیضاً الأولاد ذکوراً و إناثاً</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المختار، و الصحیحتان</w:t>
      </w:r>
      <w:r>
        <w:rPr>
          <w:rStyle w:val="FootnoteAnchor"/>
          <w:rtl w:val="true"/>
        </w:rPr>
        <w:footnoteReference w:id="1293"/>
      </w:r>
      <w:r>
        <w:rPr>
          <w:rFonts w:ascii="IRNazanin" w:hAnsi="IRNazanin" w:eastAsia="IRNazanin"/>
          <w:color w:val="111111"/>
          <w:sz w:val="28"/>
          <w:sz w:val="28"/>
          <w:szCs w:val="28"/>
          <w:rtl w:val="true"/>
          <w:lang w:bidi="fa-IR"/>
        </w:rPr>
        <w:t>تقیّةً کما أومأ إلیه الحسن رحمه‌اللّه‌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باقی الإناث، کالجدّات، و الأخوات، و الأُمّ و قرابتها، فروایة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الوارث العصبة، تدلّ علی عدم إرثهنّ، و اختاره جماعة</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اللُحمة یقتضی التوریث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ترثه النساء</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المرأة بالولاء إلاّ عتیقها أو عتیقه فنازلاً</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یتقاسم الإخوة، للذکر ضعف الأُنثی</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ترثه قرابة الأُمّ</w:t>
      </w:r>
      <w:r>
        <w:rPr>
          <w:rStyle w:val="FootnoteAnchor"/>
          <w:rtl w:val="true"/>
        </w:rPr>
        <w:footnoteReference w:id="1299"/>
      </w:r>
      <w:r>
        <w:rPr>
          <w:rFonts w:ascii="IRNazanin" w:hAnsi="IRNazanin" w:eastAsia="IRNazanin"/>
          <w:color w:val="111111"/>
          <w:sz w:val="28"/>
          <w:sz w:val="28"/>
          <w:szCs w:val="28"/>
          <w:rtl w:val="true"/>
          <w:lang w:bidi="fa-IR"/>
        </w:rPr>
        <w:t xml:space="preserve">، و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النساء من قبل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یشترک الأب و الابن فی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یشترک الجدّ للأب و الأخ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w:t>
      </w:r>
      <w:r>
        <w:rPr>
          <w:rStyle w:val="FootnoteAnchor"/>
          <w:rtl w:val="true"/>
        </w:rPr>
        <w:footnoteReference w:id="1300"/>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یصحّ بیع الولاء، و لا هبته، و لا اشتراطه فی بیع أو غیره، و لا نقله عن محلّه بوجه، و یثبت علی المدبّر إجماعاً، و الموصی بعتقه، و فی أُمّ الولد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 الشیخ</w:t>
      </w:r>
      <w:r>
        <w:rPr>
          <w:rStyle w:val="FootnoteAnchor"/>
          <w:rtl w:val="true"/>
        </w:rPr>
        <w:footnoteReference w:id="1301"/>
      </w:r>
      <w:r>
        <w:rPr>
          <w:rFonts w:ascii="IRNazanin" w:hAnsi="IRNazanin" w:eastAsia="IRNazanin"/>
          <w:color w:val="111111"/>
          <w:sz w:val="28"/>
          <w:sz w:val="28"/>
          <w:szCs w:val="28"/>
          <w:rtl w:val="true"/>
          <w:lang w:bidi="fa-IR"/>
        </w:rPr>
        <w:t>، و نفاه ابن إدریس</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عتق القریب، سواء ملکه بعوض أو لا ؛ لروایة سماعة</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الولاء للمعتق</w:t>
      </w:r>
      <w:r>
        <w:rPr>
          <w:rStyle w:val="FootnoteAnchor"/>
          <w:rtl w:val="true"/>
        </w:rPr>
        <w:footnoteReference w:id="1304"/>
      </w:r>
      <w:r>
        <w:rPr>
          <w:rFonts w:ascii="IRNazanin" w:hAnsi="IRNazanin" w:eastAsia="IRNazanin"/>
          <w:color w:val="111111"/>
          <w:sz w:val="28"/>
          <w:sz w:val="28"/>
          <w:szCs w:val="28"/>
          <w:rtl w:val="true"/>
          <w:lang w:bidi="fa-IR"/>
        </w:rPr>
        <w:t>، و به احتجّ الشیخ</w:t>
      </w:r>
      <w:r>
        <w:rPr>
          <w:rStyle w:val="FootnoteAnchor"/>
          <w:rtl w:val="true"/>
        </w:rPr>
        <w:footnoteReference w:id="1305"/>
      </w:r>
      <w:r>
        <w:rPr>
          <w:rFonts w:ascii="IRNazanin" w:hAnsi="IRNazanin" w:eastAsia="IRNazanin"/>
          <w:color w:val="111111"/>
          <w:sz w:val="28"/>
          <w:sz w:val="28"/>
          <w:szCs w:val="28"/>
          <w:rtl w:val="true"/>
          <w:lang w:bidi="fa-IR"/>
        </w:rPr>
        <w:t xml:space="preserve">، و أثبت الولاء علی المکاتب مع الشرط، و علی المشتری نفسه مع الشرط، و لمن تبرّع بالعتق عن </w:t>
      </w:r>
    </w:p>
    <w:p>
      <w:pPr>
        <w:pStyle w:val="BookText"/>
        <w:rPr/>
      </w:pPr>
      <w:r>
        <w:rPr>
          <w:rFonts w:ascii="IRNazanin" w:hAnsi="IRNazanin" w:eastAsia="IRNazanin"/>
          <w:color w:val="111111"/>
          <w:sz w:val="28"/>
          <w:sz w:val="28"/>
          <w:szCs w:val="28"/>
          <w:rtl w:val="true"/>
          <w:lang w:bidi="fa-IR"/>
        </w:rPr>
        <w:t>الغیر حیّاً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یقع العتق عن المعتق عنه</w:t>
      </w:r>
      <w:r>
        <w:rPr>
          <w:rStyle w:val="FootnoteAnchor"/>
          <w:rtl w:val="true"/>
        </w:rPr>
        <w:footnoteReference w:id="1306"/>
      </w:r>
      <w:r>
        <w:rPr>
          <w:rFonts w:ascii="IRNazanin" w:hAnsi="IRNazanin" w:eastAsia="IRNazanin"/>
          <w:color w:val="111111"/>
          <w:sz w:val="28"/>
          <w:sz w:val="28"/>
          <w:szCs w:val="28"/>
          <w:rtl w:val="true"/>
          <w:lang w:bidi="fa-IR"/>
        </w:rPr>
        <w:t>؛ لأنّ العتق عنه إحداث ولاء له بعد موته فامتنع، کما امتنع إلحاق نسب به ؛ لمساواة الولاء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حمزة</w:t>
      </w:r>
      <w:r>
        <w:rPr>
          <w:rStyle w:val="FootnoteAnchor"/>
          <w:rtl w:val="true"/>
        </w:rPr>
        <w:footnoteReference w:id="1307"/>
      </w:r>
      <w:r>
        <w:rPr>
          <w:rFonts w:ascii="IRNazanin" w:hAnsi="IRNazanin" w:eastAsia="IRNazanin"/>
          <w:color w:val="111111"/>
          <w:sz w:val="28"/>
          <w:sz w:val="28"/>
          <w:szCs w:val="28"/>
          <w:rtl w:val="true"/>
          <w:lang w:bidi="fa-IR"/>
        </w:rPr>
        <w:t>و أثبته علی المنذور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نفوا الولاء عن المعتق فی الکفّارة، صرّح به الشیخ فی مواضع</w:t>
      </w:r>
      <w:r>
        <w:rPr>
          <w:rStyle w:val="FootnoteAnchor"/>
          <w:rtl w:val="true"/>
        </w:rPr>
        <w:footnoteReference w:id="1308"/>
      </w:r>
      <w:r>
        <w:rPr>
          <w:rFonts w:ascii="IRNazanin" w:hAnsi="IRNazanin" w:eastAsia="IRNazanin"/>
          <w:color w:val="111111"/>
          <w:sz w:val="28"/>
          <w:sz w:val="28"/>
          <w:szCs w:val="28"/>
          <w:rtl w:val="true"/>
          <w:lang w:bidi="fa-IR"/>
        </w:rPr>
        <w:t xml:space="preserve">، و هو فی صحیح برید بن معاویة، عن الصادق علیه‌السّلام،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العتق الواجب لا ولاء فیه و أنّ الولاء للمتبرّع بالعتق عن أبیه بعد موته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فصل الکفّارات من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الولاء علی المعتق فی الکفّارة</w:t>
      </w:r>
      <w:r>
        <w:rPr>
          <w:rStyle w:val="FootnoteAnchor"/>
          <w:rtl w:val="true"/>
        </w:rPr>
        <w:footnoteReference w:id="1310"/>
      </w:r>
      <w:r>
        <w:rPr>
          <w:rFonts w:ascii="IRNazanin" w:hAnsi="IRNazanin" w:eastAsia="IRNazanin"/>
          <w:color w:val="111111"/>
          <w:sz w:val="28"/>
          <w:sz w:val="28"/>
          <w:szCs w:val="28"/>
          <w:rtl w:val="true"/>
          <w:lang w:bidi="fa-IR"/>
        </w:rPr>
        <w:t xml:space="preserve">، 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حکایة ؛ لتصریحه قبله بعدمه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یثبت الولاء للکافر و لو علی مسلم، و إرثه مراعی بإسلامه و إسلام مَن ینتقل إلیه، و لا یثبت بالالتقاط، و قول عمر</w:t>
      </w:r>
      <w:r>
        <w:rPr>
          <w:rStyle w:val="FootnoteAnchor"/>
          <w:rtl w:val="true"/>
        </w:rPr>
        <w:footnoteReference w:id="1312"/>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ینجرّ إلی مولی الأب من مولی الأُمّ إذا کان عبداً حین الولادة، و لو کان أحدهما حرّ الأصل، فلا ولاء و لا جرّ، و لو سبق عتق الجدّ، جرّه و جرّ منه بعتق الأب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مات عتیق الکافر و هو حیّ و العتیق مسلم، فولاؤه للإمام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للکافر ولد مسلم أو قریب، ففی إرثه هنا نظر، من أ نّه لحمة کلحمة النسب، و من فقد شرط الانتقال</w:t>
      </w:r>
      <w:r>
        <w:rPr>
          <w:rFonts w:eastAsia="IRNazanin" w:cs="IRNazanin"/>
          <w:color w:val="111111"/>
          <w:sz w:val="28"/>
          <w:szCs w:val="28"/>
          <w:rtl w:val="true"/>
          <w:lang w:bidi="fa-IR"/>
        </w:rPr>
        <w:t xml:space="preserve">. </w:t>
      </w:r>
      <w:bookmarkStart w:id="180" w:name="pg13665_21916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1" w:name="__RefHeading___Toc2071333_3830689328"/>
      <w:bookmarkStart w:id="182" w:name="_Toc61"/>
      <w:bookmarkEnd w:id="180"/>
      <w:bookmarkEnd w:id="181"/>
      <w:r>
        <w:rPr>
          <w:rtl w:val="true"/>
        </w:rPr>
        <w:t>کتاب أُمّ الولد</w:t>
      </w:r>
      <w:bookmarkEnd w:id="18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کتاب أُمّ الولد</w:t>
      </w:r>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حملت من مولاها بحُرٍّ فی ملکه، فلا یثبت فی علوق الزوجة و الموطوءة بشبهة و إن ملکها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w:t>
      </w:r>
      <w:r>
        <w:rPr>
          <w:rStyle w:val="FootnoteAnchor"/>
          <w:rtl w:val="true"/>
        </w:rPr>
        <w:footnoteReference w:id="1313"/>
      </w:r>
      <w:r>
        <w:rPr>
          <w:rFonts w:ascii="IRNazanin" w:hAnsi="IRNazanin" w:eastAsia="IRNazanin"/>
          <w:color w:val="111111"/>
          <w:sz w:val="28"/>
          <w:sz w:val="28"/>
          <w:szCs w:val="28"/>
          <w:rtl w:val="true"/>
          <w:lang w:bidi="fa-IR"/>
        </w:rPr>
        <w:t xml:space="preserve">و موضع من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إذا ملکها، سواء کان الولد حرّاً أو رقّاً إذا ملکه فعتق</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کون الولد حرّاً</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مارد عدم الثبوت</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بعلوقها من المکاتب المشروط إذا عجز، و لو أدّی،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العبد إذا ملّکناه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تحریم الوط‌ء لعارض</w:t>
      </w:r>
      <w:r>
        <w:rPr>
          <w:rStyle w:val="FootnoteAnchor"/>
          <w:rtl w:val="true"/>
        </w:rPr>
        <w:footnoteReference w:id="1317"/>
      </w:r>
      <w:r>
        <w:rPr>
          <w:rFonts w:ascii="IRNazanin" w:hAnsi="IRNazanin" w:eastAsia="IRNazanin"/>
          <w:color w:val="111111"/>
          <w:sz w:val="28"/>
          <w:sz w:val="28"/>
          <w:szCs w:val="28"/>
          <w:rtl w:val="true"/>
          <w:lang w:bidi="fa-IR"/>
        </w:rPr>
        <w:t>، کالصوم، و الحیض، و الرهن من نفوذ</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التحریم بتزویج الأمة أو بالرضاع إذا قلنا بعدم العتق عند ملکها فقد</w:t>
      </w:r>
      <w:r>
        <w:rPr>
          <w:rStyle w:val="FootnoteAnchor"/>
          <w:rtl w:val="true"/>
        </w:rPr>
        <w:footnoteReference w:id="1318"/>
      </w:r>
      <w:r>
        <w:rPr>
          <w:rFonts w:ascii="IRNazanin" w:hAnsi="IRNazanin" w:eastAsia="IRNazanin"/>
          <w:color w:val="111111"/>
          <w:sz w:val="28"/>
          <w:sz w:val="28"/>
          <w:szCs w:val="28"/>
          <w:rtl w:val="true"/>
          <w:lang w:bidi="fa-IR"/>
        </w:rPr>
        <w:t>قال فی المبسوط بنفوذه</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إذا علم بالتحریم ؛ لتوجّه الحدّ علیه، فلا یلحقه النسب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لابدّ مع الاشتباه من شهادة أربع من النساء ذوات الخبرة بأنّ ذلک مبدأ خلق</w:t>
      </w:r>
    </w:p>
    <w:p>
      <w:pPr>
        <w:pStyle w:val="BookText"/>
        <w:rPr/>
      </w:pPr>
      <w:r>
        <w:rPr>
          <w:rFonts w:ascii="IRNazanin" w:hAnsi="IRNazanin" w:eastAsia="IRNazanin"/>
          <w:color w:val="111111"/>
          <w:sz w:val="28"/>
          <w:sz w:val="28"/>
          <w:szCs w:val="28"/>
          <w:rtl w:val="true"/>
          <w:lang w:bidi="fa-IR"/>
        </w:rPr>
        <w:t>آدمیّ و لو مضغة، أمّا النطفة، فلا، خلافاً للشیخ</w:t>
      </w:r>
      <w:r>
        <w:rPr>
          <w:rStyle w:val="FootnoteAnchor"/>
          <w:rtl w:val="true"/>
        </w:rPr>
        <w:footnoteReference w:id="1320"/>
      </w:r>
      <w:r>
        <w:rPr>
          <w:rFonts w:ascii="IRNazanin" w:hAnsi="IRNazanin" w:eastAsia="IRNazanin"/>
          <w:color w:val="111111"/>
          <w:sz w:val="28"/>
          <w:sz w:val="28"/>
          <w:szCs w:val="28"/>
          <w:rtl w:val="true"/>
          <w:lang w:bidi="fa-IR"/>
        </w:rPr>
        <w:t>، و الفائدة لیس فی استتباع الحرّیّة ؛ لأ نّها تزول بموت الولد فکیف بعدم تمامه عندنا، بل فی إبطال التصرّفات السابقة علی الوضع بالبیع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استخدامها و تزویجها، و لا یشترط رضاها عندنا، و إجارتها و عتقها و بیعها فی ثمن رقبتها مع إعسار المولی حیّاً أو میّتاً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الجنایة</w:t>
      </w:r>
    </w:p>
    <w:p>
      <w:pPr>
        <w:pStyle w:val="BookText"/>
        <w:rPr/>
      </w:pPr>
      <w:r>
        <w:rPr>
          <w:rFonts w:ascii="IRNazanin" w:hAnsi="IRNazanin" w:eastAsia="IRNazanin"/>
          <w:color w:val="111111"/>
          <w:sz w:val="28"/>
          <w:sz w:val="28"/>
          <w:szCs w:val="28"/>
          <w:rtl w:val="true"/>
          <w:lang w:bidi="fa-IR"/>
        </w:rPr>
        <w:t>و الرهن و الإفلاس إذا علقت فیهما</w:t>
      </w:r>
      <w:r>
        <w:rPr>
          <w:rStyle w:val="FootnoteAnchor"/>
          <w:rtl w:val="true"/>
        </w:rPr>
        <w:footnoteReference w:id="1321"/>
      </w:r>
      <w:r>
        <w:rPr>
          <w:rFonts w:ascii="IRNazanin" w:hAnsi="IRNazanin" w:eastAsia="IRNazanin"/>
          <w:color w:val="111111"/>
          <w:sz w:val="28"/>
          <w:sz w:val="28"/>
          <w:szCs w:val="28"/>
          <w:rtl w:val="true"/>
          <w:lang w:bidi="fa-IR"/>
        </w:rPr>
        <w:t>، و فی العجز عن النفقة و موت قریبها و علی مَن تنعتق علیه، و یحتمل جوازه عند اشتراط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إذا مات مولاها و الدین یستغرق ترکته ؛ إذ لا إرث، فلا نصیب لولدها الذی عتقها بعد الوفاة مستند إلیه، و لهذا لو کان وَلَدُها غیر وارث ؛ لکونه</w:t>
      </w:r>
      <w:r>
        <w:rPr>
          <w:rStyle w:val="FootnoteAnchor"/>
          <w:rtl w:val="true"/>
        </w:rPr>
        <w:footnoteReference w:id="1322"/>
      </w:r>
      <w:r>
        <w:rPr>
          <w:rFonts w:ascii="IRNazanin" w:hAnsi="IRNazanin" w:eastAsia="IRNazanin"/>
          <w:color w:val="111111"/>
          <w:sz w:val="28"/>
          <w:sz w:val="28"/>
          <w:szCs w:val="28"/>
          <w:rtl w:val="true"/>
          <w:lang w:bidi="fa-IR"/>
        </w:rPr>
        <w:t>قاتلاً أو کافراً، لم تنعتق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عمر بن یزید، عن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لاتباع فی دین غیر ثمن رقبتها</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حال الحیاة أو علی عدم استیعاب الدین الترکة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أبوبصیر،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علی الولد إذا مات المولی و علیه دین، و إن کان الولد صغیراً، اُنتظر بلوغه</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الشیخ الدین علی ثمنها،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قبل البلوغ، قضی منها الدین</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حمزة ألحق غیره من الدیون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326"/>
      </w:r>
      <w:r>
        <w:rPr>
          <w:rFonts w:ascii="IRNazanin" w:hAnsi="IRNazanin" w:eastAsia="IRNazanin"/>
          <w:color w:val="111111"/>
          <w:sz w:val="28"/>
          <w:sz w:val="28"/>
          <w:szCs w:val="28"/>
          <w:rtl w:val="true"/>
          <w:lang w:bidi="fa-IR"/>
        </w:rPr>
        <w:t>؛ عملاً بإطلاق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المرتضی المنع من بیعها مطلقاً مادام ولدها</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و المرویّ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فی ثمنها</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أسلمت عند ذمّیّ، بیعت عند الشیخ فی موضع من المبسوط</w:t>
      </w:r>
      <w:r>
        <w:rPr>
          <w:rStyle w:val="FootnoteAnchor"/>
          <w:rtl w:val="true"/>
        </w:rPr>
        <w:footnoteReference w:id="1329"/>
      </w:r>
      <w:r>
        <w:rPr>
          <w:rFonts w:ascii="IRNazanin" w:hAnsi="IRNazanin" w:eastAsia="IRNazanin"/>
          <w:color w:val="111111"/>
          <w:sz w:val="28"/>
          <w:sz w:val="28"/>
          <w:szCs w:val="28"/>
          <w:rtl w:val="true"/>
          <w:lang w:bidi="fa-IR"/>
        </w:rPr>
        <w:t>، و ابن إدریس</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w:t>
      </w:r>
      <w:r>
        <w:rPr>
          <w:rStyle w:val="FootnoteAnchor"/>
          <w:rtl w:val="true"/>
        </w:rPr>
        <w:footnoteReference w:id="1331"/>
      </w:r>
      <w:r>
        <w:rPr>
          <w:rFonts w:ascii="IRNazanin" w:hAnsi="IRNazanin" w:eastAsia="IRNazanin"/>
          <w:color w:val="111111"/>
          <w:sz w:val="28"/>
          <w:sz w:val="28"/>
          <w:szCs w:val="28"/>
          <w:rtl w:val="true"/>
          <w:lang w:bidi="fa-IR"/>
        </w:rPr>
        <w:t xml:space="preserve">و الموضع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یحال بینه و بینها عند مسلمة، و یمنع من وطئها و استخدامها</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تفرّد</w:t>
      </w:r>
      <w:r>
        <w:rPr>
          <w:rStyle w:val="FootnoteAnchor"/>
          <w:rtl w:val="true"/>
        </w:rPr>
        <w:footnoteReference w:id="1333"/>
      </w:r>
      <w:r>
        <w:rPr>
          <w:rFonts w:ascii="IRNazanin" w:hAnsi="IRNazanin" w:eastAsia="IRNazanin"/>
          <w:color w:val="111111"/>
          <w:sz w:val="28"/>
          <w:sz w:val="28"/>
          <w:szCs w:val="28"/>
          <w:rtl w:val="true"/>
          <w:lang w:bidi="fa-IR"/>
        </w:rPr>
        <w:t>فی المختلف باستسعائها</w:t>
      </w:r>
      <w:r>
        <w:rPr>
          <w:rStyle w:val="FootnoteAnchor"/>
          <w:rtl w:val="true"/>
        </w:rPr>
        <w:footnoteReference w:id="1334"/>
      </w:r>
      <w:r>
        <w:rPr>
          <w:rFonts w:ascii="IRNazanin" w:hAnsi="IRNazanin" w:eastAsia="IRNazanin"/>
          <w:color w:val="111111"/>
          <w:sz w:val="28"/>
          <w:sz w:val="28"/>
          <w:szCs w:val="28"/>
          <w:rtl w:val="true"/>
          <w:lang w:bidi="fa-IR"/>
        </w:rPr>
        <w:t>، فتعتق بأداء القیمة تفادیاً من الضرار به أو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بقی ولد ولدها فثالث 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إلحاقه بحکم أبیه إذا</w:t>
      </w:r>
      <w:r>
        <w:rPr>
          <w:rStyle w:val="FootnoteAnchor"/>
          <w:rtl w:val="true"/>
        </w:rPr>
        <w:footnoteReference w:id="1335"/>
      </w:r>
      <w:r>
        <w:rPr>
          <w:rFonts w:ascii="IRNazanin" w:hAnsi="IRNazanin" w:eastAsia="IRNazanin"/>
          <w:color w:val="111111"/>
          <w:sz w:val="28"/>
          <w:sz w:val="28"/>
          <w:szCs w:val="28"/>
          <w:rtl w:val="true"/>
          <w:lang w:bidi="fa-IR"/>
        </w:rPr>
        <w:t>کان 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ینعتق من أصل الترکة إجماعاً، بل یجعل فی</w:t>
      </w:r>
      <w:r>
        <w:rPr>
          <w:rStyle w:val="FootnoteAnchor"/>
          <w:rtl w:val="true"/>
        </w:rPr>
        <w:footnoteReference w:id="1336"/>
      </w:r>
      <w:r>
        <w:rPr>
          <w:rFonts w:ascii="IRNazanin" w:hAnsi="IRNazanin" w:eastAsia="IRNazanin"/>
          <w:color w:val="111111"/>
          <w:sz w:val="28"/>
          <w:sz w:val="28"/>
          <w:szCs w:val="28"/>
          <w:rtl w:val="true"/>
          <w:lang w:bidi="fa-IR"/>
        </w:rPr>
        <w:t>نصیب الولد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عجز نصیبه عن قیمتها، قوّمت علیه عند الشیخ فی المبسوط</w:t>
      </w:r>
      <w:r>
        <w:rPr>
          <w:rStyle w:val="FootnoteAnchor"/>
          <w:rtl w:val="true"/>
        </w:rPr>
        <w:footnoteReference w:id="1337"/>
      </w:r>
      <w:r>
        <w:rPr>
          <w:rFonts w:ascii="IRNazanin" w:hAnsi="IRNazanin" w:eastAsia="IRNazanin"/>
          <w:color w:val="111111"/>
          <w:sz w:val="28"/>
          <w:sz w:val="28"/>
          <w:szCs w:val="28"/>
          <w:rtl w:val="true"/>
          <w:lang w:bidi="fa-IR"/>
        </w:rPr>
        <w:t>، و ابن الجنید</w:t>
      </w:r>
      <w:r>
        <w:rPr>
          <w:rStyle w:val="FootnoteAnchor"/>
          <w:rtl w:val="true"/>
        </w:rPr>
        <w:footnoteReference w:id="1338"/>
      </w:r>
      <w:r>
        <w:rPr>
          <w:rFonts w:ascii="Amiri" w:hAnsi="Amiri" w:eastAsia="Amiri" w:cs="Amiri"/>
          <w:color w:val="111111"/>
          <w:sz w:val="28"/>
          <w:sz w:val="28"/>
          <w:szCs w:val="28"/>
          <w:rtl w:val="true"/>
          <w:lang w:bidi="ar-SA"/>
        </w:rPr>
        <w:t xml:space="preserve">؛ لقول النبیّ صلّی‌اللّه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مَلَکَ ذا رَحِمٍ فَهُوَ حُرّ</w:t>
      </w:r>
      <w:r>
        <w:rPr>
          <w:rFonts w:eastAsia="Amiri" w:cs="Amiri" w:ascii="Amiri" w:hAnsi="Amiri"/>
          <w:color w:val="111111"/>
          <w:sz w:val="28"/>
          <w:szCs w:val="28"/>
          <w:rtl w:val="true"/>
          <w:lang w:bidi="ar-SA"/>
        </w:rPr>
        <w:t>»</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w:t>
      </w:r>
    </w:p>
    <w:p>
      <w:pPr>
        <w:pStyle w:val="BookText"/>
        <w:rPr/>
      </w:pPr>
      <w:r>
        <w:rPr>
          <w:rFonts w:ascii="IRNazanin" w:hAnsi="IRNazanin" w:eastAsia="IRNazanin"/>
          <w:color w:val="111111"/>
          <w:sz w:val="28"/>
          <w:sz w:val="28"/>
          <w:szCs w:val="28"/>
          <w:rtl w:val="true"/>
          <w:lang w:bidi="fa-IR"/>
        </w:rPr>
        <w:t>من روایة أبی بصیر أیضاً</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استسعت عند المفید</w:t>
      </w:r>
      <w:r>
        <w:rPr>
          <w:rStyle w:val="FootnoteAnchor"/>
          <w:rtl w:val="true"/>
        </w:rPr>
        <w:footnoteReference w:id="1341"/>
      </w:r>
      <w:r>
        <w:rPr>
          <w:rFonts w:ascii="Amiri" w:hAnsi="Amiri" w:eastAsia="Amiri" w:cs="Amiri"/>
          <w:color w:val="111111"/>
          <w:sz w:val="28"/>
          <w:sz w:val="28"/>
          <w:szCs w:val="28"/>
          <w:rtl w:val="true"/>
          <w:lang w:bidi="ar-SA"/>
        </w:rPr>
        <w:t>و الحلّیّین</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w:t>
      </w:r>
    </w:p>
    <w:p>
      <w:pPr>
        <w:pStyle w:val="BookText"/>
        <w:rPr/>
      </w:pPr>
      <w:r>
        <w:rPr>
          <w:rFonts w:ascii="IRNazanin" w:hAnsi="IRNazanin" w:eastAsia="IRNazanin"/>
          <w:color w:val="111111"/>
          <w:sz w:val="28"/>
          <w:sz w:val="28"/>
          <w:szCs w:val="28"/>
          <w:rtl w:val="true"/>
          <w:lang w:bidi="fa-IR"/>
        </w:rPr>
        <w:t>مبنیّة علی السرایة فی العتق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تدبیرها لا کتابتها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أوصی لها المولی بمال،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 من النصیب و تملک الوصیّة ؛ لمصادفة استحقاقها الوصیّة عتقها من النصیب</w:t>
      </w:r>
      <w:r>
        <w:rPr>
          <w:rStyle w:val="FootnoteAnchor"/>
          <w:rtl w:val="true"/>
        </w:rPr>
        <w:footnoteReference w:id="1343"/>
      </w:r>
      <w:r>
        <w:rPr>
          <w:rFonts w:ascii="IRNazanin" w:hAnsi="IRNazanin" w:eastAsia="IRNazanin"/>
          <w:color w:val="111111"/>
          <w:sz w:val="28"/>
          <w:sz w:val="28"/>
          <w:szCs w:val="28"/>
          <w:rtl w:val="true"/>
          <w:lang w:bidi="fa-IR"/>
        </w:rPr>
        <w:t>، و هو فی کتاب العبّاس</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 من الثلث و تعطی الوصیّة</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تخریجها علی صرف المال فی عتقها، فإن فضل، فلها کالقنّ، و تقدّم علی عتقها من النصیب ؛ لتقدیم</w:t>
      </w:r>
      <w:r>
        <w:rPr>
          <w:rStyle w:val="FootnoteAnchor"/>
          <w:rtl w:val="true"/>
        </w:rPr>
        <w:footnoteReference w:id="1346"/>
      </w:r>
      <w:r>
        <w:rPr>
          <w:rFonts w:ascii="IRNazanin" w:hAnsi="IRNazanin" w:eastAsia="IRNazanin"/>
          <w:color w:val="111111"/>
          <w:sz w:val="28"/>
          <w:sz w:val="28"/>
          <w:szCs w:val="28"/>
          <w:rtl w:val="true"/>
          <w:lang w:bidi="fa-IR"/>
        </w:rPr>
        <w:t>الوصیّة علی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 من الوصیّة، فإن فضل منها شیء، عتق من نصیب الولد</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قضیّة الروایة</w:t>
      </w:r>
      <w:r>
        <w:rPr>
          <w:rStyle w:val="FootnoteAnchor"/>
          <w:rtl w:val="true"/>
        </w:rPr>
        <w:footnoteReference w:id="1348"/>
      </w:r>
      <w:r>
        <w:rPr>
          <w:rFonts w:ascii="IRNazanin" w:hAnsi="IRNazanin" w:eastAsia="IRNazanin"/>
          <w:color w:val="111111"/>
          <w:sz w:val="28"/>
          <w:sz w:val="28"/>
          <w:szCs w:val="28"/>
          <w:rtl w:val="true"/>
          <w:lang w:bidi="fa-IR"/>
        </w:rPr>
        <w:t>علی ما خرّجناه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للمولی فکّها بالأقلّ من القیمة و الأرش لو جنت، و له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الدیات من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 جنایتها علی سیّدها بلا خلاف إلاّ أباثور، فإنّه جعله</w:t>
      </w:r>
      <w:r>
        <w:rPr>
          <w:rStyle w:val="FootnoteAnchor"/>
          <w:rtl w:val="true"/>
        </w:rPr>
        <w:footnoteReference w:id="1349"/>
      </w:r>
      <w:r>
        <w:rPr>
          <w:rFonts w:ascii="IRNazanin" w:hAnsi="IRNazanin" w:eastAsia="IRNazanin"/>
          <w:color w:val="111111"/>
          <w:sz w:val="28"/>
          <w:sz w:val="28"/>
          <w:szCs w:val="28"/>
          <w:rtl w:val="true"/>
          <w:lang w:bidi="fa-IR"/>
        </w:rPr>
        <w:t xml:space="preserve">فی ذمّتها تتبع به بعد العتق، ثمّ جعلها الشیخ کالقنّ فی التعلّق بالرقبة إن لم یفدها </w:t>
      </w:r>
    </w:p>
    <w:p>
      <w:pPr>
        <w:pStyle w:val="BookText"/>
        <w:rPr/>
      </w:pPr>
      <w:r>
        <w:rPr>
          <w:rFonts w:ascii="Amiri" w:hAnsi="Amiri" w:eastAsia="Amiri" w:cs="Amiri"/>
          <w:color w:val="111111"/>
          <w:sz w:val="28"/>
          <w:sz w:val="28"/>
          <w:szCs w:val="28"/>
          <w:rtl w:val="true"/>
          <w:lang w:bidi="ar-SA"/>
        </w:rPr>
        <w:t>السیّد</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الاستیلاد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الأرش برقبتها بلا خلاف، و یتخیّر بین البیع و الفداء</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فی الخلاف</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المختلف عقل ممّا فی الدیات من</w:t>
      </w:r>
    </w:p>
    <w:p>
      <w:pPr>
        <w:pStyle w:val="BookText"/>
        <w:rPr/>
      </w:pPr>
      <w:r>
        <w:rPr>
          <w:rFonts w:ascii="IRNazanin" w:hAnsi="IRNazanin" w:eastAsia="IRNazanin"/>
          <w:color w:val="111111"/>
          <w:sz w:val="28"/>
          <w:sz w:val="28"/>
          <w:szCs w:val="28"/>
          <w:rtl w:val="true"/>
          <w:lang w:bidi="fa-IR"/>
        </w:rPr>
        <w:t>المبسوط عدم التعلّق برقبتها و جنح إلیه</w:t>
      </w:r>
      <w:r>
        <w:rPr>
          <w:rStyle w:val="FootnoteAnchor"/>
          <w:rtl w:val="true"/>
        </w:rPr>
        <w:footnoteReference w:id="1353"/>
      </w:r>
      <w:r>
        <w:rPr>
          <w:rFonts w:ascii="IRNazanin" w:hAnsi="IRNazanin" w:eastAsia="IRNazanin"/>
          <w:color w:val="111111"/>
          <w:sz w:val="28"/>
          <w:sz w:val="28"/>
          <w:szCs w:val="28"/>
          <w:rtl w:val="true"/>
          <w:lang w:bidi="fa-IR"/>
        </w:rPr>
        <w:t>؛ لأ نّه منع من بیعها بإحباله، و لم تبلغ حالة یتعلّق الأرش بذمّتها، فصار کالمتلف لمحلّ الأرش فلزمه الضمان، کما لو قتل عبده الجانی، بخلاف ما لو أعتق عبده ثمّ جنی ؛ لأ نّه بلغ حالة یتعلّق الأرش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نقله الشیخ عن بعض العامّة</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مسمع،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 فی حقوق الناس علی سیّدها، و حقّ اللّه تعالی فی بدنها</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أنّ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جنت علی جماعة و لمّا یضمن السیّد، فعلیه أقلّ الأمرین من قیمتها و الأرش، و إن ضمن للأوّل، فظاهر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ضمان علیه بعد، إذا کان قد أدّی قیمتها، بل یشارکه من بعده فی ما أخذه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3665_219175"/>
      <w:bookmarkStart w:id="184" w:name="pg13665_219175"/>
      <w:bookmarkEnd w:id="184"/>
    </w:p>
    <w:p>
      <w:pPr>
        <w:pStyle w:val="Heading2"/>
        <w:numPr>
          <w:ilvl w:val="1"/>
          <w:numId w:val="1"/>
        </w:numPr>
        <w:rPr/>
      </w:pPr>
      <w:bookmarkStart w:id="185" w:name="pg13665_219175"/>
      <w:bookmarkStart w:id="186" w:name="__RefHeading___Toc2071335_3830689328"/>
      <w:bookmarkStart w:id="187" w:name="_Toc62"/>
      <w:bookmarkEnd w:id="185"/>
      <w:bookmarkEnd w:id="186"/>
      <w:r>
        <w:rPr>
          <w:rtl w:val="true"/>
        </w:rPr>
        <w:t>کتاب المدبّر</w:t>
      </w:r>
      <w:bookmarkEnd w:id="1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2071337_3830689328"/>
      <w:bookmarkStart w:id="189" w:name="_Toc63"/>
      <w:bookmarkEnd w:id="188"/>
      <w:r>
        <w:rPr>
          <w:rtl w:val="true"/>
        </w:rPr>
        <w:t>اشاره</w:t>
      </w:r>
      <w:bookmarkEnd w:id="18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المدبّر</w:t>
      </w:r>
    </w:p>
    <w:p>
      <w:pPr>
        <w:pStyle w:val="BookText"/>
        <w:rPr/>
      </w:pPr>
      <w:r>
        <w:rPr>
          <w:rFonts w:ascii="IRNazanin" w:hAnsi="IRNazanin" w:eastAsia="IRNazanin"/>
          <w:color w:val="111111"/>
          <w:sz w:val="28"/>
          <w:sz w:val="28"/>
          <w:szCs w:val="28"/>
          <w:rtl w:val="true"/>
          <w:lang w:bidi="fa-IR"/>
        </w:rPr>
        <w:t>و هو المعلّق عتقه بموت المولی ؛ لأنّ الموت دبر الحیاة، فالموصی بعتقه لیس مدبّراً، و التعلیق بموت غیر المولی إن</w:t>
      </w:r>
      <w:r>
        <w:rPr>
          <w:rStyle w:val="FootnoteAnchor"/>
          <w:rtl w:val="true"/>
        </w:rPr>
        <w:footnoteReference w:id="1357"/>
      </w:r>
      <w:r>
        <w:rPr>
          <w:rFonts w:ascii="IRNazanin" w:hAnsi="IRNazanin" w:eastAsia="IRNazanin"/>
          <w:color w:val="111111"/>
          <w:sz w:val="28"/>
          <w:sz w:val="28"/>
          <w:szCs w:val="28"/>
          <w:rtl w:val="true"/>
          <w:lang w:bidi="fa-IR"/>
        </w:rPr>
        <w:t>جعل له الخدمة نافذ فی صحیحة یعقوب بن شعیب، عن الصادق علیه‌السّلام</w:t>
      </w:r>
      <w:r>
        <w:rPr>
          <w:rStyle w:val="FootnoteAnchor"/>
          <w:rtl w:val="true"/>
        </w:rPr>
        <w:footnoteReference w:id="1358"/>
      </w:r>
      <w:r>
        <w:rPr>
          <w:rFonts w:ascii="IRNazanin" w:hAnsi="IRNazanin" w:eastAsia="IRNazanin"/>
          <w:color w:val="111111"/>
          <w:sz w:val="28"/>
          <w:sz w:val="28"/>
          <w:szCs w:val="28"/>
          <w:rtl w:val="true"/>
          <w:lang w:bidi="fa-IR"/>
        </w:rPr>
        <w:t>، و حمل علیه الزوج، و طرّده بعضهم</w:t>
      </w:r>
    </w:p>
    <w:p>
      <w:pPr>
        <w:pStyle w:val="BookText"/>
        <w:rPr/>
      </w:pPr>
      <w:r>
        <w:rPr>
          <w:rFonts w:ascii="IRNazanin" w:hAnsi="IRNazanin" w:eastAsia="IRNazanin"/>
          <w:color w:val="111111"/>
          <w:sz w:val="28"/>
          <w:sz w:val="28"/>
          <w:szCs w:val="28"/>
          <w:rtl w:val="true"/>
          <w:lang w:bidi="fa-IR"/>
        </w:rPr>
        <w:t>فی الموت مطلقاً</w:t>
      </w:r>
      <w:r>
        <w:rPr>
          <w:rStyle w:val="FootnoteAnchor"/>
          <w:rtl w:val="true"/>
        </w:rPr>
        <w:footnoteReference w:id="1359"/>
      </w:r>
      <w:r>
        <w:rPr>
          <w:rFonts w:ascii="IRNazanin" w:hAnsi="IRNazanin" w:eastAsia="IRNazanin"/>
          <w:color w:val="111111"/>
          <w:sz w:val="28"/>
          <w:sz w:val="28"/>
          <w:szCs w:val="28"/>
          <w:rtl w:val="true"/>
          <w:lang w:bidi="fa-IR"/>
        </w:rPr>
        <w:t>، و قصره ابن إدریس علی موت المولی</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تعلیقه علی موت الغیر مطلقاً</w:t>
      </w:r>
      <w:r>
        <w:rPr>
          <w:rStyle w:val="FootnoteAnchor"/>
          <w:rtl w:val="true"/>
        </w:rPr>
        <w:footnoteReference w:id="1361"/>
      </w:r>
      <w:r>
        <w:rPr>
          <w:rFonts w:ascii="Amiri" w:hAnsi="Amiri" w:eastAsia="Amiri" w:cs="Amiri"/>
          <w:color w:val="111111"/>
          <w:sz w:val="28"/>
          <w:sz w:val="28"/>
          <w:szCs w:val="28"/>
          <w:rtl w:val="true"/>
          <w:lang w:bidi="ar-SA"/>
        </w:rPr>
        <w:t>و سمّاه نذراً</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علّق العتق بوقت، تحرّر عنده، و له الرجوع فیه</w:t>
      </w:r>
      <w:r>
        <w:rPr>
          <w:rStyle w:val="FootnoteAnchor"/>
          <w:rtl w:val="true"/>
        </w:rPr>
        <w:footnoteReference w:id="1363"/>
      </w:r>
      <w:r>
        <w:rPr>
          <w:rFonts w:ascii="IRNazanin" w:hAnsi="IRNazanin" w:eastAsia="IRNazanin"/>
          <w:color w:val="111111"/>
          <w:sz w:val="28"/>
          <w:sz w:val="28"/>
          <w:szCs w:val="28"/>
          <w:rtl w:val="true"/>
          <w:lang w:bidi="fa-IR"/>
        </w:rPr>
        <w:t>، و کذا لو علّقه بقدوم زید أو برئه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أو معتق، أو محرّر</w:t>
      </w:r>
      <w:r>
        <w:rPr>
          <w:rStyle w:val="FootnoteAnchor"/>
          <w:rtl w:val="true"/>
        </w:rPr>
        <w:footnoteReference w:id="1364"/>
      </w:r>
      <w:r>
        <w:rPr>
          <w:rFonts w:ascii="IRNazanin" w:hAnsi="IRNazanin" w:eastAsia="IRNazanin"/>
          <w:color w:val="111111"/>
          <w:sz w:val="28"/>
          <w:sz w:val="28"/>
          <w:szCs w:val="28"/>
          <w:rtl w:val="true"/>
          <w:lang w:bidi="fa-IR"/>
        </w:rPr>
        <w:t>، أو عتیق بعد وفاتی، و کذا متی متّ و غیره من أدوات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رقّ فی حیاتی</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 xml:space="preserve">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علیه عدلین</w:t>
      </w:r>
      <w:r>
        <w:rPr>
          <w:rStyle w:val="FootnoteAnchor"/>
          <w:rtl w:val="true"/>
        </w:rPr>
        <w:footnoteReference w:id="1366"/>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 التدبیر بشرط، کمشیئة زید، بطل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جوّزه ابن الجنید، و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التعلیق فی العتق،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بعد وفاتی بسنة مثلاً، بطل،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وصیّة بعتقه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قیّد الوفاة بمرض معیّن أو سفر أو لیل أو نهار، اُتّبع، فلا یتحرّر بدون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أبطل المقیّد ؛ لأ نّه معلّق</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قال الشریکان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متنا فأنت حرّ و قصدا تبعیّة النصیب لموت</w:t>
      </w:r>
      <w:r>
        <w:rPr>
          <w:rStyle w:val="FootnoteAnchor"/>
          <w:rtl w:val="true"/>
        </w:rPr>
        <w:footnoteReference w:id="1370"/>
      </w:r>
      <w:r>
        <w:rPr>
          <w:rFonts w:ascii="IRNazanin" w:hAnsi="IRNazanin" w:eastAsia="IRNazanin"/>
          <w:color w:val="111111"/>
          <w:sz w:val="28"/>
          <w:sz w:val="28"/>
          <w:szCs w:val="28"/>
          <w:rtl w:val="true"/>
          <w:lang w:bidi="fa-IR"/>
        </w:rPr>
        <w:t xml:space="preserve">صاحبه، وقع، و إن قصدا تبعیّته لموتهما، بطل،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مدبّر، ففی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أثبته فی المبسوط فی ظاهر کلامه</w:t>
      </w:r>
      <w:r>
        <w:rPr>
          <w:rStyle w:val="FootnoteAnchor"/>
          <w:rtl w:val="true"/>
        </w:rPr>
        <w:footnoteReference w:id="1372"/>
      </w:r>
      <w:r>
        <w:rPr>
          <w:rFonts w:ascii="IRNazanin" w:hAnsi="IRNazanin" w:eastAsia="IRNazanin"/>
          <w:color w:val="111111"/>
          <w:sz w:val="28"/>
          <w:sz w:val="28"/>
          <w:szCs w:val="28"/>
          <w:rtl w:val="true"/>
          <w:lang w:bidi="fa-IR"/>
        </w:rPr>
        <w:t>، و قطع به القاضی</w:t>
      </w:r>
      <w:r>
        <w:rPr>
          <w:rStyle w:val="FootnoteAnchor"/>
          <w:rtl w:val="true"/>
        </w:rPr>
        <w:footnoteReference w:id="1373"/>
      </w:r>
      <w:r>
        <w:rPr>
          <w:rFonts w:ascii="IRNazanin" w:hAnsi="IRNazanin" w:eastAsia="IRNazanin"/>
          <w:color w:val="111111"/>
          <w:sz w:val="28"/>
          <w:sz w:val="28"/>
          <w:szCs w:val="28"/>
          <w:rtl w:val="true"/>
          <w:lang w:bidi="fa-IR"/>
        </w:rPr>
        <w:t>، و الفاضل</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اشتراط التعیین خلاف مبنیّ علی العتق، 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القصد، فلا یقع من الغافل، و الساهی، و النائم، و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 قوم من الصبیّ إذا بلغ عشراً</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صحّته من السفیه نظر، من الحجر علیه، و من انتفاء معنی الحجر بعد الموت، و هو قول المبسوط</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من الأخرس </w:t>
      </w:r>
    </w:p>
    <w:p>
      <w:pPr>
        <w:pStyle w:val="BookText"/>
        <w:rPr/>
      </w:pPr>
      <w:r>
        <w:rPr>
          <w:rFonts w:ascii="IRNazanin" w:hAnsi="IRNazanin" w:eastAsia="IRNazanin"/>
          <w:color w:val="111111"/>
          <w:sz w:val="28"/>
          <w:sz w:val="28"/>
          <w:szCs w:val="28"/>
          <w:rtl w:val="true"/>
          <w:lang w:bidi="fa-IR"/>
        </w:rPr>
        <w:t>بالإشارة و کذا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من الکافر و للکافر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نیّة التقرّب نظر، من أ نّه عتق، أو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ابن إدریس</w:t>
      </w:r>
    </w:p>
    <w:p>
      <w:pPr>
        <w:pStyle w:val="BookText"/>
        <w:rPr/>
      </w:pPr>
      <w:r>
        <w:rPr>
          <w:rFonts w:ascii="IRNazanin" w:hAnsi="IRNazanin" w:eastAsia="IRNazanin"/>
          <w:color w:val="111111"/>
          <w:sz w:val="28"/>
          <w:sz w:val="28"/>
          <w:szCs w:val="28"/>
          <w:rtl w:val="true"/>
          <w:lang w:bidi="fa-IR"/>
        </w:rPr>
        <w:t>باشتراطها</w:t>
      </w:r>
      <w:r>
        <w:rPr>
          <w:rStyle w:val="FootnoteAnchor"/>
          <w:rtl w:val="true"/>
        </w:rPr>
        <w:footnoteReference w:id="1378"/>
      </w:r>
      <w:r>
        <w:rPr>
          <w:rFonts w:ascii="IRNazanin" w:hAnsi="IRNazanin" w:eastAsia="IRNazanin"/>
          <w:color w:val="111111"/>
          <w:sz w:val="28"/>
          <w:sz w:val="28"/>
          <w:szCs w:val="28"/>
          <w:rtl w:val="true"/>
          <w:lang w:bidi="fa-IR"/>
        </w:rPr>
        <w:t>، و بنی علیه المنع من تدبیر الکافر ؛ بناءاً علی لغو تقرّبه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 مدبّر الکافر، بیع علیه ؛ لانتفاء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صلّی‌اللّه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طاعة المولی علوّ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بین الرجوع فی التدبیر فیباع، و بین الحیلولة بینه و بینه و کسبه للمولی، و بین استسعائه</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مات السیّد قبل البیع، عتق من ثلثه، و لو قصر و لم یجز الوارث فالباقی رقّ، فإن کان مسلماً فله، و إلاّ بیع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من المرتدّ عن فطرة ؛ لخروج ملکه</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 للشیخ قولان</w:t>
      </w:r>
      <w:r>
        <w:rPr>
          <w:rStyle w:val="FootnoteAnchor"/>
          <w:rtl w:val="true"/>
        </w:rPr>
        <w:footnoteReference w:id="1382"/>
      </w:r>
      <w:r>
        <w:rPr>
          <w:rFonts w:ascii="IRNazanin" w:hAnsi="IRNazanin" w:eastAsia="IRNazanin"/>
          <w:color w:val="111111"/>
          <w:sz w:val="28"/>
          <w:sz w:val="28"/>
          <w:szCs w:val="28"/>
          <w:rtl w:val="true"/>
          <w:lang w:bidi="fa-IR"/>
        </w:rPr>
        <w:t>؛ لبقاء الملک، و للحجر</w:t>
      </w:r>
      <w:r>
        <w:rPr>
          <w:rStyle w:val="FootnoteAnchor"/>
          <w:rtl w:val="true"/>
        </w:rPr>
        <w:footnoteReference w:id="138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طرأت الردّة بعد التدبیر عن غیر فطرة فالتدبیر باقٍ، و لو کان عن فطرة،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بتنزیلها</w:t>
      </w:r>
      <w:r>
        <w:rPr>
          <w:rStyle w:val="FootnoteAnchor"/>
          <w:rtl w:val="true"/>
        </w:rPr>
        <w:footnoteReference w:id="1384"/>
      </w:r>
      <w:r>
        <w:rPr>
          <w:rFonts w:ascii="IRNazanin" w:hAnsi="IRNazanin" w:eastAsia="IRNazanin"/>
          <w:color w:val="111111"/>
          <w:sz w:val="28"/>
          <w:sz w:val="28"/>
          <w:szCs w:val="28"/>
          <w:rtl w:val="true"/>
          <w:lang w:bidi="fa-IR"/>
        </w:rPr>
        <w:t>منزلة الموت فیعتق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العبد، لم یبطل تدبیره، إلاّ أن یلحق بدار الحرب ؛ لأ نّه 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إذا تاب من ردّته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من المفلّس و المدیون، إلاّ أن یفرّ به من الدین، فیبطل عند الشیخ</w:t>
      </w:r>
      <w:r>
        <w:rPr>
          <w:rStyle w:val="FootnoteAnchor"/>
          <w:rtl w:val="true"/>
        </w:rPr>
        <w:footnoteReference w:id="1386"/>
      </w:r>
      <w:r>
        <w:rPr>
          <w:rFonts w:ascii="IRNazanin" w:hAnsi="IRNazanin" w:eastAsia="IRNazanin"/>
          <w:color w:val="111111"/>
          <w:sz w:val="28"/>
          <w:sz w:val="28"/>
          <w:szCs w:val="28"/>
          <w:rtl w:val="true"/>
          <w:lang w:bidi="fa-IR"/>
        </w:rPr>
        <w:t xml:space="preserve">؛ </w:t>
      </w:r>
      <w:bookmarkStart w:id="190" w:name="pg13665_219180"/>
    </w:p>
    <w:p>
      <w:pPr>
        <w:pStyle w:val="BookText"/>
        <w:rPr/>
      </w:pPr>
      <w:bookmarkEnd w:id="190"/>
      <w:r>
        <w:rPr>
          <w:rFonts w:ascii="IRNazanin" w:hAnsi="IRNazanin" w:eastAsia="IRNazanin"/>
          <w:color w:val="111111"/>
          <w:sz w:val="28"/>
          <w:sz w:val="28"/>
          <w:szCs w:val="28"/>
          <w:rtl w:val="true"/>
          <w:lang w:bidi="fa-IR"/>
        </w:rPr>
        <w:t>لصحیحة ابن یقطین</w:t>
      </w:r>
      <w:r>
        <w:rPr>
          <w:rStyle w:val="FootnoteAnchor"/>
          <w:rtl w:val="true"/>
        </w:rPr>
        <w:footnoteReference w:id="1387"/>
      </w:r>
      <w:r>
        <w:rPr>
          <w:rFonts w:ascii="IRNazanin" w:hAnsi="IRNazanin" w:eastAsia="IRNazanin"/>
          <w:color w:val="111111"/>
          <w:sz w:val="28"/>
          <w:sz w:val="28"/>
          <w:szCs w:val="28"/>
          <w:rtl w:val="true"/>
          <w:lang w:bidi="fa-IR"/>
        </w:rPr>
        <w:t>و أبی بصیر، و فیهما أ نّه لو دبّر فی صحّة و سلامة فلا سبیل للدیّان علیه</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حملتا علی التدبیر الواجب بالنذر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تدبیر الحامل بدون الحمل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تدبیرها و لم یعلم بالحمل فلیس بمدبّر، و إن علم فهو مدبّر علی المشهور ؛ لصحیح الحسن بن علیّ الوشّاء، عن الرضا علیه‌السّلام</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حملت بعد التدبیر بمملوک، فهو مدبّر قسراً، فلا یصحّ الرجوع فی تدبیره و إن رجع فی تدبیرها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الشیخ فیه الإجماع</w:t>
      </w:r>
      <w:r>
        <w:rPr>
          <w:rStyle w:val="FootnoteAnchor"/>
          <w:rtl w:val="true"/>
        </w:rPr>
        <w:footnoteReference w:id="1390"/>
      </w:r>
      <w:r>
        <w:rPr>
          <w:rFonts w:ascii="Amiri" w:hAnsi="Amiri" w:eastAsia="Amiri" w:cs="Amiri"/>
          <w:color w:val="111111"/>
          <w:sz w:val="28"/>
          <w:sz w:val="28"/>
          <w:szCs w:val="28"/>
          <w:rtl w:val="true"/>
          <w:lang w:bidi="ar-SA"/>
        </w:rPr>
        <w:t>، و جوّزه الحلّیّون</w:t>
      </w:r>
      <w:r>
        <w:rPr>
          <w:rStyle w:val="FootnoteAnchor"/>
          <w:rtl w:val="true"/>
        </w:rPr>
        <w:footnoteReference w:id="1391"/>
      </w:r>
      <w:r>
        <w:rPr>
          <w:rFonts w:ascii="IRNazanin" w:hAnsi="IRNazanin" w:eastAsia="IRNazanin"/>
          <w:color w:val="111111"/>
          <w:sz w:val="28"/>
          <w:sz w:val="28"/>
          <w:szCs w:val="28"/>
          <w:rtl w:val="true"/>
          <w:lang w:bidi="fa-IR"/>
        </w:rPr>
        <w:t>؛ لأنّ الفرع لا یزید علی أصله</w:t>
      </w:r>
      <w:r>
        <w:rPr>
          <w:rFonts w:eastAsia="IRNazanin" w:cs="IRNazanin"/>
          <w:color w:val="111111"/>
          <w:sz w:val="28"/>
          <w:szCs w:val="28"/>
          <w:rtl w:val="true"/>
          <w:lang w:bidi="fa-IR"/>
        </w:rPr>
        <w:t>.</w:t>
      </w:r>
    </w:p>
    <w:p>
      <w:pPr>
        <w:pStyle w:val="Heading3"/>
        <w:numPr>
          <w:ilvl w:val="2"/>
          <w:numId w:val="1"/>
        </w:numPr>
        <w:rPr/>
      </w:pPr>
      <w:bookmarkStart w:id="191" w:name="__RefHeading___Toc2071339_3830689328"/>
      <w:bookmarkStart w:id="192" w:name="_Toc64"/>
      <w:bookmarkEnd w:id="191"/>
      <w:r>
        <w:rPr>
          <w:rtl w:val="true"/>
        </w:rPr>
        <w:t xml:space="preserve">درس </w:t>
      </w:r>
      <w:r>
        <w:rPr>
          <w:rtl w:val="true"/>
        </w:rPr>
        <w:t>(</w:t>
      </w:r>
      <w:r>
        <w:rPr/>
        <w:t>163</w:t>
      </w:r>
      <w:r>
        <w:rPr>
          <w:rtl w:val="true"/>
        </w:rPr>
        <w:t>)</w:t>
      </w:r>
      <w:bookmarkEnd w:id="192"/>
    </w:p>
    <w:p>
      <w:pPr>
        <w:pStyle w:val="BookText"/>
        <w:rPr/>
      </w:pPr>
      <w:r>
        <w:rPr>
          <w:rFonts w:ascii="IRNazanin" w:hAnsi="IRNazanin" w:eastAsia="IRNazanin"/>
          <w:color w:val="111111"/>
          <w:sz w:val="28"/>
          <w:sz w:val="28"/>
          <w:szCs w:val="28"/>
          <w:rtl w:val="true"/>
          <w:lang w:bidi="fa-IR"/>
        </w:rPr>
        <w:t xml:space="preserve">التدبیر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الرجوع فیه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عتق عبدی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أُدبّر عبدی، فکذلک فی ظاهر کلام الأصحاب ؛ لأنّ الغرض التزام الحرّیّة</w:t>
      </w:r>
    </w:p>
    <w:p>
      <w:pPr>
        <w:pStyle w:val="BookText"/>
        <w:rPr/>
      </w:pPr>
      <w:r>
        <w:rPr>
          <w:rFonts w:ascii="IRNazanin" w:hAnsi="IRNazanin" w:eastAsia="IRNazanin"/>
          <w:color w:val="111111"/>
          <w:sz w:val="28"/>
          <w:sz w:val="28"/>
          <w:szCs w:val="28"/>
          <w:rtl w:val="true"/>
          <w:lang w:bidi="fa-IR"/>
        </w:rPr>
        <w:t>بعد الوفاة لا مجرّد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الرجوع ؛ لوفائه بنذره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بإیقاع الصیغة</w:t>
      </w:r>
      <w:r>
        <w:rPr>
          <w:rStyle w:val="FootnoteAnchor"/>
          <w:rtl w:val="true"/>
        </w:rPr>
        <w:footnoteReference w:id="1392"/>
      </w:r>
      <w:r>
        <w:rPr>
          <w:rFonts w:ascii="IRNazanin" w:hAnsi="IRNazanin" w:eastAsia="IRNazanin"/>
          <w:color w:val="111111"/>
          <w:sz w:val="28"/>
          <w:sz w:val="28"/>
          <w:szCs w:val="28"/>
          <w:rtl w:val="true"/>
          <w:lang w:bidi="fa-IR"/>
        </w:rPr>
        <w:t>، فیدخل فی مطلق التدبیر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الرجوع فیه و فی بعضه، أذِنَ العبد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العبد فی البیع، جاز</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یشعر باشتراط إذنه، و لکنّه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کتدبیر الکافر و المخالف، و یصحّ الرجوع فیه بطریق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فی تدبیره، أو نقضت، أو أبطلت و شبهه، دون إنکار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باعه أو وهبه و لمّا ینقض تدبیره فأکثر القدماء علی أ نّه لا ینقض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خدمته أو یشترط عتقه علی المشتری، فیکون الولاء له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بیعه إلاّ أن یشترط علی المشتری إعتاقه عند موته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خدمته مدّة حیاة السیّد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باعه و مات، تحرّر و لا سبیل للمشتری علیه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قبل نقض تدبیره إلاّ أن یُعلم المشتری بأنّ البیع للخدمة</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جماعة</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الشیخ یحیی</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التدبیر بمجرّد البیع</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حمل ابن إدریس بیع الخدمة علی الصلح مدّة حیاته</w:t>
      </w:r>
      <w:r>
        <w:rPr>
          <w:rStyle w:val="FootnoteAnchor"/>
          <w:rtl w:val="true"/>
        </w:rPr>
        <w:footnoteReference w:id="1402"/>
      </w:r>
      <w:r>
        <w:rPr>
          <w:rFonts w:ascii="IRNazanin" w:hAnsi="IRNazanin" w:eastAsia="IRNazanin"/>
          <w:color w:val="111111"/>
          <w:sz w:val="28"/>
          <w:sz w:val="28"/>
          <w:szCs w:val="28"/>
          <w:rtl w:val="true"/>
          <w:lang w:bidi="fa-IR"/>
        </w:rPr>
        <w:t>، و الفاضل علی</w:t>
      </w:r>
    </w:p>
    <w:p>
      <w:pPr>
        <w:pStyle w:val="BookText"/>
        <w:rPr/>
      </w:pPr>
      <w:r>
        <w:rPr>
          <w:rFonts w:ascii="Amiri" w:hAnsi="Amiri" w:eastAsia="Amiri" w:cs="Amiri"/>
          <w:color w:val="111111"/>
          <w:sz w:val="28"/>
          <w:sz w:val="28"/>
          <w:szCs w:val="28"/>
          <w:rtl w:val="true"/>
          <w:lang w:bidi="ar-SA"/>
        </w:rPr>
        <w:t>الإجارة مدّة فمدّة حتّی یموت</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المحقّق ببطلان بیع الخدمة</w:t>
      </w:r>
      <w:r>
        <w:rPr>
          <w:rStyle w:val="FootnoteAnchor"/>
          <w:rtl w:val="true"/>
        </w:rPr>
        <w:footnoteReference w:id="1404"/>
      </w:r>
      <w:r>
        <w:rPr>
          <w:rFonts w:ascii="Amiri" w:hAnsi="Amiri" w:eastAsia="Amiri" w:cs="Amiri"/>
          <w:color w:val="111111"/>
          <w:sz w:val="28"/>
          <w:sz w:val="28"/>
          <w:szCs w:val="28"/>
          <w:rtl w:val="true"/>
          <w:lang w:bidi="ar-SA"/>
        </w:rPr>
        <w:t>؛ لأ نّها منفعة</w:t>
      </w:r>
    </w:p>
    <w:p>
      <w:pPr>
        <w:pStyle w:val="BookText"/>
        <w:rPr/>
      </w:pP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مصرّحة بها</w:t>
      </w:r>
      <w:r>
        <w:rPr>
          <w:rStyle w:val="FootnoteAnchor"/>
          <w:rtl w:val="true"/>
        </w:rPr>
        <w:footnoteReference w:id="1405"/>
      </w:r>
      <w:r>
        <w:rPr>
          <w:rFonts w:ascii="Amiri" w:hAnsi="Amiri" w:eastAsia="Amiri" w:cs="Amiri"/>
          <w:color w:val="111111"/>
          <w:sz w:val="28"/>
          <w:sz w:val="28"/>
          <w:szCs w:val="28"/>
          <w:rtl w:val="true"/>
          <w:lang w:bidi="ar-SA"/>
        </w:rPr>
        <w:t>، و أنّ رسول‌اللّه صلّی‌اللّه علیه و آله باع خدمة</w:t>
      </w:r>
    </w:p>
    <w:p>
      <w:pPr>
        <w:pStyle w:val="BookText"/>
        <w:rPr/>
      </w:pPr>
      <w:r>
        <w:rPr>
          <w:rFonts w:ascii="IRNazanin" w:hAnsi="IRNazanin" w:eastAsia="IRNazanin"/>
          <w:color w:val="111111"/>
          <w:sz w:val="28"/>
          <w:sz w:val="28"/>
          <w:szCs w:val="28"/>
          <w:rtl w:val="true"/>
          <w:lang w:bidi="fa-IR"/>
        </w:rPr>
        <w:t>المدبّر و لم یبع رقبته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عورضت بروایة 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مملوکه إن شاء باعه و إن شاء أعتقه</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البیع علی الرجوع قبله ؛ توفیقاً</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الجهالة فی الخدمة غیر قادحة ؛ لجواز استثناء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المقصود بالبیع فی جمیع الأعیان هو الانتفاع، و لا تقدیر لأمده، فالعمل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تخریجه علی تناول البیع الرقبةَ و یکون کمشروط العتق باطل، بتصریح الخبر و الفتوی</w:t>
      </w:r>
      <w:r>
        <w:rPr>
          <w:rStyle w:val="FootnoteAnchor"/>
          <w:rtl w:val="true"/>
        </w:rPr>
        <w:footnoteReference w:id="1409"/>
      </w:r>
      <w:r>
        <w:rPr>
          <w:rFonts w:ascii="IRNazanin" w:hAnsi="IRNazanin" w:eastAsia="IRNazanin"/>
          <w:color w:val="111111"/>
          <w:sz w:val="28"/>
          <w:sz w:val="28"/>
          <w:szCs w:val="28"/>
          <w:rtl w:val="true"/>
          <w:lang w:bidi="fa-IR"/>
        </w:rPr>
        <w:t>بتناول البیع الخدمة دون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عاد إلیه بعد خروجه عن ملکه، فإن کان قد رجع فی تدبیره، لم یعد التدبیر، </w:t>
      </w:r>
    </w:p>
    <w:p>
      <w:pPr>
        <w:pStyle w:val="BookText"/>
        <w:rPr/>
      </w:pPr>
      <w:r>
        <w:rPr>
          <w:rFonts w:ascii="IRNazanin" w:hAnsi="IRNazanin" w:eastAsia="IRNazanin"/>
          <w:color w:val="111111"/>
          <w:sz w:val="28"/>
          <w:sz w:val="28"/>
          <w:szCs w:val="28"/>
          <w:rtl w:val="true"/>
          <w:lang w:bidi="fa-IR"/>
        </w:rPr>
        <w:t>سواء قلنا هو عتق بصفة، أو وصیّة ؛ للحکم ببطلانه و عدم سبب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جزم الشیخ بأ نّه وصیّة</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یرجع فالتدبیر بحاله علی</w:t>
      </w:r>
      <w:r>
        <w:rPr>
          <w:rStyle w:val="FootnoteAnchor"/>
          <w:rtl w:val="true"/>
        </w:rPr>
        <w:footnoteReference w:id="1411"/>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الآخر</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التدبیر، و لا یمنع التدبیر شیئاً من التصرّفات فی العبد، و کسبه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بعد موته تأخّر الکسب و أنکر الوارث، حلف المدبّر ؛ لأصالة عدم</w:t>
      </w:r>
    </w:p>
    <w:p>
      <w:pPr>
        <w:pStyle w:val="BookText"/>
        <w:rPr/>
      </w:pPr>
      <w:r>
        <w:rPr>
          <w:rFonts w:ascii="IRNazanin" w:hAnsi="IRNazanin" w:eastAsia="IRNazanin"/>
          <w:color w:val="111111"/>
          <w:sz w:val="28"/>
          <w:sz w:val="28"/>
          <w:szCs w:val="28"/>
          <w:rtl w:val="true"/>
          <w:lang w:bidi="fa-IR"/>
        </w:rPr>
        <w:t>التقدّم، و لو أقام أحدهما بیّنة، عمل بها، و لو أقاما بیّنة، بنی علی تقدیم الخارج أو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وط‌ء المدبّرة، فلو حملت صارت أُمّ ولد، ثمّ تعتق من الثلث، فإن فضل منها، عتق من نصیب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من مملوک للمدبِّر فهو مدبَّر بخلاف ملک غیر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حملت من زنا،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مدبّراً</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مع علمها بالتحریم ؛ لعدم إلحاقه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المدبّر من أمته إن</w:t>
      </w:r>
      <w:r>
        <w:rPr>
          <w:rStyle w:val="FootnoteAnchor"/>
          <w:rtl w:val="true"/>
        </w:rPr>
        <w:footnoteReference w:id="1414"/>
      </w:r>
      <w:r>
        <w:rPr>
          <w:rFonts w:ascii="IRNazanin" w:hAnsi="IRNazanin" w:eastAsia="IRNazanin"/>
          <w:color w:val="111111"/>
          <w:sz w:val="28"/>
          <w:sz w:val="28"/>
          <w:szCs w:val="28"/>
          <w:rtl w:val="true"/>
          <w:lang w:bidi="fa-IR"/>
        </w:rPr>
        <w:t>قلنا بملکه مدبّرون علی قول</w:t>
      </w:r>
      <w:r>
        <w:rPr>
          <w:rStyle w:val="FootnoteAnchor"/>
          <w:rtl w:val="true"/>
        </w:rPr>
        <w:footnoteReference w:id="1415"/>
      </w:r>
      <w:r>
        <w:rPr>
          <w:rFonts w:ascii="IRNazanin" w:hAnsi="IRNazanin" w:eastAsia="IRNazanin"/>
          <w:color w:val="111111"/>
          <w:sz w:val="28"/>
          <w:sz w:val="28"/>
          <w:szCs w:val="28"/>
          <w:rtl w:val="true"/>
          <w:lang w:bidi="fa-IR"/>
        </w:rPr>
        <w:t>، و لو کان من أمة مولاه بتزویج أو شبهة أو تحلیل فهو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أرش جنایة المدبّر للمولی، و کذا قیمته لو قتل، و یقوّم مدبّراً، و لو جنی، فکالقنّ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عتق قبل الفکّ ففی رقبته أو ماله، لا علی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w:t>
      </w:r>
    </w:p>
    <w:p>
      <w:pPr>
        <w:pStyle w:val="BookText"/>
        <w:rPr/>
      </w:pPr>
      <w:r>
        <w:rPr>
          <w:rFonts w:ascii="IRNazanin" w:hAnsi="IRNazanin" w:eastAsia="IRNazanin"/>
          <w:color w:val="111111"/>
          <w:sz w:val="28"/>
          <w:sz w:val="28"/>
          <w:szCs w:val="28"/>
          <w:rtl w:val="true"/>
          <w:lang w:bidi="fa-IR"/>
        </w:rPr>
        <w:t>الأرش من ترکة المولی</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 نّه</w:t>
      </w:r>
      <w:r>
        <w:rPr>
          <w:rStyle w:val="FootnoteAnchor"/>
          <w:rtl w:val="true"/>
        </w:rPr>
        <w:footnoteReference w:id="1417"/>
      </w:r>
      <w:r>
        <w:rPr>
          <w:rFonts w:ascii="IRNazanin" w:hAnsi="IRNazanin" w:eastAsia="IRNazanin"/>
          <w:color w:val="111111"/>
          <w:sz w:val="28"/>
          <w:sz w:val="28"/>
          <w:szCs w:val="28"/>
          <w:rtl w:val="true"/>
          <w:lang w:bidi="fa-IR"/>
        </w:rPr>
        <w:t>یجریه مجری إعتاق العبد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کاتبه، جزم الشیخ ببطلان التدبیر</w:t>
      </w:r>
      <w:r>
        <w:rPr>
          <w:rStyle w:val="FootnoteAnchor"/>
          <w:rtl w:val="true"/>
        </w:rPr>
        <w:footnoteReference w:id="1418"/>
      </w:r>
      <w:r>
        <w:rPr>
          <w:rFonts w:ascii="IRNazanin" w:hAnsi="IRNazanin" w:eastAsia="IRNazanin"/>
          <w:color w:val="111111"/>
          <w:sz w:val="28"/>
          <w:sz w:val="28"/>
          <w:szCs w:val="28"/>
          <w:rtl w:val="true"/>
          <w:lang w:bidi="fa-IR"/>
        </w:rPr>
        <w:t>، و ابن الجنید</w:t>
      </w:r>
      <w:r>
        <w:rPr>
          <w:rStyle w:val="FootnoteAnchor"/>
          <w:rtl w:val="true"/>
        </w:rPr>
        <w:footnoteReference w:id="1419"/>
      </w:r>
      <w:r>
        <w:rPr>
          <w:rFonts w:ascii="IRNazanin" w:hAnsi="IRNazanin" w:eastAsia="IRNazanin"/>
          <w:color w:val="111111"/>
          <w:sz w:val="28"/>
          <w:sz w:val="28"/>
          <w:szCs w:val="28"/>
          <w:rtl w:val="true"/>
          <w:lang w:bidi="fa-IR"/>
        </w:rPr>
        <w:t>، و ابن البرّاج ببقائه</w:t>
      </w:r>
      <w:r>
        <w:rPr>
          <w:rStyle w:val="FootnoteAnchor"/>
          <w:rtl w:val="true"/>
        </w:rPr>
        <w:footnoteReference w:id="1420"/>
      </w:r>
      <w:r>
        <w:rPr>
          <w:rFonts w:ascii="IRNazanin" w:hAnsi="IRNazanin" w:eastAsia="IRNazanin"/>
          <w:color w:val="111111"/>
          <w:sz w:val="28"/>
          <w:sz w:val="28"/>
          <w:szCs w:val="28"/>
          <w:rtl w:val="true"/>
          <w:lang w:bidi="fa-IR"/>
        </w:rPr>
        <w:t>، و هو الأصحّ ؛ لصحیحة أبی بصیر</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دبّر المکاتب، أو قاطع المدبّر علی مال</w:t>
      </w:r>
    </w:p>
    <w:p>
      <w:pPr>
        <w:pStyle w:val="BookText"/>
        <w:rPr/>
      </w:pPr>
      <w:r>
        <w:rPr>
          <w:rFonts w:ascii="IRNazanin" w:hAnsi="IRNazanin" w:eastAsia="IRNazanin"/>
          <w:color w:val="111111"/>
          <w:sz w:val="28"/>
          <w:sz w:val="28"/>
          <w:szCs w:val="28"/>
          <w:rtl w:val="true"/>
          <w:lang w:bidi="fa-IR"/>
        </w:rPr>
        <w:t>لیعجّل له العتق، لم یبطل التدبیر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بالمدبّر للغیر، کان رجوعاً و إن ردّ الموصی له الوصیّة، قاله الشیخ</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أنکر التدبیر، لم یکن رجوعاً إن جعلناه عتقاً، و إن جعلناه وصیّة قوّی الشیخ أ نّه لیس برجوع</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اعتبار بردّ العبد التدبیر، سواء ردّه فی حیاة المولی أم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علّقه بوفاة غیره، ففی کونه رجوعاً عن التعلیق بوفاته عندی احتمال ؛ إذ بقاء تعلیقه بوفاته مع هذا التعلیق یستلزم التوقّف علی الشرط، و لغو الثانی بعید، هذا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 المدبّر من ثلث المدبّر، و تزاحمه الوصایا إذا اقترن الجمیع، و یقدّم السابق منها، و یقدّم علیه الدین، سواء کان سابقاً أو لاحقاً علی الأصحّ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أبرأه المدین المستوعب،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کلّه</w:t>
      </w:r>
      <w:r>
        <w:rPr>
          <w:rStyle w:val="FootnoteAnchor"/>
          <w:rtl w:val="true"/>
        </w:rPr>
        <w:footnoteReference w:id="1424"/>
      </w:r>
      <w:r>
        <w:rPr>
          <w:rFonts w:ascii="IRNazanin" w:hAnsi="IRNazanin" w:eastAsia="IRNazanin"/>
          <w:color w:val="111111"/>
          <w:sz w:val="28"/>
          <w:sz w:val="28"/>
          <w:szCs w:val="28"/>
          <w:rtl w:val="true"/>
          <w:lang w:bidi="fa-IR"/>
        </w:rPr>
        <w:t>، و توقّف فی المختلف</w:t>
      </w:r>
      <w:r>
        <w:rPr>
          <w:rStyle w:val="FootnoteAnchor"/>
          <w:rtl w:val="true"/>
        </w:rPr>
        <w:footnoteReference w:id="1425"/>
      </w:r>
      <w:r>
        <w:rPr>
          <w:rFonts w:ascii="Amiri" w:hAnsi="Amiri" w:eastAsia="Amiri" w:cs="Amiri"/>
          <w:color w:val="111111"/>
          <w:sz w:val="28"/>
          <w:sz w:val="28"/>
          <w:szCs w:val="28"/>
          <w:rtl w:val="true"/>
          <w:lang w:bidi="ar-SA"/>
        </w:rPr>
        <w:t>؛ لعدم حصول ضعفه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الثلث و أجاز الوارث،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التدبیر واجباً أو معلّقاً بموت الغیر، فمات فی حیاة المولی فهو من الأصل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إباق المدبّر أو المدبّرة یبطل تدبیره، إلاّ أن یأبق من عند مخدومه المعلّق عتقه علی موته، فلا یبطل</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3665_219187"/>
      <w:bookmarkStart w:id="194" w:name="pg13665_219187"/>
      <w:bookmarkEnd w:id="194"/>
    </w:p>
    <w:p>
      <w:pPr>
        <w:pStyle w:val="Heading2"/>
        <w:numPr>
          <w:ilvl w:val="1"/>
          <w:numId w:val="1"/>
        </w:numPr>
        <w:rPr/>
      </w:pPr>
      <w:bookmarkStart w:id="195" w:name="pg13665_219187"/>
      <w:bookmarkStart w:id="196" w:name="__RefHeading___Toc2071341_3830689328"/>
      <w:bookmarkStart w:id="197" w:name="_Toc65"/>
      <w:bookmarkEnd w:id="195"/>
      <w:bookmarkEnd w:id="196"/>
      <w:r>
        <w:rPr>
          <w:rtl w:val="true"/>
        </w:rPr>
        <w:t>کتاب المکاتب</w:t>
      </w:r>
      <w:bookmarkEnd w:id="19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2071343_3830689328"/>
      <w:bookmarkStart w:id="199" w:name="_Toc66"/>
      <w:bookmarkEnd w:id="198"/>
      <w:r>
        <w:rPr>
          <w:rtl w:val="true"/>
        </w:rPr>
        <w:t>اشاره</w:t>
      </w:r>
      <w:bookmarkEnd w:id="19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المکاتب</w:t>
      </w:r>
    </w:p>
    <w:p>
      <w:pPr>
        <w:pStyle w:val="BookText"/>
        <w:rPr/>
      </w:pPr>
      <w:r>
        <w:rPr>
          <w:rFonts w:ascii="IRNazanin" w:hAnsi="IRNazanin" w:eastAsia="IRNazanin"/>
          <w:color w:val="111111"/>
          <w:sz w:val="28"/>
          <w:sz w:val="28"/>
          <w:szCs w:val="28"/>
          <w:rtl w:val="true"/>
          <w:lang w:bidi="fa-IR"/>
        </w:rPr>
        <w:t>و اشتقاق الکتابة من الکَتب، و هو الجمع ؛ لانضمام بعض النجوم إلی بعض، و منه کتبت البغلة و القربة و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مستحبّة مع الأمانة و الکسب، و تتأکّد مع التماس العبد، و بهما فسّر الشیخ الخیر</w:t>
      </w:r>
      <w:r>
        <w:rPr>
          <w:rStyle w:val="FootnoteAnchor"/>
          <w:rtl w:val="true"/>
        </w:rPr>
        <w:footnoteReference w:id="1426"/>
      </w:r>
      <w:r>
        <w:rPr>
          <w:rFonts w:ascii="IRNazanin" w:hAnsi="IRNazanin" w:eastAsia="IRNazanin"/>
          <w:color w:val="111111"/>
          <w:sz w:val="28"/>
          <w:sz w:val="28"/>
          <w:szCs w:val="28"/>
          <w:rtl w:val="true"/>
          <w:lang w:bidi="fa-IR"/>
        </w:rPr>
        <w:t>فی آیة الکتابة</w:t>
      </w:r>
      <w:r>
        <w:rPr>
          <w:rStyle w:val="FootnoteAnchor"/>
          <w:rtl w:val="true"/>
        </w:rPr>
        <w:footnoteReference w:id="1427"/>
      </w:r>
      <w:r>
        <w:rPr>
          <w:rFonts w:ascii="IRNazanin" w:hAnsi="IRNazanin" w:eastAsia="IRNazanin"/>
          <w:color w:val="111111"/>
          <w:sz w:val="28"/>
          <w:sz w:val="28"/>
          <w:szCs w:val="28"/>
          <w:rtl w:val="true"/>
          <w:lang w:bidi="fa-IR"/>
        </w:rPr>
        <w:t>، و لو عدما فهی مباحة عند الشیخ فی الخلاف</w:t>
      </w:r>
      <w:r>
        <w:rPr>
          <w:rStyle w:val="FootnoteAnchor"/>
          <w:rtl w:val="true"/>
        </w:rPr>
        <w:footnoteReference w:id="1428"/>
      </w:r>
      <w:r>
        <w:rPr>
          <w:rFonts w:ascii="IRNazanin" w:hAnsi="IRNazanin" w:eastAsia="IRNazanin"/>
          <w:color w:val="111111"/>
          <w:sz w:val="28"/>
          <w:sz w:val="28"/>
          <w:szCs w:val="28"/>
          <w:rtl w:val="true"/>
          <w:lang w:bidi="fa-IR"/>
        </w:rPr>
        <w:t>، و فی المبسوط مکروهة</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معاملة مستقلّة تفارق البیع باعتبار الأجل علی قول</w:t>
      </w:r>
      <w:r>
        <w:rPr>
          <w:rStyle w:val="FootnoteAnchor"/>
          <w:rtl w:val="true"/>
        </w:rPr>
        <w:footnoteReference w:id="1430"/>
      </w:r>
      <w:r>
        <w:rPr>
          <w:rFonts w:ascii="IRNazanin" w:hAnsi="IRNazanin" w:eastAsia="IRNazanin"/>
          <w:color w:val="111111"/>
          <w:sz w:val="28"/>
          <w:sz w:val="28"/>
          <w:szCs w:val="28"/>
          <w:rtl w:val="true"/>
          <w:lang w:bidi="fa-IR"/>
        </w:rPr>
        <w:t>، و سقوط خیار المجلس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الشیخ من اشتراط الخیار للسیّد فیها</w:t>
      </w:r>
      <w:r>
        <w:rPr>
          <w:rStyle w:val="FootnoteAnchor"/>
          <w:rtl w:val="true"/>
        </w:rPr>
        <w:footnoteReference w:id="1431"/>
      </w:r>
      <w:r>
        <w:rPr>
          <w:rFonts w:ascii="IRNazanin" w:hAnsi="IRNazanin" w:eastAsia="IRNazanin"/>
          <w:color w:val="111111"/>
          <w:sz w:val="28"/>
          <w:sz w:val="28"/>
          <w:szCs w:val="28"/>
          <w:rtl w:val="true"/>
          <w:lang w:bidi="fa-IR"/>
        </w:rPr>
        <w:t>، و جوّز التقایل</w:t>
      </w:r>
      <w:r>
        <w:rPr>
          <w:rStyle w:val="FootnoteAnchor"/>
          <w:rtl w:val="true"/>
        </w:rPr>
        <w:footnoteReference w:id="1432"/>
      </w:r>
      <w:r>
        <w:rPr>
          <w:rFonts w:ascii="IRNazanin" w:hAnsi="IRNazanin" w:eastAsia="IRNazanin"/>
          <w:color w:val="111111"/>
          <w:sz w:val="28"/>
          <w:sz w:val="28"/>
          <w:szCs w:val="28"/>
          <w:rtl w:val="true"/>
          <w:lang w:bidi="fa-IR"/>
        </w:rPr>
        <w:t>و بیع العبد من نفسه</w:t>
      </w: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الحلبیّ</w:t>
      </w:r>
      <w:r>
        <w:rPr>
          <w:rStyle w:val="FootnoteAnchor"/>
          <w:rtl w:val="true"/>
        </w:rPr>
        <w:footnoteReference w:id="1434"/>
      </w:r>
      <w:r>
        <w:rPr>
          <w:rFonts w:ascii="IRNazanin" w:hAnsi="IRNazanin" w:eastAsia="IRNazanin"/>
          <w:color w:val="111111"/>
          <w:sz w:val="28"/>
          <w:sz w:val="28"/>
          <w:szCs w:val="28"/>
          <w:rtl w:val="true"/>
          <w:lang w:bidi="fa-IR"/>
        </w:rPr>
        <w:t>، و ابن إدریس أنّ الکتابة بیع محض</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جوّزنا بیعه علیه، فإذا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رقبتک بکذا فقبل، عتق کشراء القریب، و لا ولاء علیه إلاّ مع الشرط عند الشیخ</w:t>
      </w:r>
      <w:r>
        <w:rPr>
          <w:rStyle w:val="FootnoteAnchor"/>
          <w:rtl w:val="true"/>
        </w:rPr>
        <w:footnoteReference w:id="1436"/>
      </w:r>
      <w:r>
        <w:rPr>
          <w:rFonts w:ascii="IRNazanin" w:hAnsi="IRNazanin" w:eastAsia="IRNazanin"/>
          <w:color w:val="111111"/>
          <w:sz w:val="28"/>
          <w:sz w:val="28"/>
          <w:szCs w:val="28"/>
          <w:rtl w:val="true"/>
          <w:lang w:bidi="fa-IR"/>
        </w:rPr>
        <w:t xml:space="preserve">، کما مرّ، و یشکل ببعد ملک الإنسان نفسه، و لو صحّ فکیف یکون الولاء للبائع مع أ نّه لم یعتقه، و الاشتراط یخالف قوله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یجعل الاشتراط کضمان الجریرة المستأنف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علی ألف درهم، أو إن أعطیتنی ألفاً فأنت حرّ،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w:t>
      </w:r>
      <w:r>
        <w:rPr>
          <w:rStyle w:val="FootnoteAnchor"/>
          <w:rtl w:val="true"/>
        </w:rPr>
        <w:footnoteReference w:id="1438"/>
      </w:r>
      <w:r>
        <w:rPr>
          <w:rFonts w:ascii="IRNazanin" w:hAnsi="IRNazanin" w:eastAsia="IRNazanin"/>
          <w:color w:val="111111"/>
          <w:sz w:val="28"/>
          <w:sz w:val="28"/>
          <w:szCs w:val="28"/>
          <w:rtl w:val="true"/>
          <w:lang w:bidi="fa-IR"/>
        </w:rPr>
        <w:t>؛ لأنّ العبد لا یملک، و الثانی تعلیق، و یمکن إلحاقهما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الفاسدة لا حکم لها عندنا، فلا ینعتق بالأداء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خواصّ الکتابة وقوعها بین المالک و عبده، و أنّ العوض و المعوّض ملک للسیّد، و أنّ المکاتب علی درجة بین الاستقلال و عدمه، و أ نّه یملک من بین العبید و یثبت له أرش الجنایة علی سیّده الجانی علیه، و علیه الأرش للسیّد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صیغة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کاتَبْتُک علی أن تؤدّی إلیّ کذا فی وقت کذا فإذا أدّیت فأنت حرّ، فیقبل العبد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المولی و عقله، فلا یکفی العَشْر و إن اکتفینا بها فی العتق، سواء أذن الولیّ</w:t>
      </w:r>
      <w:r>
        <w:rPr>
          <w:rStyle w:val="FootnoteAnchor"/>
          <w:rtl w:val="true"/>
        </w:rPr>
        <w:footnoteReference w:id="1439"/>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من المجنون المطبق، و لا الدائر جنونه إلاّ أن یکون حال الإفاقة المعلومة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کاتب الولیّ عنهما،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مع الغبطة، کما یصحّ البیع و العتق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معاویة بن وهب، عن الصادق علیه‌السّلام</w:t>
      </w:r>
      <w:r>
        <w:rPr>
          <w:rStyle w:val="FootnoteAnchor"/>
          <w:rtl w:val="true"/>
        </w:rPr>
        <w:footnoteReference w:id="1440"/>
      </w:r>
      <w:r>
        <w:rPr>
          <w:rFonts w:ascii="IRNazanin" w:hAnsi="IRNazanin" w:eastAsia="IRNazanin"/>
          <w:color w:val="111111"/>
          <w:sz w:val="28"/>
          <w:sz w:val="28"/>
          <w:szCs w:val="28"/>
          <w:rtl w:val="true"/>
          <w:lang w:bidi="fa-IR"/>
        </w:rPr>
        <w:t>، و خیرة الخلاف</w:t>
      </w:r>
      <w:r>
        <w:rPr>
          <w:rStyle w:val="FootnoteAnchor"/>
          <w:rtl w:val="true"/>
        </w:rPr>
        <w:footnoteReference w:id="1441"/>
      </w:r>
      <w:r>
        <w:rPr>
          <w:rFonts w:ascii="IRNazanin" w:hAnsi="IRNazanin" w:eastAsia="IRNazanin"/>
          <w:color w:val="111111"/>
          <w:sz w:val="28"/>
          <w:sz w:val="28"/>
          <w:szCs w:val="28"/>
          <w:rtl w:val="true"/>
          <w:lang w:bidi="fa-IR"/>
        </w:rPr>
        <w:t>، خلافاً للمبسوط</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ادّعی وقوعه حالة الصِبا أو الجنون و أنکر العبد،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 السیّد مع یمینه</w:t>
      </w:r>
      <w:r>
        <w:rPr>
          <w:rStyle w:val="FootnoteAnchor"/>
          <w:rtl w:val="true"/>
        </w:rPr>
        <w:footnoteReference w:id="1443"/>
      </w:r>
      <w:r>
        <w:rPr>
          <w:rFonts w:ascii="IRNazanin" w:hAnsi="IRNazanin" w:eastAsia="IRNazanin"/>
          <w:color w:val="111111"/>
          <w:sz w:val="28"/>
          <w:sz w:val="28"/>
          <w:szCs w:val="28"/>
          <w:rtl w:val="true"/>
          <w:lang w:bidi="fa-IR"/>
        </w:rPr>
        <w:t>، إذا عرف له حال جنون ؛ لأ نّه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احتمل ذلک أیضاً، بل أولی ؛ لأ نّه یضمّ إلی ذلک الصحّة التی هی أصل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تقدیم مدّعی الجنون و الصِبا منهما ؛ للشکّ فی العقد، فلا ینفذ فی مقتضاه و کذا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فلا عبرة بعقد الساهی و النائم و الغافل و الهازل، و لو تنازعا فی القصد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بعقد السکران، و إن أُجری علیه أحکام الصاحی فی العبادات بحیث یؤمر بقضائها، و کذا سائر عقوده باطلة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الحجر، فلا یصحّ من السفیه إلاّ بإذن</w:t>
      </w:r>
      <w:r>
        <w:rPr>
          <w:rStyle w:val="FootnoteAnchor"/>
          <w:rtl w:val="true"/>
        </w:rPr>
        <w:footnoteReference w:id="1444"/>
      </w:r>
      <w:r>
        <w:rPr>
          <w:rFonts w:ascii="Amiri" w:hAnsi="Amiri" w:eastAsia="Amiri" w:cs="Amiri"/>
          <w:color w:val="111111"/>
          <w:sz w:val="28"/>
          <w:sz w:val="28"/>
          <w:szCs w:val="28"/>
          <w:rtl w:val="true"/>
          <w:lang w:bidi="ar-SA"/>
        </w:rPr>
        <w:t>الولیّ، و لا من المفلّس إلاّ بإذن الغُرماء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یصحّ من المریض إن خرج من الثلث أو أجاز الوارث ؛ لأ نّه معاملة علی ماله بماله، و لو برأ، لزم مطلقاً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المکاتب مع الغبطة، أمّا القنّ فلا تصحّ کتابة</w:t>
      </w:r>
      <w:r>
        <w:rPr>
          <w:rStyle w:val="FootnoteAnchor"/>
          <w:rtl w:val="true"/>
        </w:rPr>
        <w:footnoteReference w:id="1445"/>
      </w:r>
      <w:r>
        <w:rPr>
          <w:rFonts w:ascii="IRNazanin" w:hAnsi="IRNazanin" w:eastAsia="IRNazanin"/>
          <w:color w:val="111111"/>
          <w:sz w:val="28"/>
          <w:sz w:val="28"/>
          <w:szCs w:val="28"/>
          <w:rtl w:val="true"/>
          <w:lang w:bidi="fa-IR"/>
        </w:rPr>
        <w:t xml:space="preserve">رقیقه إذا قلنا بملکه، </w:t>
      </w:r>
    </w:p>
    <w:p>
      <w:pPr>
        <w:pStyle w:val="BookText"/>
        <w:rPr/>
      </w:pPr>
      <w:r>
        <w:rPr>
          <w:rFonts w:ascii="Amiri" w:hAnsi="Amiri" w:eastAsia="Amiri" w:cs="Amiri"/>
          <w:color w:val="111111"/>
          <w:sz w:val="28"/>
          <w:sz w:val="28"/>
          <w:szCs w:val="28"/>
          <w:rtl w:val="true"/>
          <w:lang w:bidi="ar-SA"/>
        </w:rPr>
        <w:t>إلاّ بإذن السیّد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المرتدّ عن ملّة بإذن الحاکم لا بدونه فی الأصحّ، و تحتمل المراعاة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فلا یقع</w:t>
      </w:r>
      <w:r>
        <w:rPr>
          <w:rStyle w:val="FootnoteAnchor"/>
          <w:rtl w:val="true"/>
        </w:rPr>
        <w:footnoteReference w:id="1446"/>
      </w:r>
      <w:r>
        <w:rPr>
          <w:rFonts w:ascii="IRNazanin" w:hAnsi="IRNazanin" w:eastAsia="IRNazanin"/>
          <w:color w:val="111111"/>
          <w:sz w:val="28"/>
          <w:sz w:val="28"/>
          <w:szCs w:val="28"/>
          <w:rtl w:val="true"/>
          <w:lang w:bidi="fa-IR"/>
        </w:rPr>
        <w:t>من المکره إلاّ أن یرضی بعد زوال الإکراه، و لو ظهرت دلالة الاختیار، وقع، کمخالفة المکره فیما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العبد، فلا یقع علی الصبیّ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تخیّل قبول المولی لهما أو الحاکم أو الأب و الجدّ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 ؛ لعدم الخیر فی الکافر إن فسّرناه بالدین أو بالأمانة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فی عتقه تسلیطاً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المکاتب یؤتی من الزکاة و یتعذّر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اختیار المرتضی</w:t>
      </w:r>
      <w:r>
        <w:rPr>
          <w:rStyle w:val="FootnoteAnchor"/>
          <w:rtl w:val="true"/>
        </w:rPr>
        <w:footnoteReference w:id="1447"/>
      </w:r>
      <w:r>
        <w:rPr>
          <w:rFonts w:ascii="IRNazanin" w:hAnsi="IRNazanin" w:eastAsia="IRNazanin"/>
          <w:color w:val="111111"/>
          <w:sz w:val="28"/>
          <w:sz w:val="28"/>
          <w:szCs w:val="28"/>
          <w:rtl w:val="true"/>
          <w:lang w:bidi="fa-IR"/>
        </w:rPr>
        <w:t>و الشیخ</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449"/>
      </w:r>
      <w:r>
        <w:rPr>
          <w:rFonts w:ascii="IRNazanin" w:hAnsi="IRNazanin" w:eastAsia="IRNazanin"/>
          <w:color w:val="111111"/>
          <w:sz w:val="28"/>
          <w:sz w:val="28"/>
          <w:szCs w:val="28"/>
          <w:rtl w:val="true"/>
          <w:lang w:bidi="fa-IR"/>
        </w:rPr>
        <w:t>، کعتقه أو لتغلیب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عن فطرة، لم یصحّ، و إن کان عن ملّة، جوّزه الشیخ ؛ لأنّ له أهلیّة المعاوضة</w:t>
      </w:r>
      <w:r>
        <w:rPr>
          <w:rStyle w:val="FootnoteAnchor"/>
          <w:rtl w:val="true"/>
        </w:rPr>
        <w:footnoteReference w:id="1450"/>
      </w:r>
      <w:r>
        <w:rPr>
          <w:rFonts w:ascii="IRNazanin" w:hAnsi="IRNazanin" w:eastAsia="IRNazanin"/>
          <w:color w:val="111111"/>
          <w:sz w:val="28"/>
          <w:sz w:val="28"/>
          <w:szCs w:val="28"/>
          <w:rtl w:val="true"/>
          <w:lang w:bidi="fa-IR"/>
        </w:rPr>
        <w:t>، و هو مطالب بالفرق، بل البطلان هنا أولی ؛ لعدم إقراره علی ردّته، و لو کانا کافرین، فالجواز أولی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الجمیع، فلو کاتب نصف عبد، لم یصحّ عند الشیخ فی المبسوط</w:t>
      </w:r>
      <w:r>
        <w:rPr>
          <w:rStyle w:val="FootnoteAnchor"/>
          <w:rtl w:val="true"/>
        </w:rPr>
        <w:footnoteReference w:id="1451"/>
      </w:r>
      <w:r>
        <w:rPr>
          <w:rFonts w:ascii="IRNazanin" w:hAnsi="IRNazanin" w:eastAsia="IRNazanin"/>
          <w:color w:val="111111"/>
          <w:sz w:val="28"/>
          <w:sz w:val="28"/>
          <w:szCs w:val="28"/>
          <w:rtl w:val="true"/>
          <w:lang w:bidi="fa-IR"/>
        </w:rPr>
        <w:t>؛ للزوم التناقض فی السعی، سواء کان باقیه له أم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تسری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أدّی، انعتق کلّه عند الشیخ</w:t>
      </w:r>
      <w:r>
        <w:rPr>
          <w:rStyle w:val="FootnoteAnchor"/>
          <w:rtl w:val="true"/>
        </w:rPr>
        <w:footnoteReference w:id="1452"/>
      </w:r>
      <w:r>
        <w:rPr>
          <w:rFonts w:ascii="IRNazanin" w:hAnsi="IRNazanin" w:eastAsia="IRNazanin"/>
          <w:color w:val="111111"/>
          <w:sz w:val="28"/>
          <w:sz w:val="28"/>
          <w:szCs w:val="28"/>
          <w:rtl w:val="true"/>
          <w:lang w:bidi="fa-IR"/>
        </w:rPr>
        <w:t xml:space="preserve">، و یُغرّم السیّد قیمة النصیب، و لا یرجع </w:t>
      </w:r>
    </w:p>
    <w:p>
      <w:pPr>
        <w:pStyle w:val="BookText"/>
        <w:rPr/>
      </w:pPr>
      <w:r>
        <w:rPr>
          <w:rFonts w:ascii="IRNazanin" w:hAnsi="IRNazanin" w:eastAsia="IRNazanin"/>
          <w:color w:val="111111"/>
          <w:sz w:val="28"/>
          <w:sz w:val="28"/>
          <w:szCs w:val="28"/>
          <w:rtl w:val="true"/>
          <w:lang w:bidi="fa-IR"/>
        </w:rPr>
        <w:t>به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 جوّز کتابة البعض</w:t>
      </w:r>
      <w:r>
        <w:rPr>
          <w:rStyle w:val="FootnoteAnchor"/>
          <w:rtl w:val="true"/>
        </w:rPr>
        <w:footnoteReference w:id="1453"/>
      </w:r>
      <w:r>
        <w:rPr>
          <w:rFonts w:ascii="IRNazanin" w:hAnsi="IRNazanin" w:eastAsia="IRNazanin"/>
          <w:color w:val="111111"/>
          <w:sz w:val="28"/>
          <w:sz w:val="28"/>
          <w:szCs w:val="28"/>
          <w:rtl w:val="true"/>
          <w:lang w:bidi="fa-IR"/>
        </w:rPr>
        <w:t xml:space="preserve">، و هو الأقوی، و أولی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بعضه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الحرّیّة عند الأداء، و فی اعتبار التلفّظ بالحرّیّة للشیخ قولان</w:t>
      </w:r>
      <w:r>
        <w:rPr>
          <w:rStyle w:val="FootnoteAnchor"/>
          <w:rtl w:val="true"/>
        </w:rPr>
        <w:footnoteReference w:id="1454"/>
      </w:r>
      <w:r>
        <w:rPr>
          <w:rFonts w:ascii="IRNazanin" w:hAnsi="IRNazanin" w:eastAsia="IRNazanin"/>
          <w:color w:val="111111"/>
          <w:sz w:val="28"/>
          <w:sz w:val="28"/>
          <w:szCs w:val="28"/>
          <w:rtl w:val="true"/>
          <w:lang w:bidi="fa-IR"/>
        </w:rPr>
        <w:t xml:space="preserve">، أقربهما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الأجل، و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بیع، لم یعتبره، و علیه ابن إدریس</w:t>
      </w:r>
      <w:r>
        <w:rPr>
          <w:rStyle w:val="FootnoteAnchor"/>
          <w:rtl w:val="true"/>
        </w:rPr>
        <w:footnoteReference w:id="1455"/>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 لجهالة وقت الحصول، أو للعجز</w:t>
      </w:r>
      <w:r>
        <w:rPr>
          <w:rStyle w:val="FootnoteAnchor"/>
          <w:rtl w:val="true"/>
        </w:rPr>
        <w:footnoteReference w:id="1456"/>
      </w:r>
      <w:r>
        <w:rPr>
          <w:rFonts w:ascii="IRNazanin" w:hAnsi="IRNazanin" w:eastAsia="IRNazanin"/>
          <w:color w:val="111111"/>
          <w:sz w:val="28"/>
          <w:sz w:val="28"/>
          <w:szCs w:val="28"/>
          <w:rtl w:val="true"/>
          <w:lang w:bidi="fa-IR"/>
        </w:rPr>
        <w:t>حال العقد ؛ لعدم ملکه و الحاصل عند العقد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أجل واحد عندنا ؛ لحصول الغرض، و المنع لاتّباع الأوّلین حیث لم یوقعوا بنجم واحد،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نصفه حرّاً و بیده مال فکاتبه علی قدره فما دون حالاًّ،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 لأ نّه کالسعایة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واقفاً علی مملحة فکاتبه علی قدر من الملح مقدور فی الحال، فإن علّلنا بجهالة وقت الحصول، جاز، و إن علّلنا بالعجز حال العقد،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 أجلاً قصیراً لمال کثیر یتعذّر حصوله غالباً فیه، بطل إن علّلنا بالجهالة، و إن علّلنا بالعجز، صحّ ؛ لأ نّه یصحّ تملّکه</w:t>
      </w:r>
      <w:r>
        <w:rPr>
          <w:rStyle w:val="FootnoteAnchor"/>
          <w:rtl w:val="true"/>
        </w:rPr>
        <w:footnoteReference w:id="1457"/>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تعیین الأجل، کأجل السلف و النسیئة ممّا لا یحتمل الزیادة و النقصان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العوض دیناً، فلو کاتبه علی عین، بطل ؛ لأ نّها إن کانت للسیّد، فلا معاوضة، و إن کانت لغیره، فهی کجعل ثمن المبیع من مال غیر المشتری، و لو أذن الغیر فی الکتابة علی عین یملکها، فهی فی قوّة البیع، فإن جوّزناه،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حادی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معلوم القدر و الجنس و الوصف، فإن کان نقداً، وصف بما یوصف فی النسیئة، و إن کان عرضاً، فکالسلم، فتمتنع الکتابة علی ما لا یمکن ضبط أوصافه، کالجاریة و ولدها و الدرّة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العوض ممّا یملکه المولی، فلو کاتب المسلم عبده المسلم أو الذمّیّ علی خمر أو خنزیر، بطل، و لو کانا ذمّیّین، صحّ، فإن أسلما بعد التقابض،</w:t>
      </w:r>
    </w:p>
    <w:p>
      <w:pPr>
        <w:pStyle w:val="BookText"/>
        <w:rPr/>
      </w:pPr>
      <w:r>
        <w:rPr>
          <w:rFonts w:ascii="IRNazanin" w:hAnsi="IRNazanin" w:eastAsia="IRNazanin"/>
          <w:color w:val="111111"/>
          <w:sz w:val="28"/>
          <w:sz w:val="28"/>
          <w:szCs w:val="28"/>
          <w:rtl w:val="true"/>
          <w:lang w:bidi="fa-IR"/>
        </w:rPr>
        <w:t>وقع موقعه، و إن کان قبله أو قبل قبض جمیعه، فعلی المکاتب القیمة عند مستحلّیه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جعل المنفعة عوضاً و جزءاً من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قیّدها بمدّة و أطلق، اقتضی الاتّصال بالعقد، فلو شرط تأخیره</w:t>
      </w:r>
      <w:r>
        <w:rPr>
          <w:rStyle w:val="FootnoteAnchor"/>
          <w:rtl w:val="true"/>
        </w:rPr>
        <w:footnoteReference w:id="1458"/>
      </w:r>
      <w:r>
        <w:rPr>
          <w:rFonts w:ascii="IRNazanin" w:hAnsi="IRNazanin" w:eastAsia="IRNazanin"/>
          <w:color w:val="111111"/>
          <w:sz w:val="28"/>
          <w:sz w:val="28"/>
          <w:szCs w:val="28"/>
          <w:rtl w:val="true"/>
          <w:lang w:bidi="fa-IR"/>
        </w:rPr>
        <w:t>عن العقد، کشهر یخدمه فیه بعد شهر</w:t>
      </w:r>
    </w:p>
    <w:p>
      <w:pPr>
        <w:pStyle w:val="BookText"/>
        <w:rPr/>
      </w:pPr>
      <w:r>
        <w:rPr>
          <w:rFonts w:ascii="IRNazanin" w:hAnsi="IRNazanin" w:eastAsia="IRNazanin"/>
          <w:color w:val="111111"/>
          <w:sz w:val="28"/>
          <w:sz w:val="28"/>
          <w:szCs w:val="28"/>
          <w:rtl w:val="true"/>
          <w:lang w:bidi="fa-IR"/>
        </w:rPr>
        <w:t>مثلاً، بطل عند الشیخ</w:t>
      </w:r>
      <w:r>
        <w:rPr>
          <w:rStyle w:val="FootnoteAnchor"/>
          <w:rtl w:val="true"/>
        </w:rPr>
        <w:footnoteReference w:id="1459"/>
      </w:r>
      <w:r>
        <w:rPr>
          <w:rFonts w:ascii="IRNazanin" w:hAnsi="IRNazanin" w:eastAsia="IRNazanin"/>
          <w:color w:val="111111"/>
          <w:sz w:val="28"/>
          <w:sz w:val="28"/>
          <w:szCs w:val="28"/>
          <w:rtl w:val="true"/>
          <w:lang w:bidi="fa-IR"/>
        </w:rPr>
        <w:t>، و لو مرض العبد فیه، بطلت الکتابة ؛ لتعذّر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 فی العوض بین الدین و المنفعة، صحّ، سواء اتّحد الأجل فیهما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تساوی النجوم فی الآجال و المقادیر و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للعوض قلّة 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أن یزید علی قیمته یوم المکاتبة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الجمع بین الکتابة و غیرها من المعاوضات بعقد واحد، فیقسّط العوض، و کذا لو کاتب عبدین فصاعداً بعوض واحد، 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کفالة کلّ لصاحبه،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ضمان ما علیه فضمنا</w:t>
      </w:r>
      <w:r>
        <w:rPr>
          <w:rStyle w:val="FootnoteAnchor"/>
          <w:rtl w:val="true"/>
        </w:rPr>
        <w:footnoteReference w:id="1460"/>
      </w:r>
      <w:r>
        <w:rPr>
          <w:rFonts w:ascii="IRNazanin" w:hAnsi="IRNazanin" w:eastAsia="IRNazanin"/>
          <w:color w:val="111111"/>
          <w:sz w:val="28"/>
          <w:sz w:val="28"/>
          <w:szCs w:val="28"/>
          <w:rtl w:val="true"/>
          <w:lang w:bidi="fa-IR"/>
        </w:rPr>
        <w:t>، انعتقا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شرط السیّد بقاء الرقّ مع هذا الضمان حتّی یؤدّیا، أو تخیّره فی الرجوع </w:t>
      </w:r>
      <w:bookmarkStart w:id="200" w:name="pg13665_219195"/>
    </w:p>
    <w:p>
      <w:pPr>
        <w:pStyle w:val="BookText"/>
        <w:rPr/>
      </w:pPr>
      <w:bookmarkEnd w:id="200"/>
      <w:r>
        <w:rPr>
          <w:rFonts w:ascii="Amiri" w:hAnsi="Amiri" w:eastAsia="Amiri" w:cs="Amiri"/>
          <w:color w:val="111111"/>
          <w:sz w:val="28"/>
          <w:sz w:val="28"/>
          <w:szCs w:val="28"/>
          <w:rtl w:val="true"/>
          <w:lang w:bidi="ar-SA"/>
        </w:rPr>
        <w:t>علی مَن شاء</w:t>
      </w:r>
      <w:r>
        <w:rPr>
          <w:rStyle w:val="FootnoteAnchor"/>
          <w:rtl w:val="true"/>
        </w:rPr>
        <w:footnoteReference w:id="1461"/>
      </w:r>
      <w:r>
        <w:rPr>
          <w:rFonts w:ascii="IRNazanin" w:hAnsi="IRNazanin" w:eastAsia="IRNazanin"/>
          <w:color w:val="111111"/>
          <w:sz w:val="28"/>
          <w:sz w:val="28"/>
          <w:szCs w:val="28"/>
          <w:rtl w:val="true"/>
          <w:lang w:bidi="fa-IR"/>
        </w:rPr>
        <w:t>منهما، ففی کلام الشیخ إشعار بجوازه</w:t>
      </w:r>
      <w:r>
        <w:rPr>
          <w:rStyle w:val="FootnoteAnchor"/>
          <w:rtl w:val="true"/>
        </w:rPr>
        <w:footnoteReference w:id="1462"/>
      </w:r>
      <w:r>
        <w:rPr>
          <w:rFonts w:ascii="IRNazanin" w:hAnsi="IRNazanin" w:eastAsia="IRNazanin"/>
          <w:color w:val="111111"/>
          <w:sz w:val="28"/>
          <w:sz w:val="28"/>
          <w:szCs w:val="28"/>
          <w:rtl w:val="true"/>
          <w:lang w:bidi="fa-IR"/>
        </w:rPr>
        <w:t>، و ذکر فی الحائریّات جواز ضمان اثنین مالاً</w:t>
      </w:r>
      <w:r>
        <w:rPr>
          <w:rStyle w:val="FootnoteAnchor"/>
          <w:rtl w:val="true"/>
        </w:rPr>
        <w:footnoteReference w:id="1463"/>
      </w:r>
      <w:r>
        <w:rPr>
          <w:rFonts w:ascii="IRNazanin" w:hAnsi="IRNazanin" w:eastAsia="IRNazanin"/>
          <w:color w:val="111111"/>
          <w:sz w:val="28"/>
          <w:sz w:val="28"/>
          <w:szCs w:val="28"/>
          <w:rtl w:val="true"/>
          <w:lang w:bidi="fa-IR"/>
        </w:rPr>
        <w:t>، و اشتراط رجوعه علی مَن شاء منهما</w:t>
      </w:r>
      <w:r>
        <w:rPr>
          <w:rFonts w:eastAsia="IRNazanin" w:cs="IRNazanin"/>
          <w:color w:val="111111"/>
          <w:sz w:val="28"/>
          <w:szCs w:val="28"/>
          <w:rtl w:val="true"/>
          <w:lang w:bidi="fa-IR"/>
        </w:rPr>
        <w:t>.</w:t>
      </w:r>
    </w:p>
    <w:p>
      <w:pPr>
        <w:pStyle w:val="Heading3"/>
        <w:numPr>
          <w:ilvl w:val="2"/>
          <w:numId w:val="1"/>
        </w:numPr>
        <w:rPr/>
      </w:pPr>
      <w:bookmarkStart w:id="201" w:name="__RefHeading___Toc2071345_3830689328"/>
      <w:bookmarkStart w:id="202" w:name="_Toc67"/>
      <w:bookmarkEnd w:id="201"/>
      <w:r>
        <w:rPr>
          <w:rtl w:val="true"/>
        </w:rPr>
        <w:t xml:space="preserve">درس </w:t>
      </w:r>
      <w:r>
        <w:rPr>
          <w:rtl w:val="true"/>
        </w:rPr>
        <w:t>(</w:t>
      </w:r>
      <w:r>
        <w:rPr/>
        <w:t>164</w:t>
      </w:r>
      <w:r>
        <w:rPr>
          <w:rtl w:val="true"/>
        </w:rPr>
        <w:t>)</w:t>
      </w:r>
      <w:bookmarkEnd w:id="202"/>
    </w:p>
    <w:p>
      <w:pPr>
        <w:pStyle w:val="BookText"/>
        <w:rPr/>
      </w:pPr>
      <w:r>
        <w:rPr>
          <w:rFonts w:ascii="IRNazanin" w:hAnsi="IRNazanin" w:eastAsia="IRNazanin"/>
          <w:color w:val="111111"/>
          <w:sz w:val="28"/>
          <w:sz w:val="28"/>
          <w:szCs w:val="28"/>
          <w:rtl w:val="true"/>
          <w:lang w:bidi="fa-IR"/>
        </w:rPr>
        <w:t>تنقسم الکتابة إلی مطلقة و هی ما ذکر، و مشروطة و هی التی یزاد فیها الردّ فی الرقّ مع العجز فله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شرط ردّه</w:t>
      </w:r>
      <w:r>
        <w:rPr>
          <w:rStyle w:val="FootnoteAnchor"/>
          <w:rtl w:val="true"/>
        </w:rPr>
        <w:footnoteReference w:id="1464"/>
      </w:r>
      <w:r>
        <w:rPr>
          <w:rFonts w:ascii="IRNazanin" w:hAnsi="IRNazanin" w:eastAsia="IRNazanin"/>
          <w:color w:val="111111"/>
          <w:sz w:val="28"/>
          <w:sz w:val="28"/>
          <w:szCs w:val="28"/>
          <w:rtl w:val="true"/>
          <w:lang w:bidi="fa-IR"/>
        </w:rPr>
        <w:t>إن ألطّ بالأداء</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العجز بمخالفة شرطه، فلو شرط علیه التعجیز</w:t>
      </w:r>
      <w:r>
        <w:rPr>
          <w:rStyle w:val="FootnoteAnchor"/>
          <w:rtl w:val="true"/>
        </w:rPr>
        <w:footnoteReference w:id="1466"/>
      </w:r>
      <w:r>
        <w:rPr>
          <w:rFonts w:ascii="Amiri" w:hAnsi="Amiri" w:eastAsia="Amiri" w:cs="Amiri"/>
          <w:color w:val="111111"/>
          <w:sz w:val="28"/>
          <w:sz w:val="28"/>
          <w:szCs w:val="28"/>
          <w:rtl w:val="true"/>
          <w:lang w:bidi="ar-SA"/>
        </w:rPr>
        <w:t>عند تأخّر</w:t>
      </w:r>
      <w:r>
        <w:rPr>
          <w:rStyle w:val="FootnoteAnchor"/>
          <w:rtl w:val="true"/>
        </w:rPr>
        <w:footnoteReference w:id="1467"/>
      </w:r>
      <w:r>
        <w:rPr>
          <w:rFonts w:ascii="IRNazanin" w:hAnsi="IRNazanin" w:eastAsia="IRNazanin"/>
          <w:color w:val="111111"/>
          <w:sz w:val="28"/>
          <w:sz w:val="28"/>
          <w:szCs w:val="28"/>
          <w:rtl w:val="true"/>
          <w:lang w:bidi="fa-IR"/>
        </w:rPr>
        <w:t>النجم عن محلّه، أو عند تأخیره</w:t>
      </w:r>
      <w:r>
        <w:rPr>
          <w:rStyle w:val="FootnoteAnchor"/>
          <w:rtl w:val="true"/>
        </w:rPr>
        <w:footnoteReference w:id="1468"/>
      </w:r>
      <w:r>
        <w:rPr>
          <w:rFonts w:ascii="IRNazanin" w:hAnsi="IRNazanin" w:eastAsia="IRNazanin"/>
          <w:color w:val="111111"/>
          <w:sz w:val="28"/>
          <w:sz w:val="28"/>
          <w:szCs w:val="28"/>
          <w:rtl w:val="true"/>
          <w:lang w:bidi="fa-IR"/>
        </w:rPr>
        <w:t>إلی نجم آخر، أو إلی نجمین فصاعداً،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أطلق،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Style w:val="FootnoteAnchor"/>
          <w:rtl w:val="true"/>
        </w:rPr>
        <w:footnoteReference w:id="1469"/>
      </w:r>
      <w:r>
        <w:rPr>
          <w:rFonts w:ascii="Amiri" w:hAnsi="Amiri" w:eastAsia="Amiri" w:cs="Amiri"/>
          <w:color w:val="111111"/>
          <w:sz w:val="28"/>
          <w:sz w:val="28"/>
          <w:szCs w:val="28"/>
          <w:rtl w:val="true"/>
          <w:lang w:bidi="ar-SA"/>
        </w:rPr>
        <w:t>ثلاثة أنجم، فإن عجز، استرقّ</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یعجز بالتأخیر عن الأجل</w:t>
      </w:r>
      <w:r>
        <w:rPr>
          <w:rStyle w:val="FootnoteAnchor"/>
          <w:rtl w:val="true"/>
        </w:rPr>
        <w:footnoteReference w:id="1471"/>
      </w:r>
      <w:r>
        <w:rPr>
          <w:rFonts w:ascii="IRNazanin" w:hAnsi="IRNazanin" w:eastAsia="IRNazanin"/>
          <w:color w:val="111111"/>
          <w:sz w:val="28"/>
          <w:sz w:val="28"/>
          <w:szCs w:val="28"/>
          <w:rtl w:val="true"/>
          <w:lang w:bidi="fa-IR"/>
        </w:rPr>
        <w:t>، و هما مرویّان</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نجم إلی نجم، أو یعلم من حاله عدم القدرة علی فکّ رقبته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روایة إسحاق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ینتظر عاماً أو عامین</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معاویة بن وهب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للمکاتبة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النجم بعد حلّه شهراً إلاّ بإذنهم</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جابر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یردّه فی الرقّ حتّی یمضی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سنین</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الثلاث علی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فصّل ابن الجنید حسناً</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رقّه إن عجز عن شیء من المال، استرقّ متی عجز عن أداء نجم أو بعضه فی وقته،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عجز عن نجم، لم یتحقّق بالعجز عن بعضه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المطلقة الحرّیّة بإزاء ما أدّی من مال الکتابة، و لو نفذ</w:t>
      </w:r>
      <w:r>
        <w:rPr>
          <w:rStyle w:val="FootnoteAnchor"/>
          <w:rtl w:val="true"/>
        </w:rPr>
        <w:footnoteReference w:id="1480"/>
      </w:r>
      <w:r>
        <w:rPr>
          <w:rFonts w:ascii="Amiri" w:hAnsi="Amiri" w:eastAsia="Amiri" w:cs="Amiri"/>
          <w:color w:val="111111"/>
          <w:sz w:val="28"/>
          <w:sz w:val="28"/>
          <w:szCs w:val="28"/>
          <w:rtl w:val="true"/>
          <w:lang w:bidi="ar-SA"/>
        </w:rPr>
        <w:t xml:space="preserve">الأجل و لمّا یؤدّ شیئاً، فکّ من سهم الرقاب، فإن تعذّر، استرقّ، و إن عجز بعد أداء شیء، فکّ الباقی، و إن تعذّر، تهایأ، و إن مات و لم یؤدّ شیئاً و لا خلّف مالاً، مات رقّاً، و إن خلّف مالاً فظاهر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کذلک</w:t>
      </w:r>
      <w:r>
        <w:rPr>
          <w:rStyle w:val="FootnoteAnchor"/>
          <w:rtl w:val="true"/>
        </w:rPr>
        <w:footnoteReference w:id="1481"/>
      </w:r>
      <w:r>
        <w:rPr>
          <w:rFonts w:ascii="IRNazanin" w:hAnsi="IRNazanin" w:eastAsia="IRNazanin"/>
          <w:color w:val="111111"/>
          <w:sz w:val="28"/>
          <w:sz w:val="28"/>
          <w:szCs w:val="28"/>
          <w:rtl w:val="true"/>
          <w:lang w:bidi="fa-IR"/>
        </w:rPr>
        <w:t>فماله للمولی، و یحتمل أن یرث قریبه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فضل عن مال الکتابة ؛ لأ نّه کالدین، و إن کان قد أدّی شیئاً و ترک مالاً، فالأشهر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اقتسام مولاه و وارثه علی نسبة الحرّیّة و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الوارث حرّاً، فلا شیء علیه، و احتمل بعضهم أن یؤخذ منه أقلّ الأمرین من الموروث و باقی مال الکتابة، و إن کان تابعاً له فی الکتابة، کولده من أمته، تحرّر منه بنسبة أبیه، و أدّی بقیّة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ابن سنان</w:t>
      </w:r>
      <w:r>
        <w:rPr>
          <w:rStyle w:val="FootnoteAnchor"/>
          <w:rtl w:val="true"/>
        </w:rPr>
        <w:footnoteReference w:id="1482"/>
      </w:r>
      <w:r>
        <w:rPr>
          <w:rFonts w:ascii="IRNazanin" w:hAnsi="IRNazanin" w:eastAsia="IRNazanin"/>
          <w:color w:val="111111"/>
          <w:sz w:val="28"/>
          <w:sz w:val="28"/>
          <w:szCs w:val="28"/>
          <w:rtl w:val="true"/>
          <w:lang w:bidi="fa-IR"/>
        </w:rPr>
        <w:t xml:space="preserve">، و 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مال الکتابة من الأصل</w:t>
      </w:r>
    </w:p>
    <w:p>
      <w:pPr>
        <w:pStyle w:val="BookText"/>
        <w:rPr/>
      </w:pPr>
      <w:r>
        <w:rPr>
          <w:rFonts w:ascii="IRNazanin" w:hAnsi="IRNazanin" w:eastAsia="IRNazanin"/>
          <w:color w:val="111111"/>
          <w:sz w:val="28"/>
          <w:sz w:val="28"/>
          <w:szCs w:val="28"/>
          <w:rtl w:val="true"/>
          <w:lang w:bidi="fa-IR"/>
        </w:rPr>
        <w:t>و یرث وارثه ما بقی</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ابن الجنید</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أوصی له أو وجب علیه حدّ أو زکاة، کان مبعّضاً بحساب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المولی المکاتبة المطلقة، تبعّض الحدّ أیضاً علیه و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المشروطة أ نّه رقّ ما بقی علیه شیء، فإن مات و قد تخلّف شیء، فالأظهر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ماله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مال الکتابة و الباقی لوارثه، فإن</w:t>
      </w:r>
    </w:p>
    <w:p>
      <w:pPr>
        <w:pStyle w:val="BookText"/>
        <w:rPr/>
      </w:pPr>
      <w:r>
        <w:rPr>
          <w:rFonts w:ascii="IRNazanin" w:hAnsi="IRNazanin" w:eastAsia="IRNazanin"/>
          <w:color w:val="111111"/>
          <w:sz w:val="28"/>
          <w:sz w:val="28"/>
          <w:szCs w:val="28"/>
          <w:rtl w:val="true"/>
          <w:lang w:bidi="fa-IR"/>
        </w:rPr>
        <w:t>لم یکن فضل، فالجمیع للمولی</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مع وفاء المال مات حرّاً، و لا معه مات رقّاً، و حُکِم علی أولاده بالسعی إذا کانوا تابعین له فی الکتابة إن</w:t>
      </w:r>
      <w:r>
        <w:rPr>
          <w:rStyle w:val="FootnoteAnchor"/>
          <w:rtl w:val="true"/>
        </w:rPr>
        <w:footnoteReference w:id="1486"/>
      </w:r>
      <w:r>
        <w:rPr>
          <w:rFonts w:ascii="IRNazanin" w:hAnsi="IRNazanin" w:eastAsia="IRNazanin"/>
          <w:color w:val="111111"/>
          <w:sz w:val="28"/>
          <w:sz w:val="28"/>
          <w:szCs w:val="28"/>
          <w:rtl w:val="true"/>
          <w:lang w:bidi="fa-IR"/>
        </w:rPr>
        <w:t>لم یخلّف وفاءاً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أطلق </w:t>
      </w:r>
    </w:p>
    <w:p>
      <w:pPr>
        <w:pStyle w:val="BookText"/>
        <w:rPr/>
      </w:pPr>
      <w:r>
        <w:rPr>
          <w:rFonts w:ascii="IRNazanin" w:hAnsi="IRNazanin" w:eastAsia="IRNazanin"/>
          <w:color w:val="111111"/>
          <w:sz w:val="28"/>
          <w:sz w:val="28"/>
          <w:szCs w:val="28"/>
          <w:rtl w:val="true"/>
          <w:lang w:bidi="fa-IR"/>
        </w:rPr>
        <w:t>أداء الابن ما علی أبیه و عتقه</w:t>
      </w:r>
      <w:r>
        <w:rPr>
          <w:rStyle w:val="FootnoteAnchor"/>
          <w:rtl w:val="true"/>
        </w:rPr>
        <w:footnoteReference w:id="1487"/>
      </w:r>
      <w:r>
        <w:rPr>
          <w:rFonts w:ascii="IRNazanin" w:hAnsi="IRNazanin" w:eastAsia="IRNazanin"/>
          <w:color w:val="111111"/>
          <w:sz w:val="28"/>
          <w:sz w:val="28"/>
          <w:szCs w:val="28"/>
          <w:rtl w:val="true"/>
          <w:lang w:bidi="fa-IR"/>
        </w:rPr>
        <w:t>، و لم یفصّل بالمطلقة و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لزوم العقد و جوازه، فحکم الشیخ</w:t>
      </w:r>
      <w:r>
        <w:rPr>
          <w:rStyle w:val="FootnoteAnchor"/>
          <w:rtl w:val="true"/>
        </w:rPr>
        <w:footnoteReference w:id="1488"/>
      </w:r>
      <w:r>
        <w:rPr>
          <w:rFonts w:ascii="IRNazanin" w:hAnsi="IRNazanin" w:eastAsia="IRNazanin"/>
          <w:color w:val="111111"/>
          <w:sz w:val="28"/>
          <w:sz w:val="28"/>
          <w:szCs w:val="28"/>
          <w:rtl w:val="true"/>
          <w:lang w:bidi="fa-IR"/>
        </w:rPr>
        <w:t>، و ابن إدریس بجواز المشروطة من جهة العبد</w:t>
      </w:r>
      <w:r>
        <w:rPr>
          <w:rStyle w:val="FootnoteAnchor"/>
          <w:rtl w:val="true"/>
        </w:rPr>
        <w:footnoteReference w:id="1489"/>
      </w:r>
      <w:r>
        <w:rPr>
          <w:rFonts w:ascii="IRNazanin" w:hAnsi="IRNazanin" w:eastAsia="IRNazanin"/>
          <w:color w:val="111111"/>
          <w:sz w:val="28"/>
          <w:sz w:val="28"/>
          <w:szCs w:val="28"/>
          <w:rtl w:val="true"/>
          <w:lang w:bidi="fa-IR"/>
        </w:rPr>
        <w:t>، بمعنی أنّ له الامتناع من أداء ما علیه، فیتخیّر السیّد بین الفسخ و البقاء، و لازمة من طرف السیّد، و المطلقة لازمة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المشروطة جائزة من الطرفین و المطلقة لازمة من طرف</w:t>
      </w:r>
    </w:p>
    <w:p>
      <w:pPr>
        <w:pStyle w:val="BookText"/>
        <w:rPr/>
      </w:pPr>
      <w:r>
        <w:rPr>
          <w:rFonts w:ascii="Amiri" w:hAnsi="Amiri" w:eastAsia="Amiri" w:cs="Amiri"/>
          <w:color w:val="111111"/>
          <w:sz w:val="28"/>
          <w:sz w:val="28"/>
          <w:szCs w:val="28"/>
          <w:rtl w:val="true"/>
          <w:lang w:bidi="ar-SA"/>
        </w:rPr>
        <w:t>السیّد خاصّة</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الفاضلان بلزومهما مطلقاً من الطرفین و أُجبر</w:t>
      </w:r>
      <w:r>
        <w:rPr>
          <w:rStyle w:val="FootnoteAnchor"/>
          <w:rtl w:val="true"/>
        </w:rPr>
        <w:footnoteReference w:id="1491"/>
      </w:r>
      <w:r>
        <w:rPr>
          <w:rFonts w:ascii="IRNazanin" w:hAnsi="IRNazanin" w:eastAsia="IRNazanin"/>
          <w:color w:val="111111"/>
          <w:sz w:val="28"/>
          <w:sz w:val="28"/>
          <w:szCs w:val="28"/>
          <w:rtl w:val="true"/>
          <w:lang w:bidi="fa-IR"/>
        </w:rPr>
        <w:t>المکاتب علی السعی</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یتفرّع إجبار ولده بعد موته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 السیّد إیتاء المکاتب شیئاً من سهم الرقاب إن وجبت علیه الزکاة، و إن لم تجب علیه، استحبّ الإیتاء، قاله فی الخلاف</w:t>
      </w:r>
      <w:r>
        <w:rPr>
          <w:rStyle w:val="FootnoteAnchor"/>
          <w:rtl w:val="true"/>
        </w:rPr>
        <w:footnoteReference w:id="1493"/>
      </w:r>
      <w:r>
        <w:rPr>
          <w:rFonts w:ascii="IRNazanin" w:hAnsi="IRNazanin" w:eastAsia="IRNazanin"/>
          <w:color w:val="111111"/>
          <w:sz w:val="28"/>
          <w:sz w:val="28"/>
          <w:szCs w:val="28"/>
          <w:rtl w:val="true"/>
          <w:lang w:bidi="fa-IR"/>
        </w:rPr>
        <w:t>، و أطلق فی المبسوط وجوب الإیتاء</w:t>
      </w:r>
      <w:r>
        <w:rPr>
          <w:rStyle w:val="FootnoteAnchor"/>
          <w:rtl w:val="true"/>
        </w:rPr>
        <w:footnoteReference w:id="1494"/>
      </w:r>
      <w:r>
        <w:rPr>
          <w:rFonts w:ascii="IRNazanin" w:hAnsi="IRNazanin" w:eastAsia="IRNazanin"/>
          <w:color w:val="111111"/>
          <w:sz w:val="28"/>
          <w:sz w:val="28"/>
          <w:szCs w:val="28"/>
          <w:rtl w:val="true"/>
          <w:lang w:bidi="fa-IR"/>
        </w:rPr>
        <w:t>، و أطلق ابن البرّاج الاستحباب</w:t>
      </w:r>
      <w:r>
        <w:rPr>
          <w:rStyle w:val="FootnoteAnchor"/>
          <w:rtl w:val="true"/>
        </w:rPr>
        <w:footnoteReference w:id="1495"/>
      </w:r>
      <w:r>
        <w:rPr>
          <w:rFonts w:ascii="IRNazanin" w:hAnsi="IRNazanin" w:eastAsia="IRNazanin"/>
          <w:color w:val="111111"/>
          <w:sz w:val="28"/>
          <w:sz w:val="28"/>
          <w:szCs w:val="28"/>
          <w:rtl w:val="true"/>
          <w:lang w:bidi="fa-IR"/>
        </w:rPr>
        <w:t>، و قیّد ابن إدریس وجوب الإیتاء بکونه مکاتباً مطلقاً عاجزاً، و کون المولی ممّن وجبت علیه الزکاة</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الخلاف احتمل عود ضمیر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آتُوهُمْ</w:t>
      </w:r>
      <w:r>
        <w:rPr>
          <w:rFonts w:eastAsia="Amiri" w:cs="Amiri" w:ascii="Amiri" w:hAnsi="Amiri"/>
          <w:color w:val="111111"/>
          <w:sz w:val="28"/>
          <w:szCs w:val="28"/>
          <w:rtl w:val="true"/>
          <w:lang w:bidi="ar-SA"/>
        </w:rPr>
        <w:t>»</w:t>
      </w:r>
      <w:r>
        <w:rPr>
          <w:rStyle w:val="FootnoteAnchor"/>
          <w:rtl w:val="true"/>
        </w:rPr>
        <w:footnoteReference w:id="1497"/>
      </w:r>
      <w:r>
        <w:rPr>
          <w:rFonts w:ascii="IRNazanin" w:hAnsi="IRNazanin" w:eastAsia="IRNazanin"/>
          <w:color w:val="111111"/>
          <w:sz w:val="28"/>
          <w:sz w:val="28"/>
          <w:szCs w:val="28"/>
          <w:rtl w:val="true"/>
          <w:lang w:bidi="fa-IR"/>
        </w:rPr>
        <w:t xml:space="preserve">إلی مَن وجبت علیه الزکاة و إن </w:t>
      </w:r>
    </w:p>
    <w:p>
      <w:pPr>
        <w:pStyle w:val="BookText"/>
        <w:rPr/>
      </w:pPr>
      <w:r>
        <w:rPr>
          <w:rFonts w:ascii="IRNazanin" w:hAnsi="IRNazanin" w:eastAsia="IRNazanin"/>
          <w:color w:val="111111"/>
          <w:sz w:val="28"/>
          <w:sz w:val="28"/>
          <w:szCs w:val="28"/>
          <w:rtl w:val="true"/>
          <w:lang w:bidi="fa-IR"/>
        </w:rPr>
        <w:t>کان غیر سیّده</w:t>
      </w:r>
      <w:r>
        <w:rPr>
          <w:rStyle w:val="FootnoteAnchor"/>
          <w:rtl w:val="true"/>
        </w:rPr>
        <w:footnoteReference w:id="1498"/>
      </w:r>
      <w:r>
        <w:rPr>
          <w:rFonts w:ascii="IRNazanin" w:hAnsi="IRNazanin" w:eastAsia="IRNazanin"/>
          <w:color w:val="111111"/>
          <w:sz w:val="28"/>
          <w:sz w:val="28"/>
          <w:szCs w:val="28"/>
          <w:rtl w:val="true"/>
          <w:lang w:bidi="fa-IR"/>
        </w:rPr>
        <w:t>، و هو أحد أقوال المفسّرین</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أن یزید فی مال الکتابة عند العقد لیؤتیه منه و یبقی ما یوازی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الإیتاء ما بین الکتابة و العتق، و یکفی ما یطلق علیه الاسم، و أقلّه من الدنانیر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ذهب، و من الدراهم یکفی أقلّ من درهم، و یکفی الحطّ من النجوم عنه، و یجب علی العبد القبول إن آتاه من عین مال الکتابة أو من جنسه لا من غیر جنسه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أُعتق</w:t>
      </w:r>
      <w:r>
        <w:rPr>
          <w:rStyle w:val="FootnoteAnchor"/>
          <w:rtl w:val="true"/>
        </w:rPr>
        <w:footnoteReference w:id="1501"/>
      </w:r>
      <w:r>
        <w:rPr>
          <w:rFonts w:ascii="IRNazanin" w:hAnsi="IRNazanin" w:eastAsia="IRNazanin"/>
          <w:color w:val="111111"/>
          <w:sz w:val="28"/>
          <w:sz w:val="28"/>
          <w:szCs w:val="28"/>
          <w:rtl w:val="true"/>
          <w:lang w:bidi="fa-IR"/>
        </w:rPr>
        <w:t>و مات السیّد قبل الإیتاء، أُخذت من ترکته،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علی المولی قبض النجوم فی أوقاتها أو الإبراء، فإن امتنع، قبضه الحاکم و عتق، فإن تعذّر الحاکم،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بتعیین العبد إیّاه و تمکینه منه</w:t>
      </w:r>
    </w:p>
    <w:p>
      <w:pPr>
        <w:pStyle w:val="BookText"/>
        <w:rPr/>
      </w:pPr>
      <w:r>
        <w:rPr>
          <w:rFonts w:ascii="IRNazanin" w:hAnsi="IRNazanin" w:eastAsia="IRNazanin"/>
          <w:color w:val="111111"/>
          <w:sz w:val="28"/>
          <w:sz w:val="28"/>
          <w:szCs w:val="28"/>
          <w:rtl w:val="true"/>
          <w:lang w:bidi="fa-IR"/>
        </w:rPr>
        <w:t>فیعتق</w:t>
      </w:r>
      <w:r>
        <w:rPr>
          <w:rStyle w:val="FootnoteAnchor"/>
          <w:rtl w:val="true"/>
        </w:rPr>
        <w:footnoteReference w:id="1502"/>
      </w:r>
      <w:r>
        <w:rPr>
          <w:rFonts w:ascii="IRNazanin" w:hAnsi="IRNazanin" w:eastAsia="IRNazanin"/>
          <w:color w:val="111111"/>
          <w:sz w:val="28"/>
          <w:sz w:val="28"/>
          <w:szCs w:val="28"/>
          <w:rtl w:val="true"/>
          <w:lang w:bidi="fa-IR"/>
        </w:rPr>
        <w:t>، و لو دفع إلیه غیر العوض المعیّن، لم یجب القبول إلاّ أن یکون من جنسه، و هو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ظهر استحقاقه، ردّ رقّاً حتّی یأتی بغیره، و لو ظهر معیباً، فللمولی</w:t>
      </w:r>
    </w:p>
    <w:p>
      <w:pPr>
        <w:pStyle w:val="BookText"/>
        <w:rPr/>
      </w:pPr>
      <w:r>
        <w:rPr>
          <w:rFonts w:ascii="Amiri" w:hAnsi="Amiri" w:eastAsia="Amiri" w:cs="Amiri"/>
          <w:color w:val="111111"/>
          <w:sz w:val="28"/>
          <w:sz w:val="28"/>
          <w:szCs w:val="28"/>
          <w:rtl w:val="true"/>
          <w:lang w:bidi="ar-SA"/>
        </w:rPr>
        <w:t>أرشه، و له ردّه فیردّ رقّاً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تجدّد عند السیّد عیب، فلیس له الردّ کالمبیع</w:t>
      </w:r>
      <w:r>
        <w:rPr>
          <w:rStyle w:val="FootnoteAnchor"/>
          <w:rtl w:val="true"/>
        </w:rPr>
        <w:footnoteReference w:id="1503"/>
      </w:r>
      <w:r>
        <w:rPr>
          <w:rFonts w:ascii="IRNazanin" w:hAnsi="IRNazanin" w:eastAsia="IRNazanin"/>
          <w:color w:val="111111"/>
          <w:sz w:val="28"/>
          <w:sz w:val="28"/>
          <w:szCs w:val="28"/>
          <w:rtl w:val="true"/>
          <w:lang w:bidi="fa-IR"/>
        </w:rPr>
        <w:t>عند الشیخ</w:t>
      </w:r>
      <w:r>
        <w:rPr>
          <w:rStyle w:val="FootnoteAnchor"/>
          <w:rtl w:val="true"/>
        </w:rPr>
        <w:footnoteReference w:id="1504"/>
      </w:r>
      <w:r>
        <w:rPr>
          <w:rFonts w:ascii="IRNazanin" w:hAnsi="IRNazanin" w:eastAsia="IRNazanin"/>
          <w:color w:val="111111"/>
          <w:sz w:val="28"/>
          <w:sz w:val="28"/>
          <w:szCs w:val="28"/>
          <w:rtl w:val="true"/>
          <w:lang w:bidi="fa-IR"/>
        </w:rPr>
        <w:t xml:space="preserve">، و قال الفاضلان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ردّه مع الأرش</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أبرأه السیّد من مال الکتابة، برأ و عتق، و لو أبرأه من البعض و کان مطلقاً، عُتق بإزائه</w:t>
      </w:r>
      <w:r>
        <w:rPr>
          <w:rFonts w:eastAsia="IRNazanin" w:cs="IRNazanin"/>
          <w:color w:val="111111"/>
          <w:sz w:val="28"/>
          <w:szCs w:val="28"/>
          <w:rtl w:val="true"/>
          <w:lang w:bidi="fa-IR"/>
        </w:rPr>
        <w:t xml:space="preserve">. </w:t>
      </w:r>
      <w:bookmarkStart w:id="203" w:name="pg13665_219200"/>
    </w:p>
    <w:p>
      <w:pPr>
        <w:pStyle w:val="BookText"/>
        <w:rPr/>
      </w:pPr>
      <w:bookmarkEnd w:id="203"/>
      <w:r>
        <w:rPr>
          <w:rFonts w:ascii="IRNazanin" w:hAnsi="IRNazanin" w:eastAsia="IRNazanin"/>
          <w:color w:val="111111"/>
          <w:sz w:val="28"/>
          <w:sz w:val="28"/>
          <w:szCs w:val="28"/>
          <w:rtl w:val="true"/>
          <w:lang w:bidi="fa-IR"/>
        </w:rPr>
        <w:t>و یجوز بیع العوض بعد حلوله و نقله بسائر وجوه النقل، فیجب علی المکاتب تسلیمه إلی من 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فی المبسوط من بیعه</w:t>
      </w:r>
      <w:r>
        <w:rPr>
          <w:rStyle w:val="FootnoteAnchor"/>
          <w:rtl w:val="true"/>
        </w:rPr>
        <w:footnoteReference w:id="1506"/>
      </w:r>
      <w:r>
        <w:rPr>
          <w:rFonts w:ascii="IRNazanin" w:hAnsi="IRNazanin" w:eastAsia="IRNazanin"/>
          <w:color w:val="111111"/>
          <w:sz w:val="28"/>
          <w:sz w:val="28"/>
          <w:szCs w:val="28"/>
          <w:rtl w:val="true"/>
          <w:lang w:bidi="fa-IR"/>
        </w:rPr>
        <w:t>؛ للنهی عن بیع ما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قدره، حلف العبد ؛ للأصل، و یحتمل السیّد ؛ لأصالة عدم العتق، إلاّ بما یتّفقان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الأداء، حلف السیّد قطعاً، و کذا فی قدر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تعجیله قبل الأجل إن اتّفقا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صالحه قبل الأجل علی أقلّ من غیر الجنس، صحّ، و إن کان منه، منعه</w:t>
      </w:r>
      <w:r>
        <w:rPr>
          <w:rStyle w:val="FootnoteAnchor"/>
          <w:rtl w:val="true"/>
        </w:rPr>
        <w:footnoteReference w:id="1507"/>
      </w:r>
      <w:r>
        <w:rPr>
          <w:rFonts w:ascii="IRNazanin" w:hAnsi="IRNazanin" w:eastAsia="IRNazanin"/>
          <w:color w:val="111111"/>
          <w:sz w:val="28"/>
          <w:sz w:val="28"/>
          <w:szCs w:val="28"/>
          <w:rtl w:val="true"/>
          <w:lang w:bidi="fa-IR"/>
        </w:rPr>
        <w:t>الشیخ</w:t>
      </w:r>
      <w:r>
        <w:rPr>
          <w:rStyle w:val="FootnoteAnchor"/>
          <w:rtl w:val="true"/>
        </w:rPr>
        <w:footnoteReference w:id="1508"/>
      </w:r>
      <w:r>
        <w:rPr>
          <w:rFonts w:ascii="Amiri" w:hAnsi="Amiri" w:eastAsia="Amiri" w:cs="Amiri"/>
          <w:color w:val="111111"/>
          <w:sz w:val="28"/>
          <w:sz w:val="28"/>
          <w:szCs w:val="28"/>
          <w:rtl w:val="true"/>
          <w:lang w:bidi="ar-SA"/>
        </w:rPr>
        <w:t>؛ لأ نّه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له علی السیّد مال، جازت المقاصّة، فإن اتّحد الجنس و الصفة فالمقاصّة قهریّة، سواء کانا نقدین أو عرضین مثلیّین، و لو اختلف الجنس أو کانا قیمیّین، اعتبر التراضی، و لا یفتقر معه إلی قبضهما، و لا إلی قبض أحدهما، و کذا لو کان أحدهما نقداً و الآخر عرضاً، و حکم کلّ غریمین ذلک</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کانا نقدین، قبض أحدهما و دفعه عن الآخر، و إن کانا عرضین فلابدّ من قبضهما، و إن کان أحدهما نقداً فقبض العرض</w:t>
      </w:r>
      <w:r>
        <w:rPr>
          <w:rStyle w:val="FootnoteAnchor"/>
          <w:rtl w:val="true"/>
        </w:rPr>
        <w:footnoteReference w:id="1510"/>
      </w:r>
      <w:r>
        <w:rPr>
          <w:rFonts w:ascii="IRNazanin" w:hAnsi="IRNazanin" w:eastAsia="IRNazanin"/>
          <w:color w:val="111111"/>
          <w:sz w:val="28"/>
          <w:sz w:val="28"/>
          <w:szCs w:val="28"/>
          <w:rtl w:val="true"/>
          <w:lang w:bidi="fa-IR"/>
        </w:rPr>
        <w:t>ثمّ دفعه عن النقد، جاز دون العکس</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الشیخ یجعل المقاصّة بیعاً</w:t>
      </w:r>
      <w:r>
        <w:rPr>
          <w:rStyle w:val="FootnoteAnchor"/>
          <w:rtl w:val="true"/>
        </w:rPr>
        <w:footnoteReference w:id="1512"/>
      </w:r>
      <w:r>
        <w:rPr>
          <w:rFonts w:ascii="IRNazanin" w:hAnsi="IRNazanin" w:eastAsia="IRNazanin"/>
          <w:color w:val="111111"/>
          <w:sz w:val="28"/>
          <w:sz w:val="28"/>
          <w:szCs w:val="28"/>
          <w:rtl w:val="true"/>
          <w:lang w:bidi="fa-IR"/>
        </w:rPr>
        <w:t>، فیلحقها أحکامه من بیع الدین بالدین و شبهه</w:t>
      </w:r>
      <w:r>
        <w:rPr>
          <w:rFonts w:eastAsia="IRNazanin" w:cs="IRNazanin"/>
          <w:color w:val="111111"/>
          <w:sz w:val="28"/>
          <w:szCs w:val="28"/>
          <w:rtl w:val="true"/>
          <w:lang w:bidi="fa-IR"/>
        </w:rPr>
        <w:t>.</w:t>
      </w:r>
    </w:p>
    <w:p>
      <w:pPr>
        <w:pStyle w:val="Heading3"/>
        <w:numPr>
          <w:ilvl w:val="2"/>
          <w:numId w:val="1"/>
        </w:numPr>
        <w:rPr/>
      </w:pPr>
      <w:bookmarkStart w:id="204" w:name="__RefHeading___Toc2071347_3830689328"/>
      <w:bookmarkStart w:id="205" w:name="_Toc68"/>
      <w:bookmarkEnd w:id="204"/>
      <w:r>
        <w:rPr>
          <w:rtl w:val="true"/>
        </w:rPr>
        <w:t xml:space="preserve">درس </w:t>
      </w:r>
      <w:r>
        <w:rPr>
          <w:rtl w:val="true"/>
        </w:rPr>
        <w:t>(</w:t>
      </w:r>
      <w:r>
        <w:rPr/>
        <w:t>165</w:t>
      </w:r>
      <w:r>
        <w:rPr>
          <w:rtl w:val="true"/>
        </w:rPr>
        <w:t>)</w:t>
      </w:r>
      <w:bookmarkEnd w:id="20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للمکاتب الملک و التصرّف بما لا خطر</w:t>
      </w:r>
      <w:r>
        <w:rPr>
          <w:rStyle w:val="FootnoteAnchor"/>
          <w:rtl w:val="true"/>
        </w:rPr>
        <w:footnoteReference w:id="1513"/>
      </w:r>
      <w:r>
        <w:rPr>
          <w:rFonts w:ascii="IRNazanin" w:hAnsi="IRNazanin" w:eastAsia="IRNazanin"/>
          <w:color w:val="111111"/>
          <w:sz w:val="28"/>
          <w:sz w:val="28"/>
          <w:szCs w:val="28"/>
          <w:rtl w:val="true"/>
          <w:lang w:bidi="fa-IR"/>
        </w:rPr>
        <w:t xml:space="preserve">فیه، کالعتق و الهبة و البیع </w:t>
      </w:r>
    </w:p>
    <w:p>
      <w:pPr>
        <w:pStyle w:val="BookText"/>
        <w:rPr/>
      </w:pPr>
      <w:r>
        <w:rPr>
          <w:rFonts w:ascii="IRNazanin" w:hAnsi="IRNazanin" w:eastAsia="IRNazanin"/>
          <w:color w:val="111111"/>
          <w:sz w:val="28"/>
          <w:sz w:val="28"/>
          <w:szCs w:val="28"/>
          <w:rtl w:val="true"/>
          <w:lang w:bidi="fa-IR"/>
        </w:rPr>
        <w:t xml:space="preserve">بالنسیئة أو بالعین، و لو أخذ الرهن فی النسیئة،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 کذا الضمین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الشراء بعین أو نسیئة فجائز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المضاربة بماله، و له أخذها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لیس له الإقراض، و له أن یقترض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أن یکاتب عبده إلاّ مع الغبطة، و لا یتزوّج، و لا یتسرّی، و لا یقبل وصیّة وهبة بمن</w:t>
      </w:r>
      <w:r>
        <w:rPr>
          <w:rStyle w:val="FootnoteAnchor"/>
          <w:rtl w:val="true"/>
        </w:rPr>
        <w:footnoteReference w:id="1514"/>
      </w:r>
      <w:r>
        <w:rPr>
          <w:rFonts w:ascii="IRNazanin" w:hAnsi="IRNazanin" w:eastAsia="IRNazanin"/>
          <w:color w:val="111111"/>
          <w:sz w:val="28"/>
          <w:sz w:val="28"/>
          <w:szCs w:val="28"/>
          <w:rtl w:val="true"/>
          <w:lang w:bidi="fa-IR"/>
        </w:rPr>
        <w:t>ینعتق علیه مع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تتزوّج المکاتبة، و لا تکفّر بغیر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المولی فی جمیع ذلک، جاز ؛ لأنّ الحقّ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عقد حیث لا غبطة، فأجازه المولی، نفذ، و لو أبطله، بطل، و لو سکت حتّی عتق، احتمل نفوذه ؛ لزوال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بعض الأصحاب بعدم النفوذ</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أعتق بإذنه، کان الولاء له إن عتق، و إلاّ فللمولی، فلو مات فی زمن الکتابة، وقف المیراث توقّعاً لعتق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المکاتبة المهر حیث یصحّ التزویج أو توطأ بشبهة،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النفقة علی رقیقه و قریبه الموقوف</w:t>
      </w:r>
      <w:r>
        <w:rPr>
          <w:rStyle w:val="FootnoteAnchor"/>
          <w:rtl w:val="true"/>
        </w:rPr>
        <w:footnoteReference w:id="1516"/>
      </w:r>
      <w:r>
        <w:rPr>
          <w:rFonts w:ascii="IRNazanin" w:hAnsi="IRNazanin" w:eastAsia="IRNazanin"/>
          <w:color w:val="111111"/>
          <w:sz w:val="28"/>
          <w:sz w:val="28"/>
          <w:szCs w:val="28"/>
          <w:rtl w:val="true"/>
          <w:lang w:bidi="fa-IR"/>
        </w:rPr>
        <w:t>له، و علی حیوانه و نفسه و زوجته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بالمعروف، و له السفر إلاّ أن یوافق حلول النجم مسافراً، و له الحجّ کذلک إذا لم یحتج إلی زیادة نفقة عن</w:t>
      </w:r>
      <w:r>
        <w:rPr>
          <w:rStyle w:val="FootnoteAnchor"/>
          <w:rtl w:val="true"/>
        </w:rPr>
        <w:footnoteReference w:id="1517"/>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شرط المولی عدم السفر فی العقد،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 لأ نّه أحکام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للمولی التصرّف فی ماله بما ینافی الاکتساب و الاستیفاء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یصحّ أن یوصی برقبته مشروطاً بتعجیزه، و بمال الکتابة لاثنین و لواحد، و المعجّز الوارث و إن أنظره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للمولی تزویج المکاتبة إلاّ بإذنها، و لا وطؤها و إن أذنت، لا بالملک و لا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ذلک فی العقد،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w:t>
      </w:r>
      <w:r>
        <w:rPr>
          <w:rStyle w:val="FootnoteAnchor"/>
          <w:rtl w:val="true"/>
        </w:rPr>
        <w:footnoteReference w:id="1518"/>
      </w:r>
      <w:r>
        <w:rPr>
          <w:rFonts w:ascii="IRNazanin" w:hAnsi="IRNazanin" w:eastAsia="IRNazanin"/>
          <w:color w:val="111111"/>
          <w:sz w:val="28"/>
          <w:sz w:val="28"/>
          <w:szCs w:val="28"/>
          <w:rtl w:val="true"/>
          <w:lang w:bidi="fa-IR"/>
        </w:rPr>
        <w:t>وطئها، فعلیه المهر و إن طاوعته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تکرّره بتکرّره أوجه،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تخلّل الأداء بین الوطئین، تکرّر، و إلاّ فلا، و تصیر أُمّ ولد، فإن مات و علیها شیء من مال الکتابة، عتق باقیها من نصیب ولدها، فإن عجز النصیب، بقی الباقی مُکاتباً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ولدت من مملوک أو من حرّ بشرط الرقّیّة، لم یکن الولد مکاتباً ؛ لعدم جریان العقد معه، بل ینعتق</w:t>
      </w:r>
      <w:r>
        <w:rPr>
          <w:rStyle w:val="FootnoteAnchor"/>
          <w:rtl w:val="true"/>
        </w:rPr>
        <w:footnoteReference w:id="1519"/>
      </w:r>
      <w:r>
        <w:rPr>
          <w:rFonts w:ascii="IRNazanin" w:hAnsi="IRNazanin" w:eastAsia="IRNazanin"/>
          <w:color w:val="111111"/>
          <w:sz w:val="28"/>
          <w:sz w:val="28"/>
          <w:szCs w:val="28"/>
          <w:rtl w:val="true"/>
          <w:lang w:bidi="fa-IR"/>
        </w:rPr>
        <w:t>بعتقها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ولدت من زنی و هی جاهلة فکذلک، و إن کانت عالمة، أطلق جماعة أ نّه کذلک</w:t>
      </w:r>
      <w:r>
        <w:rPr>
          <w:rStyle w:val="FootnoteAnchor"/>
          <w:rtl w:val="true"/>
        </w:rPr>
        <w:footnoteReference w:id="1520"/>
      </w:r>
      <w:r>
        <w:rPr>
          <w:rFonts w:ascii="IRNazanin" w:hAnsi="IRNazanin" w:eastAsia="IRNazanin"/>
          <w:color w:val="111111"/>
          <w:sz w:val="28"/>
          <w:sz w:val="28"/>
          <w:szCs w:val="28"/>
          <w:rtl w:val="true"/>
          <w:lang w:bidi="fa-IR"/>
        </w:rPr>
        <w:t>، و یشکل بعدم لَحاقه</w:t>
      </w:r>
      <w:r>
        <w:rPr>
          <w:rStyle w:val="FootnoteAnchor"/>
          <w:rtl w:val="true"/>
        </w:rPr>
        <w:footnoteReference w:id="1521"/>
      </w:r>
      <w:r>
        <w:rPr>
          <w:rFonts w:ascii="Amiri" w:hAnsi="Amiri" w:eastAsia="Amiri" w:cs="Amiri"/>
          <w:color w:val="111111"/>
          <w:sz w:val="28"/>
          <w:sz w:val="28"/>
          <w:szCs w:val="28"/>
          <w:rtl w:val="true"/>
          <w:lang w:bidi="ar-SA"/>
        </w:rPr>
        <w:t>بها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جنی علی ولدها فی طرف، فهو موقوف، فإن عتق، ملکه، و إلاّ فللسیّد، فلو أشرفت الأُمّ علی العجز، فلها الاستعانة به و کذا کسبه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قتل، فالقیمة للأُمّ</w:t>
      </w:r>
      <w:r>
        <w:rPr>
          <w:rStyle w:val="FootnoteAnchor"/>
          <w:rtl w:val="true"/>
        </w:rPr>
        <w:footnoteReference w:id="1522"/>
      </w:r>
      <w:r>
        <w:rPr>
          <w:rFonts w:ascii="IRNazanin" w:hAnsi="IRNazanin" w:eastAsia="IRNazanin"/>
          <w:color w:val="111111"/>
          <w:sz w:val="28"/>
          <w:sz w:val="28"/>
          <w:szCs w:val="28"/>
          <w:rtl w:val="true"/>
          <w:lang w:bidi="fa-IR"/>
        </w:rPr>
        <w:t>؛ لعدم تمکّن السیّد من التصرّف فیه، و یحتمل للسیّد کما لو قتلت الأُمّ، و نفقته من کسبه، فإن قصر، أتمّه السیّد ؛ لأ نّه ملکه و إن کان</w:t>
      </w:r>
    </w:p>
    <w:p>
      <w:pPr>
        <w:pStyle w:val="BookText"/>
        <w:rPr/>
      </w:pPr>
      <w:r>
        <w:rPr>
          <w:rFonts w:ascii="Amiri" w:hAnsi="Amiri" w:eastAsia="Amiri" w:cs="Amiri"/>
          <w:color w:val="111111"/>
          <w:sz w:val="28"/>
          <w:sz w:val="28"/>
          <w:szCs w:val="28"/>
          <w:rtl w:val="true"/>
          <w:lang w:bidi="ar-SA"/>
        </w:rPr>
        <w:t>موقوفاً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جواز إعتاق المولی إیّاه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 الملک، و من تعلّق حقّ الأُمّ </w:t>
      </w:r>
      <w:bookmarkStart w:id="206" w:name="pg13665_219203"/>
    </w:p>
    <w:p>
      <w:pPr>
        <w:pStyle w:val="BookText"/>
        <w:rPr/>
      </w:pPr>
      <w:bookmarkEnd w:id="206"/>
      <w:r>
        <w:rPr>
          <w:rFonts w:ascii="IRNazanin" w:hAnsi="IRNazanin" w:eastAsia="IRNazanin"/>
          <w:color w:val="111111"/>
          <w:sz w:val="28"/>
          <w:sz w:val="28"/>
          <w:szCs w:val="28"/>
          <w:rtl w:val="true"/>
          <w:lang w:bidi="fa-IR"/>
        </w:rPr>
        <w:t>بکسبه فی الاستعانة، و حکم ولد الولد من أمته حکم</w:t>
      </w:r>
      <w:r>
        <w:rPr>
          <w:rStyle w:val="FootnoteAnchor"/>
          <w:rtl w:val="true"/>
        </w:rPr>
        <w:footnoteReference w:id="1523"/>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تنازع المولی و المکاتبة فی تقدّم الولد علی الکتابة و تأخّره، حلف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تنازع المکاتب و السیّد، حلف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یده ثابتة علیه و هو یدّعی ملکه فیرجّح بالید</w:t>
      </w:r>
      <w:r>
        <w:rPr>
          <w:rStyle w:val="FootnoteAnchor"/>
          <w:rtl w:val="true"/>
        </w:rPr>
        <w:footnoteReference w:id="1524"/>
      </w:r>
      <w:r>
        <w:rPr>
          <w:rFonts w:ascii="IRNazanin" w:hAnsi="IRNazanin" w:eastAsia="IRNazanin"/>
          <w:color w:val="111111"/>
          <w:sz w:val="28"/>
          <w:sz w:val="28"/>
          <w:szCs w:val="28"/>
          <w:rtl w:val="true"/>
          <w:lang w:bidi="fa-IR"/>
        </w:rPr>
        <w:t>، و المکاتبة لا تدّعی الملک و إنّما تدّعی الوقف، و لم یثبت کون الید مرجّحة للوقف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 النزاع فی المکاتب، بأن یزوّجه أمته، ثمّ یشتریها المکاتب، فالولد قبل الشراء للسیّد، و بعده للمکاتب</w:t>
      </w:r>
      <w:r>
        <w:rPr>
          <w:rFonts w:eastAsia="IRNazanin" w:cs="IRNazanin"/>
          <w:color w:val="111111"/>
          <w:sz w:val="28"/>
          <w:szCs w:val="28"/>
          <w:rtl w:val="true"/>
          <w:lang w:bidi="fa-IR"/>
        </w:rPr>
        <w:t>.</w:t>
      </w:r>
    </w:p>
    <w:p>
      <w:pPr>
        <w:pStyle w:val="Heading3"/>
        <w:numPr>
          <w:ilvl w:val="2"/>
          <w:numId w:val="1"/>
        </w:numPr>
        <w:rPr/>
      </w:pPr>
      <w:bookmarkStart w:id="207" w:name="__RefHeading___Toc2071349_3830689328"/>
      <w:bookmarkStart w:id="208" w:name="_Toc69"/>
      <w:bookmarkEnd w:id="207"/>
      <w:r>
        <w:rPr>
          <w:rtl w:val="true"/>
        </w:rPr>
        <w:t xml:space="preserve">درس </w:t>
      </w:r>
      <w:r>
        <w:rPr>
          <w:rtl w:val="true"/>
        </w:rPr>
        <w:t>(</w:t>
      </w:r>
      <w:r>
        <w:rPr/>
        <w:t>166</w:t>
      </w:r>
      <w:r>
        <w:rPr>
          <w:rtl w:val="true"/>
        </w:rPr>
        <w:t>)</w:t>
      </w:r>
      <w:bookmarkEnd w:id="208"/>
    </w:p>
    <w:p>
      <w:pPr>
        <w:pStyle w:val="BookText"/>
        <w:rPr/>
      </w:pPr>
      <w:r>
        <w:rPr>
          <w:rFonts w:ascii="IRNazanin" w:hAnsi="IRNazanin" w:eastAsia="IRNazanin"/>
          <w:color w:val="111111"/>
          <w:sz w:val="28"/>
          <w:sz w:val="28"/>
          <w:szCs w:val="28"/>
          <w:rtl w:val="true"/>
          <w:lang w:bidi="fa-IR"/>
        </w:rPr>
        <w:t>تصحّ الوصیّة للمکاتب من مولاه مطلقاً، و من غیره بحساب ما تحرّر</w:t>
      </w:r>
      <w:r>
        <w:rPr>
          <w:rStyle w:val="FootnoteAnchor"/>
          <w:rtl w:val="true"/>
        </w:rPr>
        <w:footnoteReference w:id="1525"/>
      </w:r>
      <w:r>
        <w:rPr>
          <w:rFonts w:ascii="IRNazanin" w:hAnsi="IRNazanin" w:eastAsia="IRNazanin"/>
          <w:color w:val="111111"/>
          <w:sz w:val="28"/>
          <w:sz w:val="28"/>
          <w:szCs w:val="28"/>
          <w:rtl w:val="true"/>
          <w:lang w:bidi="fa-IR"/>
        </w:rPr>
        <w:t xml:space="preserve">منه،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صحّتها أیضاً مطلقاً ؛ لأنّ قبول الوصیّة نوع 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ما أوصی به المولی، فإن کان بقدر الأکثر من القیمة و النجوم، عُتق و الفاضل له، و إن کان بقدر أقلّهما، فإن کان الأقلّ النجوم، فکذلک، و إن کان الأقلّ</w:t>
      </w:r>
    </w:p>
    <w:p>
      <w:pPr>
        <w:pStyle w:val="BookText"/>
        <w:rPr/>
      </w:pPr>
      <w:r>
        <w:rPr>
          <w:rFonts w:ascii="Amiri" w:hAnsi="Amiri" w:eastAsia="Amiri" w:cs="Amiri"/>
          <w:color w:val="111111"/>
          <w:sz w:val="28"/>
          <w:sz w:val="28"/>
          <w:szCs w:val="28"/>
          <w:rtl w:val="true"/>
          <w:lang w:bidi="ar-SA"/>
        </w:rPr>
        <w:t>الرقّیّة</w:t>
      </w:r>
      <w:r>
        <w:rPr>
          <w:rStyle w:val="FootnoteAnchor"/>
          <w:rtl w:val="true"/>
        </w:rPr>
        <w:footnoteReference w:id="1526"/>
      </w:r>
      <w:r>
        <w:rPr>
          <w:rFonts w:ascii="IRNazanin" w:hAnsi="IRNazanin" w:eastAsia="IRNazanin"/>
          <w:color w:val="111111"/>
          <w:sz w:val="28"/>
          <w:sz w:val="28"/>
          <w:szCs w:val="28"/>
          <w:rtl w:val="true"/>
          <w:lang w:bidi="fa-IR"/>
        </w:rPr>
        <w:t>، احتمل ذلک ؛ لأ نّها لا یقصر عن القنّ، و احتمل اعتبار النجوم ؛ لأ نّها الواجبة، و هذا قویّ</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بوضع نجم معیّن من نجومه،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عنه أیّ نجم </w:t>
      </w:r>
    </w:p>
    <w:p>
      <w:pPr>
        <w:pStyle w:val="BookText"/>
        <w:rPr/>
      </w:pPr>
      <w:r>
        <w:rPr>
          <w:rFonts w:ascii="Amiri" w:hAnsi="Amiri" w:eastAsia="Amiri" w:cs="Amiri"/>
          <w:color w:val="111111"/>
          <w:sz w:val="28"/>
          <w:sz w:val="28"/>
          <w:szCs w:val="28"/>
          <w:rtl w:val="true"/>
          <w:lang w:bidi="ar-SA"/>
        </w:rPr>
        <w:t>شاء، تخیّر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أکثر ما علیه من النجوم بالمثلّثة، وضع النصف و أدنی زیادة، و لو کان بالموحّدة، وضع أکثرها قدراً، و إن تساوت، وضع أکثرها أجلاً، فإن تساوت، فالأحسن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إلی الأوّل، و یحتمل فی القسم الأوّل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أکبر أو أکثر ما علیه و مثله، ضُعِّف و بطل فی الزائد إذا کان بالمثلّثة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عنه ما شاء من نجومه أو من نجومه ما شاء، فلابدّ أن یبقی شیئاً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و شاء الجمیع،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الإبقاء ؛ لقرینة</w:t>
      </w:r>
      <w:r>
        <w:rPr>
          <w:rStyle w:val="FootnoteAnchor"/>
          <w:rtl w:val="true"/>
        </w:rPr>
        <w:footnoteReference w:id="1528"/>
      </w:r>
      <w:r>
        <w:rPr>
          <w:rFonts w:ascii="IRNazanin" w:hAnsi="IRNazanin" w:eastAsia="IRNazanin"/>
          <w:color w:val="111111"/>
          <w:sz w:val="28"/>
          <w:sz w:val="28"/>
          <w:szCs w:val="28"/>
          <w:rtl w:val="true"/>
          <w:lang w:bidi="fa-IR"/>
        </w:rPr>
        <w:t>الحال، و هو مختار الشیخ</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عنه أوسط نجومه، و کان فیها أوسط عدداً أو قدراً أو أجلاً،</w:t>
      </w:r>
    </w:p>
    <w:p>
      <w:pPr>
        <w:pStyle w:val="BookText"/>
        <w:rPr/>
      </w:pPr>
      <w:r>
        <w:rPr>
          <w:rFonts w:ascii="IRNazanin" w:hAnsi="IRNazanin" w:eastAsia="IRNazanin"/>
          <w:color w:val="111111"/>
          <w:sz w:val="28"/>
          <w:sz w:val="28"/>
          <w:szCs w:val="28"/>
          <w:rtl w:val="true"/>
          <w:lang w:bidi="fa-IR"/>
        </w:rPr>
        <w:t>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حصل فی نجمین أوسطان</w:t>
      </w:r>
      <w:r>
        <w:rPr>
          <w:rStyle w:val="FootnoteAnchor"/>
          <w:rtl w:val="true"/>
        </w:rPr>
        <w:footnoteReference w:id="1530"/>
      </w:r>
      <w:r>
        <w:rPr>
          <w:rFonts w:ascii="IRNazanin" w:hAnsi="IRNazanin" w:eastAsia="IRNazanin"/>
          <w:color w:val="111111"/>
          <w:sz w:val="28"/>
          <w:sz w:val="28"/>
          <w:szCs w:val="28"/>
          <w:rtl w:val="true"/>
          <w:lang w:bidi="fa-IR"/>
        </w:rPr>
        <w:t>أو الثلاثة، تعیّن، و لو اختلفت، تخیّر الوارث أو أُقرع علی الأفضل، و لو کان العدد زوجاً، جمع بین نجمین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أعتقه فی مرض موته، أو أبرأه من مال الکتابة فمن الثلث، و یعتبر الأقلّ من قیمته و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بعتقه و لا مال سواه، عُتق ثلثه معجّلاً، ثمّ إن أدّی ثلثی مال الکتابة، عُتق کلّه، و إن عجز، بقی ثلثاه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جنّ المولی، لم تبطل الکتابة و یتولّی القبض الولیّ، فلو قبضه </w:t>
      </w:r>
    </w:p>
    <w:p>
      <w:pPr>
        <w:pStyle w:val="BookText"/>
        <w:rPr/>
      </w:pPr>
      <w:r>
        <w:rPr>
          <w:rFonts w:ascii="IRNazanin" w:hAnsi="IRNazanin" w:eastAsia="IRNazanin"/>
          <w:color w:val="111111"/>
          <w:sz w:val="28"/>
          <w:sz w:val="28"/>
          <w:szCs w:val="28"/>
          <w:rtl w:val="true"/>
          <w:lang w:bidi="fa-IR"/>
        </w:rPr>
        <w:t>المجنون، لم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 المکاتب و أدّی المال مجنوناً، عُتق ؛ لأنّ للسیّد الاستقلال بالأخذ، و الأولی إذن الحاکم إن أمکن ؛ لأنّ له الولایة، إلاّ أن نقول بولایة السیّد فی استیفاء</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المشروط تلزم فطرته المولی</w:t>
      </w:r>
      <w:r>
        <w:rPr>
          <w:rStyle w:val="FootnoteAnchor"/>
          <w:rtl w:val="true"/>
        </w:rPr>
        <w:footnoteReference w:id="1531"/>
      </w:r>
      <w:r>
        <w:rPr>
          <w:rFonts w:ascii="IRNazanin" w:hAnsi="IRNazanin" w:eastAsia="IRNazanin"/>
          <w:color w:val="111111"/>
          <w:sz w:val="28"/>
          <w:sz w:val="28"/>
          <w:szCs w:val="28"/>
          <w:rtl w:val="true"/>
          <w:lang w:bidi="fa-IR"/>
        </w:rPr>
        <w:t>؛ لأ نّها تابعة للملک، و فی المطلق بالحصص، و یحتمل أن لا فطرة ؛ لأ نّها تابعة للنفقة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الکتابة إلاّ بعدلین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شاهد و یمین</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صدّقه أحد الورّاث، کان نصیبه مکاتباً، فإن کان عدلاً فهو شاهد، فإذا أدّی نصیبه، عتق، و لا یقوّم</w:t>
      </w:r>
      <w:r>
        <w:rPr>
          <w:rStyle w:val="FootnoteAnchor"/>
          <w:rtl w:val="true"/>
        </w:rPr>
        <w:footnoteReference w:id="153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یسعی فی نصیب المکذّب بعد یمینه علی عدم علم المکاتبة إن ادّعی علیه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الولاء للمصدّق بأجمعه إن شرطه علی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أحضر المکاتب المال، 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لفلان، افتقر إلی البیّنة، فإن أقامها، انتزعه الحاکم حتّی یحضر المقرّ له، و إن انتفت، حلف المکاتب، فإن نکل، حلف السیّد، لا لیثبت مال غیره، بل لینفی</w:t>
      </w:r>
      <w:r>
        <w:rPr>
          <w:rStyle w:val="FootnoteAnchor"/>
          <w:rtl w:val="true"/>
        </w:rPr>
        <w:footnoteReference w:id="1534"/>
      </w:r>
      <w:r>
        <w:rPr>
          <w:rFonts w:ascii="IRNazanin" w:hAnsi="IRNazanin" w:eastAsia="IRNazanin"/>
          <w:color w:val="111111"/>
          <w:sz w:val="28"/>
          <w:sz w:val="28"/>
          <w:szCs w:val="28"/>
          <w:rtl w:val="true"/>
          <w:lang w:bidi="fa-IR"/>
        </w:rPr>
        <w:t>وجوب قبضه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حرام فکذلک، إلاّ أ نّه فی الأوّل یلزم بدفعه إلی المقرّ له فی موضع وجوب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 النجم و علیه دین غیره و قصر ما فی یده عنهما، فإن کان مطلقاً، وزّع، و إن کان مشروطاً، قدّم الدین ؛ لأنّ للمولی التعجیز و الاسترقاق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مات، أُخذ الدین من ترکته، و لا یلزم المولی الإکمال لو قصر</w:t>
      </w:r>
      <w:r>
        <w:rPr>
          <w:rFonts w:eastAsia="IRNazanin" w:cs="IRNazanin"/>
          <w:color w:val="111111"/>
          <w:sz w:val="28"/>
          <w:szCs w:val="28"/>
          <w:rtl w:val="true"/>
          <w:lang w:bidi="fa-IR"/>
        </w:rPr>
        <w:t xml:space="preserve">. </w:t>
      </w:r>
      <w:bookmarkStart w:id="209" w:name="pg13665_219206"/>
    </w:p>
    <w:p>
      <w:pPr>
        <w:pStyle w:val="BookText"/>
        <w:rPr/>
      </w:pPr>
      <w:bookmarkEnd w:id="209"/>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المولی المکاتب و بیده مال، أو عُتقت المکاتبة من نصیب الولد فما فی أیدیهما لهما علی الأقرب ؛ لأ نّه من کسبهما المحکوم لهما بملکه، و کذا</w:t>
      </w:r>
    </w:p>
    <w:p>
      <w:pPr>
        <w:pStyle w:val="BookText"/>
        <w:rPr/>
      </w:pPr>
      <w:r>
        <w:rPr>
          <w:rFonts w:ascii="IRNazanin" w:hAnsi="IRNazanin" w:eastAsia="IRNazanin"/>
          <w:color w:val="111111"/>
          <w:sz w:val="28"/>
          <w:sz w:val="28"/>
          <w:szCs w:val="28"/>
          <w:rtl w:val="true"/>
          <w:lang w:bidi="fa-IR"/>
        </w:rPr>
        <w:t>لو دبّر المکاتب فعتق</w:t>
      </w:r>
      <w:r>
        <w:rPr>
          <w:rStyle w:val="FootnoteAnchor"/>
          <w:rtl w:val="true"/>
        </w:rPr>
        <w:footnoteReference w:id="1535"/>
      </w:r>
      <w:r>
        <w:rPr>
          <w:rFonts w:ascii="IRNazanin" w:hAnsi="IRNazanin" w:eastAsia="IRNazanin"/>
          <w:color w:val="111111"/>
          <w:sz w:val="28"/>
          <w:sz w:val="28"/>
          <w:szCs w:val="28"/>
          <w:rtl w:val="true"/>
          <w:lang w:bidi="fa-IR"/>
        </w:rPr>
        <w:t>بالتدبیر</w:t>
      </w:r>
      <w:r>
        <w:rPr>
          <w:rFonts w:eastAsia="IRNazanin" w:cs="IRNazanin"/>
          <w:color w:val="111111"/>
          <w:sz w:val="28"/>
          <w:szCs w:val="28"/>
          <w:rtl w:val="true"/>
          <w:lang w:bidi="fa-IR"/>
        </w:rPr>
        <w:t>.</w:t>
      </w:r>
    </w:p>
    <w:p>
      <w:pPr>
        <w:pStyle w:val="Heading3"/>
        <w:numPr>
          <w:ilvl w:val="2"/>
          <w:numId w:val="1"/>
        </w:numPr>
        <w:rPr/>
      </w:pPr>
      <w:bookmarkStart w:id="210" w:name="__RefHeading___Toc2071351_3830689328"/>
      <w:bookmarkStart w:id="211" w:name="_Toc70"/>
      <w:bookmarkEnd w:id="210"/>
      <w:r>
        <w:rPr>
          <w:rtl w:val="true"/>
        </w:rPr>
        <w:t xml:space="preserve">درس </w:t>
      </w:r>
      <w:r>
        <w:rPr>
          <w:rtl w:val="true"/>
        </w:rPr>
        <w:t>(</w:t>
      </w:r>
      <w:r>
        <w:rPr/>
        <w:t>167</w:t>
      </w:r>
      <w:r>
        <w:rPr>
          <w:rtl w:val="true"/>
        </w:rPr>
        <w:t>)</w:t>
      </w:r>
      <w:bookmarkEnd w:id="211"/>
    </w:p>
    <w:p>
      <w:pPr>
        <w:pStyle w:val="BookText"/>
        <w:rPr/>
      </w:pPr>
      <w:r>
        <w:rPr>
          <w:rFonts w:ascii="IRNazanin" w:hAnsi="IRNazanin" w:eastAsia="IRNazanin"/>
          <w:color w:val="111111"/>
          <w:sz w:val="28"/>
          <w:sz w:val="28"/>
          <w:szCs w:val="28"/>
          <w:rtl w:val="true"/>
          <w:lang w:bidi="fa-IR"/>
        </w:rPr>
        <w:t>فی الجنایة</w:t>
      </w:r>
    </w:p>
    <w:p>
      <w:pPr>
        <w:pStyle w:val="BookText"/>
        <w:rPr/>
      </w:pPr>
      <w:r>
        <w:rPr>
          <w:rFonts w:ascii="IRNazanin" w:hAnsi="IRNazanin" w:eastAsia="IRNazanin"/>
          <w:color w:val="111111"/>
          <w:sz w:val="28"/>
          <w:sz w:val="28"/>
          <w:szCs w:val="28"/>
          <w:rtl w:val="true"/>
          <w:lang w:bidi="fa-IR"/>
        </w:rPr>
        <w:t>إذا قُتِل المکاتب فهو کموته، فإن کان مشروطاً أو مطلقاً لم یؤدّ، فقیمته لمولاه و ما ترکه له، و لو قتله</w:t>
      </w:r>
      <w:r>
        <w:rPr>
          <w:rStyle w:val="FootnoteAnchor"/>
          <w:rtl w:val="true"/>
        </w:rPr>
        <w:footnoteReference w:id="1536"/>
      </w:r>
      <w:r>
        <w:rPr>
          <w:rFonts w:ascii="IRNazanin" w:hAnsi="IRNazanin" w:eastAsia="IRNazanin"/>
          <w:color w:val="111111"/>
          <w:sz w:val="28"/>
          <w:sz w:val="28"/>
          <w:szCs w:val="28"/>
          <w:rtl w:val="true"/>
          <w:lang w:bidi="fa-IR"/>
        </w:rPr>
        <w:t>السیّد، ملک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للمولی القصاص فی العمد من المکافئ، و إن جنی علی طرفه فالأرش له و إن کان الجانی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الجنایة عمداً، فله القصاص من المکافئ و الأنقص 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عبد مولاه، ففی القصاص مع منع المولی قولان</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سلطنة</w:t>
      </w:r>
    </w:p>
    <w:p>
      <w:pPr>
        <w:pStyle w:val="BookText"/>
        <w:rPr/>
      </w:pPr>
      <w:r>
        <w:rPr>
          <w:rFonts w:ascii="IRNazanin" w:hAnsi="IRNazanin" w:eastAsia="IRNazanin"/>
          <w:color w:val="111111"/>
          <w:sz w:val="28"/>
          <w:sz w:val="28"/>
          <w:szCs w:val="28"/>
          <w:rtl w:val="true"/>
          <w:lang w:bidi="fa-IR"/>
        </w:rPr>
        <w:t xml:space="preserve">المولی، و من تحقّق الرقّیّة فیه، و لو عفا علی مال، صحّ، و لو عفا مطلقاً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w:t>
      </w:r>
      <w:r>
        <w:rPr>
          <w:rStyle w:val="FootnoteAnchor"/>
          <w:rtl w:val="true"/>
        </w:rPr>
        <w:footnoteReference w:id="1538"/>
      </w:r>
      <w:r>
        <w:rPr>
          <w:rFonts w:ascii="IRNazanin" w:hAnsi="IRNazanin" w:eastAsia="IRNazanin"/>
          <w:color w:val="111111"/>
          <w:sz w:val="28"/>
          <w:sz w:val="28"/>
          <w:szCs w:val="28"/>
          <w:rtl w:val="true"/>
          <w:lang w:bidi="fa-IR"/>
        </w:rPr>
        <w:t>و إن کره المولی ؛ لأنّ الواجب القود لا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قد تحرّر منه شیء فجنی علیه مَن هو أزید حرّیّة، فلا قصاص و یتعیّن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جنی المکاتب علی مولاه عمداً، اقتصّ منه نفساً أو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عفا علی مال، ثبت، و إن کان خطأً، فالدیة للسیّد أو وارثه، فإن وفی ما بیده بالحقّین، و إلاّ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عجّزه إن شاء بعد أخذ الدیة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جنی علی أجنبیّ عمداً، فله القصاص مع المکافأة أو کون المجنیّ علیه أزید 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عفا علی مال، جاز و قدّم علی النجوم فی المشروط، و إن کان خطأً، تعلّق بماله، و إن تبعّض، تعلّق نصیب الحرّیّة بعاقلته و نصیب الرقّیّة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الحجر</w:t>
      </w:r>
    </w:p>
    <w:p>
      <w:pPr>
        <w:pStyle w:val="BookText"/>
        <w:rPr/>
      </w:pPr>
      <w:r>
        <w:rPr>
          <w:rFonts w:ascii="IRNazanin" w:hAnsi="IRNazanin" w:eastAsia="IRNazanin"/>
          <w:color w:val="111111"/>
          <w:sz w:val="28"/>
          <w:sz w:val="28"/>
          <w:szCs w:val="28"/>
          <w:rtl w:val="true"/>
          <w:lang w:bidi="fa-IR"/>
        </w:rPr>
        <w:t>علیه یوزّع ماله مع القصور، و لو کان مشروطاً قدّم الأرش، و لو لم یحجر علیه، قدّم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عبد المکاتب و أراد فکّه، روعی کون الأرش لا یزید عن</w:t>
      </w:r>
      <w:r>
        <w:rPr>
          <w:rStyle w:val="FootnoteAnchor"/>
          <w:rtl w:val="true"/>
        </w:rPr>
        <w:footnoteReference w:id="1539"/>
      </w:r>
      <w:r>
        <w:rPr>
          <w:rFonts w:ascii="IRNazanin" w:hAnsi="IRNazanin" w:eastAsia="IRNazanin"/>
          <w:color w:val="111111"/>
          <w:sz w:val="28"/>
          <w:sz w:val="28"/>
          <w:szCs w:val="28"/>
          <w:rtl w:val="true"/>
          <w:lang w:bidi="fa-IR"/>
        </w:rPr>
        <w:t>القیمة، فإن زاد فبإذن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عبده علیه عمداً، فله القصاص إلاّ أن یکون أباه، و إن کان خطأً أو عفا علی مال فی العمد، لم یثبت ؛ لامتناع أن یثبت علی المال مال إلاّ أن یکون مکاتباً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 عبده، لم یکن له القصاص إلاّ أن یکون أباه فله ذلک ؛ بناءاً علی</w:t>
      </w:r>
    </w:p>
    <w:p>
      <w:pPr>
        <w:pStyle w:val="BookText"/>
        <w:rPr/>
      </w:pPr>
      <w:r>
        <w:rPr>
          <w:rFonts w:ascii="IRNazanin" w:hAnsi="IRNazanin" w:eastAsia="IRNazanin"/>
          <w:color w:val="111111"/>
          <w:sz w:val="28"/>
          <w:sz w:val="28"/>
          <w:szCs w:val="28"/>
          <w:rtl w:val="true"/>
          <w:lang w:bidi="fa-IR"/>
        </w:rPr>
        <w:t>أنّ حکم الأب معه حکم الأحرار من حیث إنّه لیس له بیعه، و لا إخراجه عن ملکه، و لمّا</w:t>
      </w:r>
      <w:r>
        <w:rPr>
          <w:rStyle w:val="FootnoteAnchor"/>
          <w:rtl w:val="true"/>
        </w:rPr>
        <w:footnoteReference w:id="1540"/>
      </w:r>
      <w:r>
        <w:rPr>
          <w:rFonts w:ascii="IRNazanin" w:hAnsi="IRNazanin" w:eastAsia="IRNazanin"/>
          <w:color w:val="111111"/>
          <w:sz w:val="28"/>
          <w:sz w:val="28"/>
          <w:szCs w:val="28"/>
          <w:rtl w:val="true"/>
          <w:lang w:bidi="fa-IR"/>
        </w:rPr>
        <w:t>ثبت للابن حکم الحرّیّة بعقد الکتابة، ثبت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 المکاتب أبوه أو ولده، لم یملک بیعه ؛ لما قلنا من عدم ثبوت مال علی المال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جنی المکاتب علی جماعة عمداً، اقتصّ لهم، و لو کان غیر عمد، ثبت لهم المال، فإن لم یکن بیده مال أو لم یف، بیع فی الجنایة و قسّط ثمنه بالنسبة، تعاقبت الجنایة،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فداه السیّد فالکتابة بحالها، 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یفدیه بأقلّ الأمرین من قیمته و الأرش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تعاقبت الجنایة عمداً علی جماعة،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مشترک بینهم ما لم یحکم به لأولیاء الأوّل فیکون لمن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أعتقه السیّد بعد جنایته علیه و لا مال معه، سقط الأرش ؛ لزوال متعلّقه بفعل السیّد، و لو کان معه مال ففی أخذه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جواز الأخذ قبل العتق، أو لا ؛ لأنّ تعلّق الأرش بالرقبة بالأصالة و المال یثبت</w:t>
      </w:r>
      <w:r>
        <w:rPr>
          <w:rStyle w:val="FootnoteAnchor"/>
          <w:rtl w:val="true"/>
        </w:rPr>
        <w:footnoteReference w:id="1541"/>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أعتقه بعد جنایته علی أجنبیّ عمداً، لم یصحّ، و إن کان خطأً، فکعتق القنّ مراعی بضمان الجنایة، و علیه أقلّ الأمرین من قیمته و الأرش، سواء کان الأرش لواحد أو جماعة</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جنی، ثمّ أدّی مال الکتابة، عتق و ضمن أُروش الجنایات أو الأقلّ علی الخلاف ؛ لأ نّه أتلف الرقبة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بعض عبیده علی بعض خطأً، فلا شیء، و لو کان عمداً، فله القصاص ؛ استصلاحاً للمال، إلاّ أن یکون الجانی أباه فلا یقتصّ منه، کما لا یقتصّ</w:t>
      </w:r>
    </w:p>
    <w:p>
      <w:pPr>
        <w:pStyle w:val="BookText"/>
        <w:rPr/>
      </w:pPr>
      <w:r>
        <w:rPr>
          <w:rFonts w:ascii="IRNazanin" w:hAnsi="IRNazanin" w:eastAsia="IRNazanin"/>
          <w:color w:val="111111"/>
          <w:sz w:val="28"/>
          <w:sz w:val="28"/>
          <w:szCs w:val="28"/>
          <w:rtl w:val="true"/>
          <w:lang w:bidi="fa-IR"/>
        </w:rPr>
        <w:t>منه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جنی أبوه علی أجنبیّ، فلیس له فکّه ؛ لأ نّه یتعجّل بإتلاف ما لَه التصرّف</w:t>
      </w:r>
      <w:r>
        <w:rPr>
          <w:rStyle w:val="FootnoteAnchor"/>
          <w:rtl w:val="true"/>
        </w:rPr>
        <w:footnoteReference w:id="1543"/>
      </w:r>
      <w:r>
        <w:rPr>
          <w:rFonts w:ascii="IRNazanin" w:hAnsi="IRNazanin" w:eastAsia="IRNazanin"/>
          <w:color w:val="111111"/>
          <w:sz w:val="28"/>
          <w:sz w:val="28"/>
          <w:szCs w:val="28"/>
          <w:rtl w:val="true"/>
          <w:lang w:bidi="fa-IR"/>
        </w:rPr>
        <w:t>فیه بإزاء ما یمنع منه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للمکاتب تعزیر عبده و أمته، بل و له إقامة الحدّ علیهما عند موجبه</w:t>
      </w:r>
      <w:r>
        <w:rPr>
          <w:rFonts w:eastAsia="IRNazanin" w:cs="IRNazanin"/>
          <w:color w:val="111111"/>
          <w:sz w:val="28"/>
          <w:szCs w:val="28"/>
          <w:rtl w:val="true"/>
          <w:lang w:bidi="fa-IR"/>
        </w:rPr>
        <w:t xml:space="preserve">. </w:t>
      </w:r>
      <w:bookmarkStart w:id="212" w:name="pg13665_219209"/>
    </w:p>
    <w:p>
      <w:pPr>
        <w:pStyle w:val="Heading3"/>
        <w:numPr>
          <w:ilvl w:val="2"/>
          <w:numId w:val="1"/>
        </w:numPr>
        <w:rPr/>
      </w:pPr>
      <w:bookmarkStart w:id="213" w:name="__RefHeading___Toc2071353_3830689328"/>
      <w:bookmarkStart w:id="214" w:name="_Toc71"/>
      <w:bookmarkEnd w:id="212"/>
      <w:bookmarkEnd w:id="213"/>
      <w:r>
        <w:rPr>
          <w:rtl w:val="true"/>
        </w:rPr>
        <w:t xml:space="preserve">درس </w:t>
      </w:r>
      <w:r>
        <w:rPr>
          <w:rtl w:val="true"/>
        </w:rPr>
        <w:t>(</w:t>
      </w:r>
      <w:r>
        <w:rPr/>
        <w:t>168</w:t>
      </w:r>
      <w:r>
        <w:rPr>
          <w:rtl w:val="true"/>
        </w:rPr>
        <w:t>)</w:t>
      </w:r>
      <w:bookmarkEnd w:id="214"/>
    </w:p>
    <w:p>
      <w:pPr>
        <w:pStyle w:val="BookText"/>
        <w:rPr/>
      </w:pP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یجوز للسیّد معاملة المکاتب بیعاً و شراءاً، کالأجنبیّ، و أن یأخذ منه بالشفعة، و للمکاتب أیضاً الأخذ منه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أدّی أحد مکاتبیه و اشتبه، أُرجئ لیذکر</w:t>
      </w:r>
      <w:r>
        <w:rPr>
          <w:rStyle w:val="FootnoteAnchor"/>
          <w:rtl w:val="true"/>
        </w:rPr>
        <w:footnoteReference w:id="1544"/>
      </w:r>
      <w:r>
        <w:rPr>
          <w:rFonts w:ascii="IRNazanin" w:hAnsi="IRNazanin" w:eastAsia="IRNazanin"/>
          <w:color w:val="111111"/>
          <w:sz w:val="28"/>
          <w:sz w:val="28"/>
          <w:szCs w:val="28"/>
          <w:rtl w:val="true"/>
          <w:lang w:bidi="fa-IR"/>
        </w:rPr>
        <w:t>، فإن زال الرجاء،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یقرع حتّی یموت</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کاتب اثنان عبداً، فلیس له أن یخصّ أحدهما بالأداء إلاّ بإذن شریکه، فإن فعل، فللشریک مطالبة القابض و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القاضی التخصیص</w:t>
      </w:r>
      <w:r>
        <w:rPr>
          <w:rStyle w:val="FootnoteAnchor"/>
          <w:rtl w:val="true"/>
        </w:rPr>
        <w:footnoteReference w:id="1546"/>
      </w:r>
      <w:r>
        <w:rPr>
          <w:rFonts w:ascii="IRNazanin" w:hAnsi="IRNazanin" w:eastAsia="IRNazanin"/>
          <w:color w:val="111111"/>
          <w:sz w:val="28"/>
          <w:sz w:val="28"/>
          <w:szCs w:val="28"/>
          <w:rtl w:val="true"/>
          <w:lang w:bidi="fa-IR"/>
        </w:rPr>
        <w:t>، و تمسّک الشیخ علی المنع بأ نّه إذا عجز یرجع الشریک علی القابض بنصیبه بعد انتفاع القابض به بغیر حقّ</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 إدراج هذه فی حکم الشرکاء فی دین إذا قبض أحدهما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 ملک القابض فقد انتفع بماله، و تجدّد استحقاق</w:t>
      </w:r>
    </w:p>
    <w:p>
      <w:pPr>
        <w:pStyle w:val="BookText"/>
        <w:rPr/>
      </w:pPr>
      <w:r>
        <w:rPr>
          <w:rFonts w:ascii="IRNazanin" w:hAnsi="IRNazanin" w:eastAsia="IRNazanin"/>
          <w:color w:val="111111"/>
          <w:sz w:val="28"/>
          <w:sz w:val="28"/>
          <w:szCs w:val="28"/>
          <w:rtl w:val="true"/>
          <w:lang w:bidi="fa-IR"/>
        </w:rPr>
        <w:t>الشریک بعد الفسخ إنّما حصل من حینه، و إن منع ملک الشریک، أُسند الحکم إلیه لا إلی الانتفاع</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اتّحد العقد و العوض، لم یخصّ و إلاّ جاز</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جعل عشر سنین ظرفاً لأداء المال، ففی الخلاف</w:t>
      </w:r>
      <w:r>
        <w:rPr>
          <w:rStyle w:val="FootnoteAnchor"/>
          <w:rtl w:val="true"/>
        </w:rPr>
        <w:footnoteReference w:id="1550"/>
      </w:r>
      <w:r>
        <w:rPr>
          <w:rFonts w:ascii="IRNazanin" w:hAnsi="IRNazanin" w:eastAsia="IRNazanin"/>
          <w:color w:val="111111"/>
          <w:sz w:val="28"/>
          <w:sz w:val="28"/>
          <w:szCs w:val="28"/>
          <w:rtl w:val="true"/>
          <w:lang w:bidi="fa-IR"/>
        </w:rPr>
        <w:t xml:space="preserve">و هو قول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1551"/>
      </w:r>
      <w:r>
        <w:rPr>
          <w:rFonts w:ascii="IRNazanin" w:hAnsi="IRNazanin" w:eastAsia="IRNazanin"/>
          <w:color w:val="111111"/>
          <w:sz w:val="28"/>
          <w:sz w:val="28"/>
          <w:szCs w:val="28"/>
          <w:rtl w:val="true"/>
          <w:lang w:bidi="fa-IR"/>
        </w:rPr>
        <w:t>؛ لقضیّة الأصل و تفویض الأداء إلی المکاتب، و منعه فی المبسوط</w:t>
      </w:r>
      <w:r>
        <w:rPr>
          <w:rStyle w:val="FootnoteAnchor"/>
          <w:rtl w:val="true"/>
        </w:rPr>
        <w:footnoteReference w:id="155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للجهالة، کأجل البیع و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زکاة فی مال المشروط و لا المطلق ما لم یؤدّ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فی المبسوط فی وجوبها علی السیّد</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بعدم</w:t>
      </w:r>
      <w:r>
        <w:rPr>
          <w:rStyle w:val="FootnoteAnchor"/>
          <w:rtl w:val="true"/>
        </w:rPr>
        <w:footnoteReference w:id="1554"/>
      </w:r>
      <w:r>
        <w:rPr>
          <w:rFonts w:ascii="IRNazanin" w:hAnsi="IRNazanin" w:eastAsia="IRNazanin"/>
          <w:color w:val="111111"/>
          <w:sz w:val="28"/>
          <w:sz w:val="28"/>
          <w:szCs w:val="28"/>
          <w:rtl w:val="true"/>
          <w:lang w:bidi="fa-IR"/>
        </w:rPr>
        <w:t>إمکان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کاتبه، ثمّ احتبسه أو حبس مدّة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یؤجّله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الأُجرة فی الاحتباس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القولان للشیخ</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یدخل الحمل</w:t>
      </w:r>
      <w:r>
        <w:rPr>
          <w:rStyle w:val="FootnoteAnchor"/>
          <w:rtl w:val="true"/>
        </w:rPr>
        <w:footnoteReference w:id="1556"/>
      </w:r>
      <w:r>
        <w:rPr>
          <w:rFonts w:ascii="Amiri" w:hAnsi="Amiri" w:eastAsia="Amiri" w:cs="Amiri"/>
          <w:color w:val="111111"/>
          <w:sz w:val="28"/>
          <w:sz w:val="28"/>
          <w:szCs w:val="28"/>
          <w:rtl w:val="true"/>
          <w:lang w:bidi="ar-SA"/>
        </w:rPr>
        <w:t>فی مکاتبة الأُمّ عند قوم</w:t>
      </w:r>
      <w:r>
        <w:rPr>
          <w:rStyle w:val="FootnoteAnchor"/>
          <w:rtl w:val="true"/>
        </w:rPr>
        <w:footnoteReference w:id="1557"/>
      </w:r>
      <w:r>
        <w:rPr>
          <w:rFonts w:ascii="IRNazanin" w:hAnsi="IRNazanin" w:eastAsia="IRNazanin"/>
          <w:color w:val="111111"/>
          <w:sz w:val="28"/>
          <w:sz w:val="28"/>
          <w:szCs w:val="28"/>
          <w:rtl w:val="true"/>
          <w:lang w:bidi="fa-IR"/>
        </w:rPr>
        <w:t>، و أدخله القاضی، و منع من استثنائه فی الکتابة</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الخنثی فی الوصیّة بمکاتبة واحد من رقیقه، خلافاً له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قال السیّد للمکاتب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حرّ بقدر ما تؤدّی، تبع شرطه و یکون</w:t>
      </w:r>
    </w:p>
    <w:p>
      <w:pPr>
        <w:pStyle w:val="BookText"/>
        <w:rPr/>
      </w:pPr>
      <w:r>
        <w:rPr>
          <w:rFonts w:ascii="IRNazanin" w:hAnsi="IRNazanin" w:eastAsia="IRNazanin"/>
          <w:color w:val="111111"/>
          <w:sz w:val="28"/>
          <w:sz w:val="28"/>
          <w:szCs w:val="28"/>
          <w:rtl w:val="true"/>
          <w:lang w:bidi="fa-IR"/>
        </w:rPr>
        <w:t>کالمطلقة، و لا ینعتق بأداء شیء علی سبیل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ینعتق، إلاّ أن یضیف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عبد بقدر ما بقی علیک</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ورثت المرأة زوجها المکاتب،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النکاح و إن کان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المکاتب</w:t>
      </w:r>
      <w:r>
        <w:rPr>
          <w:rStyle w:val="FootnoteAnchor"/>
          <w:rtl w:val="true"/>
        </w:rPr>
        <w:footnoteReference w:id="1561"/>
      </w:r>
      <w:r>
        <w:rPr>
          <w:rFonts w:ascii="IRNazanin" w:hAnsi="IRNazanin" w:eastAsia="IRNazanin"/>
          <w:color w:val="111111"/>
          <w:sz w:val="28"/>
          <w:sz w:val="28"/>
          <w:szCs w:val="28"/>
          <w:rtl w:val="true"/>
          <w:lang w:bidi="fa-IR"/>
        </w:rPr>
        <w:t>، و إنّما ینفسخ إذا کان قد تحرّر منه شیء، ثمّ مات المورّث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أسلم مکاتب الذمّیّ، لم یبع علیه ؛ لجریانه إلی العتق، و ضعف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مکاتباً و یؤدّی إلی المشتری ثمنه</w:t>
      </w:r>
      <w:r>
        <w:rPr>
          <w:rStyle w:val="FootnoteAnchor"/>
          <w:rtl w:val="true"/>
        </w:rPr>
        <w:footnoteReference w:id="1562"/>
      </w:r>
      <w:r>
        <w:rPr>
          <w:rFonts w:ascii="IRNazanin" w:hAnsi="IRNazanin" w:eastAsia="IRNazanin"/>
          <w:color w:val="111111"/>
          <w:sz w:val="28"/>
          <w:sz w:val="28"/>
          <w:szCs w:val="28"/>
          <w:rtl w:val="true"/>
          <w:lang w:bidi="fa-IR"/>
        </w:rPr>
        <w:t>، و لا یأخذ منه زیادة ؛ لأ نّه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زعم المکاتب أنّ له بیّنة علی أداء مال الکتابة إلی السیّد، أُجّل ثلاثاً،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نّها أوّل الکثرة و آخر القلّة</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کاتبه فاسداً ثمّ أوصی برقبته، صحّ، و إن لم یعلم بالفساد عند الشیخ</w:t>
      </w:r>
      <w:r>
        <w:rPr>
          <w:rStyle w:val="FootnoteAnchor"/>
          <w:rtl w:val="true"/>
        </w:rPr>
        <w:footnoteReference w:id="1564"/>
      </w:r>
      <w:r>
        <w:rPr>
          <w:rFonts w:ascii="IRNazanin" w:hAnsi="IRNazanin" w:eastAsia="IRNazanin"/>
          <w:color w:val="111111"/>
          <w:sz w:val="28"/>
          <w:sz w:val="28"/>
          <w:szCs w:val="28"/>
          <w:rtl w:val="true"/>
          <w:lang w:bidi="fa-IR"/>
        </w:rPr>
        <w:t>؛ لمصادفة الملک، کما لو باع ثانیاً و الأوّل فاسد، و یمکن منع الحکمین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المشروط من الأداء مع قدرته علیه، فللسیّد الفسخ، قاله الشیخ</w:t>
      </w:r>
      <w:r>
        <w:rPr>
          <w:rStyle w:val="FootnoteAnchor"/>
          <w:rtl w:val="true"/>
        </w:rPr>
        <w:footnoteReference w:id="1565"/>
      </w:r>
      <w:r>
        <w:rPr>
          <w:rFonts w:ascii="IRNazanin" w:hAnsi="IRNazanin" w:eastAsia="IRNazanin"/>
          <w:color w:val="111111"/>
          <w:sz w:val="28"/>
          <w:sz w:val="28"/>
          <w:szCs w:val="28"/>
          <w:rtl w:val="true"/>
          <w:lang w:bidi="fa-IR"/>
        </w:rPr>
        <w:t>؛ لأ نّها عقد معاوضة فینفسخ</w:t>
      </w:r>
      <w:r>
        <w:rPr>
          <w:rStyle w:val="FootnoteAnchor"/>
          <w:rtl w:val="true"/>
        </w:rPr>
        <w:footnoteReference w:id="1566"/>
      </w:r>
      <w:r>
        <w:rPr>
          <w:rFonts w:ascii="IRNazanin" w:hAnsi="IRNazanin" w:eastAsia="IRNazanin"/>
          <w:color w:val="111111"/>
          <w:sz w:val="28"/>
          <w:sz w:val="28"/>
          <w:szCs w:val="28"/>
          <w:rtl w:val="true"/>
          <w:lang w:bidi="fa-IR"/>
        </w:rPr>
        <w:t>؛ لتعذّر العوض،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العبد غائباً عند حلول النجم، فلیس له الفسخ إلاّ بعد إثبات الکتابة عند الحاکم، و إثبات النجوم، و تعذّر الأداء و الیمین علی بقائها، و له الفسخ فی الحاضر من غیر حاکم ؛ للإجماع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یصحّ عتق المکاتب بنوعیه، و فی عتقه بالعوارض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کالعمی و الجذام</w:t>
      </w:r>
      <w:r>
        <w:rPr>
          <w:rStyle w:val="FootnoteAnchor"/>
          <w:rtl w:val="true"/>
        </w:rPr>
        <w:footnoteReference w:id="1567"/>
      </w:r>
      <w:r>
        <w:rPr>
          <w:rFonts w:ascii="IRNazanin" w:hAnsi="IRNazanin" w:eastAsia="IRNazanin"/>
          <w:color w:val="111111"/>
          <w:sz w:val="28"/>
          <w:sz w:val="28"/>
          <w:szCs w:val="28"/>
          <w:rtl w:val="true"/>
          <w:lang w:bidi="fa-IR"/>
        </w:rPr>
        <w:t xml:space="preserve">و الإقعاد و التنکیل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نظر، ینشأ من تشبّثه</w:t>
      </w:r>
      <w:r>
        <w:rPr>
          <w:rStyle w:val="FootnoteAnchor"/>
          <w:rtl w:val="true"/>
        </w:rPr>
        <w:footnoteReference w:id="1568"/>
      </w:r>
      <w:r>
        <w:rPr>
          <w:rFonts w:ascii="IRNazanin" w:hAnsi="IRNazanin" w:eastAsia="IRNazanin"/>
          <w:color w:val="111111"/>
          <w:sz w:val="28"/>
          <w:sz w:val="28"/>
          <w:szCs w:val="28"/>
          <w:rtl w:val="true"/>
          <w:lang w:bidi="fa-IR"/>
        </w:rPr>
        <w:t>بالحرّیّة، فلا یدخل تحت لفظ المملوک، و من بقاء حقیقة الرقّیّة، و من ثَمّ لو أسلم فی دارالحرب قبل مولاه، عتق</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3665_219213"/>
      <w:bookmarkStart w:id="216" w:name="pg13665_219213"/>
      <w:bookmarkEnd w:id="216"/>
    </w:p>
    <w:p>
      <w:pPr>
        <w:pStyle w:val="Heading2"/>
        <w:numPr>
          <w:ilvl w:val="1"/>
          <w:numId w:val="1"/>
        </w:numPr>
        <w:rPr/>
      </w:pPr>
      <w:bookmarkStart w:id="217" w:name="pg13665_219213"/>
      <w:bookmarkStart w:id="218" w:name="__RefHeading___Toc2071355_3830689328"/>
      <w:bookmarkStart w:id="219" w:name="_Toc72"/>
      <w:bookmarkEnd w:id="217"/>
      <w:bookmarkEnd w:id="218"/>
      <w:r>
        <w:rPr>
          <w:rtl w:val="true"/>
        </w:rPr>
        <w:t>کتاب الوقف</w:t>
      </w:r>
      <w:bookmarkEnd w:id="21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2071357_3830689328"/>
      <w:bookmarkStart w:id="221" w:name="_Toc73"/>
      <w:bookmarkEnd w:id="220"/>
      <w:r>
        <w:rPr>
          <w:rtl w:val="true"/>
        </w:rPr>
        <w:t>اشاره</w:t>
      </w:r>
      <w:bookmarkEnd w:id="22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 xml:space="preserve">و هو الصدقة الجاریة، و ثمرته تحبیس الأصل و إطلاق المنفعة، و الصریح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حبّست و سبّلت و حرّمت و تصدّقت فیفتقر إلی القرینة، کالتأبید و نفی البیع و الهبة و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تصدّقت و حرّمت صیغة واحدة، فلا تغنی الثانیة فیها عن الأُولی، و تغنی الأُولی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وقفاً أو صدقة مؤبّدة محرّمة،</w:t>
      </w:r>
    </w:p>
    <w:p>
      <w:pPr>
        <w:pStyle w:val="BookText"/>
        <w:rPr/>
      </w:pP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أهلیّة الواقف، فلا ینفذ وقف غیر الممیّز، و لا المجنون المطبق، و لا الدائر جنونه، إلاّ حال الإفاقة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الصبیّ عشراً بصیراً ففی جواز وقفه قولان</w:t>
      </w:r>
      <w:r>
        <w:rPr>
          <w:rStyle w:val="FootnoteAnchor"/>
          <w:rtl w:val="true"/>
        </w:rPr>
        <w:footnoteReference w:id="1569"/>
      </w:r>
      <w:r>
        <w:rPr>
          <w:rFonts w:ascii="IRNazanin" w:hAnsi="IRNazanin" w:eastAsia="IRNazanin"/>
          <w:color w:val="111111"/>
          <w:sz w:val="28"/>
          <w:sz w:val="28"/>
          <w:szCs w:val="28"/>
          <w:rtl w:val="true"/>
          <w:lang w:bidi="fa-IR"/>
        </w:rPr>
        <w:t>؛ حملاً له علی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السفیه، و المفلّس بعد الحجر، و لا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المریض ماضٍ من الثلث إذا لم یجزه الوارث ؛ و کذا وصیّته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متّ أو إن متّ فهو وقف،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 ؛ لتعلیقه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وقف بعد مماتی، احتمل ذلک أیضاً، و أن یحمل علی الوصیّة به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جمع بین تنجیز الوقف و غیره و قصر الثلث، بدئ بالأوّل فالأوّل عند </w:t>
      </w:r>
    </w:p>
    <w:p>
      <w:pPr>
        <w:pStyle w:val="BookText"/>
        <w:rPr/>
      </w:pPr>
      <w:r>
        <w:rPr>
          <w:rFonts w:ascii="IRNazanin" w:hAnsi="IRNazanin" w:eastAsia="IRNazanin"/>
          <w:color w:val="111111"/>
          <w:sz w:val="28"/>
          <w:sz w:val="28"/>
          <w:szCs w:val="28"/>
          <w:rtl w:val="true"/>
          <w:lang w:bidi="fa-IR"/>
        </w:rPr>
        <w:t>الشیخ فی المبسوط</w:t>
      </w:r>
      <w:r>
        <w:rPr>
          <w:rStyle w:val="FootnoteAnchor"/>
          <w:rtl w:val="true"/>
        </w:rPr>
        <w:footnoteReference w:id="1570"/>
      </w:r>
      <w:r>
        <w:rPr>
          <w:rFonts w:ascii="IRNazanin" w:hAnsi="IRNazanin" w:eastAsia="IRNazanin"/>
          <w:color w:val="111111"/>
          <w:sz w:val="28"/>
          <w:sz w:val="28"/>
          <w:szCs w:val="28"/>
          <w:rtl w:val="true"/>
          <w:lang w:bidi="fa-IR"/>
        </w:rPr>
        <w:t xml:space="preserve">، 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یوزّع</w:t>
      </w:r>
      <w:r>
        <w:rPr>
          <w:rStyle w:val="FootnoteAnchor"/>
          <w:rtl w:val="true"/>
        </w:rPr>
        <w:footnoteReference w:id="1571"/>
      </w:r>
      <w:r>
        <w:rPr>
          <w:rFonts w:ascii="IRNazanin" w:hAnsi="IRNazanin" w:eastAsia="IRNazanin"/>
          <w:color w:val="111111"/>
          <w:sz w:val="28"/>
          <w:sz w:val="28"/>
          <w:szCs w:val="28"/>
          <w:rtl w:val="true"/>
          <w:lang w:bidi="fa-IR"/>
        </w:rPr>
        <w:t>؛ لأ نّه قصد إعطاء الجمیع، بخلاف</w:t>
      </w:r>
    </w:p>
    <w:p>
      <w:pPr>
        <w:pStyle w:val="BookText"/>
        <w:rPr/>
      </w:pP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اشتبه فی الوصیّة الترتیب، أُقرع، 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بین الجمیع</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فلا یقع من الغافل و النائم و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أخبر بعد الوقف و الإقباض بعدم النیّة، لم یسمع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نیّة التقرّب وجه، فیترتّب</w:t>
      </w:r>
      <w:r>
        <w:rPr>
          <w:rStyle w:val="FootnoteAnchor"/>
          <w:rtl w:val="true"/>
        </w:rPr>
        <w:footnoteReference w:id="1573"/>
      </w:r>
      <w:r>
        <w:rPr>
          <w:rFonts w:ascii="IRNazanin" w:hAnsi="IRNazanin" w:eastAsia="IRNazanin"/>
          <w:color w:val="111111"/>
          <w:sz w:val="28"/>
          <w:sz w:val="28"/>
          <w:szCs w:val="28"/>
          <w:rtl w:val="true"/>
          <w:lang w:bidi="fa-IR"/>
        </w:rPr>
        <w:t xml:space="preserve">وقف الکافر،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الواقف، فلو وقف ملک غیره، لم یصحّ و إن أُجیز علی قول</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وقفه فی مدّة خیاره،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للبائع خیار،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المراعاة، فإن استمرّ</w:t>
      </w:r>
      <w:r>
        <w:rPr>
          <w:rStyle w:val="FootnoteAnchor"/>
          <w:rtl w:val="true"/>
        </w:rPr>
        <w:footnoteReference w:id="1575"/>
      </w:r>
      <w:r>
        <w:rPr>
          <w:rFonts w:ascii="IRNazanin" w:hAnsi="IRNazanin" w:eastAsia="IRNazanin"/>
          <w:color w:val="111111"/>
          <w:sz w:val="28"/>
          <w:sz w:val="28"/>
          <w:szCs w:val="28"/>
          <w:rtl w:val="true"/>
          <w:lang w:bidi="fa-IR"/>
        </w:rPr>
        <w:t>البیع، 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المقارن للإیجاب، إذا کان علی مَن یمکن</w:t>
      </w:r>
      <w:r>
        <w:rPr>
          <w:rStyle w:val="FootnoteAnchor"/>
          <w:rtl w:val="true"/>
        </w:rPr>
        <w:footnoteReference w:id="1576"/>
      </w:r>
      <w:r>
        <w:rPr>
          <w:rFonts w:ascii="IRNazanin" w:hAnsi="IRNazanin" w:eastAsia="IRNazanin"/>
          <w:color w:val="111111"/>
          <w:sz w:val="28"/>
          <w:sz w:val="28"/>
          <w:szCs w:val="28"/>
          <w:rtl w:val="true"/>
          <w:lang w:bidi="fa-IR"/>
        </w:rPr>
        <w:t>فیه</w:t>
      </w:r>
      <w:r>
        <w:rPr>
          <w:rStyle w:val="FootnoteAnchor"/>
          <w:rtl w:val="true"/>
        </w:rPr>
        <w:footnoteReference w:id="1577"/>
      </w:r>
      <w:r>
        <w:rPr>
          <w:rFonts w:ascii="IRNazanin" w:hAnsi="IRNazanin" w:eastAsia="IRNazanin"/>
          <w:color w:val="111111"/>
          <w:sz w:val="28"/>
          <w:sz w:val="28"/>
          <w:szCs w:val="28"/>
          <w:rtl w:val="true"/>
          <w:lang w:bidi="fa-IR"/>
        </w:rPr>
        <w:t>القبول، و یقبل الولیّ عن</w:t>
      </w:r>
      <w:r>
        <w:rPr>
          <w:rStyle w:val="FootnoteAnchor"/>
          <w:rtl w:val="true"/>
        </w:rPr>
        <w:footnoteReference w:id="1578"/>
      </w:r>
      <w:r>
        <w:rPr>
          <w:rFonts w:ascii="IRNazanin" w:hAnsi="IRNazanin" w:eastAsia="IRNazanin"/>
          <w:color w:val="111111"/>
          <w:sz w:val="28"/>
          <w:sz w:val="28"/>
          <w:szCs w:val="28"/>
          <w:rtl w:val="true"/>
          <w:lang w:bidi="fa-IR"/>
        </w:rPr>
        <w:t>المولّی علیه مع الغبطة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القبول فی الوقف علی الفقراء ؛ لعدم إمکان القبول، و لا علی الجهات العامّة، کالمساجد و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قبول الحاکم فیها، و یلوح من التذکرة اشتراطه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هذا للمسجد، قال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تملیک لا وقف</w:t>
      </w:r>
      <w:r>
        <w:rPr>
          <w:rStyle w:val="FootnoteAnchor"/>
          <w:rtl w:val="true"/>
        </w:rPr>
        <w:footnoteReference w:id="1580"/>
      </w:r>
      <w:r>
        <w:rPr>
          <w:rFonts w:ascii="IRNazanin" w:hAnsi="IRNazanin" w:eastAsia="IRNazanin"/>
          <w:color w:val="111111"/>
          <w:sz w:val="28"/>
          <w:sz w:val="28"/>
          <w:szCs w:val="28"/>
          <w:rtl w:val="true"/>
          <w:lang w:bidi="fa-IR"/>
        </w:rPr>
        <w:t>، فیشترط فیه</w:t>
      </w:r>
    </w:p>
    <w:p>
      <w:pPr>
        <w:pStyle w:val="BookText"/>
        <w:rPr/>
      </w:pPr>
      <w:r>
        <w:rPr>
          <w:rFonts w:ascii="IRNazanin" w:hAnsi="IRNazanin" w:eastAsia="IRNazanin"/>
          <w:color w:val="111111"/>
          <w:sz w:val="28"/>
          <w:sz w:val="28"/>
          <w:szCs w:val="28"/>
          <w:rtl w:val="true"/>
          <w:lang w:bidi="fa-IR"/>
        </w:rPr>
        <w:t>قبول القیّم و یصحّ، و کأ نّه أجراه مجری الوصیّة للمسجد، إلاّ أ نّه لا یشترط فی الوصیّة هنا</w:t>
      </w:r>
      <w:r>
        <w:rPr>
          <w:rStyle w:val="FootnoteAnchor"/>
          <w:rtl w:val="true"/>
        </w:rPr>
        <w:footnoteReference w:id="1581"/>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فلو علّق بشرط</w:t>
      </w:r>
      <w:r>
        <w:rPr>
          <w:rStyle w:val="FootnoteAnchor"/>
          <w:rtl w:val="true"/>
        </w:rPr>
        <w:footnoteReference w:id="1582"/>
      </w:r>
      <w:r>
        <w:rPr>
          <w:rFonts w:ascii="IRNazanin" w:hAnsi="IRNazanin" w:eastAsia="IRNazanin"/>
          <w:color w:val="111111"/>
          <w:sz w:val="28"/>
          <w:sz w:val="28"/>
          <w:szCs w:val="28"/>
          <w:rtl w:val="true"/>
          <w:lang w:bidi="fa-IR"/>
        </w:rPr>
        <w:t>أو وصف، بطل، إلاّ أن یکون واقعاً،</w:t>
      </w:r>
    </w:p>
    <w:p>
      <w:pPr>
        <w:pStyle w:val="BookText"/>
        <w:rPr/>
      </w:pPr>
      <w:r>
        <w:rPr>
          <w:rFonts w:ascii="IRNazanin" w:hAnsi="IRNazanin" w:eastAsia="IRNazanin"/>
          <w:color w:val="111111"/>
          <w:sz w:val="28"/>
          <w:sz w:val="28"/>
          <w:szCs w:val="28"/>
          <w:rtl w:val="true"/>
          <w:lang w:bidi="fa-IR"/>
        </w:rPr>
        <w:t xml:space="preserve">و الواقف عالم بوقوعه،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إن کان الیوم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فلو قرن</w:t>
      </w:r>
      <w:r>
        <w:rPr>
          <w:rStyle w:val="FootnoteAnchor"/>
          <w:rtl w:val="true"/>
        </w:rPr>
        <w:footnoteReference w:id="1583"/>
      </w:r>
      <w:r>
        <w:rPr>
          <w:rFonts w:ascii="IRNazanin" w:hAnsi="IRNazanin" w:eastAsia="IRNazanin"/>
          <w:color w:val="111111"/>
          <w:sz w:val="28"/>
          <w:sz w:val="28"/>
          <w:szCs w:val="28"/>
          <w:rtl w:val="true"/>
          <w:lang w:bidi="fa-IR"/>
        </w:rPr>
        <w:t>بمدّة، کان حبساً فیبطل بانقضائها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w:t>
      </w:r>
      <w:r>
        <w:rPr>
          <w:rStyle w:val="FootnoteAnchor"/>
          <w:rtl w:val="true"/>
        </w:rPr>
        <w:footnoteReference w:id="1584"/>
      </w:r>
      <w:r>
        <w:rPr>
          <w:rFonts w:ascii="IRNazanin" w:hAnsi="IRNazanin" w:eastAsia="IRNazanin"/>
          <w:color w:val="111111"/>
          <w:sz w:val="28"/>
          <w:sz w:val="28"/>
          <w:szCs w:val="28"/>
          <w:rtl w:val="true"/>
          <w:lang w:bidi="fa-IR"/>
        </w:rPr>
        <w:t>علی مَن ینقرض غالباً، جری علیه، فإن</w:t>
      </w:r>
      <w:r>
        <w:rPr>
          <w:rStyle w:val="FootnoteAnchor"/>
          <w:rtl w:val="true"/>
        </w:rPr>
        <w:footnoteReference w:id="1585"/>
      </w:r>
      <w:r>
        <w:rPr>
          <w:rFonts w:ascii="IRNazanin" w:hAnsi="IRNazanin" w:eastAsia="IRNazanin"/>
          <w:color w:val="111111"/>
          <w:sz w:val="28"/>
          <w:sz w:val="28"/>
          <w:szCs w:val="28"/>
          <w:rtl w:val="true"/>
          <w:lang w:bidi="fa-IR"/>
        </w:rPr>
        <w:t>لم ینقرض، استمرّ، و إن انقرض، قیل برجوعه إلی الواقف أو وارثه حین انقراض الموقوف علیه</w:t>
      </w:r>
      <w:r>
        <w:rPr>
          <w:rStyle w:val="FootnoteAnchor"/>
          <w:rtl w:val="true"/>
        </w:rPr>
        <w:footnoteReference w:id="1586"/>
      </w:r>
      <w:r>
        <w:rPr>
          <w:rFonts w:ascii="IRNazanin" w:hAnsi="IRNazanin" w:eastAsia="IRNazanin"/>
          <w:color w:val="111111"/>
          <w:sz w:val="28"/>
          <w:sz w:val="28"/>
          <w:szCs w:val="28"/>
          <w:rtl w:val="true"/>
          <w:lang w:bidi="fa-IR"/>
        </w:rPr>
        <w:t>، کالولاء، و یحتمل إلی وارثه حین موته و یسترسل فیه إلی أن یصادف الانقراض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لورثة الموقوف علیه</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فی وجوه البرّ</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علی أولادی و نسلهم، فإن مات الأولاد و لا نسل فعلی إخوتی، و إن انقرض النسل فعلی الفقراء،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إجراؤه علی شرطه ؛ لعموم قول </w:t>
      </w:r>
    </w:p>
    <w:p>
      <w:pPr>
        <w:pStyle w:val="BookText"/>
        <w:rPr/>
      </w:pPr>
      <w:r>
        <w:rPr>
          <w:rFonts w:ascii="IRNazanin" w:hAnsi="IRNazanin" w:eastAsia="IRNazanin"/>
          <w:color w:val="111111"/>
          <w:sz w:val="28"/>
          <w:sz w:val="28"/>
          <w:szCs w:val="28"/>
          <w:rtl w:val="true"/>
          <w:lang w:bidi="fa-IR"/>
        </w:rPr>
        <w:t xml:space="preserve">العسکریّ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یقفها أهلها</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احتمل بطلانه علی تقدیر انقراض النسل</w:t>
      </w:r>
      <w:r>
        <w:rPr>
          <w:rStyle w:val="FootnoteAnchor"/>
          <w:rtl w:val="true"/>
        </w:rPr>
        <w:footnoteReference w:id="1590"/>
      </w:r>
      <w:r>
        <w:rPr>
          <w:rFonts w:ascii="IRNazanin" w:hAnsi="IRNazanin" w:eastAsia="IRNazanin"/>
          <w:color w:val="111111"/>
          <w:sz w:val="28"/>
          <w:sz w:val="28"/>
          <w:szCs w:val="28"/>
          <w:rtl w:val="true"/>
          <w:lang w:bidi="fa-IR"/>
        </w:rPr>
        <w:t>؛ لأ نّه لم یعلم تأبیده حال</w:t>
      </w:r>
    </w:p>
    <w:p>
      <w:pPr>
        <w:pStyle w:val="BookText"/>
        <w:rPr/>
      </w:pPr>
      <w:r>
        <w:rPr>
          <w:rFonts w:ascii="IRNazanin" w:hAnsi="IRNazanin" w:eastAsia="IRNazanin"/>
          <w:color w:val="111111"/>
          <w:sz w:val="28"/>
          <w:sz w:val="28"/>
          <w:szCs w:val="28"/>
          <w:rtl w:val="true"/>
          <w:lang w:bidi="fa-IR"/>
        </w:rPr>
        <w:t>العقد، و هو بعید ؛ لأنّ المصحّح صرفه إلی جهة تؤبّده و إن لم تکن معلومة الوقوع، و من ثَمّ لو بقی النسل أبداً، صحّ الوقف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انقطع فی أوّله، کالوقف علی معدوم، ثمّ علی موجود، أو علی عبده، ثمّ علی المساکین، فالبطلان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انقطع فی وسطه، کالوقف علی زید، ثمّ علی عبده، ثمّ علی المساکین، احتمل الصحّة فی الطرفین، و صرف غلّته فی الوسط إلی الواقف أو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انقطع فی طرفیه، فهو کمنقطع الأوّل فی البطلان ؛ لأنّ انقطاع الأوّل کما یبطل الوقف فکذا یبطل الحبیس</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علی ابنیه، ثمّ علی الفقراء فمات أحدهما،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نصیبه إلی أخیه ؛ لأنّ شرط الصرف إلی الفقراء انقراضهما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جعله منقطع الوسط فیکون نصیب المیّت لأقرباء الواقف، و یمکن جعله للفقراء ؛ عملاً بالتوزیع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حبسه علی ابنیه، ثمّ مات أحدهما، احتمل صرف نصیبه إلی الحابس أو وارثه، و یحتمل صرفه إلی الآخر ؛ لأ نّه مصرف الحبس</w:t>
      </w:r>
      <w:r>
        <w:rPr>
          <w:rStyle w:val="FootnoteAnchor"/>
          <w:rtl w:val="true"/>
        </w:rPr>
        <w:footnoteReference w:id="1592"/>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وقفه علی ولده سنة، ثمّ علی الفقراء، أو مدّة حیاة الواقف علی ولده، </w:t>
      </w:r>
      <w:bookmarkStart w:id="222" w:name="pg13665_219219"/>
    </w:p>
    <w:p>
      <w:pPr>
        <w:pStyle w:val="BookText"/>
        <w:rPr/>
      </w:pPr>
      <w:bookmarkEnd w:id="222"/>
      <w:r>
        <w:rPr>
          <w:rFonts w:ascii="Amiri" w:hAnsi="Amiri" w:eastAsia="Amiri" w:cs="Amiri"/>
          <w:color w:val="111111"/>
          <w:sz w:val="28"/>
          <w:sz w:val="28"/>
          <w:szCs w:val="28"/>
          <w:rtl w:val="true"/>
          <w:lang w:bidi="ar-SA"/>
        </w:rPr>
        <w:t>ثمّ</w:t>
      </w:r>
      <w:r>
        <w:rPr>
          <w:rStyle w:val="FootnoteAnchor"/>
          <w:rtl w:val="true"/>
        </w:rPr>
        <w:footnoteReference w:id="1593"/>
      </w:r>
      <w:r>
        <w:rPr>
          <w:rFonts w:ascii="IRNazanin" w:hAnsi="IRNazanin" w:eastAsia="IRNazanin"/>
          <w:color w:val="111111"/>
          <w:sz w:val="28"/>
          <w:sz w:val="28"/>
          <w:szCs w:val="28"/>
          <w:rtl w:val="true"/>
          <w:lang w:bidi="fa-IR"/>
        </w:rPr>
        <w:t>الفقراء، صحّ، و نقل فیه الفاضل الإجماع</w:t>
      </w:r>
      <w:r>
        <w:rPr>
          <w:rStyle w:val="FootnoteAnchor"/>
          <w:rtl w:val="true"/>
        </w:rPr>
        <w:footnoteReference w:id="1594"/>
      </w:r>
      <w:r>
        <w:rPr>
          <w:rFonts w:ascii="IRNazanin" w:hAnsi="IRNazanin" w:eastAsia="IRNazanin"/>
          <w:color w:val="111111"/>
          <w:sz w:val="28"/>
          <w:sz w:val="28"/>
          <w:szCs w:val="28"/>
          <w:rtl w:val="true"/>
          <w:lang w:bidi="fa-IR"/>
        </w:rPr>
        <w:t>؛ لأ نّه وقف مؤبّد فی طرفیه و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أولاده، و شرط أن تکون غلّته العام الأوّل لزید، و الثانی لعمرو و هکذا، و بعدهم علی الفقراء، ففی العام الأوّل لعلمائهم، و فی الثانی لزهّادهم، و فی الثالث لشیوخهم، اُتّبع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ولده، فإذا انقرضوا و انقرض</w:t>
      </w:r>
      <w:r>
        <w:rPr>
          <w:rStyle w:val="FootnoteAnchor"/>
          <w:rtl w:val="true"/>
        </w:rPr>
        <w:footnoteReference w:id="1595"/>
      </w:r>
      <w:r>
        <w:rPr>
          <w:rFonts w:ascii="IRNazanin" w:hAnsi="IRNazanin" w:eastAsia="IRNazanin"/>
          <w:color w:val="111111"/>
          <w:sz w:val="28"/>
          <w:sz w:val="28"/>
          <w:szCs w:val="28"/>
          <w:rtl w:val="true"/>
          <w:lang w:bidi="fa-IR"/>
        </w:rPr>
        <w:t xml:space="preserve">أولادهم فعلی المساکین،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أولادهم فی الوقف، و النماء لأقرباء الواقف حتّی ینقرضوا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بدخولهم</w:t>
      </w:r>
      <w:r>
        <w:rPr>
          <w:rStyle w:val="FootnoteAnchor"/>
          <w:rtl w:val="true"/>
        </w:rPr>
        <w:footnoteReference w:id="1596"/>
      </w:r>
      <w:r>
        <w:rPr>
          <w:rFonts w:ascii="IRNazanin" w:hAnsi="IRNazanin" w:eastAsia="IRNazanin"/>
          <w:color w:val="111111"/>
          <w:sz w:val="28"/>
          <w:sz w:val="28"/>
          <w:szCs w:val="28"/>
          <w:rtl w:val="true"/>
          <w:lang w:bidi="fa-IR"/>
        </w:rPr>
        <w:t xml:space="preserve">، إمّا لشمول لفظ الولد للنافلة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المفید</w:t>
      </w:r>
      <w:r>
        <w:rPr>
          <w:rStyle w:val="FootnoteAnchor"/>
          <w:rtl w:val="true"/>
        </w:rPr>
        <w:footnoteReference w:id="1597"/>
      </w:r>
      <w:r>
        <w:rPr>
          <w:rFonts w:ascii="Amiri" w:hAnsi="Amiri" w:eastAsia="Amiri" w:cs="Amiri"/>
          <w:color w:val="111111"/>
          <w:sz w:val="28"/>
          <w:sz w:val="28"/>
          <w:szCs w:val="28"/>
          <w:rtl w:val="true"/>
          <w:lang w:bidi="ar-SA"/>
        </w:rPr>
        <w:t>و جماعة</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لقرینة الحال، و هو قویّ</w:t>
      </w:r>
      <w:r>
        <w:rPr>
          <w:rFonts w:eastAsia="IRNazanin" w:cs="IRNazanin"/>
          <w:color w:val="111111"/>
          <w:sz w:val="28"/>
          <w:szCs w:val="28"/>
          <w:rtl w:val="true"/>
          <w:lang w:bidi="fa-IR"/>
        </w:rPr>
        <w:t>.</w:t>
      </w:r>
    </w:p>
    <w:p>
      <w:pPr>
        <w:pStyle w:val="Heading3"/>
        <w:numPr>
          <w:ilvl w:val="2"/>
          <w:numId w:val="1"/>
        </w:numPr>
        <w:rPr/>
      </w:pPr>
      <w:bookmarkStart w:id="223" w:name="__RefHeading___Toc2071359_3830689328"/>
      <w:bookmarkStart w:id="224" w:name="_Toc74"/>
      <w:bookmarkEnd w:id="223"/>
      <w:r>
        <w:rPr>
          <w:rtl w:val="true"/>
        </w:rPr>
        <w:t xml:space="preserve">درس </w:t>
      </w:r>
      <w:r>
        <w:rPr>
          <w:rtl w:val="true"/>
        </w:rPr>
        <w:t>(</w:t>
      </w:r>
      <w:r>
        <w:rPr/>
        <w:t>169</w:t>
      </w:r>
      <w:r>
        <w:rPr>
          <w:rtl w:val="true"/>
        </w:rPr>
        <w:t>)</w:t>
      </w:r>
      <w:bookmarkEnd w:id="224"/>
    </w:p>
    <w:p>
      <w:p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الإقباض، فلو مات قبله، بطل، و قبض الواقف علی أطفاله کافٍ، و کذا الجدّ 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ابن الجنید البنت الأیّم بالطفل</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یقبض الحاکم فی الجهات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فی الوقف علی الفقراء و نحوهم من نصب قیّم،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w:t>
      </w:r>
    </w:p>
    <w:p>
      <w:pPr>
        <w:pStyle w:val="BookText"/>
        <w:rPr/>
      </w:pPr>
      <w:r>
        <w:rPr>
          <w:rFonts w:ascii="IRNazanin" w:hAnsi="IRNazanin" w:eastAsia="IRNazanin"/>
          <w:color w:val="111111"/>
          <w:sz w:val="28"/>
          <w:sz w:val="28"/>
          <w:szCs w:val="28"/>
          <w:rtl w:val="true"/>
          <w:lang w:bidi="fa-IR"/>
        </w:rPr>
        <w:t>لا یشترط فیه إذن الحاکم، فلو نصبه الواقف،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الواقف فقیراً، فالأقرب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دخوله فی الوقف، و حینئذٍ هل یجوز کونه قابضاً إمّا بإذن الحاکم أو لا بإذنه نظر ؟ </w:t>
      </w:r>
    </w:p>
    <w:p>
      <w:pPr>
        <w:pStyle w:val="BookText"/>
        <w:rPr/>
      </w:pPr>
      <w:r>
        <w:rPr>
          <w:rFonts w:ascii="IRNazanin" w:hAnsi="IRNazanin" w:eastAsia="IRNazanin"/>
          <w:color w:val="111111"/>
          <w:sz w:val="28"/>
          <w:sz w:val="28"/>
          <w:szCs w:val="28"/>
          <w:rtl w:val="true"/>
          <w:lang w:bidi="fa-IR"/>
        </w:rPr>
        <w:t>و لو کان للجهة ناظر شرعیّ، قبض بغیر 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القبض فی المسجد الصلاة، و فی المقبرة الدفن،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بقبض الحاکم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القبض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فیه من إذن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أشهد علی نفسه و مات قبل القبض و کان علی مسجد أو مصلحة، صحّ، و إن کان</w:t>
      </w:r>
    </w:p>
    <w:p>
      <w:pPr>
        <w:pStyle w:val="BookText"/>
        <w:rPr/>
      </w:pPr>
      <w:r>
        <w:rPr>
          <w:rFonts w:ascii="Amiri" w:hAnsi="Amiri" w:eastAsia="Amiri" w:cs="Amiri"/>
          <w:color w:val="111111"/>
          <w:sz w:val="28"/>
          <w:sz w:val="28"/>
          <w:szCs w:val="28"/>
          <w:rtl w:val="true"/>
          <w:lang w:bidi="ar-SA"/>
        </w:rPr>
        <w:t>علی مَن یصحّ قبضه أو قبض ولیّه، فهی وصیّة</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الواقف</w:t>
      </w:r>
    </w:p>
    <w:p>
      <w:pPr>
        <w:pStyle w:val="BookText"/>
        <w:rPr/>
      </w:pPr>
      <w:r>
        <w:rPr>
          <w:rFonts w:ascii="IRNazanin" w:hAnsi="IRNazanin" w:eastAsia="IRNazanin"/>
          <w:color w:val="111111"/>
          <w:sz w:val="28"/>
          <w:sz w:val="28"/>
          <w:szCs w:val="28"/>
          <w:rtl w:val="true"/>
          <w:lang w:bidi="fa-IR"/>
        </w:rPr>
        <w:t>النظر لنفسه مدّة حیاته، لم یشترط القبض</w:t>
      </w:r>
      <w:r>
        <w:rPr>
          <w:rStyle w:val="FootnoteAnchor"/>
          <w:rtl w:val="true"/>
        </w:rPr>
        <w:footnoteReference w:id="1601"/>
      </w:r>
      <w:r>
        <w:rPr>
          <w:rFonts w:ascii="IRNazanin" w:hAnsi="IRNazanin" w:eastAsia="IRNazanin"/>
          <w:color w:val="111111"/>
          <w:sz w:val="28"/>
          <w:sz w:val="28"/>
          <w:szCs w:val="28"/>
          <w:rtl w:val="true"/>
          <w:lang w:bidi="fa-IR"/>
        </w:rPr>
        <w:t>، و روایة عبید بن زرارة مصرّحة بأنّ الموت قبل القبض یبطله</w:t>
      </w:r>
      <w:r>
        <w:rPr>
          <w:rStyle w:val="FootnoteAnchor"/>
          <w:rtl w:val="true"/>
        </w:rPr>
        <w:footnoteReference w:id="1602"/>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الوقوف و الصدقات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شرط فی لزومه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 عن نفسه، فلو وقف علی نفسه، بطل، و لو عقّبها بالفقراء، فهو منقطع الابتداء، و لو وقف علی نفسه و الفقراء، احتمل صحّة النصف، و ثلاثة الأرباع</w:t>
      </w:r>
      <w:r>
        <w:rPr>
          <w:rStyle w:val="FootnoteAnchor"/>
          <w:rtl w:val="true"/>
        </w:rPr>
        <w:footnoteReference w:id="1603"/>
      </w:r>
      <w:r>
        <w:rPr>
          <w:rFonts w:ascii="IRNazanin" w:hAnsi="IRNazanin" w:eastAsia="IRNazanin"/>
          <w:color w:val="111111"/>
          <w:sz w:val="28"/>
          <w:sz w:val="28"/>
          <w:szCs w:val="28"/>
          <w:rtl w:val="true"/>
          <w:lang w:bidi="fa-IR"/>
        </w:rPr>
        <w:t>، و البطلان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قضاء دیونه منه أو إدرار نفقته،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شرط عوده إلیه عند حاجته، فالمرویّ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شرطه</w:t>
      </w:r>
      <w:r>
        <w:rPr>
          <w:rStyle w:val="FootnoteAnchor"/>
          <w:rtl w:val="true"/>
        </w:rPr>
        <w:footnoteReference w:id="1604"/>
      </w:r>
      <w:r>
        <w:rPr>
          <w:rStyle w:val="FootnoteAnchor"/>
          <w:rtl w:val="true"/>
        </w:rPr>
        <w:footnoteReference w:id="1605"/>
      </w:r>
      <w:r>
        <w:rPr>
          <w:rFonts w:ascii="IRNazanin" w:hAnsi="IRNazanin" w:eastAsia="IRNazanin"/>
          <w:color w:val="111111"/>
          <w:sz w:val="28"/>
          <w:sz w:val="28"/>
          <w:szCs w:val="28"/>
          <w:rtl w:val="true"/>
          <w:lang w:bidi="fa-IR"/>
        </w:rPr>
        <w:t>، فیحتمل</w:t>
      </w:r>
      <w:r>
        <w:rPr>
          <w:rStyle w:val="FootnoteAnchor"/>
          <w:rtl w:val="true"/>
        </w:rPr>
        <w:footnoteReference w:id="1606"/>
      </w:r>
      <w:r>
        <w:rPr>
          <w:rFonts w:ascii="IRNazanin" w:hAnsi="IRNazanin" w:eastAsia="IRNazanin"/>
          <w:color w:val="111111"/>
          <w:sz w:val="28"/>
          <w:sz w:val="28"/>
          <w:szCs w:val="28"/>
          <w:rtl w:val="true"/>
          <w:lang w:bidi="fa-IR"/>
        </w:rPr>
        <w:t>تفسیرها بقصور ماله عن سنة و عن یوم</w:t>
      </w:r>
      <w:r>
        <w:rPr>
          <w:rStyle w:val="FootnoteAnchor"/>
          <w:rtl w:val="true"/>
        </w:rPr>
        <w:footnoteReference w:id="1607"/>
      </w:r>
      <w:r>
        <w:rPr>
          <w:rFonts w:ascii="IRNazanin" w:hAnsi="IRNazanin" w:eastAsia="IRNazanin"/>
          <w:color w:val="111111"/>
          <w:sz w:val="28"/>
          <w:sz w:val="28"/>
          <w:szCs w:val="28"/>
          <w:rtl w:val="true"/>
          <w:lang w:bidi="fa-IR"/>
        </w:rPr>
        <w:t>، و بسؤال غیره، فلو احتاج، عاد،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مات قبله، ورث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أنّ له الخیار فی نقضه متی شاء أو فی مدّة معیّنة، بطل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علی قبیل هو</w:t>
      </w:r>
      <w:r>
        <w:rPr>
          <w:rStyle w:val="FootnoteAnchor"/>
          <w:rtl w:val="true"/>
        </w:rPr>
        <w:footnoteReference w:id="1608"/>
      </w:r>
      <w:r>
        <w:rPr>
          <w:rFonts w:ascii="IRNazanin" w:hAnsi="IRNazanin" w:eastAsia="IRNazanin"/>
          <w:color w:val="111111"/>
          <w:sz w:val="28"/>
          <w:sz w:val="28"/>
          <w:szCs w:val="28"/>
          <w:rtl w:val="true"/>
          <w:lang w:bidi="fa-IR"/>
        </w:rPr>
        <w:t xml:space="preserve">منهم،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یشارک، و أولی بالمشارکة ما إذا تجدّدت الصفة فیه، کما لو وقف غنیّ علی الفقراء ثمّ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أکل أهله منه، صحّ الشرط ؛ لأنّ النبیّ صلّی‌اللّه علیه و آله شرط ذلک فی وقفه</w:t>
      </w:r>
      <w:r>
        <w:rPr>
          <w:rStyle w:val="FootnoteAnchor"/>
          <w:rtl w:val="true"/>
        </w:rPr>
        <w:footnoteReference w:id="1609"/>
      </w:r>
      <w:r>
        <w:rPr>
          <w:rFonts w:ascii="IRNazanin" w:hAnsi="IRNazanin" w:eastAsia="IRNazanin"/>
          <w:color w:val="111111"/>
          <w:sz w:val="28"/>
          <w:sz w:val="28"/>
          <w:szCs w:val="28"/>
          <w:rtl w:val="true"/>
          <w:lang w:bidi="fa-IR"/>
        </w:rPr>
        <w:t>و شرطته فاطمة علیهاالسّلام</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کونهم واجبی النفقة، فتسقط</w:t>
      </w:r>
    </w:p>
    <w:p>
      <w:pPr>
        <w:pStyle w:val="BookText"/>
        <w:rPr/>
      </w:pPr>
      <w:r>
        <w:rPr>
          <w:rFonts w:ascii="IRNazanin" w:hAnsi="IRNazanin" w:eastAsia="IRNazanin"/>
          <w:color w:val="111111"/>
          <w:sz w:val="28"/>
          <w:sz w:val="28"/>
          <w:szCs w:val="28"/>
          <w:rtl w:val="true"/>
          <w:lang w:bidi="fa-IR"/>
        </w:rPr>
        <w:t>نفقتهم إن اکتفوا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أکل الزوجة ففیه نظر، من عود النفع إلیه، و من توهّم بقاء نفقتها، کما لو 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ابن الجنید اشتراط الواقف أکله منه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الوقف بعین معیّنة، فلو وقف منفعةً أو دیناً أو مبهماً، کعبد من عبیده،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 صحّة الانتفاع المحلّل باقیة، فلو وقف ما لا نفع فیه أو کان الانتفاع به محرّماً،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الانتفاع بها موقوفاً علی ذهاب العین، کالخبز</w:t>
      </w:r>
    </w:p>
    <w:p>
      <w:pPr>
        <w:pStyle w:val="BookText"/>
        <w:rPr/>
      </w:pPr>
      <w:r>
        <w:rPr>
          <w:rFonts w:ascii="IRNazanin" w:hAnsi="IRNazanin" w:eastAsia="IRNazanin"/>
          <w:color w:val="111111"/>
          <w:sz w:val="28"/>
          <w:sz w:val="28"/>
          <w:szCs w:val="28"/>
          <w:rtl w:val="true"/>
          <w:lang w:bidi="fa-IR"/>
        </w:rPr>
        <w:t>و 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دوام المنفعة بدوام العین حتّی لا یصحّ وقف الریاحین التی لا تبقی ؟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یشترط کون العین ممّا تبقی مؤبّداً، فیصحّ وقف العبد 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 صحّة التملّک بالنظر إلی الواقف، فیصحّ من الکافر وقف الخنزیر علی مثله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وقف الحرّ و لو أذن أو کان هو الواقف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الآبق و تعذّر تسلیمه، بطل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وقف أُمّ الولد،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 لتشبّثها بالحرّیّة، و وجه الصحّة بقاء الملک فیها، و تخیّل</w:t>
      </w:r>
      <w:r>
        <w:rPr>
          <w:rStyle w:val="FootnoteAnchor"/>
          <w:rtl w:val="true"/>
        </w:rPr>
        <w:footnoteReference w:id="1612"/>
      </w:r>
      <w:r>
        <w:rPr>
          <w:rFonts w:ascii="IRNazanin" w:hAnsi="IRNazanin" w:eastAsia="IRNazanin"/>
          <w:color w:val="111111"/>
          <w:sz w:val="28"/>
          <w:sz w:val="28"/>
          <w:szCs w:val="28"/>
          <w:rtl w:val="true"/>
          <w:lang w:bidi="fa-IR"/>
        </w:rPr>
        <w:t>أنّ الوقف لا ینتقل إلی ملک الموقوف علیه، و حینئذٍ لا یبطل حقّها من العتق بموت المولی، بل یجری علی الوقف إلی حین موته، و لو مات ولدها، تأبّد وقفها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وقف الدراهم و الدنانیر إن کان لها منفعة حکمیّة مع بقاء عینها، کالتحلّی</w:t>
      </w:r>
    </w:p>
    <w:p>
      <w:pPr>
        <w:pStyle w:val="BookText"/>
        <w:rPr/>
      </w:pPr>
      <w:r>
        <w:rPr>
          <w:rFonts w:ascii="IRNazanin" w:hAnsi="IRNazanin" w:eastAsia="IRNazanin"/>
          <w:color w:val="111111"/>
          <w:sz w:val="28"/>
          <w:sz w:val="28"/>
          <w:szCs w:val="28"/>
          <w:rtl w:val="true"/>
          <w:lang w:bidi="fa-IR"/>
        </w:rPr>
        <w:t>بها، و نقل فی المبسوط الإجماع علی المنع من وقفها إلاّ ممّن شذّ</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وقف المشاع جائز و قبضه بإذن الواقف و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هناک موقوف علیه،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أو صدقة موقوفة أو محرّمة و لم یعیّن مصرفها، بطل، قاله الشیخ</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للّه و لم یسمّ، صرف فی مستحقّی الزکاة</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کون الموقوف علیه موجوداً، فلو وقف علی معدوم،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شرّک بینه و بین الموجود، أمکن صرف النصف إلی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ممّن یصحّ تملّکه، فلو وقف علی الجماد أو الدابّة، بطل، و کذا لو وقف علی الملک أو الجنّ أو العبد و لو کان متشبّثاً بالحرّیّة ما لم یتحرّر منه شیء فیصحّ</w:t>
      </w:r>
    </w:p>
    <w:p>
      <w:pPr>
        <w:pStyle w:val="BookText"/>
        <w:rPr/>
      </w:pPr>
      <w:r>
        <w:rPr>
          <w:rFonts w:ascii="IRNazanin" w:hAnsi="IRNazanin" w:eastAsia="IRNazanin"/>
          <w:color w:val="111111"/>
          <w:sz w:val="28"/>
          <w:sz w:val="28"/>
          <w:szCs w:val="28"/>
          <w:rtl w:val="true"/>
          <w:lang w:bidi="fa-IR"/>
        </w:rPr>
        <w:t>فی قدره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وقف علی المساجد و المشاهد، صحّ ؛ لأ نّه فی الحقیقة وقف علی المسلمین و إن تخصّص ببعض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وقف علی الحمل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 لأ نّه لم یثبت تملّکه ابتداءاً إلاّ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القطع بحیاته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الفرق بین الوقف و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تسلّط</w:t>
      </w:r>
      <w:r>
        <w:rPr>
          <w:rStyle w:val="FootnoteAnchor"/>
          <w:rtl w:val="true"/>
        </w:rPr>
        <w:footnoteReference w:id="1616"/>
      </w:r>
      <w:r>
        <w:rPr>
          <w:rFonts w:ascii="IRNazanin" w:hAnsi="IRNazanin" w:eastAsia="IRNazanin"/>
          <w:color w:val="111111"/>
          <w:sz w:val="28"/>
          <w:sz w:val="28"/>
          <w:szCs w:val="28"/>
          <w:rtl w:val="true"/>
          <w:lang w:bidi="fa-IR"/>
        </w:rPr>
        <w:t>فی الحال و هی جائزة فی المستقبل، و هذا الشرط إنّما هو فی مصدر الوقف ابتداءاً لا فی دوامه، فإنّ الوقف علی الموجود و بعده علی مَن سیوجد جائز، و کذلک</w:t>
      </w:r>
      <w:r>
        <w:rPr>
          <w:rStyle w:val="FootnoteAnchor"/>
          <w:rtl w:val="true"/>
        </w:rPr>
        <w:footnoteReference w:id="1617"/>
      </w:r>
      <w:r>
        <w:rPr>
          <w:rFonts w:ascii="IRNazanin" w:hAnsi="IRNazanin" w:eastAsia="IRNazanin"/>
          <w:color w:val="111111"/>
          <w:sz w:val="28"/>
          <w:sz w:val="28"/>
          <w:szCs w:val="28"/>
          <w:rtl w:val="true"/>
          <w:lang w:bidi="fa-IR"/>
        </w:rPr>
        <w:t>القبض، و القبول شرط فی البطن الأوّل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معیّناً، فلو وقف علی رجل من بنی آدم أو علی أحد هذین أو أحد</w:t>
      </w:r>
    </w:p>
    <w:p>
      <w:pPr>
        <w:pStyle w:val="BookText"/>
        <w:rPr/>
      </w:pPr>
      <w:r>
        <w:rPr>
          <w:rFonts w:ascii="IRNazanin" w:hAnsi="IRNazanin" w:eastAsia="IRNazanin"/>
          <w:color w:val="111111"/>
          <w:sz w:val="28"/>
          <w:sz w:val="28"/>
          <w:szCs w:val="28"/>
          <w:rtl w:val="true"/>
          <w:lang w:bidi="fa-IR"/>
        </w:rPr>
        <w:t>المشهدین،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انحصاره ؛ لجواز الوقف علی الفقراء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قریش و تمیم، صحّ، و یصرف إلی مَن علم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ابن حمزة</w:t>
      </w:r>
      <w:r>
        <w:rPr>
          <w:rStyle w:val="FootnoteAnchor"/>
          <w:rtl w:val="true"/>
        </w:rPr>
        <w:footnoteReference w:id="1618"/>
      </w:r>
      <w:r>
        <w:rPr>
          <w:rFonts w:ascii="IRNazanin" w:hAnsi="IRNazanin" w:eastAsia="IRNazanin"/>
          <w:color w:val="111111"/>
          <w:sz w:val="28"/>
          <w:sz w:val="28"/>
          <w:szCs w:val="28"/>
          <w:rtl w:val="true"/>
          <w:lang w:bidi="fa-IR"/>
        </w:rPr>
        <w:t>، و نقله الشیخ فی المبسوط</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کونه ممّن یصحّ الوقف علیه، فلو وقف علی الزناة أو المحاربین،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وقف علی کتابة</w:t>
      </w:r>
      <w:r>
        <w:rPr>
          <w:rStyle w:val="FootnoteAnchor"/>
          <w:rtl w:val="true"/>
        </w:rPr>
        <w:footnoteReference w:id="1620"/>
      </w:r>
      <w:r>
        <w:rPr>
          <w:rFonts w:ascii="IRNazanin" w:hAnsi="IRNazanin" w:eastAsia="IRNazanin"/>
          <w:color w:val="111111"/>
          <w:sz w:val="28"/>
          <w:sz w:val="28"/>
          <w:szCs w:val="28"/>
          <w:rtl w:val="true"/>
          <w:lang w:bidi="fa-IR"/>
        </w:rPr>
        <w:t>التوراة و الإنجیل، أو علی عمارة بیعة أو کنیسة أو بیت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وقفه الذمّیّ، جاز ؛ لإقراره علی معتقده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الوقف علی بیت النار و الصنم و قرابین الشمس و الکواکب مع ظفر المسلمین به إلی مصرف سهم اللّه فی الغنائم</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 الفاضل الوقف علی بیت النار مطلقاً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وقف علی قوم عصاة و لم یقصد معونتهم علی المعصیة، صحّ</w:t>
      </w:r>
      <w:r>
        <w:rPr>
          <w:rFonts w:eastAsia="IRNazanin" w:cs="IRNazanin"/>
          <w:color w:val="111111"/>
          <w:sz w:val="28"/>
          <w:szCs w:val="28"/>
          <w:rtl w:val="true"/>
          <w:lang w:bidi="fa-IR"/>
        </w:rPr>
        <w:t xml:space="preserve">. </w:t>
      </w:r>
      <w:bookmarkStart w:id="225" w:name="pg13665_219224"/>
    </w:p>
    <w:p>
      <w:pPr>
        <w:pStyle w:val="Heading3"/>
        <w:numPr>
          <w:ilvl w:val="2"/>
          <w:numId w:val="1"/>
        </w:numPr>
        <w:rPr/>
      </w:pPr>
      <w:bookmarkStart w:id="226" w:name="__RefHeading___Toc2071361_3830689328"/>
      <w:bookmarkStart w:id="227" w:name="_Toc75"/>
      <w:bookmarkEnd w:id="225"/>
      <w:bookmarkEnd w:id="226"/>
      <w:r>
        <w:rPr>
          <w:rtl w:val="true"/>
        </w:rPr>
        <w:t xml:space="preserve">درس </w:t>
      </w:r>
      <w:r>
        <w:rPr>
          <w:rtl w:val="true"/>
        </w:rPr>
        <w:t>(</w:t>
      </w:r>
      <w:r>
        <w:rPr/>
        <w:t>170</w:t>
      </w:r>
      <w:r>
        <w:rPr>
          <w:rtl w:val="true"/>
        </w:rPr>
        <w:t>)</w:t>
      </w:r>
      <w:bookmarkEnd w:id="227"/>
    </w:p>
    <w:p>
      <w:pPr>
        <w:pStyle w:val="BookText"/>
        <w:rPr/>
      </w:pPr>
      <w:r>
        <w:rPr>
          <w:rFonts w:ascii="IRNazanin" w:hAnsi="IRNazanin" w:eastAsia="IRNazanin"/>
          <w:color w:val="111111"/>
          <w:sz w:val="28"/>
          <w:sz w:val="28"/>
          <w:szCs w:val="28"/>
          <w:rtl w:val="true"/>
          <w:lang w:bidi="fa-IR"/>
        </w:rPr>
        <w:t>یجب اتّباع شرط الواقف إذا کان سائغاً، فلو شرط النظر لنفسه أو لغیره، صحّ و لا یجب علی الغیر القبول، و لو قبل، لم یجب علیه الاستمرار ؛ لأ نّه فی معنی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أنّ الولایة لغیره، لم ینفذ إقراره و تضمّن انعزاله، فإذا بطل نظره، فالحاکم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یصیر کالوقف المطلق فی أنّ نظره إلی الموقوف علیه، و فی</w:t>
      </w:r>
    </w:p>
    <w:p>
      <w:pPr>
        <w:pStyle w:val="BookText"/>
        <w:rPr/>
      </w:pPr>
      <w:r>
        <w:rPr>
          <w:rFonts w:ascii="IRNazanin" w:hAnsi="IRNazanin" w:eastAsia="IRNazanin"/>
          <w:color w:val="111111"/>
          <w:sz w:val="28"/>
          <w:sz w:val="28"/>
          <w:szCs w:val="28"/>
          <w:rtl w:val="true"/>
          <w:lang w:bidi="fa-IR"/>
        </w:rPr>
        <w:t>الجهات العامّة الحاکم، و احتمل بعضهم أن یکون النظر للحاکم عند الإطلاق فی الوقوف کلّها</w:t>
      </w:r>
      <w:r>
        <w:rPr>
          <w:rStyle w:val="FootnoteAnchor"/>
          <w:rtl w:val="true"/>
        </w:rPr>
        <w:footnoteReference w:id="1623"/>
      </w:r>
      <w:r>
        <w:rPr>
          <w:rFonts w:ascii="IRNazanin" w:hAnsi="IRNazanin" w:eastAsia="IRNazanin"/>
          <w:color w:val="111111"/>
          <w:sz w:val="28"/>
          <w:sz w:val="28"/>
          <w:szCs w:val="28"/>
          <w:rtl w:val="true"/>
          <w:lang w:bidi="fa-IR"/>
        </w:rPr>
        <w:t>؛ لتعلّق حقّ البطون المتعاقبة به، و أن یکون للواقف ؛ لأنّ النظر و الملک کانا له، فإذا زال أحدهما بقی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الناظر العدالة، فإن فسق، 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دخول ولده المتجدّد مع الموقوف علیهم و اتّصافهم بصفة کالعلم أو تفاوتهم فی النصیب،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شرط نقله عن الموقوف علیهم إلی من سیوجد،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إدخال غیرهم معهم و إن کانوا أطفاله علی الأصحّ، و لا إخراج من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شرطه فی العقد،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أنّ له کلّ ما شرطه الواقفون فی وقفهم أو سیشرطونه</w:t>
      </w:r>
      <w:r>
        <w:rPr>
          <w:rStyle w:val="FootnoteAnchor"/>
          <w:rtl w:val="true"/>
        </w:rPr>
        <w:footnoteReference w:id="1624"/>
      </w:r>
      <w:r>
        <w:rPr>
          <w:rFonts w:ascii="Amiri" w:hAnsi="Amiri" w:eastAsia="Amiri" w:cs="Amiri"/>
          <w:color w:val="111111"/>
          <w:sz w:val="28"/>
          <w:sz w:val="28"/>
          <w:szCs w:val="28"/>
          <w:rtl w:val="true"/>
          <w:lang w:bidi="ar-SA"/>
        </w:rPr>
        <w:t xml:space="preserve">، بطل ؛ للجهالة، و 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w:t>
      </w:r>
      <w:r>
        <w:rPr>
          <w:rStyle w:val="FootnoteAnchor"/>
          <w:rtl w:val="true"/>
        </w:rPr>
        <w:footnoteReference w:id="1625"/>
      </w:r>
      <w:r>
        <w:rPr>
          <w:rFonts w:ascii="IRNazanin" w:hAnsi="IRNazanin" w:eastAsia="IRNazanin"/>
          <w:color w:val="111111"/>
          <w:sz w:val="28"/>
          <w:sz w:val="28"/>
          <w:szCs w:val="28"/>
          <w:rtl w:val="true"/>
          <w:lang w:bidi="fa-IR"/>
        </w:rPr>
        <w:t>، و کأ نّه یحمله علی الشروط السائغة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بأسرها، و لو أ نّه صرّح بذلک،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 لعدم انحصارها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أن لا یؤجر من متغلّب أو مماطل، أو لا یؤجر أزید من عام مثلاً، أو لا یوقع علیه عقد حتّی تنقضی مدّة الأوّل، أو لا یسلّم حتّی یقبض الأُجرة و نحو ذلک، اُتّبع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بیعه متی شاء أوهبته أو نقله بوجه من وجوه التملیک،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الوقف علی المسلمن یتناول مَن اعتقد الصلاة إلی القبلة و إن لم یصلّ لا مستحلاًّ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المفید اشتراط فعل الصلاة</w:t>
      </w:r>
      <w:r>
        <w:rPr>
          <w:rStyle w:val="FootnoteAnchor"/>
          <w:rtl w:val="true"/>
        </w:rPr>
        <w:footnoteReference w:id="1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الحلبیّ فی ظاهر کلامه غیر المؤمن</w:t>
      </w:r>
      <w:r>
        <w:rPr>
          <w:rStyle w:val="FootnoteAnchor"/>
          <w:rtl w:val="true"/>
        </w:rPr>
        <w:footnoteReference w:id="1627"/>
      </w:r>
      <w:r>
        <w:rPr>
          <w:rFonts w:ascii="IRNazanin" w:hAnsi="IRNazanin" w:eastAsia="IRNazanin"/>
          <w:color w:val="111111"/>
          <w:sz w:val="28"/>
          <w:sz w:val="28"/>
          <w:szCs w:val="28"/>
          <w:rtl w:val="true"/>
          <w:lang w:bidi="fa-IR"/>
        </w:rPr>
        <w:t>، و به صرّح ابن إدریس</w:t>
      </w:r>
      <w:r>
        <w:rPr>
          <w:rStyle w:val="FootnoteAnchor"/>
          <w:rtl w:val="true"/>
        </w:rPr>
        <w:footnoteReference w:id="1628"/>
      </w:r>
      <w:r>
        <w:rPr>
          <w:rFonts w:ascii="IRNazanin" w:hAnsi="IRNazanin" w:eastAsia="IRNazanin"/>
          <w:color w:val="111111"/>
          <w:sz w:val="28"/>
          <w:sz w:val="28"/>
          <w:szCs w:val="28"/>
          <w:rtl w:val="true"/>
          <w:lang w:bidi="fa-IR"/>
        </w:rPr>
        <w:t>؛ لقرینة الحال إذا کان الواقف مؤمناً</w:t>
      </w:r>
    </w:p>
    <w:p>
      <w:pPr>
        <w:pStyle w:val="BookText"/>
        <w:rPr/>
      </w:pPr>
      <w:r>
        <w:rPr>
          <w:rFonts w:ascii="Amiri" w:hAnsi="Amiri" w:eastAsia="Amiri" w:cs="Amiri"/>
          <w:color w:val="111111"/>
          <w:sz w:val="28"/>
          <w:sz w:val="28"/>
          <w:szCs w:val="28"/>
          <w:rtl w:val="true"/>
          <w:lang w:bidi="ar-SA"/>
        </w:rPr>
        <w:t>محقّاً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الغلاة و الخوارج و النواصب فیخرجون، إلاّ أن یکون الواقف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المجبّرة و المشبّهة أیضاً</w:t>
      </w:r>
      <w:r>
        <w:rPr>
          <w:rStyle w:val="FootnoteAnchor"/>
          <w:rtl w:val="true"/>
        </w:rPr>
        <w:footnoteReference w:id="1629"/>
      </w:r>
      <w:r>
        <w:rPr>
          <w:rFonts w:ascii="IRNazanin" w:hAnsi="IRNazanin" w:eastAsia="IRNazanin"/>
          <w:color w:val="111111"/>
          <w:sz w:val="28"/>
          <w:sz w:val="28"/>
          <w:szCs w:val="28"/>
          <w:rtl w:val="true"/>
          <w:lang w:bidi="fa-IR"/>
        </w:rPr>
        <w:t>، و الرجوع إلی اعتقاد الواقف قویّ، و إن کان خالیاً عن الاعتقاد، بنی علی تحقّق</w:t>
      </w:r>
      <w:r>
        <w:rPr>
          <w:rStyle w:val="FootnoteAnchor"/>
          <w:rtl w:val="true"/>
        </w:rPr>
        <w:footnoteReference w:id="1630"/>
      </w:r>
      <w:r>
        <w:rPr>
          <w:rFonts w:ascii="IRNazanin" w:hAnsi="IRNazanin" w:eastAsia="IRNazanin"/>
          <w:color w:val="111111"/>
          <w:sz w:val="28"/>
          <w:sz w:val="28"/>
          <w:szCs w:val="28"/>
          <w:rtl w:val="true"/>
          <w:lang w:bidi="fa-IR"/>
        </w:rPr>
        <w:t>الإسلام و الکفر و هو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الطفل و المجنون اللذان بحکم المسلم، و الذکور و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الإمامیّة واحد، و هم القائلون بإمامة الاثنی عشر و عصمتهم علیهم‌السّلام و المعتقدون لها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اجتناب الکبائر</w:t>
      </w:r>
      <w:r>
        <w:rPr>
          <w:rStyle w:val="FootnoteAnchor"/>
          <w:rtl w:val="true"/>
        </w:rPr>
        <w:footnoteReference w:id="1631"/>
      </w:r>
      <w:r>
        <w:rPr>
          <w:rFonts w:ascii="IRNazanin" w:hAnsi="IRNazanin" w:eastAsia="IRNazanin"/>
          <w:color w:val="111111"/>
          <w:sz w:val="28"/>
          <w:sz w:val="28"/>
          <w:szCs w:val="28"/>
          <w:rtl w:val="true"/>
          <w:lang w:bidi="fa-IR"/>
        </w:rPr>
        <w:t>، و هو مبنیّ علی أنّ العمل ثلث الإیمان، کما هو مأثور عن السلف و مرویّ فی الأخبار</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شایع علیّاً علیه‌السّلام فی الإمامة بغیر فصل، و قد جعلهم ابن نوبخت هم المسلمین، و کمل منهم الفرق الثلاث و السبعین</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إدریس صرفه إلی قبیل الواقف ؛ لقرینة الحال</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زید بن علیّ علیه‌السّلام</w:t>
      </w:r>
      <w:r>
        <w:rPr>
          <w:rStyle w:val="FootnoteAnchor"/>
          <w:rtl w:val="true"/>
        </w:rPr>
        <w:footnoteReference w:id="1635"/>
      </w:r>
      <w:r>
        <w:rPr>
          <w:rFonts w:ascii="IRNazanin" w:hAnsi="IRNazanin" w:eastAsia="IRNazanin"/>
          <w:color w:val="111111"/>
          <w:sz w:val="28"/>
          <w:sz w:val="28"/>
          <w:szCs w:val="28"/>
          <w:rtl w:val="true"/>
          <w:lang w:bidi="fa-IR"/>
        </w:rPr>
        <w:t>، و لو عنی به النسب، فمن یمتّ</w:t>
      </w:r>
      <w:r>
        <w:rPr>
          <w:rStyle w:val="FootnoteAnchor"/>
          <w:rtl w:val="true"/>
        </w:rPr>
        <w:footnoteReference w:id="163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الشافعیّة و شبههم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بذلک الرأی، فلا یحلّ نماء الوقف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المنسوبون إلی أب، کالهاشمیّة و العلویّة یشترط فیهم وصلتهم بالأب، فیسقط المتّصل بالأُمّ وحدها علی الأقرب، و یدخل الذکور و الإناث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یلی دار الواقف إلی أربعین ذراعاً،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Style w:val="FootnoteAnchor"/>
          <w:rtl w:val="true"/>
        </w:rPr>
        <w:footnoteReference w:id="1637"/>
      </w:r>
      <w:r>
        <w:rPr>
          <w:rFonts w:ascii="Amiri" w:hAnsi="Amiri" w:eastAsia="Amiri" w:cs="Amiri"/>
          <w:color w:val="111111"/>
          <w:sz w:val="28"/>
          <w:sz w:val="28"/>
          <w:szCs w:val="28"/>
          <w:rtl w:val="true"/>
          <w:lang w:bidi="ar-SA"/>
        </w:rPr>
        <w:t>داراً</w:t>
      </w:r>
      <w:r>
        <w:rPr>
          <w:rStyle w:val="FootnoteAnchor"/>
          <w:rtl w:val="true"/>
        </w:rPr>
        <w:footnoteReference w:id="1638"/>
      </w:r>
      <w:r>
        <w:rPr>
          <w:rFonts w:ascii="IRNazanin" w:hAnsi="IRNazanin" w:eastAsia="IRNazanin"/>
          <w:color w:val="111111"/>
          <w:sz w:val="28"/>
          <w:sz w:val="28"/>
          <w:szCs w:val="28"/>
          <w:rtl w:val="true"/>
          <w:lang w:bidi="fa-IR"/>
        </w:rPr>
        <w:t>، و جمع بینهما الراوندیّ بصغر الدور</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دخول مَن هو علی رأس الأربعین</w:t>
      </w:r>
    </w:p>
    <w:p>
      <w:pPr>
        <w:pStyle w:val="BookText"/>
        <w:rPr/>
      </w:pPr>
      <w:r>
        <w:rPr>
          <w:rFonts w:ascii="IRNazanin" w:hAnsi="IRNazanin" w:eastAsia="IRNazanin"/>
          <w:color w:val="111111"/>
          <w:sz w:val="28"/>
          <w:sz w:val="28"/>
          <w:szCs w:val="28"/>
          <w:rtl w:val="true"/>
          <w:lang w:bidi="fa-IR"/>
        </w:rPr>
        <w:t>تردّد، مبنیّ علی دخول المغیّا، و صرّح القاضی بدخوله</w:t>
      </w:r>
      <w:r>
        <w:rPr>
          <w:rStyle w:val="FootnoteAnchor"/>
          <w:rtl w:val="true"/>
        </w:rPr>
        <w:footnoteReference w:id="1640"/>
      </w:r>
      <w:r>
        <w:rPr>
          <w:rFonts w:ascii="Amiri" w:hAnsi="Amiri" w:eastAsia="Amiri" w:cs="Amiri"/>
          <w:color w:val="111111"/>
          <w:sz w:val="28"/>
          <w:sz w:val="28"/>
          <w:szCs w:val="28"/>
          <w:rtl w:val="true"/>
          <w:lang w:bidi="ar-SA"/>
        </w:rPr>
        <w:t>، و هو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الذرّیّة و الخاصّ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الذرّیّة لا غیر</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الأخصّ من قرابته، و هم أخصّ من العشیرة و أعمّ من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نسباً</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 xml:space="preserve">. </w:t>
      </w:r>
      <w:bookmarkStart w:id="228" w:name="pg13665_219227"/>
    </w:p>
    <w:p>
      <w:pPr>
        <w:pStyle w:val="BookText"/>
        <w:rPr/>
      </w:pPr>
      <w:bookmarkEnd w:id="228"/>
      <w:r>
        <w:rPr>
          <w:rFonts w:ascii="IRNazanin" w:hAnsi="IRNazanin" w:eastAsia="IRNazanin"/>
          <w:color w:val="111111"/>
          <w:sz w:val="28"/>
          <w:sz w:val="28"/>
          <w:szCs w:val="28"/>
          <w:rtl w:val="true"/>
          <w:lang w:bidi="fa-IR"/>
        </w:rPr>
        <w:t xml:space="preserve">و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لغة الواقف من الذکور خاصّة عندهما</w:t>
      </w:r>
      <w:r>
        <w:rPr>
          <w:rStyle w:val="FootnoteAnchor"/>
          <w:rtl w:val="true"/>
        </w:rPr>
        <w:footnoteReference w:id="1643"/>
      </w:r>
      <w:r>
        <w:rPr>
          <w:rFonts w:ascii="Amiri" w:hAnsi="Amiri" w:eastAsia="Amiri" w:cs="Amiri"/>
          <w:color w:val="111111"/>
          <w:sz w:val="28"/>
          <w:sz w:val="28"/>
          <w:szCs w:val="28"/>
          <w:rtl w:val="true"/>
          <w:lang w:bidi="ar-SA"/>
        </w:rPr>
        <w:t>، و سلاّر لم یخصّ الذکور</w:t>
      </w:r>
      <w:r>
        <w:rPr>
          <w:rStyle w:val="FootnoteAnchor"/>
          <w:rtl w:val="true"/>
        </w:rPr>
        <w:footnoteReference w:id="1644"/>
      </w:r>
      <w:r>
        <w:rPr>
          <w:rFonts w:ascii="IRNazanin" w:hAnsi="IRNazanin" w:eastAsia="IRNazanin"/>
          <w:color w:val="111111"/>
          <w:sz w:val="28"/>
          <w:sz w:val="28"/>
          <w:szCs w:val="28"/>
          <w:rtl w:val="true"/>
          <w:lang w:bidi="fa-IR"/>
        </w:rPr>
        <w:t xml:space="preserve">، 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Style w:val="FootnoteAnchor"/>
          <w:rtl w:val="true"/>
        </w:rPr>
        <w:footnoteReference w:id="1645"/>
      </w:r>
      <w:r>
        <w:rPr>
          <w:rFonts w:ascii="IRNazanin" w:hAnsi="IRNazanin" w:eastAsia="IRNazanin"/>
          <w:color w:val="111111"/>
          <w:sz w:val="28"/>
          <w:sz w:val="28"/>
          <w:szCs w:val="28"/>
          <w:rtl w:val="true"/>
          <w:lang w:bidi="fa-IR"/>
        </w:rPr>
        <w:t>ذکور أهله و عشیرته</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الجهاد</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فی مطّوّعة الغزاة و فی الحجّ و العمرة</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الغزاة و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سبیل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و المساکین و یبدأ بأقاربه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سبیل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و المساکین و ابن السبیل و الغارمون لمصلحتهم و المکاتبون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بتداخلها، لکان قویّاً</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 إلاّ مع معرفة قصد الواقف</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071363_3830689328"/>
      <w:bookmarkStart w:id="230" w:name="_Toc76"/>
      <w:bookmarkEnd w:id="229"/>
      <w:r>
        <w:rPr>
          <w:rtl w:val="true"/>
        </w:rPr>
        <w:t xml:space="preserve">درس </w:t>
      </w:r>
      <w:r>
        <w:rPr>
          <w:rtl w:val="true"/>
        </w:rPr>
        <w:t>(</w:t>
      </w:r>
      <w:r>
        <w:rPr/>
        <w:t>171</w:t>
      </w:r>
      <w:r>
        <w:rPr>
          <w:rtl w:val="true"/>
        </w:rPr>
        <w:t>)</w:t>
      </w:r>
      <w:bookmarkEnd w:id="230"/>
    </w:p>
    <w:p>
      <w:pPr>
        <w:pStyle w:val="BookText"/>
        <w:rPr/>
      </w:pPr>
      <w:r>
        <w:rPr>
          <w:rFonts w:ascii="IRNazanin" w:hAnsi="IRNazanin" w:eastAsia="IRNazanin"/>
          <w:color w:val="111111"/>
          <w:sz w:val="28"/>
          <w:sz w:val="28"/>
          <w:szCs w:val="28"/>
          <w:rtl w:val="true"/>
          <w:lang w:bidi="fa-IR"/>
        </w:rPr>
        <w:t>لو جعل مال الوقف بعد أولاده أو غیرهم إلی الفقراء،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به فقراء أقاربه، فإن فقدوا فغیرهم</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الأفضلیّة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وقف علی موالیه و کان له أحد المعنیین، صرف إلیه، و إن</w:t>
      </w:r>
      <w:r>
        <w:rPr>
          <w:rStyle w:val="FootnoteAnchor"/>
          <w:rtl w:val="true"/>
        </w:rPr>
        <w:footnoteReference w:id="1651"/>
      </w:r>
      <w:r>
        <w:rPr>
          <w:rFonts w:ascii="IRNazanin" w:hAnsi="IRNazanin" w:eastAsia="IRNazanin"/>
          <w:color w:val="111111"/>
          <w:sz w:val="28"/>
          <w:sz w:val="28"/>
          <w:szCs w:val="28"/>
          <w:rtl w:val="true"/>
          <w:lang w:bidi="fa-IR"/>
        </w:rPr>
        <w:t xml:space="preserve">اجتمعا،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w:t>
      </w:r>
      <w:r>
        <w:rPr>
          <w:rStyle w:val="FootnoteAnchor"/>
          <w:rtl w:val="true"/>
        </w:rPr>
        <w:footnoteReference w:id="1652"/>
      </w:r>
      <w:r>
        <w:rPr>
          <w:rFonts w:ascii="IRNazanin" w:hAnsi="IRNazanin" w:eastAsia="IRNazanin"/>
          <w:color w:val="111111"/>
          <w:sz w:val="28"/>
          <w:sz w:val="28"/>
          <w:szCs w:val="28"/>
          <w:rtl w:val="true"/>
          <w:lang w:bidi="fa-IR"/>
        </w:rPr>
        <w:t xml:space="preserve">؛ بناءاً علی منع إعمال المشترک فی معنییه، </w:t>
      </w:r>
    </w:p>
    <w:p>
      <w:pPr>
        <w:pStyle w:val="BookText"/>
        <w:rPr/>
      </w:pPr>
      <w:r>
        <w:rPr>
          <w:rFonts w:ascii="IRNazanin" w:hAnsi="IRNazanin" w:eastAsia="IRNazanin"/>
          <w:color w:val="111111"/>
          <w:sz w:val="28"/>
          <w:sz w:val="28"/>
          <w:szCs w:val="28"/>
          <w:rtl w:val="true"/>
          <w:lang w:bidi="fa-IR"/>
        </w:rPr>
        <w:t>و لو کان بلفظ المفرد، فوجهان مرتّبان، و أولی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علی مستحقّی</w:t>
      </w:r>
      <w:r>
        <w:rPr>
          <w:rStyle w:val="FootnoteAnchor"/>
          <w:rtl w:val="true"/>
        </w:rPr>
        <w:footnoteReference w:id="1653"/>
      </w:r>
      <w:r>
        <w:rPr>
          <w:rFonts w:ascii="IRNazanin" w:hAnsi="IRNazanin" w:eastAsia="IRNazanin"/>
          <w:color w:val="111111"/>
          <w:sz w:val="28"/>
          <w:sz w:val="28"/>
          <w:szCs w:val="28"/>
          <w:rtl w:val="true"/>
          <w:lang w:bidi="fa-IR"/>
        </w:rPr>
        <w:t>الخمس فهم بنوهاشم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 أبی طالب، و العبّاس</w:t>
      </w:r>
      <w:r>
        <w:rPr>
          <w:rStyle w:val="FootnoteAnchor"/>
          <w:rtl w:val="true"/>
        </w:rPr>
        <w:footnoteReference w:id="1654"/>
      </w:r>
      <w:r>
        <w:rPr>
          <w:rFonts w:ascii="IRNazanin" w:hAnsi="IRNazanin" w:eastAsia="IRNazanin"/>
          <w:color w:val="111111"/>
          <w:sz w:val="28"/>
          <w:sz w:val="28"/>
          <w:szCs w:val="28"/>
          <w:rtl w:val="true"/>
          <w:lang w:bidi="fa-IR"/>
        </w:rPr>
        <w:t>، و لم نقف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أنساله أولاد البنین و البنات، و الذکر کالأُنثی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کالمیراث</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انتسب إلیّ، اشترط فیه الاتّصال بالذکور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الأقرب إلیه، نزل</w:t>
      </w:r>
      <w:r>
        <w:rPr>
          <w:rStyle w:val="FootnoteAnchor"/>
          <w:rtl w:val="true"/>
        </w:rPr>
        <w:footnoteReference w:id="1656"/>
      </w:r>
      <w:r>
        <w:rPr>
          <w:rFonts w:ascii="IRNazanin" w:hAnsi="IRNazanin" w:eastAsia="IRNazanin"/>
          <w:color w:val="111111"/>
          <w:sz w:val="28"/>
          <w:sz w:val="28"/>
          <w:szCs w:val="28"/>
          <w:rtl w:val="true"/>
          <w:lang w:bidi="fa-IR"/>
        </w:rPr>
        <w:t>علی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وقف علی أولاده، ثمّ الأقرب إلیه فاجتمع إخوة متفرّقون بعد أولاده،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به الأشقّاء</w:t>
      </w:r>
      <w:r>
        <w:rPr>
          <w:rStyle w:val="FootnoteAnchor"/>
          <w:rtl w:val="true"/>
        </w:rPr>
        <w:footnoteReference w:id="1657"/>
      </w:r>
      <w:r>
        <w:rPr>
          <w:rFonts w:ascii="IRNazanin" w:hAnsi="IRNazanin" w:eastAsia="IRNazanin"/>
          <w:color w:val="111111"/>
          <w:sz w:val="28"/>
          <w:sz w:val="28"/>
          <w:szCs w:val="28"/>
          <w:rtl w:val="true"/>
          <w:lang w:bidi="fa-IR"/>
        </w:rPr>
        <w:t>، و یحتمل خروج کلالة الأب</w:t>
      </w:r>
    </w:p>
    <w:p>
      <w:pPr>
        <w:pStyle w:val="BookText"/>
        <w:rPr/>
      </w:pPr>
      <w:r>
        <w:rPr>
          <w:rFonts w:ascii="IRNazanin" w:hAnsi="IRNazanin" w:eastAsia="IRNazanin"/>
          <w:color w:val="111111"/>
          <w:sz w:val="28"/>
          <w:sz w:val="28"/>
          <w:szCs w:val="28"/>
          <w:rtl w:val="true"/>
          <w:lang w:bidi="fa-IR"/>
        </w:rPr>
        <w:t>خاصّة، کالمیراث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المسلم علی الفقراء، فهو لفقراء المسلمین، و الکافر لفقراء نحلته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یفرّق فی فقراء بلد الوقف و مَن حضره، و لا یجب تتبّع الغائب، و لو تتبّعه، جاز، و لا ضمان فی الأقرب، بخلاف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الفقراء فیها لبیان المصرف بخلاف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یجزئ أقلّ من ثلاثة ؛ مراعاةً لأقلّ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التسویة، بخلاف المنحصرین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وقف المسلم علی الکافر أقوال</w:t>
      </w:r>
      <w:r>
        <w:rPr>
          <w:rStyle w:val="FootnoteAnchor"/>
          <w:rtl w:val="true"/>
        </w:rPr>
        <w:footnoteReference w:id="16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الجواز مطلقاً، حکاه فی المبسوط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الجواهر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الحدائق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کما أشار المصنّف إلی بعض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القائلین به المحقّق فی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علی الذمّیّ، رحماً کان</w:t>
      </w:r>
    </w:p>
    <w:p>
      <w:pPr>
        <w:pStyle w:val="BookText"/>
        <w:rPr/>
      </w:pPr>
      <w:r>
        <w:rPr>
          <w:rFonts w:ascii="IRNazanin" w:hAnsi="IRNazanin" w:eastAsia="IRNazanin"/>
          <w:color w:val="111111"/>
          <w:sz w:val="28"/>
          <w:sz w:val="28"/>
          <w:szCs w:val="28"/>
          <w:rtl w:val="true"/>
          <w:lang w:bidi="fa-IR"/>
        </w:rPr>
        <w:t>أو لا، و خصّه الشیخان بالرحم</w:t>
      </w:r>
      <w:r>
        <w:rPr>
          <w:rStyle w:val="FootnoteAnchor"/>
          <w:rtl w:val="true"/>
        </w:rPr>
        <w:footnoteReference w:id="1659"/>
      </w:r>
      <w:r>
        <w:rPr>
          <w:rFonts w:ascii="IRNazanin" w:hAnsi="IRNazanin" w:eastAsia="IRNazanin"/>
          <w:color w:val="111111"/>
          <w:sz w:val="28"/>
          <w:sz w:val="28"/>
          <w:szCs w:val="28"/>
          <w:rtl w:val="true"/>
          <w:lang w:bidi="fa-IR"/>
        </w:rPr>
        <w:t>، و ربّما خصّه ابن إدریس بالوالدین</w:t>
      </w:r>
      <w:r>
        <w:rPr>
          <w:rStyle w:val="FootnoteAnchor"/>
          <w:rtl w:val="true"/>
        </w:rPr>
        <w:footnoteReference w:id="1660"/>
      </w: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فِی الدُّنْیَا مَعْرُوْفاً</w:t>
      </w:r>
      <w:r>
        <w:rPr>
          <w:rFonts w:eastAsia="Amiri" w:cs="Amiri" w:ascii="Amiri" w:hAnsi="Amiri"/>
          <w:color w:val="111111"/>
          <w:sz w:val="28"/>
          <w:szCs w:val="28"/>
          <w:rtl w:val="true"/>
          <w:lang w:bidi="ar-SA"/>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الفرق بین الوقف علی الذمّة و علی بیعهم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تمحّض الوقف علی المعصیة فی البیعة، بخلاف أهل الذمّة، حتّی لو وقف علیهم لکونهم ذمّة،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خادم البیعة لکونه خادماً، بطل و إلاّ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علی المرتدّ عن فطرة ؛ لعدم ملکه</w:t>
      </w:r>
      <w:r>
        <w:rPr>
          <w:rStyle w:val="FootnoteAnchor"/>
          <w:rtl w:val="true"/>
        </w:rPr>
        <w:footnoteReference w:id="1662"/>
      </w:r>
      <w:r>
        <w:rPr>
          <w:rFonts w:ascii="IRNazanin" w:hAnsi="IRNazanin" w:eastAsia="IRNazanin"/>
          <w:color w:val="111111"/>
          <w:sz w:val="28"/>
          <w:sz w:val="28"/>
          <w:szCs w:val="28"/>
          <w:rtl w:val="true"/>
          <w:lang w:bidi="fa-IR"/>
        </w:rPr>
        <w:t>، و لا علی الحربیّ ؛ لإباحة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الوقف من الحربیّ لا من المرتدّ، إلاّ أن یکون عن غیر فطرة ثمّ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فی الوقف ترتیباً أو تفضیلاً</w:t>
      </w:r>
      <w:r>
        <w:rPr>
          <w:rStyle w:val="FootnoteAnchor"/>
          <w:rtl w:val="true"/>
        </w:rPr>
        <w:footnoteReference w:id="1663"/>
      </w:r>
      <w:r>
        <w:rPr>
          <w:rFonts w:ascii="Amiri" w:hAnsi="Amiri" w:eastAsia="Amiri" w:cs="Amiri"/>
          <w:color w:val="111111"/>
          <w:sz w:val="28"/>
          <w:sz w:val="28"/>
          <w:szCs w:val="28"/>
          <w:rtl w:val="true"/>
          <w:lang w:bidi="ar-SA"/>
        </w:rPr>
        <w:t>، اُتّبع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لفظة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التشریک، و لفظتا الفاء و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و کذا الأعلی</w:t>
      </w:r>
    </w:p>
    <w:p>
      <w:pPr>
        <w:pStyle w:val="BookText"/>
        <w:rPr/>
      </w:pPr>
      <w:r>
        <w:rPr>
          <w:rFonts w:ascii="IRNazanin" w:hAnsi="IRNazanin" w:eastAsia="IRNazanin"/>
          <w:color w:val="111111"/>
          <w:sz w:val="28"/>
          <w:sz w:val="28"/>
          <w:szCs w:val="28"/>
          <w:rtl w:val="true"/>
          <w:lang w:bidi="fa-IR"/>
        </w:rPr>
        <w:t>فالأعلی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یعرف بنسبه من الذکور و الإناث بالسویّة، و الأعمام و الأخوال سواء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البرّ أو فی البرّ، فهو کلّ 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الفقهاء و قصد المجتهدین أو مَن حصّل طرفاً من الفقه، فذاک، و إن أطلق، حمل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المتفقّهة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الطلبة فی الابتداء أو التوسّط أو الانتهاء ماداموا مشتغلین بالتحصیل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المشتغلون بالعبادة المعرضون عن 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الفقر و العدالة فیهم ؛ لیتحقّق</w:t>
      </w:r>
      <w:r>
        <w:rPr>
          <w:rStyle w:val="FootnoteAnchor"/>
          <w:rtl w:val="true"/>
        </w:rPr>
        <w:footnoteReference w:id="1664"/>
      </w:r>
      <w:r>
        <w:rPr>
          <w:rFonts w:ascii="IRNazanin" w:hAnsi="IRNazanin" w:eastAsia="IRNazanin"/>
          <w:color w:val="111111"/>
          <w:sz w:val="28"/>
          <w:sz w:val="28"/>
          <w:szCs w:val="28"/>
          <w:rtl w:val="true"/>
          <w:lang w:bidi="fa-IR"/>
        </w:rPr>
        <w:t>المعنی المقتضی للفضیلة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منه اشتراط أن لا یخرجوا عن الشریعة الحقّة، و فی اشتراط ترک الحرفة تردّد، و یحتمل استثناء التوریق</w:t>
      </w:r>
      <w:r>
        <w:rPr>
          <w:rStyle w:val="FootnoteAnchor"/>
          <w:rtl w:val="true"/>
        </w:rPr>
        <w:footnoteReference w:id="1665"/>
      </w:r>
      <w:r>
        <w:rPr>
          <w:rFonts w:ascii="IRNazanin" w:hAnsi="IRNazanin" w:eastAsia="IRNazanin"/>
          <w:color w:val="111111"/>
          <w:sz w:val="28"/>
          <w:sz w:val="28"/>
          <w:szCs w:val="28"/>
          <w:rtl w:val="true"/>
          <w:lang w:bidi="fa-IR"/>
        </w:rPr>
        <w:t>و الخیاطة و ما یمکن فعلها فی 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سکنی الرباط، و لا لبس الخرقة من شیخ، و لا زیّ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الوقف علی الشبّان و الکهول و الشیوخ یرجع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مصلحة فبطل رسمها، صُرِف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أُمّهات أولاده فی حیاته،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جعله علی وجه یصادف عتقهنّ،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عدم تزویجهنّ اُتّبع، فلو طلّقت، ففی عودها إلی الوقف تردّد، من خروجها عن الشرط، و من صدق الوصف و زوال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علیهنّ إلاّ مَن تزوّج منهنّ فتزوّجت، سقط حقّها بالکلّیّة</w:t>
      </w:r>
      <w:r>
        <w:rPr>
          <w:rStyle w:val="FootnoteAnchor"/>
          <w:rtl w:val="true"/>
        </w:rPr>
        <w:footnoteReference w:id="1666"/>
      </w:r>
      <w:r>
        <w:rPr>
          <w:rFonts w:ascii="IRNazanin" w:hAnsi="IRNazanin" w:eastAsia="IRNazanin"/>
          <w:color w:val="111111"/>
          <w:sz w:val="28"/>
          <w:sz w:val="28"/>
          <w:szCs w:val="28"/>
          <w:rtl w:val="true"/>
          <w:lang w:bidi="fa-IR"/>
        </w:rPr>
        <w:t>؛ لأنّ الاستثناء إخراج و الأصل عدم العود، و کذا لو شرط فی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فرّق بأنّ الغرض فیهنّ الاکتفاء، و فی</w:t>
      </w:r>
    </w:p>
    <w:p>
      <w:pPr>
        <w:pStyle w:val="BookText"/>
        <w:rPr/>
      </w:pPr>
      <w:r>
        <w:rPr>
          <w:rFonts w:ascii="IRNazanin" w:hAnsi="IRNazanin" w:eastAsia="IRNazanin"/>
          <w:color w:val="111111"/>
          <w:sz w:val="28"/>
          <w:sz w:val="28"/>
          <w:szCs w:val="28"/>
          <w:rtl w:val="true"/>
          <w:lang w:bidi="fa-IR"/>
        </w:rPr>
        <w:t>الإماء الوفاء، فإذا تزوّجن لم یفین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تدخل الخنثی فی المنسوبین إلی أب، کالهاشمیّة أو بنی هاشم،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وقف علی البنین أو البنات،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هنا ؛ لأ نّها فی نفس الأمر من أحد الصنفین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المدرسة لطائفة معیّنة أو علم معیّن، اُتّبع إذا کان مباحاً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یجوز التخصیص فی المقبرة، و فی جواز التخصیص فی المسجد نظر، من </w:t>
      </w:r>
      <w:bookmarkStart w:id="231" w:name="pg13665_219231"/>
    </w:p>
    <w:p>
      <w:pPr>
        <w:pStyle w:val="BookText"/>
        <w:rPr/>
      </w:pPr>
      <w:bookmarkEnd w:id="231"/>
      <w:r>
        <w:rPr>
          <w:rFonts w:ascii="IRNazanin" w:hAnsi="IRNazanin" w:eastAsia="IRNazanin"/>
          <w:color w:val="111111"/>
          <w:sz w:val="28"/>
          <w:sz w:val="28"/>
          <w:szCs w:val="28"/>
          <w:rtl w:val="true"/>
          <w:lang w:bidi="fa-IR"/>
        </w:rPr>
        <w:t>خبر العسکریّ علیه‌السّلام</w:t>
      </w:r>
      <w:r>
        <w:rPr>
          <w:rStyle w:val="FootnoteAnchor"/>
          <w:rtl w:val="true"/>
        </w:rPr>
        <w:footnoteReference w:id="1667"/>
      </w:r>
      <w:r>
        <w:rPr>
          <w:rFonts w:ascii="IRNazanin" w:hAnsi="IRNazanin" w:eastAsia="IRNazanin"/>
          <w:color w:val="111111"/>
          <w:sz w:val="28"/>
          <w:sz w:val="28"/>
          <w:szCs w:val="28"/>
          <w:rtl w:val="true"/>
          <w:lang w:bidi="fa-IR"/>
        </w:rPr>
        <w:t>، و من أ نّه کالتحریر فلا یتصوّر فیه التخصیص، فإن أبطلنا التخصیص ففی بطلان الوقف نظر، من حصول صیغته و لغو الشرط، و من عدم القصد إلی غیر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w:t>
      </w:r>
      <w:r>
        <w:rPr>
          <w:rStyle w:val="FootnoteAnchor"/>
          <w:rtl w:val="true"/>
        </w:rPr>
        <w:footnoteReference w:id="1668"/>
      </w:r>
      <w:r>
        <w:rPr>
          <w:rFonts w:ascii="IRNazanin" w:hAnsi="IRNazanin" w:eastAsia="IRNazanin"/>
          <w:color w:val="111111"/>
          <w:sz w:val="28"/>
          <w:sz w:val="28"/>
          <w:szCs w:val="28"/>
          <w:rtl w:val="true"/>
          <w:lang w:bidi="fa-IR"/>
        </w:rPr>
        <w:t>مستحقّی الزکاة، فرّق فی الثمانیة وجوباً علی قول</w:t>
      </w:r>
      <w:r>
        <w:rPr>
          <w:rStyle w:val="FootnoteAnchor"/>
          <w:rtl w:val="true"/>
        </w:rPr>
        <w:footnoteReference w:id="1669"/>
      </w:r>
      <w:r>
        <w:rPr>
          <w:rFonts w:ascii="IRNazanin" w:hAnsi="IRNazanin" w:eastAsia="IRNazanin"/>
          <w:color w:val="111111"/>
          <w:sz w:val="28"/>
          <w:sz w:val="28"/>
          <w:szCs w:val="28"/>
          <w:rtl w:val="true"/>
          <w:lang w:bidi="fa-IR"/>
        </w:rPr>
        <w:t>، فیعطی الفقیر و المسکین مؤونة سنتهما، و الغارم دینه، و المکاتب نجومه، و ابن السبیل مبلّغة</w:t>
      </w:r>
    </w:p>
    <w:p>
      <w:pPr>
        <w:pStyle w:val="BookText"/>
        <w:rPr/>
      </w:pPr>
      <w:r>
        <w:rPr>
          <w:rFonts w:ascii="IRNazanin" w:hAnsi="IRNazanin" w:eastAsia="IRNazanin"/>
          <w:color w:val="111111"/>
          <w:sz w:val="28"/>
          <w:sz w:val="28"/>
          <w:szCs w:val="28"/>
          <w:rtl w:val="true"/>
          <w:lang w:bidi="fa-IR"/>
        </w:rPr>
        <w:t>أهله، و الغازی ما یتأهّب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الفقیر و المسکین غناهما</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تخصیص بعض الأصناف بالجمیع، و أ نّه لا یجب علی القابض صرفه فی الجهة التی یستحقّ بها</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فضل الوقف علی مسجد عنه، صرف فی مسجد آخر، و فی المشهد نظر، من أ نّه فی معنی المسجد، و من توهّم الاختصاص بأهله</w:t>
      </w:r>
      <w:r>
        <w:rPr>
          <w:rStyle w:val="FootnoteAnchor"/>
          <w:rtl w:val="true"/>
        </w:rPr>
        <w:footnoteReference w:id="1672"/>
      </w:r>
      <w:r>
        <w:rPr>
          <w:rFonts w:ascii="IRNazanin" w:hAnsi="IRNazanin" w:eastAsia="IRNazanin"/>
          <w:color w:val="111111"/>
          <w:sz w:val="28"/>
          <w:sz w:val="28"/>
          <w:szCs w:val="28"/>
          <w:rtl w:val="true"/>
          <w:lang w:bidi="fa-IR"/>
        </w:rPr>
        <w:t>و زائریه</w:t>
      </w:r>
      <w:r>
        <w:rPr>
          <w:rFonts w:eastAsia="IRNazanin" w:cs="IRNazanin"/>
          <w:color w:val="111111"/>
          <w:sz w:val="28"/>
          <w:szCs w:val="28"/>
          <w:rtl w:val="true"/>
          <w:lang w:bidi="fa-IR"/>
        </w:rPr>
        <w:t>.</w:t>
      </w:r>
    </w:p>
    <w:p>
      <w:pPr>
        <w:pStyle w:val="Heading3"/>
        <w:numPr>
          <w:ilvl w:val="2"/>
          <w:numId w:val="1"/>
        </w:numPr>
        <w:rPr/>
      </w:pPr>
      <w:bookmarkStart w:id="232" w:name="__RefHeading___Toc2071365_3830689328"/>
      <w:bookmarkStart w:id="233" w:name="_Toc77"/>
      <w:bookmarkEnd w:id="232"/>
      <w:r>
        <w:rPr>
          <w:rtl w:val="true"/>
        </w:rPr>
        <w:t xml:space="preserve">درس </w:t>
      </w:r>
      <w:r>
        <w:rPr>
          <w:rtl w:val="true"/>
        </w:rPr>
        <w:t>(</w:t>
      </w:r>
      <w:r>
        <w:rPr/>
        <w:t>172</w:t>
      </w:r>
      <w:r>
        <w:rPr>
          <w:rtl w:val="true"/>
        </w:rPr>
        <w:t>)</w:t>
      </w:r>
      <w:bookmarkEnd w:id="23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الوقف إذا تمّ، لم یجز الرجوع فیه، سواء حکم به حاکم أو لا، و ینتقل إلی ملک الموقوف علیه</w:t>
      </w:r>
      <w:r>
        <w:rPr>
          <w:rStyle w:val="FootnoteAnchor"/>
          <w:rtl w:val="true"/>
        </w:rPr>
        <w:footnoteReference w:id="1673"/>
      </w:r>
      <w:r>
        <w:rPr>
          <w:rFonts w:ascii="IRNazanin" w:hAnsi="IRNazanin" w:eastAsia="IRNazanin"/>
          <w:color w:val="111111"/>
          <w:sz w:val="28"/>
          <w:sz w:val="28"/>
          <w:szCs w:val="28"/>
          <w:rtl w:val="true"/>
          <w:lang w:bidi="fa-IR"/>
        </w:rPr>
        <w:t>علی الأقرب ؛ استدلالاً بالمعلول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یبقی علی ملک الواقف</w:t>
      </w:r>
      <w:r>
        <w:rPr>
          <w:rStyle w:val="FootnoteAnchor"/>
          <w:rtl w:val="true"/>
        </w:rPr>
        <w:footnoteReference w:id="1674"/>
      </w:r>
      <w:r>
        <w:rPr>
          <w:rFonts w:ascii="Amiri" w:hAnsi="Amiri" w:eastAsia="Amiri" w:cs="Amiri"/>
          <w:color w:val="111111"/>
          <w:sz w:val="28"/>
          <w:sz w:val="28"/>
          <w:szCs w:val="28"/>
          <w:rtl w:val="true"/>
          <w:lang w:bidi="ar-SA"/>
        </w:rPr>
        <w:t xml:space="preserve">؛ لقوله صلّی‌اللّه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حبّس الأصل و سبّل </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ابن إدریس أ نّه ینتقل إلی اللّه تعالی</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الجهات العامّة،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للّه تعالی ؛ لامتناع إضافته إلی المسجد و الرباط، و لو قیل بإنتقاله إلی المسلمین، أمکن ؛ لأ نّه فی الحقیقة وقف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جعل البقعة مسجداً فهو فکّ ملک، کالتحریر، لا یحتاج فیه إلی مالک، و یمکن القول بانتقاله إلی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ملک الموقوف علیه المنافع، کالصوف و اللبن و عوض البضع و أُجرة الدابّة و شبهها، و یدخل الصوف و الشعر و أغصان الشجر و اللبن فی الضرع فی الانتفاع و إن کانت موجودة حال العقد، کما یدخل فی البیع، أمّا الثمرة علی الشجرة فلا و إن کان نخلاً و لم یؤبّر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الموقوف علیه الأمة، بطل و لو قلنا بملکه</w:t>
      </w:r>
      <w:r>
        <w:rPr>
          <w:rStyle w:val="FootnoteAnchor"/>
          <w:rtl w:val="true"/>
        </w:rPr>
        <w:footnoteReference w:id="1677"/>
      </w:r>
      <w:r>
        <w:rPr>
          <w:rFonts w:ascii="IRNazanin" w:hAnsi="IRNazanin" w:eastAsia="IRNazanin"/>
          <w:color w:val="111111"/>
          <w:sz w:val="28"/>
          <w:sz w:val="28"/>
          <w:szCs w:val="28"/>
          <w:rtl w:val="true"/>
          <w:lang w:bidi="fa-IR"/>
        </w:rPr>
        <w:t>؛ لما فیه من إبطال حقّ الموقوف علیهم</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أعتق الشریک حصّته،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السرایة إلی الوقف وجهان مبنیّان علی المالک، فإن قلنا هو اللّه تعالی أو الواقف فلا سرایة، و إن جعلناه الموقوف علیه،</w:t>
      </w:r>
    </w:p>
    <w:p>
      <w:pPr>
        <w:pStyle w:val="BookText"/>
        <w:rPr/>
      </w:pPr>
      <w:r>
        <w:rPr>
          <w:rFonts w:ascii="IRNazanin" w:hAnsi="IRNazanin" w:eastAsia="IRNazanin"/>
          <w:color w:val="111111"/>
          <w:sz w:val="28"/>
          <w:sz w:val="28"/>
          <w:szCs w:val="28"/>
          <w:rtl w:val="true"/>
          <w:lang w:bidi="fa-IR"/>
        </w:rPr>
        <w:t xml:space="preserve">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السرایة ؛ لأ نّه لا ینفذ فیه مباشرة و هو أقوی من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 المحقّق لزوم السرایة</w:t>
      </w:r>
      <w:r>
        <w:rPr>
          <w:rStyle w:val="FootnoteAnchor"/>
          <w:rtl w:val="true"/>
        </w:rPr>
        <w:footnoteReference w:id="1679"/>
      </w:r>
      <w:r>
        <w:rPr>
          <w:rFonts w:ascii="IRNazanin" w:hAnsi="IRNazanin" w:eastAsia="IRNazanin"/>
          <w:color w:val="111111"/>
          <w:sz w:val="28"/>
          <w:sz w:val="28"/>
          <w:szCs w:val="28"/>
          <w:rtl w:val="true"/>
          <w:lang w:bidi="fa-IR"/>
        </w:rPr>
        <w:t>علی هذا القول ؛ لقوّتها علی المباشرة ؛ لتوقّفها علی حصر الملک فی المعتق، بخلاف السرایة، فإنّها افتکاک محض، فحینئذٍ یکون بمثابة إتلاف الحصّة فیغرم قیمتها للموقوف علیه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شراء حصّة من عبد یکون وقفاً، أو اختصاص البطن الموجود بها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قتل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نفقة الموقوف علی أرباب الوقف إن قلنا بالملک، و إلاّ ففی کسبه، فإن تعذّر، فعلیهم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عتق بعارض، زال ملکه و وقفه و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علیه فی الطرف عمداً، فلهم القصاص مع المکافأة و العفو علی مال، و إن کان خطأً، فلهم المال، و فی مصرفه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فاقتصّ منه، بطل الوقف، و إن کان طرفاً، فباقیه وقف، و لو کانت خطأً، تعلّقت بکسبه ؛ لأنّ المولی لا یعقل عبداً، و لا یتوقّع عتقه غالباً، و لا تهدر</w:t>
      </w:r>
    </w:p>
    <w:p>
      <w:pPr>
        <w:pStyle w:val="BookText"/>
        <w:rPr/>
      </w:pPr>
      <w:r>
        <w:rPr>
          <w:rFonts w:ascii="IRNazanin" w:hAnsi="IRNazanin" w:eastAsia="IRNazanin"/>
          <w:color w:val="111111"/>
          <w:sz w:val="28"/>
          <w:sz w:val="28"/>
          <w:szCs w:val="28"/>
          <w:rtl w:val="true"/>
          <w:lang w:bidi="fa-IR"/>
        </w:rPr>
        <w:t>الجنایة، و لا سبیل إلی رقّه، و لو لم یکن ذا کسب فالتعلّق برقبته قویّ، کما لو استحقّ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خرب المسجد، لم تعد عرصته إلی الواقف طلقاً، و کذا لو خربت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قیاسه علی عود الکفن إلی الورثة عند الیأس من المیّت باطل ؛ لأ نّ الکفن کان ملک الوارث و إن وجب صرفه فی التکفین، و الجامع باستغناء المسجد عن المصلّین کاستغناء المیّت عن الکفن فاسد ؛ لأنّ الیأس حاصل فی المیّت، بخلاف المسجد ؛ لرجاء عمارة القریة و صلاة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تخرج الدار بانهدامها عن الوقف، فتبقی</w:t>
      </w:r>
    </w:p>
    <w:p>
      <w:pPr>
        <w:pStyle w:val="BookText"/>
        <w:rPr/>
      </w:pPr>
      <w:r>
        <w:rPr>
          <w:rFonts w:ascii="IRNazanin" w:hAnsi="IRNazanin" w:eastAsia="IRNazanin"/>
          <w:color w:val="111111"/>
          <w:sz w:val="28"/>
          <w:sz w:val="28"/>
          <w:szCs w:val="28"/>
          <w:rtl w:val="true"/>
          <w:lang w:bidi="fa-IR"/>
        </w:rPr>
        <w:t>عرصتها و آلاتها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الوقف إلاّ إذا خیف من خرابه أو خلف أربابه</w:t>
      </w:r>
    </w:p>
    <w:p>
      <w:pPr>
        <w:pStyle w:val="BookText"/>
        <w:rPr/>
      </w:pPr>
      <w:r>
        <w:rPr>
          <w:rFonts w:ascii="IRNazanin" w:hAnsi="IRNazanin" w:eastAsia="IRNazanin"/>
          <w:color w:val="111111"/>
          <w:sz w:val="28"/>
          <w:sz w:val="28"/>
          <w:szCs w:val="28"/>
          <w:rtl w:val="true"/>
          <w:lang w:bidi="fa-IR"/>
        </w:rPr>
        <w:t>المؤدّی إلی فساد</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جوّز المفید بیعه إذا کان أنفع من بقائه</w:t>
      </w:r>
      <w:r>
        <w:rPr>
          <w:rStyle w:val="FootnoteAnchor"/>
          <w:rtl w:val="true"/>
        </w:rPr>
        <w:footnoteReference w:id="1681"/>
      </w:r>
      <w:r>
        <w:rPr>
          <w:rFonts w:ascii="IRNazanin" w:hAnsi="IRNazanin" w:eastAsia="IRNazanin"/>
          <w:color w:val="111111"/>
          <w:sz w:val="28"/>
          <w:sz w:val="28"/>
          <w:szCs w:val="28"/>
          <w:rtl w:val="true"/>
          <w:lang w:bidi="fa-IR"/>
        </w:rPr>
        <w:t>، و المرتضی إذا دعتهم حاجة شدیدة</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w:t>
      </w:r>
      <w:r>
        <w:rPr>
          <w:rStyle w:val="FootnoteAnchor"/>
          <w:rtl w:val="true"/>
        </w:rPr>
        <w:footnoteReference w:id="1683"/>
      </w:r>
      <w:r>
        <w:rPr>
          <w:rFonts w:ascii="Amiri" w:hAnsi="Amiri" w:eastAsia="Amiri" w:cs="Amiri"/>
          <w:color w:val="111111"/>
          <w:sz w:val="28"/>
          <w:sz w:val="28"/>
          <w:szCs w:val="28"/>
          <w:rtl w:val="true"/>
          <w:lang w:bidi="ar-SA"/>
        </w:rPr>
        <w:t>و ابن البرّاج جوّزا بیع غیر المؤبّد</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ابن إدریس </w:t>
      </w:r>
    </w:p>
    <w:p>
      <w:pPr>
        <w:pStyle w:val="BookText"/>
        <w:rPr/>
      </w:pPr>
      <w:r>
        <w:rPr>
          <w:rFonts w:ascii="IRNazanin" w:hAnsi="IRNazanin" w:eastAsia="IRNazanin"/>
          <w:color w:val="111111"/>
          <w:sz w:val="28"/>
          <w:sz w:val="28"/>
          <w:szCs w:val="28"/>
          <w:rtl w:val="true"/>
          <w:lang w:bidi="fa-IR"/>
        </w:rPr>
        <w:t>الباب</w:t>
      </w:r>
      <w:r>
        <w:rPr>
          <w:rStyle w:val="FootnoteAnchor"/>
          <w:rtl w:val="true"/>
        </w:rPr>
        <w:footnoteReference w:id="1685"/>
      </w:r>
      <w:r>
        <w:rPr>
          <w:rFonts w:ascii="IRNazanin" w:hAnsi="IRNazanin" w:eastAsia="IRNazanin"/>
          <w:color w:val="111111"/>
          <w:sz w:val="28"/>
          <w:sz w:val="28"/>
          <w:szCs w:val="28"/>
          <w:rtl w:val="true"/>
          <w:lang w:bidi="fa-IR"/>
        </w:rPr>
        <w:t>، و هو نادر مع قوّته، و المسألة مستوفاة فی شرح الإرشاد</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تغییر شرط الواقف 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الموقوف علیهم ما یمنع الشرع من معونتهم، أو یکون تغییر الشرط أردّ علی الموقوف علیهم، جاز تغییره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شرط الواقف بیعه عند حاجتهم أو وقوع الفتنة بینهم، فأولی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شراء بدله فی هذه المواضع نظر، من أ نّه أقرب إلی التأبید و هو خیرة ابن الجنید</w:t>
      </w:r>
      <w:r>
        <w:rPr>
          <w:rStyle w:val="FootnoteAnchor"/>
          <w:rtl w:val="true"/>
        </w:rPr>
        <w:footnoteReference w:id="1688"/>
      </w:r>
      <w:r>
        <w:rPr>
          <w:rFonts w:ascii="IRNazanin" w:hAnsi="IRNazanin" w:eastAsia="IRNazanin"/>
          <w:color w:val="111111"/>
          <w:sz w:val="28"/>
          <w:sz w:val="28"/>
          <w:szCs w:val="28"/>
          <w:rtl w:val="true"/>
          <w:lang w:bidi="fa-IR"/>
        </w:rPr>
        <w:t>، و من زوال المتعلّق و هو قول الشیخ</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انقلعت نخلة أو انکسرت و أمکن إجارتها، وجب و إلاّ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خلق حصیر المسجد أو انکسر جذعه و تعذّر الانتفاع به فیه أو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للموقوف علیه تزویج الأمة الموقوفة ؛ بناءاً علی ملکه، و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للّه،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نفسها</w:t>
      </w:r>
      <w:r>
        <w:rPr>
          <w:rStyle w:val="FootnoteAnchor"/>
          <w:rtl w:val="true"/>
        </w:rPr>
        <w:footnoteReference w:id="1690"/>
      </w:r>
      <w:r>
        <w:rPr>
          <w:rFonts w:ascii="IRNazanin" w:hAnsi="IRNazanin" w:eastAsia="IRNazanin"/>
          <w:color w:val="111111"/>
          <w:sz w:val="28"/>
          <w:sz w:val="28"/>
          <w:szCs w:val="28"/>
          <w:rtl w:val="true"/>
          <w:lang w:bidi="fa-IR"/>
        </w:rPr>
        <w:t>، و یحتمل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الموقوفة المملوک وقف عند الشیخ</w:t>
      </w:r>
      <w:r>
        <w:rPr>
          <w:rStyle w:val="FootnoteAnchor"/>
          <w:rtl w:val="true"/>
        </w:rPr>
        <w:footnoteReference w:id="1691"/>
      </w:r>
      <w:r>
        <w:rPr>
          <w:rFonts w:ascii="IRNazanin" w:hAnsi="IRNazanin" w:eastAsia="IRNazanin"/>
          <w:color w:val="111111"/>
          <w:sz w:val="28"/>
          <w:sz w:val="28"/>
          <w:szCs w:val="28"/>
          <w:rtl w:val="true"/>
          <w:lang w:bidi="fa-IR"/>
        </w:rPr>
        <w:t>و ابن الجنید</w:t>
      </w:r>
      <w:r>
        <w:rPr>
          <w:rStyle w:val="FootnoteAnchor"/>
          <w:rtl w:val="true"/>
        </w:rPr>
        <w:footnoteReference w:id="1692"/>
      </w:r>
      <w:r>
        <w:rPr>
          <w:rFonts w:ascii="Amiri" w:hAnsi="Amiri" w:eastAsia="Amiri" w:cs="Amiri"/>
          <w:color w:val="111111"/>
          <w:sz w:val="28"/>
          <w:sz w:val="28"/>
          <w:szCs w:val="28"/>
          <w:rtl w:val="true"/>
          <w:lang w:bidi="ar-SA"/>
        </w:rPr>
        <w:t>، کولد الأُضحیّة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طلق للبطن الذی وجد فی زمانهم ؛ لأ نّه کثمرة الشجرة</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وطئت لشبهة</w:t>
      </w:r>
      <w:r>
        <w:rPr>
          <w:rStyle w:val="FootnoteAnchor"/>
          <w:rtl w:val="true"/>
        </w:rPr>
        <w:footnoteReference w:id="1694"/>
      </w:r>
      <w:r>
        <w:rPr>
          <w:rFonts w:ascii="IRNazanin" w:hAnsi="IRNazanin" w:eastAsia="IRNazanin"/>
          <w:color w:val="111111"/>
          <w:sz w:val="28"/>
          <w:sz w:val="28"/>
          <w:szCs w:val="28"/>
          <w:rtl w:val="true"/>
          <w:lang w:bidi="fa-IR"/>
        </w:rPr>
        <w:t>فعلی الواطئ قیمة الولد، و فی مصرفها القولان</w:t>
      </w:r>
      <w:r>
        <w:rPr>
          <w:rStyle w:val="FootnoteAnchor"/>
          <w:rtl w:val="true"/>
        </w:rPr>
        <w:footnoteReference w:id="1695"/>
      </w:r>
      <w:r>
        <w:rPr>
          <w:rFonts w:ascii="IRNazanin" w:hAnsi="IRNazanin" w:eastAsia="IRNazanin"/>
          <w:color w:val="111111"/>
          <w:sz w:val="28"/>
          <w:sz w:val="28"/>
          <w:szCs w:val="28"/>
          <w:rtl w:val="true"/>
          <w:lang w:bidi="fa-IR"/>
        </w:rPr>
        <w:t>، و الواقف، کالأجنبیّ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وطئها الموقوف علیه، فعل حراماً ؛ لعدم اختصاصه بالملک، و علیه ماعدا نصیبه من العقر للشرکاء، و کذا من قیمة الولد، و لو لم یکن سواه،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حدّ علیه و إن انتفت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بأنّ الملک للّه تعالی أو</w:t>
      </w:r>
    </w:p>
    <w:p>
      <w:pPr>
        <w:pStyle w:val="BookText"/>
        <w:rPr/>
      </w:pPr>
      <w:r>
        <w:rPr>
          <w:rFonts w:ascii="IRNazanin" w:hAnsi="IRNazanin" w:eastAsia="IRNazanin"/>
          <w:color w:val="111111"/>
          <w:sz w:val="28"/>
          <w:sz w:val="28"/>
          <w:szCs w:val="28"/>
          <w:rtl w:val="true"/>
          <w:lang w:bidi="fa-IR"/>
        </w:rPr>
        <w:t>أ نّها باقیة علی ملک الواقف، أمکن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التعزیر مع العلم فلا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نفوذ الاستیلاد هنا نظر، من عدم تمامیّة الملک و أدائه إلی إبطال الوقف، و من البناء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به فی لزوم القیمة فی ترکته نظر، من تعلّق حقّ باقی البطون، و من البناء علی أنّ بدل الوقف للبطن الأوّل، فکیف یغرم لنفسه، إلاّ أن</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 إنّما تحقّق</w:t>
      </w:r>
      <w:r>
        <w:rPr>
          <w:rStyle w:val="FootnoteAnchor"/>
          <w:rtl w:val="true"/>
        </w:rPr>
        <w:footnoteReference w:id="1696"/>
      </w:r>
      <w:r>
        <w:rPr>
          <w:rFonts w:ascii="IRNazanin" w:hAnsi="IRNazanin" w:eastAsia="IRNazanin"/>
          <w:color w:val="111111"/>
          <w:sz w:val="28"/>
          <w:sz w:val="28"/>
          <w:szCs w:val="28"/>
          <w:rtl w:val="true"/>
          <w:lang w:bidi="fa-IR"/>
        </w:rPr>
        <w:t>بعد موته، و لا ملک له حینئذٍ، و هذا قویّ</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شرط رقّیّة ولد الحرّ فی العقد، فکالولد المملوک، و لا یکون صدور الشرط</w:t>
      </w:r>
      <w:r>
        <w:rPr>
          <w:rStyle w:val="FootnoteAnchor"/>
          <w:rtl w:val="true"/>
        </w:rPr>
        <w:footnoteReference w:id="1698"/>
      </w:r>
      <w:r>
        <w:rPr>
          <w:rFonts w:ascii="IRNazanin" w:hAnsi="IRNazanin" w:eastAsia="IRNazanin"/>
          <w:color w:val="111111"/>
          <w:sz w:val="28"/>
          <w:sz w:val="28"/>
          <w:szCs w:val="28"/>
          <w:rtl w:val="true"/>
          <w:lang w:bidi="fa-IR"/>
        </w:rPr>
        <w:t>من هذا البطن مخصّصاً لهم بملکه، إلاّ علی القول بأ نّه کالنماء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مات البطن الأوّل و مدّة الإجارة باقیة،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 لأ نّا بیّنّا عدم مصادفة ملک المؤجر، أمّا لو کان العقد صادراً من الناظر،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 و لا عبرة</w:t>
      </w:r>
    </w:p>
    <w:p>
      <w:pPr>
        <w:pStyle w:val="BookText"/>
        <w:rPr/>
      </w:pPr>
      <w:r>
        <w:rPr>
          <w:rFonts w:ascii="IRNazanin" w:hAnsi="IRNazanin" w:eastAsia="IRNazanin"/>
          <w:color w:val="111111"/>
          <w:sz w:val="28"/>
          <w:sz w:val="28"/>
          <w:szCs w:val="28"/>
          <w:rtl w:val="true"/>
          <w:lang w:bidi="fa-IR"/>
        </w:rPr>
        <w:t>بموت الناظر أیضاً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ظهر فی الإجارة غبن،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ظهر من یزید بعد العقد، فلا فسخ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العمری و توابعها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اشتقاقها من العمر، و یعبّر عنها بالرقبی من الارتقاب، أو رقبة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أسکنتک، و لم یعیّن عمراً و لا مدّة فهی سکنی، و إن عیّن مدّة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رقبی</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أعمرتکها</w:t>
      </w:r>
      <w:r>
        <w:rPr>
          <w:rStyle w:val="FootnoteAnchor"/>
          <w:rtl w:val="true"/>
        </w:rPr>
        <w:footnoteReference w:id="1700"/>
      </w:r>
      <w:r>
        <w:rPr>
          <w:rFonts w:ascii="IRNazanin" w:hAnsi="IRNazanin" w:eastAsia="IRNazanin"/>
          <w:color w:val="111111"/>
          <w:sz w:val="28"/>
          <w:sz w:val="28"/>
          <w:szCs w:val="28"/>
          <w:rtl w:val="true"/>
          <w:lang w:bidi="fa-IR"/>
        </w:rPr>
        <w:t>مدّة عمرک أو عمری، اُتّبع، فلو مات المعلّق بعمره، بطلت، و إن مات الآخر، لم تبطل، فیسکن وارثه لو علّقت بموت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الوارث إقراره لو علّقت بموت الساکن، سواء خرجت العین من الثلث، أو لا عند المتأخّرین</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خروجها من الثلث</w:t>
      </w:r>
      <w:r>
        <w:rPr>
          <w:rStyle w:val="FootnoteAnchor"/>
          <w:rtl w:val="true"/>
        </w:rPr>
        <w:footnoteReference w:id="1702"/>
      </w:r>
      <w:r>
        <w:rPr>
          <w:rFonts w:ascii="IRNazanin" w:hAnsi="IRNazanin" w:eastAsia="IRNazanin"/>
          <w:color w:val="111111"/>
          <w:sz w:val="28"/>
          <w:sz w:val="28"/>
          <w:szCs w:val="28"/>
          <w:rtl w:val="true"/>
          <w:lang w:bidi="fa-IR"/>
        </w:rPr>
        <w:t>؛ لروایة خالد بن نافع عن الصادق علیه‌السّلام</w:t>
      </w:r>
      <w:r>
        <w:rPr>
          <w:rStyle w:val="FootnoteAnchor"/>
          <w:rtl w:val="true"/>
        </w:rPr>
        <w:footnoteReference w:id="1703"/>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السکنی و الحبیس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فی متنها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تقویم العین إشکال ؛ لعدم انتقالها الی المعمّر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أعمرتک و أطلق، بطل ؛ لجهالة صرفه إلی عمر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17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عمرک و لعقبک، لم یملکها المعمّر، بل ترجع بعد موت العقب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رجوعها</w:t>
      </w:r>
      <w:r>
        <w:rPr>
          <w:rStyle w:val="FootnoteAnchor"/>
          <w:rtl w:val="true"/>
        </w:rPr>
        <w:footnoteReference w:id="1705"/>
      </w:r>
      <w:r>
        <w:rPr>
          <w:rFonts w:ascii="Amiri" w:hAnsi="Amiri" w:eastAsia="Amiri" w:cs="Amiri"/>
          <w:color w:val="111111"/>
          <w:sz w:val="28"/>
          <w:sz w:val="28"/>
          <w:szCs w:val="28"/>
          <w:rtl w:val="true"/>
          <w:lang w:bidi="ar-SA"/>
        </w:rPr>
        <w:t>؛ لخبر جابر عن النبیّ صلّی‌اللّه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آله</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لابدّ من الإیجاب و القبول و القبض، فیلزم معها علی الأقوی و إن لم یقصد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یعیّن عمراً و لا مدّة، کان له إخراجه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المالک العین، کان فسخاً للسکنی</w:t>
      </w:r>
      <w:r>
        <w:rPr>
          <w:rStyle w:val="FootnoteAnchor"/>
          <w:rtl w:val="true"/>
        </w:rPr>
        <w:footnoteReference w:id="1707"/>
      </w:r>
      <w:r>
        <w:rPr>
          <w:rFonts w:ascii="IRNazanin" w:hAnsi="IRNazanin" w:eastAsia="IRNazanin"/>
          <w:color w:val="111111"/>
          <w:sz w:val="28"/>
          <w:sz w:val="28"/>
          <w:szCs w:val="28"/>
          <w:rtl w:val="true"/>
          <w:lang w:bidi="fa-IR"/>
        </w:rPr>
        <w:t>لا للقربی و العمری، و یتخیّر المشتری فی فسخ البیع و إجازته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بیع المعلّقة بالعمر ؛ للجهالة</w:t>
      </w:r>
      <w:r>
        <w:rPr>
          <w:rStyle w:val="FootnoteAnchor"/>
          <w:rtl w:val="true"/>
        </w:rPr>
        <w:footnoteReference w:id="1708"/>
      </w:r>
      <w:r>
        <w:rPr>
          <w:rFonts w:ascii="IRNazanin" w:hAnsi="IRNazanin" w:eastAsia="IRNazanin"/>
          <w:color w:val="111111"/>
          <w:sz w:val="28"/>
          <w:sz w:val="28"/>
          <w:szCs w:val="28"/>
          <w:rtl w:val="true"/>
          <w:lang w:bidi="fa-IR"/>
        </w:rPr>
        <w:t>، و الأوّل مرویّ عن الحسین بن نعیم، عن الکاظم علیه‌السّلام</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یصحّ إعمار کلّ ما صحّ وقفه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للمسکن أن یسکن بنفسه و أهله و ولده و ضیفه، و لیس له إسکان غیره إلاّ بإذن</w:t>
      </w:r>
      <w:r>
        <w:rPr>
          <w:rStyle w:val="FootnoteAnchor"/>
          <w:rtl w:val="true"/>
        </w:rPr>
        <w:footnoteReference w:id="1710"/>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لیس له الإجارة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جوّزهما ابن إدریس مع الإطلاق</w:t>
      </w:r>
      <w:r>
        <w:rPr>
          <w:rStyle w:val="FootnoteAnchor"/>
          <w:rtl w:val="true"/>
        </w:rPr>
        <w:footnoteReference w:id="1711"/>
      </w:r>
      <w:r>
        <w:rPr>
          <w:rFonts w:ascii="IRNazanin" w:hAnsi="IRNazanin" w:eastAsia="IRNazanin"/>
          <w:color w:val="111111"/>
          <w:sz w:val="28"/>
          <w:sz w:val="28"/>
          <w:szCs w:val="28"/>
          <w:rtl w:val="true"/>
          <w:lang w:bidi="fa-IR"/>
        </w:rPr>
        <w:t>؛ بناءاً علی ملک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صرّح بملکها</w:t>
      </w:r>
      <w:r>
        <w:rPr>
          <w:rStyle w:val="FootnoteAnchor"/>
          <w:rtl w:val="true"/>
        </w:rPr>
        <w:footnoteReference w:id="1712"/>
      </w:r>
      <w:r>
        <w:rPr>
          <w:rFonts w:ascii="IRNazanin" w:hAnsi="IRNazanin" w:eastAsia="IRNazanin"/>
          <w:color w:val="111111"/>
          <w:sz w:val="28"/>
          <w:sz w:val="28"/>
          <w:szCs w:val="28"/>
          <w:rtl w:val="true"/>
          <w:lang w:bidi="fa-IR"/>
        </w:rPr>
        <w:t>مع قوله بالمنع من إسکان غیره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حبس الفرس و البعیر فی سبیل اللّه، و المملوک فی خدمة بیوت العبادة، و یخرج ذلک عن الملک بالعقد، بخلاف الحبس علی الإنسان، فإنّه یعود إلی الحابس أو وارثه بعد انقضاء مدّة الحبس</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3665_219239"/>
      <w:bookmarkStart w:id="235" w:name="pg13665_219239"/>
      <w:bookmarkEnd w:id="235"/>
    </w:p>
    <w:p>
      <w:pPr>
        <w:pStyle w:val="Heading2"/>
        <w:numPr>
          <w:ilvl w:val="1"/>
          <w:numId w:val="1"/>
        </w:numPr>
        <w:rPr/>
      </w:pPr>
      <w:bookmarkStart w:id="236" w:name="pg13665_219239"/>
      <w:bookmarkStart w:id="237" w:name="__RefHeading___Toc2071367_3830689328"/>
      <w:bookmarkStart w:id="238" w:name="_Toc78"/>
      <w:bookmarkEnd w:id="236"/>
      <w:bookmarkEnd w:id="237"/>
      <w:r>
        <w:rPr>
          <w:rtl w:val="true"/>
        </w:rPr>
        <w:t>کتاب الهبة</w:t>
      </w:r>
      <w:bookmarkEnd w:id="2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2071369_3830689328"/>
      <w:bookmarkStart w:id="240" w:name="_Toc79"/>
      <w:bookmarkEnd w:id="239"/>
      <w:r>
        <w:rPr>
          <w:rtl w:val="true"/>
        </w:rPr>
        <w:t>اشاره</w:t>
      </w:r>
      <w:bookmarkEnd w:id="2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الهبة</w:t>
      </w:r>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ثمرته تملیک العین منجّزاً مجّاناً مجرّداً عن القربة، فتخرج العاریة و الإجارة و الوصیّة و البیع و شبهه و الصدقة بأنواعها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بوهبت و ملّکت</w:t>
      </w:r>
    </w:p>
    <w:p>
      <w:pPr>
        <w:pStyle w:val="BookText"/>
        <w:rPr/>
      </w:pPr>
      <w:r>
        <w:rPr>
          <w:rFonts w:ascii="Amiri" w:hAnsi="Amiri" w:eastAsia="Amiri" w:cs="Amiri"/>
          <w:color w:val="111111"/>
          <w:sz w:val="28"/>
          <w:sz w:val="28"/>
          <w:szCs w:val="28"/>
          <w:rtl w:val="true"/>
          <w:lang w:bidi="ar-SA"/>
        </w:rPr>
        <w:t xml:space="preserve">و أهدیت و نحلت و أعطیت، و 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نُحْلی</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و قال ابن الأثیر فی النهایة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و الهبة ابتداءاً من غیر عوض و لا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 یَنْحَلُه نُحلاً بالضم، و النِحلة بالکسر العطیّة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هذا لک، مع القصد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أهلیّة الواهب بما مرّ فی الواقف</w:t>
      </w:r>
      <w:r>
        <w:rPr>
          <w:rStyle w:val="FootnoteAnchor"/>
          <w:rtl w:val="true"/>
        </w:rPr>
        <w:footnoteReference w:id="1715"/>
      </w:r>
      <w:r>
        <w:rPr>
          <w:rFonts w:ascii="IRNazanin" w:hAnsi="IRNazanin" w:eastAsia="IRNazanin"/>
          <w:color w:val="111111"/>
          <w:sz w:val="28"/>
          <w:sz w:val="28"/>
          <w:szCs w:val="28"/>
          <w:rtl w:val="true"/>
          <w:lang w:bidi="fa-IR"/>
        </w:rPr>
        <w:t>، و أهلیّة الموهوب 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 منه أو من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تعلیق العقد علی شرط أو صفة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القبض شرط فی اللزوم لا فی الصحّة فی ظاهر الشیخین</w:t>
      </w:r>
      <w:r>
        <w:rPr>
          <w:rStyle w:val="FootnoteAnchor"/>
          <w:rtl w:val="true"/>
        </w:rPr>
        <w:footnoteReference w:id="1716"/>
      </w:r>
      <w:r>
        <w:rPr>
          <w:rFonts w:ascii="Amiri" w:hAnsi="Amiri" w:eastAsia="Amiri" w:cs="Amiri"/>
          <w:color w:val="111111"/>
          <w:sz w:val="28"/>
          <w:sz w:val="28"/>
          <w:szCs w:val="28"/>
          <w:rtl w:val="true"/>
          <w:lang w:bidi="ar-SA"/>
        </w:rPr>
        <w:t>و جماعة</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شرط الصحّة</w:t>
      </w:r>
      <w:r>
        <w:rPr>
          <w:rStyle w:val="FootnoteAnchor"/>
          <w:rtl w:val="true"/>
        </w:rPr>
        <w:footnoteReference w:id="1718"/>
      </w:r>
      <w:r>
        <w:rPr>
          <w:rFonts w:ascii="IRNazanin" w:hAnsi="IRNazanin" w:eastAsia="IRNazanin"/>
          <w:color w:val="111111"/>
          <w:sz w:val="28"/>
          <w:sz w:val="28"/>
          <w:szCs w:val="28"/>
          <w:rtl w:val="true"/>
          <w:lang w:bidi="fa-IR"/>
        </w:rPr>
        <w:t>، و اختاره المتأخّرون</w:t>
      </w:r>
      <w:r>
        <w:rPr>
          <w:rStyle w:val="FootnoteAnchor"/>
          <w:rtl w:val="true"/>
        </w:rPr>
        <w:footnoteReference w:id="1719"/>
      </w:r>
      <w:r>
        <w:rPr>
          <w:rFonts w:ascii="IRNazanin" w:hAnsi="IRNazanin" w:eastAsia="IRNazanin"/>
          <w:color w:val="111111"/>
          <w:sz w:val="28"/>
          <w:sz w:val="28"/>
          <w:szCs w:val="28"/>
          <w:rtl w:val="true"/>
          <w:lang w:bidi="fa-IR"/>
        </w:rPr>
        <w:t xml:space="preserve">، إلاّ الفاضل فی </w:t>
      </w:r>
    </w:p>
    <w:p>
      <w:pPr>
        <w:pStyle w:val="BookText"/>
        <w:rPr/>
      </w:pPr>
      <w:r>
        <w:rPr>
          <w:rFonts w:ascii="IRNazanin" w:hAnsi="IRNazanin" w:eastAsia="IRNazanin"/>
          <w:color w:val="111111"/>
          <w:sz w:val="28"/>
          <w:sz w:val="28"/>
          <w:szCs w:val="28"/>
          <w:rtl w:val="true"/>
          <w:lang w:bidi="fa-IR"/>
        </w:rPr>
        <w:t>المختلف</w:t>
      </w:r>
      <w:r>
        <w:rPr>
          <w:rStyle w:val="FootnoteAnchor"/>
          <w:rtl w:val="true"/>
        </w:rPr>
        <w:footnoteReference w:id="1720"/>
      </w:r>
      <w:r>
        <w:rPr>
          <w:rFonts w:ascii="IRNazanin" w:hAnsi="IRNazanin" w:eastAsia="IRNazanin"/>
          <w:color w:val="111111"/>
          <w:sz w:val="28"/>
          <w:sz w:val="28"/>
          <w:szCs w:val="28"/>
          <w:rtl w:val="true"/>
          <w:lang w:bidi="fa-IR"/>
        </w:rPr>
        <w:t>، و نقله ابن إدریس عن المعظم مع اختیاره الأوّل</w:t>
      </w:r>
      <w:r>
        <w:rPr>
          <w:rStyle w:val="FootnoteAnchor"/>
          <w:rtl w:val="true"/>
        </w:rPr>
        <w:footnoteReference w:id="1721"/>
      </w:r>
      <w:r>
        <w:rPr>
          <w:rFonts w:ascii="IRNazanin" w:hAnsi="IRNazanin" w:eastAsia="IRNazanin"/>
          <w:color w:val="111111"/>
          <w:sz w:val="28"/>
          <w:sz w:val="28"/>
          <w:szCs w:val="28"/>
          <w:rtl w:val="true"/>
          <w:lang w:bidi="fa-IR"/>
        </w:rPr>
        <w:t>، و الروایات</w:t>
      </w:r>
    </w:p>
    <w:p>
      <w:pPr>
        <w:pStyle w:val="BookText"/>
        <w:rPr/>
      </w:pPr>
      <w:r>
        <w:rPr>
          <w:rFonts w:ascii="Amiri" w:hAnsi="Amiri" w:eastAsia="Amiri" w:cs="Amiri"/>
          <w:color w:val="111111"/>
          <w:sz w:val="28"/>
          <w:sz w:val="28"/>
          <w:szCs w:val="28"/>
          <w:rtl w:val="true"/>
          <w:lang w:bidi="ar-SA"/>
        </w:rPr>
        <w:t>متعارضة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مات الواهب قبل الإقباض، بطلت علی الثانی، و تخیّر الوارث فی الإقباض علی الأوّل و النماء یتنزّل</w:t>
      </w:r>
      <w:r>
        <w:rPr>
          <w:rStyle w:val="FootnoteAnchor"/>
          <w:rtl w:val="true"/>
        </w:rPr>
        <w:footnoteReference w:id="1723"/>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العبد الموهوب بالنسبة إلی الفطرة لو لم یقبضه المتّهب قبل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الأصحاب أرادوا باللزوم الصحّة، فإنّ فی کلامهم إشعاراً به، فإنّ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الملک إلاّ بالقبض، و لیس کاشفاً عن حصوله بالعقد</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قائل بأنّ الواهب لو مات، لم تبطل الهبة، فیرتفع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هبة المشاع جائزة و إن أمکنت قسمته ؛ لقول النبیّ صلّی‌اللّه علیه و آله لمن باعه سراویل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أرْجِحْ</w:t>
      </w:r>
      <w:r>
        <w:rPr>
          <w:rFonts w:eastAsia="IRNazanin" w:cs="IRNazanin"/>
          <w:color w:val="111111"/>
          <w:sz w:val="28"/>
          <w:szCs w:val="28"/>
          <w:rtl w:val="true"/>
          <w:lang w:bidi="fa-IR"/>
        </w:rPr>
        <w:t>»</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هبة للراجح المشاع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تسویة الولد فی العطیّة و إن تفاوتوا فی الذکورة و الأُنوثة، و یکره التفضیل، فلو فعل، استحبّ الفسخ مع إمکانه، و لا تبطل الهبة و لا یجب إذاً الاسترجاع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هبة الدین للمدیون إبراء، و لغیره تملیک تلزم بالقبض عند الشیخ</w:t>
      </w:r>
      <w:r>
        <w:rPr>
          <w:rStyle w:val="FootnoteAnchor"/>
          <w:rtl w:val="true"/>
        </w:rPr>
        <w:footnoteReference w:id="1726"/>
      </w:r>
      <w:r>
        <w:rPr>
          <w:rFonts w:ascii="IRNazanin" w:hAnsi="IRNazanin" w:eastAsia="IRNazanin"/>
          <w:color w:val="111111"/>
          <w:sz w:val="28"/>
          <w:sz w:val="28"/>
          <w:szCs w:val="28"/>
          <w:rtl w:val="true"/>
          <w:lang w:bidi="fa-IR"/>
        </w:rPr>
        <w:t>و ابن إدریس</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بالفساد</w:t>
      </w:r>
      <w:r>
        <w:rPr>
          <w:rStyle w:val="FootnoteAnchor"/>
          <w:rtl w:val="true"/>
        </w:rPr>
        <w:footnoteReference w:id="1728"/>
      </w:r>
      <w:r>
        <w:rPr>
          <w:rFonts w:ascii="IRNazanin" w:hAnsi="IRNazanin" w:eastAsia="IRNazanin"/>
          <w:color w:val="111111"/>
          <w:sz w:val="28"/>
          <w:sz w:val="28"/>
          <w:szCs w:val="28"/>
          <w:rtl w:val="true"/>
          <w:lang w:bidi="fa-IR"/>
        </w:rPr>
        <w:t xml:space="preserve">؛ لعدم إمکان قبض الدین ؛ إذ المقبوض متعیّن، و علی </w:t>
      </w:r>
    </w:p>
    <w:p>
      <w:pPr>
        <w:pStyle w:val="BookText"/>
        <w:rPr/>
      </w:pPr>
      <w:r>
        <w:rPr>
          <w:rFonts w:ascii="IRNazanin" w:hAnsi="IRNazanin" w:eastAsia="IRNazanin"/>
          <w:color w:val="111111"/>
          <w:sz w:val="28"/>
          <w:sz w:val="28"/>
          <w:szCs w:val="28"/>
          <w:rtl w:val="true"/>
          <w:lang w:bidi="fa-IR"/>
        </w:rPr>
        <w:t>الصحّة یشترط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الإبراء فأفتی الشیخ</w:t>
      </w:r>
      <w:r>
        <w:rPr>
          <w:rStyle w:val="FootnoteAnchor"/>
          <w:rtl w:val="true"/>
        </w:rPr>
        <w:footnoteReference w:id="1729"/>
      </w:r>
      <w:r>
        <w:rPr>
          <w:rFonts w:ascii="IRNazanin" w:hAnsi="IRNazanin" w:eastAsia="IRNazanin"/>
          <w:color w:val="111111"/>
          <w:sz w:val="28"/>
          <w:sz w:val="28"/>
          <w:szCs w:val="28"/>
          <w:rtl w:val="true"/>
          <w:lang w:bidi="fa-IR"/>
        </w:rPr>
        <w:t>و ابن إدریس باشتراط القبول فیه ؛ حذراً من</w:t>
      </w:r>
    </w:p>
    <w:p>
      <w:pPr>
        <w:pStyle w:val="BookText"/>
        <w:rPr/>
      </w:pPr>
      <w:r>
        <w:rPr>
          <w:rFonts w:ascii="Amiri" w:hAnsi="Amiri" w:eastAsia="Amiri" w:cs="Amiri"/>
          <w:color w:val="111111"/>
          <w:sz w:val="28"/>
          <w:sz w:val="28"/>
          <w:szCs w:val="28"/>
          <w:rtl w:val="true"/>
          <w:lang w:bidi="ar-SA"/>
        </w:rPr>
        <w:t>المنّة</w:t>
      </w:r>
      <w:r>
        <w:rPr>
          <w:rStyle w:val="FootnoteAnchor"/>
          <w:rtl w:val="true"/>
        </w:rPr>
        <w:footnoteReference w:id="1730"/>
      </w:r>
      <w:r>
        <w:rPr>
          <w:rFonts w:ascii="IRNazanin" w:hAnsi="IRNazanin" w:eastAsia="IRNazanin"/>
          <w:color w:val="111111"/>
          <w:sz w:val="28"/>
          <w:sz w:val="28"/>
          <w:szCs w:val="28"/>
          <w:rtl w:val="true"/>
          <w:lang w:bidi="fa-IR"/>
        </w:rPr>
        <w:t>، و قوّی الشیخ عدم الاشتراط</w:t>
      </w:r>
      <w:r>
        <w:rPr>
          <w:rStyle w:val="FootnoteAnchor"/>
          <w:rtl w:val="true"/>
        </w:rPr>
        <w:footnoteReference w:id="1731"/>
      </w: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تَصَدَّقُوا خَیْرٌ لَکُمْ</w:t>
      </w:r>
      <w:r>
        <w:rPr>
          <w:rFonts w:eastAsia="Amiri" w:cs="Amiri" w:ascii="Amiri" w:hAnsi="Amiri"/>
          <w:color w:val="111111"/>
          <w:sz w:val="28"/>
          <w:szCs w:val="28"/>
          <w:rtl w:val="true"/>
          <w:lang w:bidi="ar-SA"/>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قبول الهدیّة ؛ لقوله</w:t>
      </w:r>
      <w:r>
        <w:rPr>
          <w:rStyle w:val="FootnoteAnchor"/>
          <w:rtl w:val="true"/>
        </w:rPr>
        <w:footnoteReference w:id="1733"/>
      </w:r>
      <w:r>
        <w:rPr>
          <w:rFonts w:ascii="Amiri" w:hAnsi="Amiri" w:eastAsia="Amiri" w:cs="Amiri"/>
          <w:color w:val="111111"/>
          <w:sz w:val="28"/>
          <w:sz w:val="28"/>
          <w:szCs w:val="28"/>
          <w:rtl w:val="true"/>
          <w:lang w:bidi="ar-SA"/>
        </w:rPr>
        <w:t xml:space="preserve">صلّی‌اللّه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أُهدی إلیّ کراع لقبلت</w:t>
      </w:r>
      <w:r>
        <w:rPr>
          <w:rFonts w:eastAsia="Amiri" w:cs="Amiri" w:ascii="Amiri" w:hAnsi="Amiri"/>
          <w:color w:val="111111"/>
          <w:sz w:val="28"/>
          <w:szCs w:val="28"/>
          <w:rtl w:val="true"/>
          <w:lang w:bidi="ar-SA"/>
        </w:rPr>
        <w:t>»</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یستحبّ فعلها ؛ لقوله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للإخوان</w:t>
      </w:r>
      <w:r>
        <w:rPr>
          <w:rStyle w:val="FootnoteAnchor"/>
          <w:rtl w:val="true"/>
        </w:rPr>
        <w:footnoteReference w:id="1736"/>
      </w:r>
      <w:r>
        <w:rPr>
          <w:rFonts w:ascii="Amiri" w:hAnsi="Amiri" w:eastAsia="Amiri" w:cs="Amiri"/>
          <w:color w:val="111111"/>
          <w:sz w:val="28"/>
          <w:sz w:val="28"/>
          <w:szCs w:val="28"/>
          <w:rtl w:val="true"/>
          <w:lang w:bidi="ar-SA"/>
        </w:rPr>
        <w:t>أفضل من الصدقة</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الرجوع فی الهبة قبل القبض مطلقاً، و لا یجوز بعده لولده الصغیر إجماعاً، و لا باقی الأقارب علی الأقوی ؛ لصحیحة محمّد بن مسلم، عن الباقر علیه‌السّلام</w:t>
      </w:r>
      <w:r>
        <w:rPr>
          <w:rStyle w:val="FootnoteAnchor"/>
          <w:rtl w:val="true"/>
        </w:rPr>
        <w:footnoteReference w:id="1738"/>
      </w:r>
      <w:r>
        <w:rPr>
          <w:rFonts w:ascii="IRNazanin" w:hAnsi="IRNazanin" w:eastAsia="IRNazanin"/>
          <w:color w:val="111111"/>
          <w:sz w:val="28"/>
          <w:sz w:val="28"/>
          <w:szCs w:val="28"/>
          <w:rtl w:val="true"/>
          <w:lang w:bidi="fa-IR"/>
        </w:rPr>
        <w:t>، و بإزائها روایة المعلّی بن خنیس، عن الصادق علیه‌السّلام</w:t>
      </w:r>
      <w:r>
        <w:rPr>
          <w:rStyle w:val="FootnoteAnchor"/>
          <w:rtl w:val="true"/>
        </w:rPr>
        <w:footnoteReference w:id="1739"/>
      </w:r>
      <w:r>
        <w:rPr>
          <w:rFonts w:ascii="IRNazanin" w:hAnsi="IRNazanin" w:eastAsia="IRNazanin"/>
          <w:color w:val="111111"/>
          <w:sz w:val="28"/>
          <w:sz w:val="28"/>
          <w:szCs w:val="28"/>
          <w:rtl w:val="true"/>
          <w:lang w:bidi="fa-IR"/>
        </w:rPr>
        <w:t>، و فی طریقها ضعف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الزوجان فکره الشیخ فی المبسوط منهما</w:t>
      </w:r>
      <w:r>
        <w:rPr>
          <w:rStyle w:val="FootnoteAnchor"/>
          <w:rtl w:val="true"/>
        </w:rPr>
        <w:footnoteReference w:id="1740"/>
      </w:r>
      <w:r>
        <w:rPr>
          <w:rFonts w:ascii="IRNazanin" w:hAnsi="IRNazanin" w:eastAsia="IRNazanin"/>
          <w:color w:val="111111"/>
          <w:sz w:val="28"/>
          <w:sz w:val="28"/>
          <w:szCs w:val="28"/>
          <w:rtl w:val="true"/>
          <w:lang w:bidi="fa-IR"/>
        </w:rPr>
        <w:t xml:space="preserve">، و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هبة الأجنبیّ مع الثواب لا رجوع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التصرّف المتلف أو المخرج</w:t>
      </w:r>
    </w:p>
    <w:p>
      <w:pPr>
        <w:pStyle w:val="BookText"/>
        <w:rPr/>
      </w:pPr>
      <w:r>
        <w:rPr>
          <w:rFonts w:ascii="IRNazanin" w:hAnsi="IRNazanin" w:eastAsia="IRNazanin"/>
          <w:color w:val="111111"/>
          <w:sz w:val="28"/>
          <w:sz w:val="28"/>
          <w:szCs w:val="28"/>
          <w:rtl w:val="true"/>
          <w:lang w:bidi="fa-IR"/>
        </w:rPr>
        <w:t>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التصرّف بالوط‌ء و القصارة و نجارة الخشب خلاف،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مانع من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التصرّف بالرکوب و السکنی و اللبس، فظاهر الشیخ فی النهایة</w:t>
      </w:r>
      <w:r>
        <w:rPr>
          <w:rStyle w:val="FootnoteAnchor"/>
          <w:rtl w:val="true"/>
        </w:rPr>
        <w:footnoteReference w:id="1742"/>
      </w:r>
      <w:r>
        <w:rPr>
          <w:rFonts w:ascii="IRNazanin" w:hAnsi="IRNazanin" w:eastAsia="IRNazanin"/>
          <w:color w:val="111111"/>
          <w:sz w:val="28"/>
          <w:sz w:val="28"/>
          <w:szCs w:val="28"/>
          <w:rtl w:val="true"/>
          <w:lang w:bidi="fa-IR"/>
        </w:rPr>
        <w:t xml:space="preserve">، 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مانع أیضاً</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الروایات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رجوع مع القبض، و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غیر القریب و المثیب</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إذا کانت قائمةً بعینها</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الأصحاب أنّ المتّهب متی تصرّف فی الهبة فلا رجوع فیها</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حملت بغیر تصرّف فرجع الواهب، فالحمل للمتّهب، و کذا یتصرّف إن جوّزنا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ابن حمزة جواز الرجوع فی الحمل ؛ لأ نّه جزء من الأُمّ</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موت المتّهب مانع من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الواهب أولی من غرماء المفلّس</w:t>
      </w:r>
      <w:r>
        <w:rPr>
          <w:rStyle w:val="FootnoteAnchor"/>
          <w:rtl w:val="true"/>
        </w:rPr>
        <w:footnoteReference w:id="1748"/>
      </w:r>
      <w:r>
        <w:rPr>
          <w:rFonts w:ascii="IRNazanin" w:hAnsi="IRNazanin" w:eastAsia="IRNazanin"/>
          <w:color w:val="111111"/>
          <w:sz w:val="28"/>
          <w:sz w:val="28"/>
          <w:szCs w:val="28"/>
          <w:rtl w:val="true"/>
          <w:lang w:bidi="fa-IR"/>
        </w:rPr>
        <w:t>، و اختاره الفاضل</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الهبة المطلقة لا تقتضی الثواب و إن کان المتّهب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فی المبسوط اقتضاؤها الثواب، و فسّر کلامه بإرادة اللزوم بالثواب</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للأعلی تلزم العوض عنها بمثلها</w:t>
      </w:r>
      <w:r>
        <w:rPr>
          <w:rStyle w:val="FootnoteAnchor"/>
          <w:rtl w:val="true"/>
        </w:rPr>
        <w:footnoteReference w:id="1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التصرّف فیها قبله، و لو رضی الواهب بدونه،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الثواب و عیّنه، تخیّر المتّهب بینه و بین 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w:t>
      </w:r>
    </w:p>
    <w:p>
      <w:pPr>
        <w:pStyle w:val="BookText"/>
        <w:rPr/>
      </w:pPr>
      <w:r>
        <w:rPr>
          <w:rFonts w:ascii="IRNazanin" w:hAnsi="IRNazanin" w:eastAsia="IRNazanin"/>
          <w:color w:val="111111"/>
          <w:sz w:val="28"/>
          <w:sz w:val="28"/>
          <w:szCs w:val="28"/>
          <w:rtl w:val="true"/>
          <w:lang w:bidi="fa-IR"/>
        </w:rPr>
        <w:t xml:space="preserve">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العوض، کالبیع</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أطلق، صرف إلی المعتاد عند الشیخ</w:t>
      </w:r>
      <w:r>
        <w:rPr>
          <w:rStyle w:val="FootnoteAnchor"/>
          <w:rtl w:val="true"/>
        </w:rPr>
        <w:footnoteReference w:id="1753"/>
      </w:r>
      <w:r>
        <w:rPr>
          <w:rFonts w:ascii="IRNazanin" w:hAnsi="IRNazanin" w:eastAsia="IRNazanin"/>
          <w:color w:val="111111"/>
          <w:sz w:val="28"/>
          <w:sz w:val="28"/>
          <w:szCs w:val="28"/>
          <w:rtl w:val="true"/>
          <w:lang w:bidi="fa-IR"/>
        </w:rPr>
        <w:t>، کما یصرف إلیه لو لم یشرط</w:t>
      </w:r>
      <w:r>
        <w:rPr>
          <w:rStyle w:val="FootnoteAnchor"/>
          <w:rtl w:val="true"/>
        </w:rPr>
        <w:footnoteReference w:id="1754"/>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عند إطلاق شرط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أن یعطیه حتّی یرضی</w:t>
      </w:r>
      <w:r>
        <w:rPr>
          <w:rStyle w:val="FootnoteAnchor"/>
          <w:rtl w:val="true"/>
        </w:rPr>
        <w:footnoteReference w:id="1755"/>
      </w:r>
      <w:r>
        <w:rPr>
          <w:rFonts w:ascii="Amiri" w:hAnsi="Amiri" w:eastAsia="Amiri" w:cs="Amiri"/>
          <w:color w:val="111111"/>
          <w:sz w:val="28"/>
          <w:sz w:val="28"/>
          <w:szCs w:val="28"/>
          <w:rtl w:val="true"/>
          <w:lang w:bidi="ar-SA"/>
        </w:rPr>
        <w:t>، کما فعل النبیّ صلّی‌اللّه علیه و آله بِمُهدی اللَّقوح</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امتنع المتّهب من الإثابة، رجع الواهب، و لو تلفت العین حینئذٍ أو نقصت، ضمنها المتّهب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الواهب الهبة، فسد البیع فی کلّ ما لیس له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صحّته فیما له فیه الرجوع خلاف، فأفسده الشیخ</w:t>
      </w:r>
      <w:r>
        <w:rPr>
          <w:rStyle w:val="FootnoteAnchor"/>
          <w:rtl w:val="true"/>
        </w:rPr>
        <w:footnoteReference w:id="1757"/>
      </w:r>
      <w:r>
        <w:rPr>
          <w:rFonts w:ascii="IRNazanin" w:hAnsi="IRNazanin" w:eastAsia="IRNazanin"/>
          <w:color w:val="111111"/>
          <w:sz w:val="28"/>
          <w:sz w:val="28"/>
          <w:szCs w:val="28"/>
          <w:rtl w:val="true"/>
          <w:lang w:bidi="fa-IR"/>
        </w:rPr>
        <w:t>؛ لعدم مصادفة البیع الملک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 القائل بالصحّة بتضمّن البیع الرجوع</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bookmarkStart w:id="241" w:name="pg13665_219246"/>
    </w:p>
    <w:p>
      <w:pPr>
        <w:pStyle w:val="BookText"/>
        <w:rPr/>
      </w:pPr>
      <w:bookmarkEnd w:id="241"/>
      <w:r>
        <w:rPr>
          <w:rFonts w:ascii="IRNazanin" w:hAnsi="IRNazanin" w:eastAsia="IRNazanin"/>
          <w:color w:val="111111"/>
          <w:sz w:val="28"/>
          <w:sz w:val="28"/>
          <w:szCs w:val="28"/>
          <w:rtl w:val="true"/>
          <w:lang w:bidi="fa-IR"/>
        </w:rPr>
        <w:t>نعم، لو کانت الهبة فاسدة، صحّ البیع إن علم بفسادها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جهل فکذلک عند الشیخ</w:t>
      </w:r>
      <w:r>
        <w:rPr>
          <w:rStyle w:val="FootnoteAnchor"/>
          <w:rtl w:val="true"/>
        </w:rPr>
        <w:footnoteReference w:id="1759"/>
      </w:r>
      <w:r>
        <w:rPr>
          <w:rFonts w:ascii="IRNazanin" w:hAnsi="IRNazanin" w:eastAsia="IRNazanin"/>
          <w:color w:val="111111"/>
          <w:sz w:val="28"/>
          <w:sz w:val="28"/>
          <w:szCs w:val="28"/>
          <w:rtl w:val="true"/>
          <w:lang w:bidi="fa-IR"/>
        </w:rPr>
        <w:t>، کما لو باع مال مورّثه فصادف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یفرّق بینهما بالقصد إلی صیغة صحیحة فی</w:t>
      </w:r>
      <w:r>
        <w:rPr>
          <w:rStyle w:val="FootnoteAnchor"/>
          <w:rtl w:val="true"/>
        </w:rPr>
        <w:footnoteReference w:id="1760"/>
      </w:r>
      <w:r>
        <w:rPr>
          <w:rFonts w:ascii="IRNazanin" w:hAnsi="IRNazanin" w:eastAsia="IRNazanin"/>
          <w:color w:val="111111"/>
          <w:sz w:val="28"/>
          <w:sz w:val="28"/>
          <w:szCs w:val="28"/>
          <w:rtl w:val="true"/>
          <w:lang w:bidi="fa-IR"/>
        </w:rPr>
        <w:t>مال المورّث، بخلاف الموهوب</w:t>
      </w:r>
      <w:r>
        <w:rPr>
          <w:rFonts w:eastAsia="IRNazanin" w:cs="IRNazanin"/>
          <w:color w:val="111111"/>
          <w:sz w:val="28"/>
          <w:szCs w:val="28"/>
          <w:rtl w:val="true"/>
          <w:lang w:bidi="fa-IR"/>
        </w:rPr>
        <w:t>.</w:t>
      </w:r>
    </w:p>
    <w:p>
      <w:pPr>
        <w:pStyle w:val="Heading3"/>
        <w:numPr>
          <w:ilvl w:val="2"/>
          <w:numId w:val="1"/>
        </w:numPr>
        <w:rPr/>
      </w:pPr>
      <w:bookmarkStart w:id="242" w:name="__RefHeading___Toc2071371_3830689328"/>
      <w:bookmarkStart w:id="243" w:name="_Toc80"/>
      <w:bookmarkEnd w:id="242"/>
      <w:r>
        <w:rPr>
          <w:rtl w:val="true"/>
        </w:rPr>
        <w:t xml:space="preserve">درس </w:t>
      </w:r>
      <w:r>
        <w:rPr>
          <w:rtl w:val="true"/>
        </w:rPr>
        <w:t>(</w:t>
      </w:r>
      <w:r>
        <w:rPr/>
        <w:t>173</w:t>
      </w:r>
      <w:r>
        <w:rPr>
          <w:rtl w:val="true"/>
        </w:rPr>
        <w:t>)</w:t>
      </w:r>
      <w:bookmarkEnd w:id="243"/>
    </w:p>
    <w:p>
      <w:pPr>
        <w:pStyle w:val="BookText"/>
        <w:rPr/>
      </w:pPr>
      <w:r>
        <w:rPr>
          <w:rFonts w:ascii="IRNazanin" w:hAnsi="IRNazanin" w:eastAsia="IRNazanin"/>
          <w:color w:val="111111"/>
          <w:sz w:val="28"/>
          <w:sz w:val="28"/>
          <w:szCs w:val="28"/>
          <w:rtl w:val="true"/>
          <w:lang w:bidi="fa-IR"/>
        </w:rPr>
        <w:t>قبض الولیّ و قبوله بعد إیجابه للمولّی علیه کافٍ و إن کان وصیّاً، خلافاً للشیخ فیه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وهب ابنته البالغ فی حضانته، لم یکف قبضه عنها، خلافاً لابن الجنید</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وهبه ما فی یده، قوّی الشیخ فی المبسوط أنّ الإذن فی القبض غیر شرط</w:t>
      </w:r>
      <w:r>
        <w:rPr>
          <w:rStyle w:val="FootnoteAnchor"/>
          <w:rtl w:val="true"/>
        </w:rPr>
        <w:footnoteReference w:id="1763"/>
      </w:r>
      <w:r>
        <w:rPr>
          <w:rFonts w:ascii="IRNazanin" w:hAnsi="IRNazanin" w:eastAsia="IRNazanin"/>
          <w:color w:val="111111"/>
          <w:sz w:val="28"/>
          <w:sz w:val="28"/>
          <w:szCs w:val="28"/>
          <w:rtl w:val="true"/>
          <w:lang w:bidi="fa-IR"/>
        </w:rPr>
        <w:t>؛ لأنّ إقرار یده علیه بعد العقد دلیل علی رضاه بالقبض، لکن یشترط</w:t>
      </w:r>
      <w:r>
        <w:rPr>
          <w:rStyle w:val="FootnoteAnchor"/>
          <w:rtl w:val="true"/>
        </w:rPr>
        <w:footnoteReference w:id="1764"/>
      </w:r>
      <w:r>
        <w:rPr>
          <w:rFonts w:ascii="IRNazanin" w:hAnsi="IRNazanin" w:eastAsia="IRNazanin"/>
          <w:color w:val="111111"/>
          <w:sz w:val="28"/>
          <w:sz w:val="28"/>
          <w:szCs w:val="28"/>
          <w:rtl w:val="true"/>
          <w:lang w:bidi="fa-IR"/>
        </w:rPr>
        <w:t>مضیّ زمان یمکن فیه القبض، و أنکر ذلک المحقّق</w:t>
      </w:r>
      <w:r>
        <w:rPr>
          <w:rStyle w:val="FootnoteAnchor"/>
          <w:rtl w:val="true"/>
        </w:rPr>
        <w:footnoteReference w:id="1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الغاصب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المشاع یعتبر فیه إذن الشریک و إن کان غیر منقول، فلو وکّل المتّهب الشریک فی القبض، صحّ، و إن تعاسرا، نصب الحاکم أمیناً لقبض الجمیع، نصفه أمانة و نصفه للمتّهب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المنقول یکفی فیه التخلیة عن إذن الشریک</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التخلیة فی المنقول أیضاً</w:t>
      </w: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مفارق لقاعدته فی </w:t>
      </w:r>
    </w:p>
    <w:p>
      <w:pPr>
        <w:pStyle w:val="BookText"/>
        <w:rPr/>
      </w:pPr>
      <w:r>
        <w:rPr>
          <w:rFonts w:ascii="IRNazanin" w:hAnsi="IRNazanin" w:eastAsia="IRNazanin"/>
          <w:color w:val="111111"/>
          <w:sz w:val="28"/>
          <w:sz w:val="28"/>
          <w:szCs w:val="28"/>
          <w:rtl w:val="true"/>
          <w:lang w:bidi="fa-IR"/>
        </w:rPr>
        <w:t>القبض، و اعتذاره بأنّ عدم القدرة شرعاً ملحقة بغیر المنقول، ممنوع ؛ لأ نّا نتکلّم علی تقدیر التمکّن من الحاکم، أمّا مع عدم التمکّن منه فما قاله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القبض إذن الواهب، و إن کان فی المجلس فقبضه بغیر إذنه، لم یعتدّ به عندنا، و لو رجع فی الإذن، صحّ ما لم یکن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التقدّم و التأخّر، فإن اتّفقا علی زمان أحدهما و اختلفا فی الآخر، قدّم قول مدّعی التأخّر، و إن اختلفا فی الزمانین، احتمل تقدیم الراجع ؛ لتکافؤ الدعویین</w:t>
      </w:r>
      <w:r>
        <w:rPr>
          <w:rStyle w:val="FootnoteAnchor"/>
          <w:rtl w:val="true"/>
        </w:rPr>
        <w:footnoteReference w:id="1768"/>
      </w:r>
      <w:r>
        <w:rPr>
          <w:rFonts w:ascii="IRNazanin" w:hAnsi="IRNazanin" w:eastAsia="IRNazanin"/>
          <w:color w:val="111111"/>
          <w:sz w:val="28"/>
          <w:sz w:val="28"/>
          <w:szCs w:val="28"/>
          <w:rtl w:val="true"/>
          <w:lang w:bidi="fa-IR"/>
        </w:rPr>
        <w:t>و الشکّ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یجعل دعوی الرجوع فی الإذن حیث تبطل الدعوی رجوعاً فی الهبة حیث یصحّ</w:t>
      </w:r>
      <w:r>
        <w:rPr>
          <w:rStyle w:val="FootnoteAnchor"/>
          <w:rtl w:val="true"/>
        </w:rPr>
        <w:footnoteReference w:id="1769"/>
      </w:r>
      <w:r>
        <w:rPr>
          <w:rFonts w:ascii="IRNazanin" w:hAnsi="IRNazanin" w:eastAsia="IRNazanin"/>
          <w:color w:val="111111"/>
          <w:sz w:val="28"/>
          <w:sz w:val="28"/>
          <w:szCs w:val="28"/>
          <w:rtl w:val="true"/>
          <w:lang w:bidi="fa-IR"/>
        </w:rPr>
        <w:t>الرجوع ؟ یحتمل ذلک ؛ لتضمّنه، و عدمه ؛ لأنّ الفاسد یفسد ما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رجع فی الإذن بعد القبض فإنّه لا یفید الرجوع فی الهبة 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الواهب بالهبة و الإقباض، حکم علیه و إن کان فی یده ما لم یعلم کذبه، فلو ادّعی المواطاة، أُحلف المتّهب علی وقوع القبض لا علی عدم 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وهبته و خرجت منه إلیه، فلیس بصریح فی الإقباض ؛ لإمکان حمله علی الإذن فی القبض</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وهبته و ملّکته،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أقبضه، حلف ؛ لجواز اعتقاده الملک بالعقد، کما یظهر من کلام بعض أصحابنا</w:t>
      </w:r>
      <w:r>
        <w:rPr>
          <w:rStyle w:val="FootnoteAnchor"/>
          <w:rtl w:val="true"/>
        </w:rPr>
        <w:footnoteReference w:id="1770"/>
      </w:r>
      <w:r>
        <w:rPr>
          <w:rStyle w:val="FootnoteAnchor"/>
          <w:rtl w:val="true"/>
        </w:rPr>
        <w:footnoteReference w:id="1771"/>
      </w:r>
      <w:r>
        <w:rPr>
          <w:rFonts w:ascii="IRNazanin" w:hAnsi="IRNazanin" w:eastAsia="IRNazanin"/>
          <w:color w:val="111111"/>
          <w:sz w:val="28"/>
          <w:sz w:val="28"/>
          <w:szCs w:val="28"/>
          <w:rtl w:val="true"/>
          <w:lang w:bidi="fa-IR"/>
        </w:rPr>
        <w:t>، و صرّح الشیخ هنا و هو منهم بالحوالة علی قول بعض العامّة بالملک بالعقد</w:t>
      </w:r>
      <w:r>
        <w:rPr>
          <w:rStyle w:val="FootnoteAnchor"/>
          <w:rtl w:val="true"/>
        </w:rPr>
        <w:footnoteReference w:id="1772"/>
      </w:r>
      <w:r>
        <w:rPr>
          <w:rFonts w:ascii="IRNazanin" w:hAnsi="IRNazanin" w:eastAsia="IRNazanin"/>
          <w:color w:val="111111"/>
          <w:sz w:val="28"/>
          <w:sz w:val="28"/>
          <w:szCs w:val="28"/>
          <w:rtl w:val="true"/>
          <w:lang w:bidi="fa-IR"/>
        </w:rPr>
        <w:t xml:space="preserve">، و هذا دلیل علی قبول کلام الشیخ </w:t>
      </w:r>
    </w:p>
    <w:p>
      <w:pPr>
        <w:pStyle w:val="BookText"/>
        <w:rPr/>
      </w:pPr>
      <w:r>
        <w:rPr>
          <w:rFonts w:ascii="IRNazanin" w:hAnsi="IRNazanin" w:eastAsia="IRNazanin"/>
          <w:color w:val="111111"/>
          <w:sz w:val="28"/>
          <w:sz w:val="28"/>
          <w:szCs w:val="28"/>
          <w:rtl w:val="true"/>
          <w:lang w:bidi="fa-IR"/>
        </w:rPr>
        <w:t>أنّ القبض شرط فی اللزوم للتأویل، کما مرّ</w:t>
      </w:r>
      <w:r>
        <w:rPr>
          <w:rStyle w:val="FootnoteAnchor"/>
          <w:rtl w:val="true"/>
        </w:rPr>
        <w:footnoteReference w:id="1773"/>
      </w:r>
      <w:r>
        <w:rPr>
          <w:rFonts w:ascii="IRNazanin" w:hAnsi="IRNazanin" w:eastAsia="IRNazanin"/>
          <w:color w:val="111111"/>
          <w:sz w:val="28"/>
          <w:sz w:val="28"/>
          <w:szCs w:val="28"/>
          <w:rtl w:val="true"/>
          <w:lang w:bidi="fa-IR"/>
        </w:rPr>
        <w:t>؛ دفعاً للتناقض عن کلامیه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الواهب بعد نقص العین، فلا أرش له إلاّ فی هبة الثواب، و إن رجع بعد زیادتها زیادة متّصلة کالسمن، فللواهب ؛ لأنّ هذا النماء یتبع الأصل، و إن انفصلت کالثمرة، فهی للمتّهب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بعد إجارة العین أو تزویجها أو إعارتها،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بعد الکتابة و الرهن، روعی العجز فی المکاتب و افتکاک الرهن فی صحّة الرجوع، قالهما فی المبسوط</w:t>
      </w:r>
      <w:r>
        <w:rPr>
          <w:rStyle w:val="FootnoteAnchor"/>
          <w:rtl w:val="true"/>
        </w:rPr>
        <w:footnoteReference w:id="1774"/>
      </w:r>
      <w:r>
        <w:rPr>
          <w:rFonts w:ascii="IRNazanin" w:hAnsi="IRNazanin" w:eastAsia="IRNazanin"/>
          <w:color w:val="111111"/>
          <w:sz w:val="28"/>
          <w:sz w:val="28"/>
          <w:szCs w:val="28"/>
          <w:rtl w:val="true"/>
          <w:lang w:bidi="fa-IR"/>
        </w:rPr>
        <w:t>، و حکم بأنّ کلّ موضع للواهب الرجوع</w:t>
      </w:r>
    </w:p>
    <w:p>
      <w:pPr>
        <w:pStyle w:val="BookText"/>
        <w:rPr/>
      </w:pPr>
      <w:r>
        <w:rPr>
          <w:rFonts w:ascii="Amiri" w:hAnsi="Amiri" w:eastAsia="Amiri" w:cs="Amiri"/>
          <w:color w:val="111111"/>
          <w:sz w:val="28"/>
          <w:sz w:val="28"/>
          <w:szCs w:val="28"/>
          <w:rtl w:val="true"/>
          <w:lang w:bidi="ar-SA"/>
        </w:rPr>
        <w:t>فللمتصدّق تطوّعاً الرجوع</w:t>
      </w:r>
      <w:r>
        <w:rPr>
          <w:rStyle w:val="FootnoteAnchor"/>
          <w:rtl w:val="true"/>
        </w:rPr>
        <w:footnoteReference w:id="1775"/>
      </w:r>
      <w:r>
        <w:rPr>
          <w:rFonts w:ascii="IRNazanin" w:hAnsi="IRNazanin" w:eastAsia="IRNazanin"/>
          <w:color w:val="111111"/>
          <w:sz w:val="28"/>
          <w:sz w:val="28"/>
          <w:szCs w:val="28"/>
          <w:rtl w:val="true"/>
          <w:lang w:bidi="fa-IR"/>
        </w:rPr>
        <w:t xml:space="preserve">، و 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فی الصدقة ؛ لأنّ الغرض بها القربة و قد حصلت</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أهدی إلیه شیئاً فمات، فللمُهدی استرجاعه</w:t>
      </w:r>
      <w:r>
        <w:rPr>
          <w:rStyle w:val="FootnoteAnchor"/>
          <w:rtl w:val="true"/>
        </w:rPr>
        <w:footnoteReference w:id="1777"/>
      </w:r>
      <w:r>
        <w:rPr>
          <w:rFonts w:ascii="IRNazanin" w:hAnsi="IRNazanin" w:eastAsia="IRNazanin"/>
          <w:color w:val="111111"/>
          <w:sz w:val="28"/>
          <w:sz w:val="28"/>
          <w:szCs w:val="28"/>
          <w:rtl w:val="true"/>
          <w:lang w:bidi="fa-IR"/>
        </w:rPr>
        <w:t>، و إن مات المهدی، فلوارثه الخیار ؛ لأ نّه لا یملکها بالوصول إلیه إنّما یملکها بالعقد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یکون إباحةً للتصرّف حیث یکون متصوّراً، فلو کانت جاریة، لم یحلّ</w:t>
      </w:r>
      <w:r>
        <w:rPr>
          <w:rStyle w:val="FootnoteAnchor"/>
          <w:rtl w:val="true"/>
        </w:rPr>
        <w:footnoteReference w:id="1778"/>
      </w:r>
      <w:r>
        <w:rPr>
          <w:rFonts w:ascii="IRNazanin" w:hAnsi="IRNazanin" w:eastAsia="IRNazanin"/>
          <w:color w:val="111111"/>
          <w:sz w:val="28"/>
          <w:sz w:val="28"/>
          <w:szCs w:val="28"/>
          <w:rtl w:val="true"/>
          <w:lang w:bidi="fa-IR"/>
        </w:rPr>
        <w:t>و طؤها ؛ لأنّ الاستمتاع لا یحصل بالإباحة، فمن أراد تملیک</w:t>
      </w:r>
      <w:r>
        <w:rPr>
          <w:rStyle w:val="FootnoteAnchor"/>
          <w:rtl w:val="true"/>
        </w:rPr>
        <w:footnoteReference w:id="1779"/>
      </w:r>
      <w:r>
        <w:rPr>
          <w:rFonts w:ascii="IRNazanin" w:hAnsi="IRNazanin" w:eastAsia="IRNazanin"/>
          <w:color w:val="111111"/>
          <w:sz w:val="28"/>
          <w:sz w:val="28"/>
          <w:szCs w:val="28"/>
          <w:rtl w:val="true"/>
          <w:lang w:bidi="fa-IR"/>
        </w:rPr>
        <w:t>المُهدی إلیه، وکّل رسوله فی الإیجاب و الإقباض، و یحتمل عدم الحاجة إلی الإیجاب و القبول لفظاً، و یکفی الفعل الدالّ علیهما ؛ لأنّ الهدایا کانت تحمل إلی النبیّ صلّی‌اللّه علیه و آله و لم ینقل أ نّه راعی العقد</w:t>
      </w:r>
      <w:r>
        <w:rPr>
          <w:rStyle w:val="FootnoteAnchor"/>
          <w:rtl w:val="true"/>
        </w:rPr>
        <w:footnoteReference w:id="1780"/>
      </w:r>
      <w:r>
        <w:rPr>
          <w:rFonts w:ascii="IRNazanin" w:hAnsi="IRNazanin" w:eastAsia="IRNazanin"/>
          <w:color w:val="111111"/>
          <w:sz w:val="28"/>
          <w:sz w:val="28"/>
          <w:szCs w:val="28"/>
          <w:rtl w:val="true"/>
          <w:lang w:bidi="fa-IR"/>
        </w:rPr>
        <w:t xml:space="preserve">، و یبعد حمله علی الإباحة ؛ لأ نّه کان یتصرّف فیه </w:t>
      </w:r>
    </w:p>
    <w:p>
      <w:pPr>
        <w:pStyle w:val="BookText"/>
        <w:rPr/>
      </w:pPr>
      <w:r>
        <w:rPr>
          <w:rFonts w:ascii="Amiri" w:hAnsi="Amiri" w:eastAsia="Amiri" w:cs="Amiri"/>
          <w:color w:val="111111"/>
          <w:sz w:val="28"/>
          <w:sz w:val="28"/>
          <w:szCs w:val="28"/>
          <w:rtl w:val="true"/>
          <w:lang w:bidi="ar-SA"/>
        </w:rPr>
        <w:t>تصرّف الملاّک</w:t>
      </w:r>
      <w:r>
        <w:rPr>
          <w:rStyle w:val="FootnoteAnchor"/>
          <w:rtl w:val="true"/>
        </w:rPr>
        <w:footnoteReference w:id="1781"/>
      </w:r>
      <w:r>
        <w:rPr>
          <w:rFonts w:ascii="IRNazanin" w:hAnsi="IRNazanin" w:eastAsia="IRNazanin"/>
          <w:color w:val="111111"/>
          <w:sz w:val="28"/>
          <w:sz w:val="28"/>
          <w:szCs w:val="28"/>
          <w:rtl w:val="true"/>
          <w:lang w:bidi="fa-IR"/>
        </w:rPr>
        <w:t>، و علی هذا الناس فی سائر الأعصار و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هبة الحمل و اللبن فی الضرع، و الصوف علی ظهور الأنعام، و قبضها بقبض حاملها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هبة شاة من قطیع، أو بعض من ثوب لم یعیّنه الواهب،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تصحّ هبة نصف الصبرة المجهولة و کلّها، إلاّ أن یعلمه المتّهب و یجهله الواهب فالمنع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وهبه ما فیه غرر، کملک لا یعلم أحدهما موضعه و لا حدوده و حقوقه ؛ لاختلاف الأغراض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الرقاع المنفذة إلی الغیر یجوز له التصرّف فیها، کالهدیّة، إلاّ أن یعلم إرادة</w:t>
      </w:r>
    </w:p>
    <w:p>
      <w:pPr>
        <w:pStyle w:val="BookText"/>
        <w:rPr/>
      </w:pPr>
      <w:r>
        <w:rPr>
          <w:rFonts w:ascii="IRNazanin" w:hAnsi="IRNazanin" w:eastAsia="IRNazanin"/>
          <w:color w:val="111111"/>
          <w:sz w:val="28"/>
          <w:sz w:val="28"/>
          <w:szCs w:val="28"/>
          <w:rtl w:val="true"/>
          <w:lang w:bidi="fa-IR"/>
        </w:rPr>
        <w:t>المنفذ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المنفذ إلیه، جاز لوارثه التصرّف و هل یقع موروثه ؟ فیه نظر، من إجرائه مجری الهدیّة، فیکون فیها الکلام السالف</w:t>
      </w:r>
      <w:r>
        <w:rPr>
          <w:rStyle w:val="FootnoteAnchor"/>
          <w:rtl w:val="true"/>
        </w:rPr>
        <w:footnoteReference w:id="1782"/>
      </w:r>
      <w:r>
        <w:rPr>
          <w:rFonts w:ascii="IRNazanin" w:hAnsi="IRNazanin" w:eastAsia="IRNazanin"/>
          <w:color w:val="111111"/>
          <w:sz w:val="28"/>
          <w:sz w:val="28"/>
          <w:szCs w:val="28"/>
          <w:rtl w:val="true"/>
          <w:lang w:bidi="fa-IR"/>
        </w:rPr>
        <w:t>، و من أ نّه یعدّ إباحة و قد اقترن</w:t>
      </w:r>
    </w:p>
    <w:p>
      <w:pPr>
        <w:pStyle w:val="BookText"/>
        <w:rPr/>
      </w:pPr>
      <w:r>
        <w:rPr>
          <w:rFonts w:ascii="IRNazanin" w:hAnsi="IRNazanin" w:eastAsia="IRNazanin"/>
          <w:color w:val="111111"/>
          <w:sz w:val="28"/>
          <w:sz w:val="28"/>
          <w:szCs w:val="28"/>
          <w:rtl w:val="true"/>
          <w:lang w:bidi="fa-IR"/>
        </w:rPr>
        <w:t>بالید، فهو کسائر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نیّة التملّک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هبة المجهول مطلقاً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هبة بیضة الدجاجة قبل انفصالها احتمال،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إذا جرت العادة بالانفصال بعد الهبة بغیر تجدّد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الإبراء من المجهول جائز عند الشیخ</w:t>
      </w:r>
      <w:r>
        <w:rPr>
          <w:rStyle w:val="FootnoteAnchor"/>
          <w:rtl w:val="true"/>
        </w:rPr>
        <w:footnoteReference w:id="1783"/>
      </w:r>
      <w:r>
        <w:rPr>
          <w:rFonts w:ascii="IRNazanin" w:hAnsi="IRNazanin" w:eastAsia="IRNazanin"/>
          <w:color w:val="111111"/>
          <w:sz w:val="28"/>
          <w:sz w:val="28"/>
          <w:szCs w:val="28"/>
          <w:rtl w:val="true"/>
          <w:lang w:bidi="fa-IR"/>
        </w:rPr>
        <w:t>، فلو ذکر قدراً فصادف الثبوت صحّ،</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علمه المبرأ خاصّة، لم یبرأ إلاّ ممّا یعتقده المبرئ</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3665_219251"/>
      <w:bookmarkStart w:id="245" w:name="pg13665_219251"/>
      <w:bookmarkEnd w:id="245"/>
    </w:p>
    <w:p>
      <w:pPr>
        <w:pStyle w:val="Heading2"/>
        <w:numPr>
          <w:ilvl w:val="1"/>
          <w:numId w:val="1"/>
        </w:numPr>
        <w:rPr/>
      </w:pPr>
      <w:bookmarkStart w:id="246" w:name="pg13665_219251"/>
      <w:bookmarkStart w:id="247" w:name="__RefHeading___Toc2071373_3830689328"/>
      <w:bookmarkStart w:id="248" w:name="_Toc81"/>
      <w:bookmarkEnd w:id="246"/>
      <w:bookmarkEnd w:id="247"/>
      <w:r>
        <w:rPr>
          <w:rtl w:val="true"/>
        </w:rPr>
        <w:t>کتاب الوصیّة</w:t>
      </w:r>
      <w:bookmarkEnd w:id="24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2071375_3830689328"/>
      <w:bookmarkStart w:id="250" w:name="_Toc82"/>
      <w:bookmarkEnd w:id="249"/>
      <w:r>
        <w:rPr>
          <w:rtl w:val="true"/>
        </w:rPr>
        <w:t>اشاره</w:t>
      </w:r>
      <w:bookmarkEnd w:id="25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الوصیّة</w:t>
      </w:r>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من وصی یصی إذا وصل الشیء بغیره ؛ لأنّ الموصی یصل تصرّفه بعد الموت بما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للموصی و الموصی</w:t>
      </w:r>
      <w:r>
        <w:rPr>
          <w:rStyle w:val="FootnoteAnchor"/>
          <w:rtl w:val="true"/>
        </w:rPr>
        <w:footnoteReference w:id="178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تملیک العین أو المنفعة بعد الوفاة أو جعلها فی جهة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لابدّ فیها من الإیجاب،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داری أو سکناها، أو أعتقوا فلاناً، أو حجّوا عنّی، أو تصدّقوا، أو ابنوا مسجداً، أو له کذا بعد وفاتی، أو أوصیت له، أو جعلت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من مالی بعد وفاتی،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من مالی و لم یعلم منه إرادة ما بعد الوفاة، فهو إقرار فاسد، إلاّ أن یتبعه بقوله بسبب صحیح أو حقّ واجب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و اقتصر و علم إرادة ما بعد الوفاة، کان وصیّة، و إلاّ فهو إقرار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عیّنت له کذا بعد وفاتی، أو عزلت له، أو أرصدت له، فهو کنایة تفتقر إلی القرینة، و مع عدمها لا شیء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تقع الوصیّة بغیر العربیّة، و إن قدر علیها، کسائر العقود الجائزة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وصیّة الأخرس و مَن عجز عن النطق بالإشارة المقطوع بها أو الکتابة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کتب القادر علی النطق، أو أشار لم یجب العمل بها</w:t>
      </w:r>
      <w:r>
        <w:rPr>
          <w:rStyle w:val="FootnoteAnchor"/>
          <w:rtl w:val="true"/>
        </w:rPr>
        <w:footnoteReference w:id="1785"/>
      </w:r>
      <w:r>
        <w:rPr>
          <w:rFonts w:ascii="IRNazanin" w:hAnsi="IRNazanin" w:eastAsia="IRNazanin"/>
          <w:color w:val="111111"/>
          <w:sz w:val="28"/>
          <w:sz w:val="28"/>
          <w:szCs w:val="28"/>
          <w:rtl w:val="true"/>
          <w:lang w:bidi="fa-IR"/>
        </w:rPr>
        <w:t>و لو شوهد کاتباً أو علم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الورثة ببعضها، لزمهم العمل بجمیعها</w:t>
      </w:r>
      <w:r>
        <w:rPr>
          <w:rStyle w:val="FootnoteAnchor"/>
          <w:rtl w:val="true"/>
        </w:rPr>
        <w:footnoteReference w:id="1786"/>
      </w:r>
      <w:r>
        <w:rPr>
          <w:rFonts w:ascii="IRNazanin" w:hAnsi="IRNazanin" w:eastAsia="IRNazanin"/>
          <w:color w:val="111111"/>
          <w:sz w:val="28"/>
          <w:sz w:val="28"/>
          <w:szCs w:val="28"/>
          <w:rtl w:val="true"/>
          <w:lang w:bidi="fa-IR"/>
        </w:rPr>
        <w:t>؛ لمکاتبة الهمدانیّ إلی أبی الحسن علیه‌السّلام</w:t>
      </w:r>
      <w:r>
        <w:rPr>
          <w:rStyle w:val="FootnoteAnchor"/>
          <w:rtl w:val="true"/>
        </w:rPr>
        <w:footnoteReference w:id="1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قاصرة الدلالة، و ربّما حمل علی أنّ العمل بالبعض دلّ علی علمهم بالوصیّة فیجب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للشاهد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ما</w:t>
      </w:r>
      <w:r>
        <w:rPr>
          <w:rStyle w:val="FootnoteAnchor"/>
          <w:rtl w:val="true"/>
        </w:rPr>
        <w:footnoteReference w:id="1788"/>
      </w:r>
      <w:r>
        <w:rPr>
          <w:rFonts w:ascii="IRNazanin" w:hAnsi="IRNazanin" w:eastAsia="IRNazanin"/>
          <w:color w:val="111111"/>
          <w:sz w:val="28"/>
          <w:sz w:val="28"/>
          <w:szCs w:val="28"/>
          <w:rtl w:val="true"/>
          <w:lang w:bidi="fa-IR"/>
        </w:rPr>
        <w:t>فی هذا الکتاب فإنّی عالم به، لم یصر متحمّلاً حتّی یقرأه علیه فیقرّ به، أو یتلفّظ المشهد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حفظه الشاهد عنده،</w:t>
      </w:r>
    </w:p>
    <w:p>
      <w:pPr>
        <w:pStyle w:val="BookText"/>
        <w:rPr/>
      </w:pPr>
      <w:r>
        <w:rPr>
          <w:rFonts w:ascii="IRNazanin" w:hAnsi="IRNazanin" w:eastAsia="IRNazanin"/>
          <w:color w:val="111111"/>
          <w:sz w:val="28"/>
          <w:sz w:val="28"/>
          <w:szCs w:val="28"/>
          <w:rtl w:val="true"/>
          <w:lang w:bidi="fa-IR"/>
        </w:rPr>
        <w:t>تسلّط علی الشهادة فی الحیاة و الممات</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 لأ نّه غرر و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الوصیّة إن کانت فی جهة عامّة، أو للفقراء مثلاً، أو بالعتق و شبهه، لم یعتبر فیها القبول، و إلاّ اُعتبر من الموصی له، أو ولیّه مع الغبطة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فی القبول الاتّصال بالإیجاب، بل لو قَبِل بعد الوفاة، جاز و إن تراخی القبول ما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قبول إلاّ بعد الوفاة</w:t>
      </w:r>
      <w:r>
        <w:rPr>
          <w:rStyle w:val="FootnoteAnchor"/>
          <w:rtl w:val="true"/>
        </w:rPr>
        <w:footnoteReference w:id="1790"/>
      </w:r>
      <w:r>
        <w:rPr>
          <w:rFonts w:ascii="IRNazanin" w:hAnsi="IRNazanin" w:eastAsia="IRNazanin"/>
          <w:color w:val="111111"/>
          <w:sz w:val="28"/>
          <w:sz w:val="28"/>
          <w:szCs w:val="28"/>
          <w:rtl w:val="true"/>
          <w:lang w:bidi="fa-IR"/>
        </w:rPr>
        <w:t>؛ لأنّ التملیک بعدها، فکیف یقبل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الفاضل فی المختلف</w:t>
      </w:r>
      <w:r>
        <w:rPr>
          <w:rStyle w:val="FootnoteAnchor"/>
          <w:rtl w:val="true"/>
        </w:rPr>
        <w:footnoteReference w:id="1791"/>
      </w:r>
      <w:r>
        <w:rPr>
          <w:rFonts w:ascii="IRNazanin" w:hAnsi="IRNazanin" w:eastAsia="IRNazanin"/>
          <w:color w:val="111111"/>
          <w:sz w:val="28"/>
          <w:sz w:val="28"/>
          <w:szCs w:val="28"/>
          <w:rtl w:val="true"/>
          <w:lang w:bidi="fa-IR"/>
        </w:rPr>
        <w:t>و ابن إدریس</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جوّز الأمرین</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ردّ</w:t>
      </w:r>
      <w:r>
        <w:rPr>
          <w:rStyle w:val="FootnoteAnchor"/>
          <w:rtl w:val="true"/>
        </w:rPr>
        <w:footnoteReference w:id="1794"/>
      </w:r>
      <w:r>
        <w:rPr>
          <w:rFonts w:ascii="IRNazanin" w:hAnsi="IRNazanin" w:eastAsia="IRNazanin"/>
          <w:color w:val="111111"/>
          <w:sz w:val="28"/>
          <w:sz w:val="28"/>
          <w:szCs w:val="28"/>
          <w:rtl w:val="true"/>
          <w:lang w:bidi="fa-IR"/>
        </w:rPr>
        <w:t>فی حیاة الموصی، فله القبول بعد وفاته علی المشهور، و إن ردّ بعد الوفاة و قبل القبول، بطلت، و إن ردّ بعد القبول و القبض، لغا الردّ إجماعاً، و إن ردّ بعد</w:t>
      </w:r>
    </w:p>
    <w:p>
      <w:pPr>
        <w:pStyle w:val="BookText"/>
        <w:rPr/>
      </w:pPr>
      <w:r>
        <w:rPr>
          <w:rFonts w:ascii="IRNazanin" w:hAnsi="IRNazanin" w:eastAsia="IRNazanin"/>
          <w:color w:val="111111"/>
          <w:sz w:val="28"/>
          <w:sz w:val="28"/>
          <w:szCs w:val="28"/>
          <w:rtl w:val="true"/>
          <w:lang w:bidi="fa-IR"/>
        </w:rPr>
        <w:t>القبول و قبل القبض، فقولان مبنیّان علی أنّ القبض شرط فی اللزوم أو الصحّة، کالوقف و الهبة، أو لا، کالبیع، و قوّی الشیخ الأوّل</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فی القبول الفعل الدالّ علیه صریحاً، کالأخذ و التصرّف فیه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قبل القبول، فلوارثه القبول، سواء کان موته قبل الموصی أو بعده، و هو اختیار المعظم</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الوصیّة</w:t>
      </w:r>
      <w:r>
        <w:rPr>
          <w:rStyle w:val="FootnoteAnchor"/>
          <w:rtl w:val="true"/>
        </w:rPr>
        <w:footnoteReference w:id="1797"/>
      </w:r>
      <w:r>
        <w:rPr>
          <w:rFonts w:ascii="IRNazanin" w:hAnsi="IRNazanin" w:eastAsia="IRNazanin"/>
          <w:color w:val="111111"/>
          <w:sz w:val="28"/>
          <w:sz w:val="28"/>
          <w:szCs w:val="28"/>
          <w:rtl w:val="true"/>
          <w:lang w:bidi="fa-IR"/>
        </w:rPr>
        <w:t>، و اختاره فی المختلف</w:t>
      </w:r>
      <w:r>
        <w:rPr>
          <w:rStyle w:val="FootnoteAnchor"/>
          <w:rtl w:val="true"/>
        </w:rPr>
        <w:footnoteReference w:id="1798"/>
      </w:r>
      <w:r>
        <w:rPr>
          <w:rFonts w:ascii="IRNazanin" w:hAnsi="IRNazanin" w:eastAsia="IRNazanin"/>
          <w:color w:val="111111"/>
          <w:sz w:val="28"/>
          <w:sz w:val="28"/>
          <w:szCs w:val="28"/>
          <w:rtl w:val="true"/>
          <w:lang w:bidi="fa-IR"/>
        </w:rPr>
        <w:t>، و هو حقّ إن علم تعلّق غرضه بالموروث لا غیر، و به یجمع بین صحیحة محمّد بن مسلم الدالّة علی البطلان</w:t>
      </w:r>
      <w:r>
        <w:rPr>
          <w:rStyle w:val="FootnoteAnchor"/>
          <w:rtl w:val="true"/>
        </w:rPr>
        <w:footnoteReference w:id="1799"/>
      </w:r>
      <w:r>
        <w:rPr>
          <w:rFonts w:ascii="IRNazanin" w:hAnsi="IRNazanin" w:eastAsia="IRNazanin"/>
          <w:color w:val="111111"/>
          <w:sz w:val="28"/>
          <w:sz w:val="28"/>
          <w:szCs w:val="28"/>
          <w:rtl w:val="true"/>
          <w:lang w:bidi="fa-IR"/>
        </w:rPr>
        <w:t>، و روایة محمّد بن قیس الدالّة علی الصحّة</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الموصی له قبل الموصی، بطلت، و إن مات بعده، فلوارثه</w:t>
      </w:r>
      <w:r>
        <w:rPr>
          <w:rStyle w:val="FootnoteAnchor"/>
          <w:rtl w:val="true"/>
        </w:rPr>
        <w:footnoteReference w:id="1801"/>
      </w:r>
      <w:r>
        <w:rPr>
          <w:rFonts w:ascii="IRNazanin" w:hAnsi="IRNazanin" w:eastAsia="IRNazanin"/>
          <w:color w:val="111111"/>
          <w:sz w:val="28"/>
          <w:sz w:val="28"/>
          <w:szCs w:val="28"/>
          <w:rtl w:val="true"/>
          <w:lang w:bidi="fa-IR"/>
        </w:rPr>
        <w:t>، و للورثة التصرّف فی القبول و الردّ، کما للموصی له قبول البعض</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کان موته قبل موت الموصی، لم تدخل العین فی ملکه، و إن کان بعده، ففی دخولها وجهان مبنیّان علی أنّ الملک یحصل للموصی له بوفاة الموصی </w:t>
      </w:r>
    </w:p>
    <w:p>
      <w:pPr>
        <w:pStyle w:val="BookText"/>
        <w:rPr/>
      </w:pPr>
      <w:r>
        <w:rPr>
          <w:rFonts w:ascii="IRNazanin" w:hAnsi="IRNazanin" w:eastAsia="IRNazanin"/>
          <w:color w:val="111111"/>
          <w:sz w:val="28"/>
          <w:sz w:val="28"/>
          <w:szCs w:val="28"/>
          <w:rtl w:val="true"/>
          <w:lang w:bidi="fa-IR"/>
        </w:rPr>
        <w:t>متزلزلاً، فإن قبله، استقرّ علیه، و إن ردّه، انتقل إلی الوارث، کما أنّ الترکة تنتقل</w:t>
      </w:r>
    </w:p>
    <w:p>
      <w:pPr>
        <w:pStyle w:val="BookText"/>
        <w:rPr/>
      </w:pPr>
      <w:r>
        <w:rPr>
          <w:rFonts w:ascii="IRNazanin" w:hAnsi="IRNazanin" w:eastAsia="IRNazanin"/>
          <w:color w:val="111111"/>
          <w:sz w:val="28"/>
          <w:sz w:val="28"/>
          <w:szCs w:val="28"/>
          <w:rtl w:val="true"/>
          <w:lang w:bidi="fa-IR"/>
        </w:rPr>
        <w:t xml:space="preserve">بالوفاة إلی الورثة، أو بالوفاة و القبول، أو یکون القبول کاشفاً، 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ظاهر فتوی الشیخ</w:t>
      </w:r>
      <w:r>
        <w:rPr>
          <w:rStyle w:val="FootnoteAnchor"/>
          <w:rtl w:val="true"/>
        </w:rPr>
        <w:footnoteReference w:id="1802"/>
      </w:r>
      <w:r>
        <w:rPr>
          <w:rFonts w:ascii="IRNazanin" w:hAnsi="IRNazanin" w:eastAsia="IRNazanin"/>
          <w:color w:val="111111"/>
          <w:sz w:val="28"/>
          <w:sz w:val="28"/>
          <w:szCs w:val="28"/>
          <w:rtl w:val="true"/>
          <w:lang w:bidi="fa-IR"/>
        </w:rPr>
        <w:t>، و ابن الجنید</w:t>
      </w:r>
      <w:r>
        <w:rPr>
          <w:rStyle w:val="FootnoteAnchor"/>
          <w:rtl w:val="true"/>
        </w:rPr>
        <w:footnoteReference w:id="1803"/>
      </w:r>
      <w:r>
        <w:rPr>
          <w:rFonts w:ascii="IRNazanin" w:hAnsi="IRNazanin" w:eastAsia="IRNazanin"/>
          <w:color w:val="111111"/>
          <w:sz w:val="28"/>
          <w:sz w:val="28"/>
          <w:szCs w:val="28"/>
          <w:rtl w:val="true"/>
          <w:lang w:bidi="fa-IR"/>
        </w:rPr>
        <w:t>، و تصریح التذکرة</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فی ملک المیّت،</w:t>
      </w:r>
    </w:p>
    <w:p>
      <w:pPr>
        <w:pStyle w:val="BookText"/>
        <w:rPr/>
      </w:pPr>
      <w:r>
        <w:rPr>
          <w:rFonts w:ascii="IRNazanin" w:hAnsi="IRNazanin" w:eastAsia="IRNazanin"/>
          <w:color w:val="111111"/>
          <w:sz w:val="28"/>
          <w:sz w:val="28"/>
          <w:szCs w:val="28"/>
          <w:rtl w:val="true"/>
          <w:lang w:bidi="fa-IR"/>
        </w:rPr>
        <w:t>و یلزمه أحکامه من قضاء دیونه و وصایاه و العتق علیه لو کان ممّن ینعتق</w:t>
      </w:r>
      <w:r>
        <w:rPr>
          <w:rStyle w:val="FootnoteAnchor"/>
          <w:rtl w:val="true"/>
        </w:rPr>
        <w:footnoteReference w:id="1805"/>
      </w:r>
      <w:r>
        <w:rPr>
          <w:rFonts w:ascii="IRNazanin" w:hAnsi="IRNazanin" w:eastAsia="IRNazanin"/>
          <w:color w:val="111111"/>
          <w:sz w:val="28"/>
          <w:sz w:val="28"/>
          <w:szCs w:val="28"/>
          <w:rtl w:val="true"/>
          <w:lang w:bidi="fa-IR"/>
        </w:rPr>
        <w:t>، و الإرث أیضاً، و الشیخ منع من الإرث</w:t>
      </w:r>
      <w:r>
        <w:rPr>
          <w:rStyle w:val="FootnoteAnchor"/>
          <w:rtl w:val="true"/>
        </w:rPr>
        <w:footnoteReference w:id="1806"/>
      </w:r>
      <w:r>
        <w:rPr>
          <w:rFonts w:ascii="IRNazanin" w:hAnsi="IRNazanin" w:eastAsia="IRNazanin"/>
          <w:color w:val="111111"/>
          <w:sz w:val="28"/>
          <w:sz w:val="28"/>
          <w:szCs w:val="28"/>
          <w:rtl w:val="true"/>
          <w:lang w:bidi="fa-IR"/>
        </w:rPr>
        <w:t>و إلاّ لا اعتبر</w:t>
      </w:r>
      <w:r>
        <w:rPr>
          <w:rStyle w:val="FootnoteAnchor"/>
          <w:rtl w:val="true"/>
        </w:rPr>
        <w:footnoteReference w:id="1807"/>
      </w:r>
      <w:r>
        <w:rPr>
          <w:rFonts w:ascii="IRNazanin" w:hAnsi="IRNazanin" w:eastAsia="IRNazanin"/>
          <w:color w:val="111111"/>
          <w:sz w:val="28"/>
          <w:sz w:val="28"/>
          <w:szCs w:val="28"/>
          <w:rtl w:val="true"/>
          <w:lang w:bidi="fa-IR"/>
        </w:rPr>
        <w:t>قبوله فیدور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قبول الوارث فی الحال و کذا علی الثالث</w:t>
      </w:r>
      <w:r>
        <w:rPr>
          <w:rStyle w:val="FootnoteAnchor"/>
          <w:rtl w:val="true"/>
        </w:rPr>
        <w:footnoteReference w:id="1808"/>
      </w:r>
      <w:r>
        <w:rPr>
          <w:rFonts w:ascii="IRNazanin" w:hAnsi="IRNazanin" w:eastAsia="IRNazanin"/>
          <w:color w:val="111111"/>
          <w:sz w:val="28"/>
          <w:sz w:val="28"/>
          <w:szCs w:val="28"/>
          <w:rtl w:val="true"/>
          <w:lang w:bidi="fa-IR"/>
        </w:rPr>
        <w:t>، و علی الثانی لا 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یخلّف الموصی له وارثاً، رجعت الوصیّة إلی ورثة الموصی</w:t>
      </w: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Style w:val="FootnoteAnchor"/>
          <w:rtl w:val="true"/>
        </w:rPr>
        <w:footnoteReference w:id="1810"/>
      </w:r>
      <w:r>
        <w:rPr>
          <w:rFonts w:ascii="IRNazanin" w:hAnsi="IRNazanin" w:eastAsia="IRNazanin"/>
          <w:color w:val="111111"/>
          <w:sz w:val="28"/>
          <w:sz w:val="28"/>
          <w:szCs w:val="28"/>
          <w:rtl w:val="true"/>
          <w:lang w:bidi="fa-IR"/>
        </w:rPr>
        <w:t>؛ لأ نّه وارث عند عدم الوارث</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251" w:name="pg13665_219257"/>
    </w:p>
    <w:p>
      <w:pPr>
        <w:pStyle w:val="Heading3"/>
        <w:numPr>
          <w:ilvl w:val="2"/>
          <w:numId w:val="1"/>
        </w:numPr>
        <w:rPr/>
      </w:pPr>
      <w:bookmarkStart w:id="252" w:name="__RefHeading___Toc2071377_3830689328"/>
      <w:bookmarkStart w:id="253" w:name="_Toc83"/>
      <w:bookmarkEnd w:id="251"/>
      <w:bookmarkEnd w:id="252"/>
      <w:r>
        <w:rPr>
          <w:rtl w:val="true"/>
        </w:rPr>
        <w:t xml:space="preserve">درس </w:t>
      </w:r>
      <w:r>
        <w:rPr>
          <w:rtl w:val="true"/>
        </w:rPr>
        <w:t>(</w:t>
      </w:r>
      <w:r>
        <w:rPr/>
        <w:t>174</w:t>
      </w:r>
      <w:r>
        <w:rPr>
          <w:rtl w:val="true"/>
        </w:rPr>
        <w:t>)</w:t>
      </w:r>
      <w:bookmarkEnd w:id="253"/>
    </w:p>
    <w:p>
      <w:pPr>
        <w:pStyle w:val="BookText"/>
        <w:rPr/>
      </w:pPr>
      <w:r>
        <w:rPr>
          <w:rFonts w:ascii="IRNazanin" w:hAnsi="IRNazanin" w:eastAsia="IRNazanin"/>
          <w:color w:val="111111"/>
          <w:sz w:val="28"/>
          <w:sz w:val="28"/>
          <w:szCs w:val="28"/>
          <w:rtl w:val="true"/>
          <w:lang w:bidi="fa-IR"/>
        </w:rPr>
        <w:t>تجب الوصیّة علی کلّ مَن علیه حقّ یجب إخراجه بعد موته، سواء کان للّه‌</w:t>
      </w:r>
      <w:r>
        <w:rPr>
          <w:rStyle w:val="FootnoteAnchor"/>
          <w:rtl w:val="true"/>
        </w:rPr>
        <w:footnoteReference w:id="1812"/>
      </w:r>
      <w:r>
        <w:rPr>
          <w:rFonts w:ascii="IRNazanin" w:hAnsi="IRNazanin" w:eastAsia="IRNazanin"/>
          <w:color w:val="111111"/>
          <w:sz w:val="28"/>
          <w:sz w:val="28"/>
          <w:szCs w:val="28"/>
          <w:rtl w:val="true"/>
          <w:lang w:bidi="fa-IR"/>
        </w:rPr>
        <w:t>، أو للآدمیّ، و تتضیّق عند أمارة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 الوصیّة بالشهادتین، و الإقرار بالنبیّ صلّی‌اللّه علیه و آله و الأئمّة علیهم‌السّلام، و صدق النبیّ صلّی‌اللّه علیه و آله فی جمیع ما جاء به، و ملازمة</w:t>
      </w:r>
    </w:p>
    <w:p>
      <w:pPr>
        <w:pStyle w:val="BookText"/>
        <w:rPr/>
      </w:pPr>
      <w:r>
        <w:rPr>
          <w:rFonts w:ascii="IRNazanin" w:hAnsi="IRNazanin" w:eastAsia="IRNazanin"/>
          <w:color w:val="111111"/>
          <w:sz w:val="28"/>
          <w:sz w:val="28"/>
          <w:szCs w:val="28"/>
          <w:rtl w:val="true"/>
          <w:lang w:bidi="fa-IR"/>
        </w:rPr>
        <w:t>التقوی للّه فی طاعة أمره و اجتناب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وصیّ نفسه فهو أولی من إسنادها إلی غیره، کما قاله أمیرالمؤمنین علیه‌السّلام</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یعتبر فی الموصی شروط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تنفذ وصیّة المجنون، و السکران، و لا 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الممیّز أقوال،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وصیّته بالمعروف و البرّ إذا بلغ عشراً ؛ للأخبار الصحیحة</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لدون العشر فی البرّ</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لثمانٍ فی الذکر، و سبع فی الأُنثی</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تفرّد ابن إدریس بردّ وصیّة مَن لم یبلغ</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فلا تنفذ وصیّة السفیه إلاّ فی البرّ و المعروف عند المفید</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و سلاّر</w:t>
      </w:r>
      <w:r>
        <w:rPr>
          <w:rStyle w:val="FootnoteAnchor"/>
          <w:rtl w:val="true"/>
        </w:rPr>
        <w:footnoteReference w:id="1819"/>
      </w:r>
      <w:r>
        <w:rPr>
          <w:rFonts w:ascii="Amiri" w:hAnsi="Amiri" w:eastAsia="Amiri" w:cs="Amiri"/>
          <w:color w:val="111111"/>
          <w:sz w:val="28"/>
          <w:sz w:val="28"/>
          <w:szCs w:val="28"/>
          <w:rtl w:val="true"/>
          <w:lang w:bidi="ar-SA"/>
        </w:rPr>
        <w:t>و الحلبیّ</w:t>
      </w:r>
      <w:r>
        <w:rPr>
          <w:rStyle w:val="FootnoteAnchor"/>
          <w:rtl w:val="true"/>
        </w:rPr>
        <w:footnoteReference w:id="1820"/>
      </w:r>
      <w:r>
        <w:rPr>
          <w:rFonts w:ascii="IRNazanin" w:hAnsi="IRNazanin" w:eastAsia="IRNazanin"/>
          <w:color w:val="111111"/>
          <w:sz w:val="28"/>
          <w:sz w:val="28"/>
          <w:szCs w:val="28"/>
          <w:rtl w:val="true"/>
          <w:lang w:bidi="fa-IR"/>
        </w:rPr>
        <w:t xml:space="preserve">، و ظاهر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وصیّته مطلقاً</w:t>
      </w:r>
      <w:r>
        <w:rPr>
          <w:rStyle w:val="FootnoteAnchor"/>
          <w:rtl w:val="true"/>
        </w:rPr>
        <w:footnoteReference w:id="1821"/>
      </w:r>
      <w:r>
        <w:rPr>
          <w:rFonts w:ascii="Amiri" w:hAnsi="Amiri" w:eastAsia="Amiri" w:cs="Amiri"/>
          <w:color w:val="111111"/>
          <w:sz w:val="28"/>
          <w:sz w:val="28"/>
          <w:szCs w:val="28"/>
          <w:rtl w:val="true"/>
          <w:lang w:bidi="ar-SA"/>
        </w:rPr>
        <w:t>، و الفاضل أنفذها مطلقاً تارة</w:t>
      </w:r>
      <w:r>
        <w:rPr>
          <w:rStyle w:val="FootnoteAnchor"/>
          <w:rtl w:val="true"/>
        </w:rPr>
        <w:footnoteReference w:id="1822"/>
      </w:r>
      <w:r>
        <w:rPr>
          <w:rFonts w:ascii="IRNazanin" w:hAnsi="IRNazanin" w:eastAsia="IRNazanin"/>
          <w:color w:val="111111"/>
          <w:sz w:val="28"/>
          <w:sz w:val="28"/>
          <w:szCs w:val="28"/>
          <w:rtl w:val="true"/>
          <w:lang w:bidi="fa-IR"/>
        </w:rPr>
        <w:t>، و منعها مطلقاً</w:t>
      </w:r>
      <w:r>
        <w:rPr>
          <w:rStyle w:val="FootnoteAnchor"/>
          <w:rtl w:val="true"/>
        </w:rPr>
        <w:footnoteReference w:id="1823"/>
      </w:r>
      <w:r>
        <w:rPr>
          <w:rFonts w:ascii="Amiri" w:hAnsi="Amiri" w:eastAsia="Amiri" w:cs="Amiri"/>
          <w:color w:val="111111"/>
          <w:sz w:val="28"/>
          <w:sz w:val="28"/>
          <w:szCs w:val="28"/>
          <w:rtl w:val="true"/>
          <w:lang w:bidi="ar-SA"/>
        </w:rPr>
        <w:t>أُخری</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 نفسه لیموت ؛ لروایة أبی ولاّد</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أوصی ثمّ</w:t>
      </w:r>
    </w:p>
    <w:p>
      <w:pPr>
        <w:pStyle w:val="BookText"/>
        <w:rPr/>
      </w:pPr>
      <w:r>
        <w:rPr>
          <w:rFonts w:ascii="IRNazanin" w:hAnsi="IRNazanin" w:eastAsia="IRNazanin"/>
          <w:color w:val="111111"/>
          <w:sz w:val="28"/>
          <w:sz w:val="28"/>
          <w:szCs w:val="28"/>
          <w:rtl w:val="true"/>
          <w:lang w:bidi="fa-IR"/>
        </w:rPr>
        <w:t xml:space="preserve">جرح، لم تبطل، 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مع ثبوت عقله</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تنفذ وصیّة العبد و إن قلنا بملکه</w:t>
      </w:r>
      <w:r>
        <w:rPr>
          <w:rStyle w:val="FootnoteAnchor"/>
          <w:rtl w:val="true"/>
        </w:rPr>
        <w:footnoteReference w:id="1827"/>
      </w:r>
      <w:r>
        <w:rPr>
          <w:rFonts w:ascii="IRNazanin" w:hAnsi="IRNazanin" w:eastAsia="IRNazanin"/>
          <w:color w:val="111111"/>
          <w:sz w:val="28"/>
          <w:sz w:val="28"/>
          <w:szCs w:val="28"/>
          <w:rtl w:val="true"/>
          <w:lang w:bidi="fa-IR"/>
        </w:rPr>
        <w:t>؛ للحجر علیه، و لو عتق ففی نفوذها قولان للفاضل</w:t>
      </w:r>
      <w:r>
        <w:rPr>
          <w:rStyle w:val="FootnoteAnchor"/>
          <w:rtl w:val="true"/>
        </w:rPr>
        <w:footnoteReference w:id="1828"/>
      </w:r>
      <w:r>
        <w:rPr>
          <w:rFonts w:ascii="Amiri" w:hAnsi="Amiri" w:eastAsia="Amiri" w:cs="Amiri"/>
          <w:color w:val="111111"/>
          <w:sz w:val="28"/>
          <w:sz w:val="28"/>
          <w:szCs w:val="28"/>
          <w:rtl w:val="true"/>
          <w:lang w:bidi="ar-SA"/>
        </w:rPr>
        <w:t>، و أولی بالنفوذ إذا علّق الوصیّة علی حرّیّته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یشترط إسلامه، فتنفذ وصیّة الکافر للمسلم، إلاّ بما</w:t>
      </w:r>
      <w:r>
        <w:rPr>
          <w:rStyle w:val="FootnoteAnchor"/>
          <w:rtl w:val="true"/>
        </w:rPr>
        <w:footnoteReference w:id="1829"/>
      </w:r>
      <w:r>
        <w:rPr>
          <w:rFonts w:ascii="IRNazanin" w:hAnsi="IRNazanin" w:eastAsia="IRNazanin"/>
          <w:color w:val="111111"/>
          <w:sz w:val="28"/>
          <w:sz w:val="28"/>
          <w:szCs w:val="28"/>
          <w:rtl w:val="true"/>
          <w:lang w:bidi="fa-IR"/>
        </w:rPr>
        <w:t>لا یملکه المسلم، و تنفذ للکافر مطلقاً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بعمارة هیکل و کان فی أرض یصحّ</w:t>
      </w:r>
      <w:r>
        <w:rPr>
          <w:rStyle w:val="FootnoteAnchor"/>
          <w:rtl w:val="true"/>
        </w:rPr>
        <w:footnoteReference w:id="1830"/>
      </w:r>
      <w:r>
        <w:rPr>
          <w:rFonts w:ascii="IRNazanin" w:hAnsi="IRNazanin" w:eastAsia="IRNazanin"/>
          <w:color w:val="111111"/>
          <w:sz w:val="28"/>
          <w:sz w:val="28"/>
          <w:szCs w:val="28"/>
          <w:rtl w:val="true"/>
          <w:lang w:bidi="fa-IR"/>
        </w:rPr>
        <w:t>فیها ذلک، جاز، و کذا یصحّ برمّه، و بعمارة قبور الأنبیاء و الصلحاء، کما یصحّ من المسلم ذلک، و بفکّ أسری</w:t>
      </w:r>
      <w:r>
        <w:rPr>
          <w:rStyle w:val="FootnoteAnchor"/>
          <w:rtl w:val="true"/>
        </w:rPr>
        <w:footnoteReference w:id="1831"/>
      </w:r>
      <w:r>
        <w:rPr>
          <w:rFonts w:ascii="IRNazanin" w:hAnsi="IRNazanin" w:eastAsia="IRNazanin"/>
          <w:color w:val="111111"/>
          <w:sz w:val="28"/>
          <w:sz w:val="28"/>
          <w:szCs w:val="28"/>
          <w:rtl w:val="true"/>
          <w:lang w:bidi="fa-IR"/>
        </w:rPr>
        <w:t>الکفّار من أیدی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به المسلم، احتمل الجواز ؛ لجواز المفاداة، و المنع ؛ لأ نّها وصیّة لحربیّ، و الأوّل مختار الفاضل</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 وصیّة المفلّس ؛ إذ لا ضرر فیه علی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یعتبر فی الموصی به أُمور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Style w:val="FootnoteAnchor"/>
          <w:rtl w:val="true"/>
        </w:rPr>
        <w:footnoteReference w:id="1833"/>
      </w:r>
      <w:r>
        <w:rPr>
          <w:rFonts w:ascii="IRNazanin" w:hAnsi="IRNazanin" w:eastAsia="IRNazanin"/>
          <w:color w:val="111111"/>
          <w:sz w:val="28"/>
          <w:sz w:val="28"/>
          <w:szCs w:val="28"/>
          <w:rtl w:val="true"/>
          <w:lang w:bidi="fa-IR"/>
        </w:rPr>
        <w:t>ممّا یملک بالنظر إلی الموصی و الموصی له، فلا تصحّ الوصیّة بالحرّ مطلقاً، و لا بالفضلات و الحشرات، و لا بالمحرّم فی شرعنا، إلاّ أن یکونا ذمّیّین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فالوصیّة بأحد الأربعة</w:t>
      </w:r>
      <w:r>
        <w:rPr>
          <w:rStyle w:val="FootnoteAnchor"/>
          <w:rtl w:val="true"/>
        </w:rPr>
        <w:footnoteReference w:id="1834"/>
      </w:r>
      <w:r>
        <w:rPr>
          <w:rFonts w:ascii="Amiri" w:hAnsi="Amiri" w:eastAsia="Amiri" w:cs="Amiri"/>
          <w:color w:val="111111"/>
          <w:sz w:val="28"/>
          <w:sz w:val="28"/>
          <w:szCs w:val="28"/>
          <w:rtl w:val="true"/>
          <w:lang w:bidi="ar-SA"/>
        </w:rPr>
        <w:t>، أو بِجرْوٍ</w:t>
      </w:r>
      <w:r>
        <w:rPr>
          <w:rStyle w:val="FootnoteAnchor"/>
          <w:rtl w:val="true"/>
        </w:rPr>
        <w:footnoteReference w:id="1835"/>
      </w:r>
      <w:r>
        <w:rPr>
          <w:rFonts w:ascii="IRNazanin" w:hAnsi="IRNazanin" w:eastAsia="IRNazanin"/>
          <w:color w:val="111111"/>
          <w:sz w:val="28"/>
          <w:sz w:val="28"/>
          <w:szCs w:val="28"/>
          <w:rtl w:val="true"/>
          <w:lang w:bidi="fa-IR"/>
        </w:rPr>
        <w:t>قابل للتعلیم صحیحة،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السباع،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 تبعاً للانتفاع بجلودها و ریشها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تنفذ الوصیّة فی الوقف، و لا فی المستولدة، و لا بجلد المیتة و إن کان من المستحلّ لمثله، و لا بالسرجین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مصرفه الشرع، فلو أوصی بمعونة الظالمین، و کتابة التوراة و الإنجیل، و کتب الضلال،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أوصی بعود لهو، أو طبله، أو زمره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بعود من عیدانه، أو بطبل من طبوله، صرف إلی عود یملک، فلو لم یکن له سوی عود اللهو، بطل، إلاّ أن یقصد رضاضه، أو یقبل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الإطلاق إلی عود اللهو</w:t>
      </w:r>
      <w:r>
        <w:rPr>
          <w:rStyle w:val="FootnoteAnchor"/>
          <w:rtl w:val="true"/>
        </w:rPr>
        <w:footnoteReference w:id="1836"/>
      </w:r>
      <w:r>
        <w:rPr>
          <w:rFonts w:ascii="IRNazanin" w:hAnsi="IRNazanin" w:eastAsia="IRNazanin"/>
          <w:color w:val="111111"/>
          <w:sz w:val="28"/>
          <w:sz w:val="28"/>
          <w:szCs w:val="28"/>
          <w:rtl w:val="true"/>
          <w:lang w:bidi="fa-IR"/>
        </w:rPr>
        <w:t>فیبطل، إلاّ أن یفرض له منفعة مع زوال الصفة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عیّن عود السقف أو العصا أو القناة، فلا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جمع بین المحرّم و المحلّل، صحّت فی المحلّل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أوصی بإخراج وارث من الإرث، لغت الوصیّة،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الثلث ؛ عملاً بدلالة التضمّن أو الالتزام</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بأنّ الفاسد یفسد ما یستلزمه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الولد المخرج قد أصاب أُمّ ولد أبیه، صحّ إخراجه ؛ لواقعة علیّ بن السریّ و ولده جعفر</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أوصی له بدفٍّ، منعه الشیخ ؛ لتحریم استعماله</w:t>
      </w:r>
      <w:r>
        <w:rPr>
          <w:rStyle w:val="FootnoteAnchor"/>
          <w:rtl w:val="true"/>
        </w:rPr>
        <w:footnoteReference w:id="1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بجوازه فی الإملاک و الختان عنده</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من الثلث أو إجازة الوارث، سواء کان عیناً أو منفعة، موجوداً بالفعل، کالدار</w:t>
      </w:r>
      <w:r>
        <w:rPr>
          <w:rStyle w:val="FootnoteAnchor"/>
          <w:rtl w:val="true"/>
        </w:rPr>
        <w:footnoteReference w:id="1841"/>
      </w:r>
      <w:r>
        <w:rPr>
          <w:rFonts w:ascii="IRNazanin" w:hAnsi="IRNazanin" w:eastAsia="IRNazanin"/>
          <w:color w:val="111111"/>
          <w:sz w:val="28"/>
          <w:sz w:val="28"/>
          <w:szCs w:val="28"/>
          <w:rtl w:val="true"/>
          <w:lang w:bidi="fa-IR"/>
        </w:rPr>
        <w:t>و الثمرة الموجودة فی الحال، أو مظنون الوجود، کالحمل، أو مشکوکاً فیه، کالآبق و الطیر فی الهواء و السمک فی الماء، أو موجوداً بالقوّة، کما تحمله الأمة أو الدابّة أو الشجرة، أو موجوداً علی التدریج، کسکنی الدار، فإنّ الوصیّة بجمیع ذلک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إلی خروج المنافع من الثلث بتقویم العین بمنافعها الموصاة بها، إمّا علی التأبید أو علی التوقیت، ثمّ تقوّم مسلوبة المنافع فالتفاوت هو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قدّر خروجها عن المنفعة، کان المخرج من الثلث جمیع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بأحد شیئین أو أشیاء</w:t>
      </w:r>
      <w:r>
        <w:rPr>
          <w:rStyle w:val="FootnoteAnchor"/>
          <w:rtl w:val="true"/>
        </w:rPr>
        <w:footnoteReference w:id="1842"/>
      </w:r>
      <w:r>
        <w:rPr>
          <w:rFonts w:ascii="IRNazanin" w:hAnsi="IRNazanin" w:eastAsia="IRNazanin"/>
          <w:color w:val="111111"/>
          <w:sz w:val="28"/>
          <w:sz w:val="28"/>
          <w:szCs w:val="28"/>
          <w:rtl w:val="true"/>
          <w:lang w:bidi="fa-IR"/>
        </w:rPr>
        <w:t>، أو بلفظ مشترک، کالقوس، أو متواطئ،</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کالعبد و البعیر و الشاة، تخیّر الوارث، و اعتبر قیمة ما یتخیّره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w:t>
      </w:r>
    </w:p>
    <w:p>
      <w:pPr>
        <w:pStyle w:val="BookText"/>
        <w:rPr/>
      </w:pPr>
      <w:r>
        <w:rPr>
          <w:rFonts w:ascii="IRNazanin" w:hAnsi="IRNazanin" w:eastAsia="IRNazanin"/>
          <w:color w:val="111111"/>
          <w:sz w:val="28"/>
          <w:sz w:val="28"/>
          <w:szCs w:val="28"/>
          <w:rtl w:val="true"/>
          <w:lang w:bidi="fa-IR"/>
        </w:rPr>
        <w:t>اختیاره لما یزید عن</w:t>
      </w:r>
      <w:r>
        <w:rPr>
          <w:rStyle w:val="FootnoteAnchor"/>
          <w:rtl w:val="true"/>
        </w:rPr>
        <w:footnoteReference w:id="1843"/>
      </w:r>
      <w:r>
        <w:rPr>
          <w:rFonts w:ascii="IRNazanin" w:hAnsi="IRNazanin" w:eastAsia="IRNazanin"/>
          <w:color w:val="111111"/>
          <w:sz w:val="28"/>
          <w:sz w:val="28"/>
          <w:szCs w:val="28"/>
          <w:rtl w:val="true"/>
          <w:lang w:bidi="fa-IR"/>
        </w:rPr>
        <w:t>الثلث إجازة، إلاّ مع علمه بذلک و القصد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إجازة الوارث معتبرة بعد الوفاة إجماعاً، و قبلها عند الأکثر</w:t>
      </w:r>
      <w:r>
        <w:rPr>
          <w:rStyle w:val="FootnoteAnchor"/>
          <w:rtl w:val="true"/>
        </w:rPr>
        <w:footnoteReference w:id="1844"/>
      </w:r>
      <w:r>
        <w:rPr>
          <w:rFonts w:ascii="IRNazanin" w:hAnsi="IRNazanin" w:eastAsia="IRNazanin"/>
          <w:color w:val="111111"/>
          <w:sz w:val="28"/>
          <w:sz w:val="28"/>
          <w:szCs w:val="28"/>
          <w:rtl w:val="true"/>
          <w:lang w:bidi="fa-IR"/>
        </w:rPr>
        <w:t>؛ لصحیح منصور بن حازم</w:t>
      </w:r>
      <w:r>
        <w:rPr>
          <w:rStyle w:val="FootnoteAnchor"/>
          <w:rtl w:val="true"/>
        </w:rPr>
        <w:footnoteReference w:id="1845"/>
      </w:r>
      <w:r>
        <w:rPr>
          <w:rFonts w:ascii="IRNazanin" w:hAnsi="IRNazanin" w:eastAsia="IRNazanin"/>
          <w:color w:val="111111"/>
          <w:sz w:val="28"/>
          <w:sz w:val="28"/>
          <w:szCs w:val="28"/>
          <w:rtl w:val="true"/>
          <w:lang w:bidi="fa-IR"/>
        </w:rPr>
        <w:t>، و دعوی الشیخ الإجماع</w:t>
      </w:r>
      <w:r>
        <w:rPr>
          <w:rStyle w:val="FootnoteAnchor"/>
          <w:rtl w:val="true"/>
        </w:rPr>
        <w:footnoteReference w:id="1846"/>
      </w:r>
      <w:r>
        <w:rPr>
          <w:rFonts w:ascii="IRNazanin" w:hAnsi="IRNazanin" w:eastAsia="IRNazanin"/>
          <w:color w:val="111111"/>
          <w:sz w:val="28"/>
          <w:sz w:val="28"/>
          <w:szCs w:val="28"/>
          <w:rtl w:val="true"/>
          <w:lang w:bidi="fa-IR"/>
        </w:rPr>
        <w:t>، و منعه المفید</w:t>
      </w:r>
      <w:r>
        <w:rPr>
          <w:rStyle w:val="FootnoteAnchor"/>
          <w:rtl w:val="true"/>
        </w:rPr>
        <w:footnoteReference w:id="1847"/>
      </w:r>
      <w:r>
        <w:rPr>
          <w:rFonts w:ascii="IRNazanin" w:hAnsi="IRNazanin" w:eastAsia="IRNazanin"/>
          <w:color w:val="111111"/>
          <w:sz w:val="28"/>
          <w:sz w:val="28"/>
          <w:szCs w:val="28"/>
          <w:rtl w:val="true"/>
          <w:lang w:bidi="fa-IR"/>
        </w:rPr>
        <w:t>، و ابن إدریس ؛ لعدم استحقاقهم حینئذٍ</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مشارفة الاستحقاق کافیة، فلو أجاز بعضهم مضی فی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له</w:t>
      </w:r>
    </w:p>
    <w:p>
      <w:pPr>
        <w:pStyle w:val="BookText"/>
        <w:rPr/>
      </w:pPr>
      <w:r>
        <w:rPr>
          <w:rFonts w:ascii="IRNazanin" w:hAnsi="IRNazanin" w:eastAsia="IRNazanin"/>
          <w:color w:val="111111"/>
          <w:sz w:val="28"/>
          <w:sz w:val="28"/>
          <w:szCs w:val="28"/>
          <w:rtl w:val="true"/>
          <w:lang w:bidi="fa-IR"/>
        </w:rPr>
        <w:t>ابن و بنت فأوصی</w:t>
      </w:r>
      <w:r>
        <w:rPr>
          <w:rStyle w:val="FootnoteAnchor"/>
          <w:rtl w:val="true"/>
        </w:rPr>
        <w:footnoteReference w:id="1849"/>
      </w:r>
      <w:r>
        <w:rPr>
          <w:rFonts w:ascii="IRNazanin" w:hAnsi="IRNazanin" w:eastAsia="IRNazanin"/>
          <w:color w:val="111111"/>
          <w:sz w:val="28"/>
          <w:sz w:val="28"/>
          <w:szCs w:val="28"/>
          <w:rtl w:val="true"/>
          <w:lang w:bidi="fa-IR"/>
        </w:rPr>
        <w:t>بنصف ماله، فإن أجازا فمن ستّة، و إن ردّا فمن تسعة، و إن أجاز أحدهما ضرب الوفق من إحداهما و هو الثلث فی الأُخری تبلغ ثمانیة عشر، فإن شئت ضربت نصیب مَن أجاز فی وفق مسألة الردّ، و نصیب مَن ردّ فی وفق مسألة الإجازة، و إن شئت قسمت السدس علیهما، فمن أجاز، أخذ قسمة الموصی 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الإجازة تنفیذ لما أوصی به أو ابتداء عطیّة ؟ جماعة علی الأوّل</w:t>
      </w:r>
      <w:r>
        <w:rPr>
          <w:rStyle w:val="FootnoteAnchor"/>
          <w:rtl w:val="true"/>
        </w:rPr>
        <w:footnoteReference w:id="1850"/>
      </w:r>
      <w:r>
        <w:rPr>
          <w:rFonts w:ascii="IRNazanin" w:hAnsi="IRNazanin" w:eastAsia="IRNazanin"/>
          <w:color w:val="111111"/>
          <w:sz w:val="28"/>
          <w:sz w:val="28"/>
          <w:szCs w:val="28"/>
          <w:rtl w:val="true"/>
          <w:lang w:bidi="fa-IR"/>
        </w:rPr>
        <w:t>، فلا یشترط فیها إیجاب و قبول و قبض، کما یشترط فی العطیّة، و لا یکون للمجیز بسببها ولاء فی العتیق</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254" w:name="pg13665_219262"/>
    </w:p>
    <w:p>
      <w:pPr>
        <w:pStyle w:val="BookText"/>
        <w:rPr/>
      </w:pPr>
      <w:bookmarkEnd w:id="254"/>
      <w:r>
        <w:rPr>
          <w:rFonts w:ascii="IRNazanin" w:hAnsi="IRNazanin" w:eastAsia="IRNazanin"/>
          <w:color w:val="111111"/>
          <w:sz w:val="28"/>
          <w:sz w:val="28"/>
          <w:szCs w:val="28"/>
          <w:rtl w:val="true"/>
          <w:lang w:bidi="fa-IR"/>
        </w:rPr>
        <w:t>و لو کان المجیز مریضاً، لم یعتبر من ثلث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الفاضل بین التنفیذ و اعتبار إجازة المریض من الثلث</w:t>
      </w:r>
      <w:r>
        <w:rPr>
          <w:rStyle w:val="FootnoteAnchor"/>
          <w:rtl w:val="true"/>
        </w:rPr>
        <w:footnoteReference w:id="1852"/>
      </w:r>
      <w:r>
        <w:rPr>
          <w:rFonts w:ascii="IRNazanin" w:hAnsi="IRNazanin" w:eastAsia="IRNazanin"/>
          <w:color w:val="111111"/>
          <w:sz w:val="28"/>
          <w:sz w:val="28"/>
          <w:szCs w:val="28"/>
          <w:rtl w:val="true"/>
          <w:lang w:bidi="fa-IR"/>
        </w:rPr>
        <w:t>، و کأ نّهما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أجاز بعض الزائد علی الثلث، نفذ، و لا یلزم منه ردّ مازاد علی المجاز، فلو ألحق بإجازة الباقی، صحّ إجازة لا ابتداء 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بالثلث حین الوفاة، لا حین الوصیّة و لا ما بینهما و لا ما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 من ماله عوض أطرافه و نفسه لو 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مال غائب، تنجّز ثلث الحاضر للموصی له علی الأصحّ، ثمّ إذا حضر الغائب، أخذ منه أقلّ الأمرین من ثلثه و من تمام الوصیّة</w:t>
      </w:r>
      <w:r>
        <w:rPr>
          <w:rFonts w:eastAsia="IRNazanin" w:cs="IRNazanin"/>
          <w:color w:val="111111"/>
          <w:sz w:val="28"/>
          <w:szCs w:val="28"/>
          <w:rtl w:val="true"/>
          <w:lang w:bidi="fa-IR"/>
        </w:rPr>
        <w:t>.</w:t>
      </w:r>
    </w:p>
    <w:p>
      <w:pPr>
        <w:pStyle w:val="Heading3"/>
        <w:numPr>
          <w:ilvl w:val="2"/>
          <w:numId w:val="1"/>
        </w:numPr>
        <w:rPr/>
      </w:pPr>
      <w:bookmarkStart w:id="255" w:name="__RefHeading___Toc2071379_3830689328"/>
      <w:bookmarkStart w:id="256" w:name="_Toc84"/>
      <w:bookmarkEnd w:id="255"/>
      <w:r>
        <w:rPr>
          <w:rtl w:val="true"/>
        </w:rPr>
        <w:t xml:space="preserve">درس </w:t>
      </w:r>
      <w:r>
        <w:rPr>
          <w:rtl w:val="true"/>
        </w:rPr>
        <w:t>(</w:t>
      </w:r>
      <w:r>
        <w:rPr/>
        <w:t>175</w:t>
      </w:r>
      <w:r>
        <w:rPr>
          <w:rtl w:val="true"/>
        </w:rPr>
        <w:t>)</w:t>
      </w:r>
      <w:bookmarkEnd w:id="256"/>
    </w:p>
    <w:p>
      <w:pPr>
        <w:pStyle w:val="BookText"/>
        <w:rPr/>
      </w:pPr>
      <w:r>
        <w:rPr>
          <w:rFonts w:ascii="IRNazanin" w:hAnsi="IRNazanin" w:eastAsia="IRNazanin"/>
          <w:color w:val="111111"/>
          <w:sz w:val="28"/>
          <w:sz w:val="28"/>
          <w:szCs w:val="28"/>
          <w:rtl w:val="true"/>
          <w:lang w:bidi="fa-IR"/>
        </w:rPr>
        <w:t>منجّزات المریض المشتملة علی تفویت المال بغیر عوض، کالهبة و العتق و الوقف، أو علی محاباة، کالبیع بالثمن الناقص أو الشراء بالزائد، حکمها حکم الوصیّة فی أصحّ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برئ، لزمت من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باع بثمن المثل،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باع الربویّ بمثله ککرّ بکرّ، و یساوی ما باعه ضِعْف ما أخذه و لیس له سواه، بطلت فی الثلث</w:t>
      </w:r>
      <w:r>
        <w:rPr>
          <w:rStyle w:val="FootnoteAnchor"/>
          <w:rtl w:val="true"/>
        </w:rPr>
        <w:footnoteReference w:id="1853"/>
      </w:r>
      <w:r>
        <w:rPr>
          <w:rFonts w:ascii="IRNazanin" w:hAnsi="IRNazanin" w:eastAsia="IRNazanin"/>
          <w:color w:val="111111"/>
          <w:sz w:val="28"/>
          <w:sz w:val="28"/>
          <w:szCs w:val="28"/>
          <w:rtl w:val="true"/>
          <w:lang w:bidi="fa-IR"/>
        </w:rPr>
        <w:t>؛ حذراً من الربا، و کذا غیر الربویّ عند الفاضل</w:t>
      </w:r>
      <w:r>
        <w:rPr>
          <w:rStyle w:val="FootnoteAnchor"/>
          <w:rtl w:val="true"/>
        </w:rPr>
        <w:footnoteReference w:id="1854"/>
      </w:r>
      <w:r>
        <w:rPr>
          <w:rFonts w:ascii="IRNazanin" w:hAnsi="IRNazanin" w:eastAsia="IRNazanin"/>
          <w:color w:val="111111"/>
          <w:sz w:val="28"/>
          <w:sz w:val="28"/>
          <w:szCs w:val="28"/>
          <w:rtl w:val="true"/>
          <w:lang w:bidi="fa-IR"/>
        </w:rPr>
        <w:t>؛ لمقابلة أجزاء المبیع بأجزاء الثمن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یسقط الثمن من قیمة المبیع و ینسب الثلث إلی الباقی فیصحّ البیع بتلک النسبة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اعتق المریض أمته و هی ثلث ماله و أصدقها الثلث الآخر و دخل و مات، صحّ العتق و النکاح عند الشیخ</w:t>
      </w:r>
      <w:r>
        <w:rPr>
          <w:rStyle w:val="FootnoteAnchor"/>
          <w:rtl w:val="true"/>
        </w:rPr>
        <w:footnoteReference w:id="1855"/>
      </w:r>
      <w:r>
        <w:rPr>
          <w:rFonts w:ascii="IRNazanin" w:hAnsi="IRNazanin" w:eastAsia="IRNazanin"/>
          <w:color w:val="111111"/>
          <w:sz w:val="28"/>
          <w:sz w:val="28"/>
          <w:szCs w:val="28"/>
          <w:rtl w:val="true"/>
          <w:lang w:bidi="fa-IR"/>
        </w:rPr>
        <w:t>، و بطل المسمّی ؛ لزیادته عن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مهر المثل ؛ لأ نّه کالجنایة فیدور، فلو کان مهر مثلها بقدر المسمّی، صحّ العتق فی شیء، و لها من مهر المثل شیء، و للورثة شیئان بإزاء ما عتق لا بإزاء مهر المثل ؛ لأ نّه من الأصل، فالترکة أربعة أشیاء، فتعتق ثلاثة أرباعها، و لها ثلاثة أرباع مهر</w:t>
      </w:r>
    </w:p>
    <w:p>
      <w:pPr>
        <w:pStyle w:val="BookText"/>
        <w:rPr/>
      </w:pPr>
      <w:r>
        <w:rPr>
          <w:rFonts w:ascii="IRNazanin" w:hAnsi="IRNazanin" w:eastAsia="IRNazanin"/>
          <w:color w:val="111111"/>
          <w:sz w:val="28"/>
          <w:sz w:val="28"/>
          <w:szCs w:val="28"/>
          <w:rtl w:val="true"/>
          <w:lang w:bidi="fa-IR"/>
        </w:rPr>
        <w:t>المثل</w:t>
      </w:r>
      <w:r>
        <w:rPr>
          <w:rStyle w:val="FootnoteAnchor"/>
          <w:rtl w:val="true"/>
        </w:rPr>
        <w:footnoteReference w:id="1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لو زاد مهر المثل أو نقص، و یلزم منه فساد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المرض المخوف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من التنجیز إذا اشتمل علی خطر، کخوف إتلاف العین و تعذّر بدلها، سواء کان المرض مخوفاً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یسمّی مرضاً، کالطلق و المحاربة لا حجر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مع التهمة، کالوصیّة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رتّب الوصیّة بثمّ أو بالفاء أو بالواو علی الأصحّ، قُدّم الأوّل فالأوّل مع قصور الثلث، و یدخل النقص علی الأخیر، و لو اشتبه الأوّل، أُقرع، و لو جمع بینهما</w:t>
      </w:r>
      <w:r>
        <w:rPr>
          <w:rStyle w:val="FootnoteAnchor"/>
          <w:rtl w:val="true"/>
        </w:rPr>
        <w:footnoteReference w:id="1857"/>
      </w:r>
      <w:r>
        <w:rPr>
          <w:rFonts w:ascii="IRNazanin" w:hAnsi="IRNazanin" w:eastAsia="IRNazanin"/>
          <w:color w:val="111111"/>
          <w:sz w:val="28"/>
          <w:sz w:val="28"/>
          <w:szCs w:val="28"/>
          <w:rtl w:val="true"/>
          <w:lang w:bidi="fa-IR"/>
        </w:rPr>
        <w:t>، وزّع الثلث علی الجمیع، و قد سبق قول الشیخ بتقدیم العتق و التدبیر علی الوصایا مطلقاً</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أعطی منجّزاً فی مرضه، قُدّم علی المعلّق بالموت و إن تأخّر فی لفظه، إلاّ أن ینصّ علی التسویة أو تقدیم المؤخّرة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تقدیم بعض المنجّزات علی بعض بحسب السبق، تردّد، و قطع الفاضل </w:t>
      </w:r>
    </w:p>
    <w:p>
      <w:pPr>
        <w:pStyle w:val="BookText"/>
        <w:rPr/>
      </w:pPr>
      <w:r>
        <w:rPr>
          <w:rFonts w:ascii="IRNazanin" w:hAnsi="IRNazanin" w:eastAsia="IRNazanin"/>
          <w:color w:val="111111"/>
          <w:sz w:val="28"/>
          <w:sz w:val="28"/>
          <w:szCs w:val="28"/>
          <w:rtl w:val="true"/>
          <w:lang w:bidi="fa-IR"/>
        </w:rPr>
        <w:t>بعدم التقدیم</w:t>
      </w:r>
      <w:r>
        <w:rPr>
          <w:rStyle w:val="FootnoteAnchor"/>
          <w:rtl w:val="true"/>
        </w:rPr>
        <w:footnoteReference w:id="1859"/>
      </w:r>
      <w:r>
        <w:rPr>
          <w:rFonts w:ascii="IRNazanin" w:hAnsi="IRNazanin" w:eastAsia="IRNazanin"/>
          <w:color w:val="111111"/>
          <w:sz w:val="28"/>
          <w:sz w:val="28"/>
          <w:szCs w:val="28"/>
          <w:rtl w:val="true"/>
          <w:lang w:bidi="fa-IR"/>
        </w:rPr>
        <w:t>؛ لأ نّه قصد إلی الجمیع، و الشیخ بالبدأة بالأوّل فالأوّل</w:t>
      </w:r>
      <w:r>
        <w:rPr>
          <w:rStyle w:val="FootnoteAnchor"/>
          <w:rtl w:val="true"/>
        </w:rPr>
        <w:footnoteReference w:id="1860"/>
      </w:r>
      <w:r>
        <w:rPr>
          <w:rFonts w:ascii="IRNazanin" w:hAnsi="IRNazanin" w:eastAsia="IRNazanin"/>
          <w:color w:val="111111"/>
          <w:sz w:val="28"/>
          <w:sz w:val="28"/>
          <w:szCs w:val="28"/>
          <w:rtl w:val="true"/>
          <w:lang w:bidi="fa-IR"/>
        </w:rPr>
        <w:t>؛ لأ نّه ممنوع من التصرّف فیما 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حمزة مع العطف فی الوصیّة و القصور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الأوّل فالأوّل و لو أوصی لواحد بُکرة و لآخر ضَحوة، یقدّم الأخیر ؛ لأ نّه رجوع</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بثلثه لزید، ثمّ أوصی بثلثه لعمرو و لم یجیزوا، فالثانیة ناسخة للأُولی بإجماعنا</w:t>
      </w:r>
      <w:r>
        <w:rPr>
          <w:rStyle w:val="FootnoteAnchor"/>
          <w:rtl w:val="true"/>
        </w:rPr>
        <w:footnoteReference w:id="1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ابن إدریس و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w:t>
      </w:r>
    </w:p>
    <w:p>
      <w:pPr>
        <w:pStyle w:val="BookText"/>
        <w:rPr/>
      </w:pPr>
      <w:r>
        <w:rPr>
          <w:rFonts w:ascii="IRNazanin" w:hAnsi="IRNazanin" w:eastAsia="IRNazanin"/>
          <w:color w:val="111111"/>
          <w:sz w:val="28"/>
          <w:sz w:val="28"/>
          <w:szCs w:val="28"/>
          <w:rtl w:val="true"/>
          <w:lang w:bidi="fa-IR"/>
        </w:rPr>
        <w:t>لو لم یقل بثلثی و أوصی لآخر، فإنّه یقدّم الأوّل</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Style w:val="FootnoteAnchor"/>
          <w:rtl w:val="true"/>
        </w:rPr>
        <w:footnoteReference w:id="1864"/>
      </w:r>
      <w:r>
        <w:rPr>
          <w:rFonts w:ascii="IRNazanin" w:hAnsi="IRNazanin" w:eastAsia="IRNazanin"/>
          <w:color w:val="111111"/>
          <w:sz w:val="28"/>
          <w:sz w:val="28"/>
          <w:szCs w:val="28"/>
          <w:rtl w:val="true"/>
          <w:lang w:bidi="fa-IR"/>
        </w:rPr>
        <w:t xml:space="preserve">و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له بماله و لآخر بثلثه و أجازوا، بطل</w:t>
      </w:r>
    </w:p>
    <w:p>
      <w:pPr>
        <w:pStyle w:val="BookText"/>
        <w:rPr/>
      </w:pPr>
      <w:r>
        <w:rPr>
          <w:rFonts w:ascii="IRNazanin" w:hAnsi="IRNazanin" w:eastAsia="IRNazanin"/>
          <w:color w:val="111111"/>
          <w:sz w:val="28"/>
          <w:sz w:val="28"/>
          <w:szCs w:val="28"/>
          <w:rtl w:val="true"/>
          <w:lang w:bidi="fa-IR"/>
        </w:rPr>
        <w:t xml:space="preserve">الأخیر، و لو بدأ بالثلث و أجازوا، أُعطی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الثلثین</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له بنصف و لآخر بثلث و لآخر بربع و لم یجیزوا، قُدّم الأوّل بالثلث</w:t>
      </w:r>
      <w:r>
        <w:rPr>
          <w:rStyle w:val="FootnoteAnchor"/>
          <w:rtl w:val="true"/>
        </w:rPr>
        <w:footnoteReference w:id="1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الأوّل و بین هذا مشکل ؛ لأنّ تجاوز الثلث إن کان علّة فی الرجوع، ثبت فی الموضعین، و إلاّ انتفی فیهما، إلاّ أن یجعل إضافة الثلث إلی الموصی</w:t>
      </w:r>
      <w:r>
        <w:rPr>
          <w:rStyle w:val="FootnoteAnchor"/>
          <w:rtl w:val="true"/>
        </w:rPr>
        <w:footnoteReference w:id="1867"/>
      </w:r>
      <w:r>
        <w:rPr>
          <w:rFonts w:ascii="IRNazanin" w:hAnsi="IRNazanin" w:eastAsia="IRNazanin"/>
          <w:color w:val="111111"/>
          <w:sz w:val="28"/>
          <w:sz w:val="28"/>
          <w:szCs w:val="28"/>
          <w:rtl w:val="true"/>
          <w:lang w:bidi="fa-IR"/>
        </w:rPr>
        <w:t xml:space="preserve">فی الموضعین قرینة، لأنّ الثلث الثانی هو الأوّل، و لا یطّرد فی الوصیّة بالکلّ و بالنصف ؛ لأنّ ذلک لیس له، و یلزم من هذا أ 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سدسی لفلان،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 أو ربعی لآخر، إنّه یکون رجوعاً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رجوع فی جمیع </w:t>
      </w:r>
    </w:p>
    <w:p>
      <w:pPr>
        <w:pStyle w:val="BookText"/>
        <w:rPr/>
      </w:pPr>
      <w:r>
        <w:rPr>
          <w:rFonts w:ascii="IRNazanin" w:hAnsi="IRNazanin" w:eastAsia="IRNazanin"/>
          <w:color w:val="111111"/>
          <w:sz w:val="28"/>
          <w:sz w:val="28"/>
          <w:szCs w:val="28"/>
          <w:rtl w:val="true"/>
          <w:lang w:bidi="fa-IR"/>
        </w:rPr>
        <w:t>الصور، إلاّ أن یصرّح به أو تدلّ قرینة علیه</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إقلال الوصیّة، فالخمس أفضل من الربع، و هو أفضل من الثلث، نصّ علیه علیّ علیه‌السّلام</w:t>
      </w:r>
      <w:r>
        <w:rPr>
          <w:rStyle w:val="FootnoteAnchor"/>
          <w:rtl w:val="true"/>
        </w:rPr>
        <w:footnoteReference w:id="1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مع غنی الورثة أفضل، و الربع مع توسّطهم، و الخمس مع فقرهم</w:t>
      </w:r>
      <w:r>
        <w:rPr>
          <w:rStyle w:val="FootnoteAnchor"/>
          <w:rtl w:val="true"/>
        </w:rPr>
        <w:footnoteReference w:id="1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تخصیص للعموم و خروج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بماله کلّه، فهو أعلم، و یلزم الوصیّ إنفاذه</w:t>
      </w:r>
      <w:r>
        <w:rPr>
          <w:rStyle w:val="FootnoteAnchor"/>
          <w:rtl w:val="true"/>
        </w:rPr>
        <w:footnoteReference w:id="1871"/>
      </w:r>
      <w:r>
        <w:rPr>
          <w:rFonts w:ascii="IRNazanin" w:hAnsi="IRNazanin" w:eastAsia="IRNazanin"/>
          <w:color w:val="111111"/>
          <w:sz w:val="28"/>
          <w:sz w:val="28"/>
          <w:szCs w:val="28"/>
          <w:rtl w:val="true"/>
          <w:lang w:bidi="fa-IR"/>
        </w:rPr>
        <w:t xml:space="preserve">؛ لروایة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أوصی به کلّه فهو جائز له</w:t>
      </w:r>
      <w:r>
        <w:rPr>
          <w:rFonts w:eastAsia="IRNazanin" w:cs="IRNazanin"/>
          <w:color w:val="111111"/>
          <w:sz w:val="28"/>
          <w:szCs w:val="28"/>
          <w:rtl w:val="true"/>
          <w:lang w:bidi="fa-IR"/>
        </w:rPr>
        <w:t>»</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الشیخ علی مَن لا وارث له، فجوّز الوصیّة بجمیع المال ممّن لا وارث له</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فتوی الصدوق</w:t>
      </w:r>
      <w:r>
        <w:rPr>
          <w:rStyle w:val="FootnoteAnchor"/>
          <w:rtl w:val="true"/>
        </w:rPr>
        <w:footnoteReference w:id="187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الجنید</w:t>
      </w:r>
      <w:r>
        <w:rPr>
          <w:rStyle w:val="FootnoteAnchor"/>
          <w:rtl w:val="true"/>
        </w:rPr>
        <w:footnoteReference w:id="1875"/>
      </w:r>
      <w:r>
        <w:rPr>
          <w:rFonts w:ascii="IRNazanin" w:hAnsi="IRNazanin" w:eastAsia="IRNazanin"/>
          <w:color w:val="111111"/>
          <w:sz w:val="28"/>
          <w:sz w:val="28"/>
          <w:szCs w:val="28"/>
          <w:rtl w:val="true"/>
          <w:lang w:bidi="fa-IR"/>
        </w:rPr>
        <w:t>؛ لروایة السکونیّ</w:t>
      </w:r>
      <w:r>
        <w:rPr>
          <w:rStyle w:val="FootnoteAnchor"/>
          <w:rtl w:val="true"/>
        </w:rPr>
        <w:footnoteReference w:id="1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الشیخ فی الخلاف من الزیادة علی الثلث مطلقاً</w:t>
      </w:r>
      <w:r>
        <w:rPr>
          <w:rStyle w:val="FootnoteAnchor"/>
          <w:rtl w:val="true"/>
        </w:rPr>
        <w:footnoteReference w:id="1877"/>
      </w:r>
      <w:r>
        <w:rPr>
          <w:rFonts w:ascii="IRNazanin" w:hAnsi="IRNazanin" w:eastAsia="IRNazanin"/>
          <w:color w:val="111111"/>
          <w:sz w:val="28"/>
          <w:sz w:val="28"/>
          <w:szCs w:val="28"/>
          <w:rtl w:val="true"/>
          <w:lang w:bidi="fa-IR"/>
        </w:rPr>
        <w:t>، و هو مختار ابن إدریس</w:t>
      </w:r>
      <w:r>
        <w:rPr>
          <w:rStyle w:val="FootnoteAnchor"/>
          <w:rtl w:val="true"/>
        </w:rPr>
        <w:footnoteReference w:id="1878"/>
      </w:r>
      <w:r>
        <w:rPr>
          <w:rFonts w:ascii="IRNazanin" w:hAnsi="IRNazanin" w:eastAsia="IRNazanin"/>
          <w:color w:val="111111"/>
          <w:sz w:val="28"/>
          <w:sz w:val="28"/>
          <w:szCs w:val="28"/>
          <w:rtl w:val="true"/>
          <w:lang w:bidi="fa-IR"/>
        </w:rPr>
        <w:t>و الفاضل</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 xml:space="preserve">. </w:t>
      </w:r>
      <w:bookmarkStart w:id="257" w:name="pg13665_219266"/>
    </w:p>
    <w:p>
      <w:pPr>
        <w:pStyle w:val="BookText"/>
        <w:rPr/>
      </w:pPr>
      <w:bookmarkEnd w:id="257"/>
      <w:r>
        <w:rPr>
          <w:rFonts w:ascii="IRNazanin" w:hAnsi="IRNazanin" w:eastAsia="IRNazanin"/>
          <w:color w:val="111111"/>
          <w:sz w:val="28"/>
          <w:sz w:val="28"/>
          <w:szCs w:val="28"/>
          <w:rtl w:val="true"/>
          <w:lang w:bidi="fa-IR"/>
        </w:rPr>
        <w:t xml:space="preserve">و لو أجاز الوارث النصف، ثمّ ادّعوا جهالة الترکة، حلفوا علی ما ظنّوه، و لو کانت الوصیّة بمعیّن، لم تسمع منهم، 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بناؤهم علی الأصل فی الأوّل، و علی خلافه فی الثانی، و لو قیل بالتسویة، کان وجهاً</w:t>
      </w:r>
      <w:r>
        <w:rPr>
          <w:rFonts w:eastAsia="IRNazanin" w:cs="IRNazanin"/>
          <w:color w:val="111111"/>
          <w:sz w:val="28"/>
          <w:szCs w:val="28"/>
          <w:rtl w:val="true"/>
          <w:lang w:bidi="fa-IR"/>
        </w:rPr>
        <w:t>.</w:t>
      </w:r>
    </w:p>
    <w:p>
      <w:pPr>
        <w:pStyle w:val="Heading3"/>
        <w:numPr>
          <w:ilvl w:val="2"/>
          <w:numId w:val="1"/>
        </w:numPr>
        <w:rPr/>
      </w:pPr>
      <w:bookmarkStart w:id="258" w:name="__RefHeading___Toc2071381_3830689328"/>
      <w:bookmarkStart w:id="259" w:name="_Toc85"/>
      <w:bookmarkEnd w:id="258"/>
      <w:r>
        <w:rPr>
          <w:rtl w:val="true"/>
        </w:rPr>
        <w:t xml:space="preserve">درس </w:t>
      </w:r>
      <w:r>
        <w:rPr>
          <w:rtl w:val="true"/>
        </w:rPr>
        <w:t>(</w:t>
      </w:r>
      <w:r>
        <w:rPr/>
        <w:t>176</w:t>
      </w:r>
      <w:r>
        <w:rPr>
          <w:rtl w:val="true"/>
        </w:rPr>
        <w:t>)</w:t>
      </w:r>
      <w:bookmarkEnd w:id="259"/>
    </w:p>
    <w:p>
      <w:pPr>
        <w:pStyle w:val="BookText"/>
        <w:rPr/>
      </w:pPr>
      <w:r>
        <w:rPr>
          <w:rFonts w:ascii="IRNazanin" w:hAnsi="IRNazanin" w:eastAsia="IRNazanin"/>
          <w:color w:val="111111"/>
          <w:sz w:val="28"/>
          <w:sz w:val="28"/>
          <w:szCs w:val="28"/>
          <w:rtl w:val="true"/>
          <w:lang w:bidi="fa-IR"/>
        </w:rPr>
        <w:t xml:space="preserve">یعتبر فی الموصی له أُمور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فلا تصحّ الوصیّة للمعدوم و إن علّقه بالوجود</w:t>
      </w:r>
      <w:r>
        <w:rPr>
          <w:rStyle w:val="FootnoteAnchor"/>
          <w:rtl w:val="true"/>
        </w:rPr>
        <w:footnoteReference w:id="1880"/>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تحمل المرأة، أو لِمَنْ یوجد من أولاد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المیّت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ظنّ وجوده فظهر میّتاً،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 لفلان، فإن مات قبلی أو کان میّتاً فهو لفلان،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لزید، فإن قدم عمرو فله</w:t>
      </w:r>
      <w:r>
        <w:rPr>
          <w:rStyle w:val="FootnoteAnchor"/>
          <w:rtl w:val="true"/>
        </w:rPr>
        <w:footnoteReference w:id="1881"/>
      </w:r>
      <w:r>
        <w:rPr>
          <w:rFonts w:ascii="IRNazanin" w:hAnsi="IRNazanin" w:eastAsia="IRNazanin"/>
          <w:color w:val="111111"/>
          <w:sz w:val="28"/>
          <w:sz w:val="28"/>
          <w:szCs w:val="28"/>
          <w:rtl w:val="true"/>
          <w:lang w:bidi="fa-IR"/>
        </w:rPr>
        <w:t>، فإن مات الموصی قبل قدومه ثمّ قدم بعد موته ففی مستحقّة وجهان ؛ لحصول الصفة، و سبق استحقاق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تملّکه، فلو أوصی للملک أو للحائط أو للدابّة، بطل، إلاّ أن</w:t>
      </w:r>
    </w:p>
    <w:p>
      <w:pPr>
        <w:pStyle w:val="BookText"/>
        <w:rPr/>
      </w:pPr>
      <w:r>
        <w:rPr>
          <w:rFonts w:ascii="IRNazanin" w:hAnsi="IRNazanin" w:eastAsia="IRNazanin"/>
          <w:color w:val="111111"/>
          <w:sz w:val="28"/>
          <w:sz w:val="28"/>
          <w:szCs w:val="28"/>
          <w:rtl w:val="true"/>
          <w:lang w:bidi="fa-IR"/>
        </w:rPr>
        <w:t>یقصد الصرف إلی علفها</w:t>
      </w:r>
      <w:r>
        <w:rPr>
          <w:rStyle w:val="FootnoteAnchor"/>
          <w:rtl w:val="true"/>
        </w:rPr>
        <w:footnoteReference w:id="1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جمع بین مَن یملک و بین من لا یملک أُعطی المالک النصف</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تصحّ الوصیّة للحمل، بشرط انفصاله حیّاً لدون ستّة أشهر من حین الوصیّة أو فوقها إلی سنة، مع خلوّ المرأة من زوج أو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مشغولة، لم تأخذ ؛ لاحتمال تجدّده، و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 عملاً بالعادة الغالبة من الوضع لأقصی الحمل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قبول ولیّه بعد انفصاله حیّاً</w:t>
      </w:r>
      <w:r>
        <w:rPr>
          <w:rStyle w:val="FootnoteAnchor"/>
          <w:rtl w:val="true"/>
        </w:rPr>
        <w:footnoteReference w:id="1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عدم اشتراطه ؛ لوجوب ذلک علی الولیّ مع المصلحة، فإذا امتنع، سقطت و صارت ولایته إلی الشارع، و قد حصل الإیجاب</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المقدّمات منع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الحمل، قسّم الموصی به علی العدد بالسویّة و إن اختلفوا فی الذکورة و الأُنوثة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بطنها ذکر فله دیناران، و إن کان أُنثی فدینار، فاجتمعا، استحقّا،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فی بطنها، فإنّه لو ظهرا، لم یکن لهما شیء ؛ لعدم قید</w:t>
      </w:r>
    </w:p>
    <w:p>
      <w:pPr>
        <w:pStyle w:val="BookText"/>
        <w:rPr/>
      </w:pP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أوصی لحملها من فلان فنفاه باللعان،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استحقاقه مع ظنّ تعلّق الغرض بنسبه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للحمل من الزنا، صحّ ؛ إذ لا معصیة فیه، إلاّ أن یقصد المعصیة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 الوصیّة للمرتدّ عن فطرة ؛ لعدم صحّة تملّکه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بدخول</w:t>
      </w:r>
    </w:p>
    <w:p>
      <w:pPr>
        <w:pStyle w:val="BookText"/>
        <w:rPr/>
      </w:pPr>
      <w:r>
        <w:rPr>
          <w:rFonts w:ascii="IRNazanin" w:hAnsi="IRNazanin" w:eastAsia="IRNazanin"/>
          <w:color w:val="111111"/>
          <w:sz w:val="28"/>
          <w:sz w:val="28"/>
          <w:szCs w:val="28"/>
          <w:rtl w:val="true"/>
          <w:lang w:bidi="fa-IR"/>
        </w:rPr>
        <w:t>المکاتب بسبب ملکه، لزمه صحّة الوصیّة له</w:t>
      </w:r>
      <w:r>
        <w:rPr>
          <w:rFonts w:eastAsia="IRNazanin" w:cs="IRNazanin"/>
          <w:color w:val="111111"/>
          <w:sz w:val="28"/>
          <w:szCs w:val="28"/>
          <w:rtl w:val="true"/>
          <w:lang w:bidi="fa-IR"/>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تصحّ الوصیّة لعبد الغیر و إن تشبّث بالحرّیّة، إلاّ المکاتب علی ما اخترناه، و لو تحرّر منه شیء، صحّ بحسابه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لعبده، صحّ و عتق من الوصیّة و فاضلها له، و إن قصرت عن قیمته، سعی فی الباقی، سواء کانت الوصیّة بجزء مشاع أو معیّن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قیمته ضعف الوصیّة، بطلت</w:t>
      </w:r>
      <w:r>
        <w:rPr>
          <w:rStyle w:val="FootnoteAnchor"/>
          <w:rtl w:val="true"/>
        </w:rPr>
        <w:footnoteReference w:id="1886"/>
      </w:r>
      <w:r>
        <w:rPr>
          <w:rFonts w:ascii="IRNazanin" w:hAnsi="IRNazanin" w:eastAsia="IRNazanin"/>
          <w:color w:val="111111"/>
          <w:sz w:val="28"/>
          <w:sz w:val="28"/>
          <w:szCs w:val="28"/>
          <w:rtl w:val="true"/>
          <w:lang w:bidi="fa-IR"/>
        </w:rPr>
        <w:t>، و لم نجد به مقنعاً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أوصی لعبد وارثه،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غیر حربیّ، فتبطل الوصیّة للحربیّ و إن کان رحماً، إلاّ أن یکون الموصی من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المبسوط</w:t>
      </w:r>
      <w:r>
        <w:rPr>
          <w:rStyle w:val="FootnoteAnchor"/>
          <w:rtl w:val="true"/>
        </w:rPr>
        <w:footnoteReference w:id="1888"/>
      </w:r>
      <w:r>
        <w:rPr>
          <w:rFonts w:ascii="IRNazanin" w:hAnsi="IRNazanin" w:eastAsia="IRNazanin"/>
          <w:color w:val="111111"/>
          <w:sz w:val="28"/>
          <w:sz w:val="28"/>
          <w:szCs w:val="28"/>
          <w:rtl w:val="true"/>
          <w:lang w:bidi="fa-IR"/>
        </w:rPr>
        <w:t>و المقنعة صحّة الوصیّة له مع کونه</w:t>
      </w:r>
    </w:p>
    <w:p>
      <w:pPr>
        <w:pStyle w:val="BookText"/>
        <w:rPr/>
      </w:pPr>
      <w:r>
        <w:rPr>
          <w:rFonts w:ascii="Amiri" w:hAnsi="Amiri" w:eastAsia="Amiri" w:cs="Amiri"/>
          <w:color w:val="111111"/>
          <w:sz w:val="28"/>
          <w:sz w:val="28"/>
          <w:szCs w:val="28"/>
          <w:rtl w:val="true"/>
          <w:lang w:bidi="ar-SA"/>
        </w:rPr>
        <w:t>رحماً</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الذمّیّ، فکالوقف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القاضی من الوصیّة للکافر مطلقاً</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أوصی له</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یهودیّاً أو نصرانیّاً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تصحّ للمرتدّ عن غیر فطرة لا عنها، إلاّ أن نقول بملک</w:t>
      </w:r>
      <w:r>
        <w:rPr>
          <w:rStyle w:val="FootnoteAnchor"/>
          <w:rtl w:val="true"/>
        </w:rPr>
        <w:footnoteReference w:id="1894"/>
      </w:r>
      <w:r>
        <w:rPr>
          <w:rFonts w:ascii="IRNazanin" w:hAnsi="IRNazanin" w:eastAsia="IRNazanin"/>
          <w:color w:val="111111"/>
          <w:sz w:val="28"/>
          <w:sz w:val="28"/>
          <w:szCs w:val="28"/>
          <w:rtl w:val="true"/>
          <w:lang w:bidi="fa-IR"/>
        </w:rPr>
        <w:t>الکسب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للکافر بمصحف أو عبد مسلم، بطل علی الأقوی ؛ تعظیماً لشعائر اللّه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المسلم لذوی قرابته، لم یدخل الکفّار</w:t>
      </w:r>
      <w:r>
        <w:rPr>
          <w:rStyle w:val="FootnoteAnchor"/>
          <w:rtl w:val="true"/>
        </w:rPr>
        <w:footnoteReference w:id="1895"/>
      </w:r>
      <w:r>
        <w:rPr>
          <w:rFonts w:ascii="IRNazanin" w:hAnsi="IRNazanin" w:eastAsia="IRNazanin"/>
          <w:color w:val="111111"/>
          <w:sz w:val="28"/>
          <w:sz w:val="28"/>
          <w:szCs w:val="28"/>
          <w:rtl w:val="true"/>
          <w:lang w:bidi="fa-IR"/>
        </w:rPr>
        <w:t>، و کذا لأهل قریته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الموصی کافراً، لم یدخل المسلمون ؛ عملاً بالقرینة</w:t>
      </w:r>
      <w:r>
        <w:rPr>
          <w:rFonts w:eastAsia="IRNazanin" w:cs="IRNazanin"/>
          <w:color w:val="111111"/>
          <w:sz w:val="28"/>
          <w:szCs w:val="28"/>
          <w:rtl w:val="true"/>
          <w:lang w:bidi="fa-IR"/>
        </w:rPr>
        <w:t xml:space="preserve">. </w:t>
      </w:r>
      <w:bookmarkStart w:id="260" w:name="pg13665_219269"/>
    </w:p>
    <w:p>
      <w:pPr>
        <w:pStyle w:val="Heading3"/>
        <w:numPr>
          <w:ilvl w:val="2"/>
          <w:numId w:val="1"/>
        </w:numPr>
        <w:rPr/>
      </w:pPr>
      <w:bookmarkStart w:id="261" w:name="__RefHeading___Toc2071383_3830689328"/>
      <w:bookmarkStart w:id="262" w:name="_Toc86"/>
      <w:bookmarkEnd w:id="260"/>
      <w:bookmarkEnd w:id="261"/>
      <w:r>
        <w:rPr>
          <w:rtl w:val="true"/>
        </w:rPr>
        <w:t xml:space="preserve">درس </w:t>
      </w:r>
      <w:r>
        <w:rPr>
          <w:rtl w:val="true"/>
        </w:rPr>
        <w:t>(</w:t>
      </w:r>
      <w:r>
        <w:rPr/>
        <w:t>177</w:t>
      </w:r>
      <w:r>
        <w:rPr>
          <w:rtl w:val="true"/>
        </w:rPr>
        <w:t>)</w:t>
      </w:r>
      <w:bookmarkEnd w:id="262"/>
    </w:p>
    <w:p>
      <w:pPr>
        <w:pStyle w:val="BookText"/>
        <w:rPr/>
      </w:pPr>
      <w:r>
        <w:rPr>
          <w:rFonts w:ascii="IRNazanin" w:hAnsi="IRNazanin" w:eastAsia="IRNazanin"/>
          <w:color w:val="111111"/>
          <w:sz w:val="28"/>
          <w:sz w:val="28"/>
          <w:szCs w:val="28"/>
          <w:rtl w:val="true"/>
          <w:lang w:bidi="fa-IR"/>
        </w:rPr>
        <w:t>لا یشترط تعیین الموصی له علی الأقرب ؛ لعموم الآیة</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أوصی لأحد هذین أو أحد هؤلاء أو رجل أو امرأة، صحّ، و تخیّر</w:t>
      </w:r>
      <w:r>
        <w:rPr>
          <w:rStyle w:val="FootnoteAnchor"/>
          <w:rtl w:val="true"/>
        </w:rPr>
        <w:footnoteReference w:id="1897"/>
      </w:r>
      <w:r>
        <w:rPr>
          <w:rFonts w:ascii="IRNazanin" w:hAnsi="IRNazanin" w:eastAsia="IRNazanin"/>
          <w:color w:val="111111"/>
          <w:sz w:val="28"/>
          <w:sz w:val="28"/>
          <w:szCs w:val="28"/>
          <w:rtl w:val="true"/>
          <w:lang w:bidi="fa-IR"/>
        </w:rPr>
        <w:t>الوصیّ أو الورثة، و یمکن قویّاً القول بالقرعة مع الانحصار، کأحد هذین، و ضعیفاً</w:t>
      </w:r>
      <w:r>
        <w:rPr>
          <w:rStyle w:val="FootnoteAnchor"/>
          <w:rtl w:val="true"/>
        </w:rPr>
        <w:footnoteReference w:id="1898"/>
      </w:r>
      <w:r>
        <w:rPr>
          <w:rFonts w:ascii="IRNazanin" w:hAnsi="IRNazanin" w:eastAsia="IRNazanin"/>
          <w:color w:val="111111"/>
          <w:sz w:val="28"/>
          <w:sz w:val="28"/>
          <w:szCs w:val="28"/>
          <w:rtl w:val="true"/>
          <w:lang w:bidi="fa-IR"/>
        </w:rPr>
        <w:t>التشریک بینهما، أو الوقف حتّی یصطلحا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لموالیه، فکما مرّ فی الوقف</w:t>
      </w:r>
      <w:r>
        <w:rPr>
          <w:rStyle w:val="FootnoteAnchor"/>
          <w:rtl w:val="true"/>
        </w:rPr>
        <w:footnoteReference w:id="1899"/>
      </w:r>
      <w:r>
        <w:rPr>
          <w:rFonts w:ascii="IRNazanin" w:hAnsi="IRNazanin" w:eastAsia="IRNazanin"/>
          <w:color w:val="111111"/>
          <w:sz w:val="28"/>
          <w:sz w:val="28"/>
          <w:szCs w:val="28"/>
          <w:rtl w:val="true"/>
          <w:lang w:bidi="fa-IR"/>
        </w:rPr>
        <w:t>، و کذا القول فی الجیران و العشیرة</w:t>
      </w:r>
    </w:p>
    <w:p>
      <w:pPr>
        <w:pStyle w:val="BookText"/>
        <w:rPr/>
      </w:pPr>
      <w:r>
        <w:rPr>
          <w:rFonts w:ascii="IRNazanin" w:hAnsi="IRNazanin" w:eastAsia="IRNazanin"/>
          <w:color w:val="111111"/>
          <w:sz w:val="28"/>
          <w:sz w:val="28"/>
          <w:szCs w:val="28"/>
          <w:rtl w:val="true"/>
          <w:lang w:bidi="fa-IR"/>
        </w:rPr>
        <w:t>و مستحقّ الزکاة و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للفقراء بربع و للمساکین بخمس، وجب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أحد اللفظین ففی دخول الآخر خلاف سبق</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 القرآن استقلالاً، فلا تکفی القراءة من المصحف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یخرج عن ذلک بسهو أو غلط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المفسّرون، و المحدّثون إذا علموا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دخول الأُدباء وجه ؛ لتوقّف علم الشریعة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الوصیّة للقبیلة المتبدّدة تتناول الموجود، و لا تجب التسویة و لا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الأرامل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اللائی فارقن أزواجهنّ بموت و شبهه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الخالیات من البعل</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العزّاب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أزواج</w:t>
      </w:r>
      <w:r>
        <w:rPr>
          <w:rStyle w:val="FootnoteAnchor"/>
          <w:rtl w:val="true"/>
        </w:rPr>
        <w:footnoteReference w:id="1902"/>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المتسرّی نظر، من إباء العرف، و من الحثّ علی إزالة العزوبة بالتزویج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الأعقل و الأعلم و الأزهد و الأورع و الأتقی و غیره من صفات المبالغة،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الإمام، و لو علم عدم إرادته، نزّل علی مَن یغلب علی الظنّ اتّصافه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الوصیّة یقتضی التسویة، و لو فضل اُتّبع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الأعمام و الأخوال صحیح زرارة بالتفضیل</w:t>
      </w:r>
      <w:r>
        <w:rPr>
          <w:rStyle w:val="FootnoteAnchor"/>
          <w:rtl w:val="true"/>
        </w:rPr>
        <w:footnoteReference w:id="1903"/>
      </w:r>
      <w:r>
        <w:rPr>
          <w:rFonts w:ascii="IRNazanin" w:hAnsi="IRNazanin" w:eastAsia="IRNazanin"/>
          <w:color w:val="111111"/>
          <w:sz w:val="28"/>
          <w:sz w:val="28"/>
          <w:szCs w:val="28"/>
          <w:rtl w:val="true"/>
          <w:lang w:bidi="fa-IR"/>
        </w:rPr>
        <w:t>، کالإرث، و علیه الشیخ</w:t>
      </w:r>
      <w:r>
        <w:rPr>
          <w:rStyle w:val="FootnoteAnchor"/>
          <w:rtl w:val="true"/>
        </w:rPr>
        <w:footnoteReference w:id="1904"/>
      </w:r>
      <w:r>
        <w:rPr>
          <w:rFonts w:ascii="IRNazanin" w:hAnsi="IRNazanin" w:eastAsia="IRNazanin"/>
          <w:color w:val="111111"/>
          <w:sz w:val="28"/>
          <w:sz w:val="28"/>
          <w:szCs w:val="28"/>
          <w:rtl w:val="true"/>
          <w:lang w:bidi="fa-IR"/>
        </w:rPr>
        <w:t>و ابن الجنید</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المعروفون بنسبه، و قصرهم ابن الجنید علی الأب الرابع</w:t>
      </w:r>
      <w:r>
        <w:rPr>
          <w:rStyle w:val="FootnoteAnchor"/>
          <w:rtl w:val="true"/>
        </w:rPr>
        <w:footnoteReference w:id="1906"/>
      </w:r>
      <w:r>
        <w:rPr>
          <w:rFonts w:ascii="Amiri" w:hAnsi="Amiri" w:eastAsia="Amiri" w:cs="Amiri"/>
          <w:color w:val="111111"/>
          <w:sz w:val="28"/>
          <w:sz w:val="28"/>
          <w:szCs w:val="28"/>
          <w:rtl w:val="true"/>
          <w:lang w:bidi="ar-SA"/>
        </w:rPr>
        <w:t>؛ تأسّیاً بالنبیّ صلّی‌اللّه علیه و آله فی تفرقة الخمس</w:t>
      </w:r>
      <w:r>
        <w:rPr>
          <w:rStyle w:val="FootnoteAnchor"/>
          <w:rtl w:val="true"/>
        </w:rPr>
        <w:footnoteReference w:id="1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علی مَن</w:t>
      </w:r>
    </w:p>
    <w:p>
      <w:pPr>
        <w:pStyle w:val="BookText"/>
        <w:rPr/>
      </w:pPr>
      <w:r>
        <w:rPr>
          <w:rFonts w:ascii="Amiri" w:hAnsi="Amiri" w:eastAsia="Amiri" w:cs="Amiri"/>
          <w:color w:val="111111"/>
          <w:sz w:val="28"/>
          <w:sz w:val="28"/>
          <w:szCs w:val="28"/>
          <w:rtl w:val="true"/>
          <w:lang w:bidi="ar-SA"/>
        </w:rPr>
        <w:t>تقرّب بأب و أُمّ مسلمین</w:t>
      </w: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علیه دلیلاً</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احتجّ بعضهم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النبیّ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الإسلام أرحام</w:t>
      </w:r>
    </w:p>
    <w:p>
      <w:pPr>
        <w:pStyle w:val="BookText"/>
        <w:rPr/>
      </w:pPr>
      <w:r>
        <w:rPr>
          <w:rFonts w:ascii="Amiri" w:hAnsi="Amiri" w:eastAsia="Amiri" w:cs="Amiri"/>
          <w:color w:val="111111"/>
          <w:sz w:val="28"/>
          <w:sz w:val="28"/>
          <w:szCs w:val="28"/>
          <w:rtl w:val="true"/>
          <w:lang w:bidi="ar-SA"/>
        </w:rPr>
        <w:t>الجاهلیّة</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یتوجّه علیه المطالبة بصحّة السند أوّلاً و بوجه الدلالة ثانیاً، و بمساواة باقی </w:t>
      </w:r>
    </w:p>
    <w:p>
      <w:pPr>
        <w:pStyle w:val="BookText"/>
        <w:rPr/>
      </w:pPr>
      <w:r>
        <w:rPr>
          <w:rFonts w:ascii="IRNazanin" w:hAnsi="IRNazanin" w:eastAsia="IRNazanin"/>
          <w:color w:val="111111"/>
          <w:sz w:val="28"/>
          <w:sz w:val="28"/>
          <w:szCs w:val="28"/>
          <w:rtl w:val="true"/>
          <w:lang w:bidi="fa-IR"/>
        </w:rPr>
        <w:t>أقسام الکفر لکفر الجاهلیّة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لجارحه بعد الجرح، صحّت الوصیّة و إن کان الجرح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لزید ثمّ قتله زید ففی بطلان الوصیّة نظر، من التنزیل علی المنع من الإرث،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فی الخلاف الصحّة</w:t>
      </w:r>
      <w:r>
        <w:rPr>
          <w:rStyle w:val="FootnoteAnchor"/>
          <w:rtl w:val="true"/>
        </w:rPr>
        <w:footnoteReference w:id="1911"/>
      </w:r>
      <w:r>
        <w:rPr>
          <w:rFonts w:ascii="IRNazanin" w:hAnsi="IRNazanin" w:eastAsia="IRNazanin"/>
          <w:color w:val="111111"/>
          <w:sz w:val="28"/>
          <w:sz w:val="28"/>
          <w:szCs w:val="28"/>
          <w:rtl w:val="true"/>
          <w:lang w:bidi="fa-IR"/>
        </w:rPr>
        <w:t>، و أطلق ابن الجنید المنع لقاتل</w:t>
      </w:r>
    </w:p>
    <w:p>
      <w:pPr>
        <w:pStyle w:val="BookText"/>
        <w:rPr/>
      </w:pPr>
      <w:r>
        <w:rPr>
          <w:rFonts w:ascii="IRNazanin" w:hAnsi="IRNazanin" w:eastAsia="IRNazanin"/>
          <w:color w:val="111111"/>
          <w:sz w:val="28"/>
          <w:sz w:val="28"/>
          <w:szCs w:val="28"/>
          <w:rtl w:val="true"/>
          <w:lang w:bidi="fa-IR"/>
        </w:rPr>
        <w:t>العمد</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تصحّ الوصیّة للوارث، کالأجنبیّ</w:t>
      </w:r>
      <w:r>
        <w:rPr>
          <w:rStyle w:val="FootnoteAnchor"/>
          <w:rtl w:val="true"/>
        </w:rPr>
        <w:footnoteReference w:id="1913"/>
      </w:r>
      <w:r>
        <w:rPr>
          <w:rFonts w:ascii="IRNazanin" w:hAnsi="IRNazanin" w:eastAsia="IRNazanin"/>
          <w:color w:val="111111"/>
          <w:sz w:val="28"/>
          <w:sz w:val="28"/>
          <w:szCs w:val="28"/>
          <w:rtl w:val="true"/>
          <w:lang w:bidi="fa-IR"/>
        </w:rPr>
        <w:t>؛ للآیة</w:t>
      </w:r>
      <w:r>
        <w:rPr>
          <w:rStyle w:val="FootnoteAnchor"/>
          <w:rtl w:val="true"/>
        </w:rPr>
        <w:footnoteReference w:id="1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المنافی</w:t>
      </w:r>
      <w:r>
        <w:rPr>
          <w:rStyle w:val="FootnoteAnchor"/>
          <w:rtl w:val="true"/>
        </w:rPr>
        <w:footnoteReference w:id="1915"/>
      </w:r>
      <w:r>
        <w:rPr>
          <w:rFonts w:ascii="IRNazanin" w:hAnsi="IRNazanin" w:eastAsia="IRNazanin"/>
          <w:color w:val="111111"/>
          <w:sz w:val="28"/>
          <w:sz w:val="28"/>
          <w:szCs w:val="28"/>
          <w:rtl w:val="true"/>
          <w:lang w:bidi="fa-IR"/>
        </w:rPr>
        <w:t>محمول علی نفی وجوب الوصیّة الذی کان قبل نزول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حجر علی الموصی له فیما یدفع إلیه، بل یصنع به ما شاء، إلاّ أن یعیّن الموصی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بعتق نسمة، أجزأ الذکر و الأُنثی و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قیّدها بالإیمان، وجب، فإن ظنّه فظهر الخلاف، أجزأت، و لو تعذّر، أُعتق مَن لا یعرف بنصب، رواه علیّ بن أبی حمزة</w:t>
      </w:r>
      <w:r>
        <w:rPr>
          <w:rStyle w:val="FootnoteAnchor"/>
          <w:rtl w:val="true"/>
        </w:rPr>
        <w:footnoteReference w:id="1916"/>
      </w:r>
      <w:r>
        <w:rPr>
          <w:rFonts w:ascii="IRNazanin" w:hAnsi="IRNazanin" w:eastAsia="IRNazanin"/>
          <w:color w:val="111111"/>
          <w:sz w:val="28"/>
          <w:sz w:val="28"/>
          <w:szCs w:val="28"/>
          <w:rtl w:val="true"/>
          <w:lang w:bidi="fa-IR"/>
        </w:rPr>
        <w:t>، و استضعفه القاضی</w:t>
      </w:r>
      <w:r>
        <w:rPr>
          <w:rStyle w:val="FootnoteAnchor"/>
          <w:rtl w:val="true"/>
        </w:rPr>
        <w:footnoteReference w:id="1917"/>
      </w:r>
      <w:r>
        <w:rPr>
          <w:rFonts w:ascii="IRNazanin" w:hAnsi="IRNazanin" w:eastAsia="IRNazanin"/>
          <w:color w:val="111111"/>
          <w:sz w:val="28"/>
          <w:sz w:val="28"/>
          <w:szCs w:val="28"/>
          <w:rtl w:val="true"/>
          <w:lang w:bidi="fa-IR"/>
        </w:rPr>
        <w:t>، و ردّه ابن إدریس</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یوجد مَن یعلم إیمانه، جاز عتق مجهول الحال ؛ لأصالة </w:t>
      </w:r>
    </w:p>
    <w:p>
      <w:pPr>
        <w:pStyle w:val="BookText"/>
        <w:rPr/>
      </w:pPr>
      <w:r>
        <w:rPr>
          <w:rFonts w:ascii="IRNazanin" w:hAnsi="IRNazanin" w:eastAsia="IRNazanin"/>
          <w:color w:val="111111"/>
          <w:sz w:val="28"/>
          <w:sz w:val="28"/>
          <w:szCs w:val="28"/>
          <w:rtl w:val="true"/>
          <w:lang w:bidi="fa-IR"/>
        </w:rPr>
        <w:t>الإیمان فی المسلمین</w:t>
      </w:r>
      <w:r>
        <w:rPr>
          <w:rStyle w:val="FootnoteAnchor"/>
          <w:rtl w:val="true"/>
        </w:rPr>
        <w:footnoteReference w:id="1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منع ظاهر، و لو قیّدها بثمن معیّن، اُتّبع، فإن تعذّر إلاّ بالأقلّ دفع إلیها الباقی، و إن تعذّر کامله، أجزأ الشقص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رقاباً، أو عبیداً، أو أعْبُداً، وجب ثلاثة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لابن الجنید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عنّی عبدی بعدی فهو حرّ، و خرج من الثلث، فلیس للورثة منعه من الحجّ، و عتق إذا حجّ، و إن لم یکن سواه، سعی فی ثلثی قیمته، فإذا أدّاها أُمر بالحجّ، فان حجّ، عتق کلّه، و إلاّ رقّ</w:t>
      </w:r>
      <w:r>
        <w:rPr>
          <w:rStyle w:val="FootnoteAnchor"/>
          <w:rtl w:val="true"/>
        </w:rPr>
        <w:footnoteReference w:id="1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 نّه تعلیق للعتق بشرط،</w:t>
      </w:r>
    </w:p>
    <w:p>
      <w:pPr>
        <w:pStyle w:val="BookText"/>
        <w:rPr/>
      </w:pPr>
      <w:r>
        <w:rPr>
          <w:rFonts w:ascii="IRNazanin" w:hAnsi="IRNazanin" w:eastAsia="IRNazanin"/>
          <w:color w:val="111111"/>
          <w:sz w:val="28"/>
          <w:sz w:val="28"/>
          <w:szCs w:val="28"/>
          <w:rtl w:val="true"/>
          <w:lang w:bidi="fa-IR"/>
        </w:rPr>
        <w:t>و جوّز فی المختلف للوارث منعه من الحجّ</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أعتقوها علی أن لا تتزوّج، ففعلوا ثمّ تزوّجت، لم یبطل 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أعتقوها إن تابت من الغناء، ففعلوا ثمّ رجعت، بطل عتقها</w:t>
      </w:r>
      <w:r>
        <w:rPr>
          <w:rStyle w:val="FootnoteAnchor"/>
          <w:rtl w:val="true"/>
        </w:rPr>
        <w:footnoteReference w:id="1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 بینهما فی المختلف و لم یذکر الحکم</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قال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حرّة إن أقامت علی دینها فأقامت، عتقت، فلو أسلمت، لم یبطل عتقها، و إن تهوّدت، بطل</w:t>
      </w:r>
      <w:r>
        <w:rPr>
          <w:rStyle w:val="FootnoteAnchor"/>
          <w:rtl w:val="true"/>
        </w:rPr>
        <w:footnoteReference w:id="1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انتقالها إلی الأعلی فی الأوّل، و الأدون فی الثانی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بثلثه لرجلین فقبل أحدهما خاصّة أو کان أحدهما میّتاً، </w:t>
      </w:r>
      <w:bookmarkStart w:id="263" w:name="pg13665_219273"/>
    </w:p>
    <w:p>
      <w:pPr>
        <w:pStyle w:val="BookText"/>
        <w:rPr/>
      </w:pPr>
      <w:bookmarkEnd w:id="263"/>
      <w:r>
        <w:rPr>
          <w:rFonts w:ascii="IRNazanin" w:hAnsi="IRNazanin" w:eastAsia="IRNazanin"/>
          <w:color w:val="111111"/>
          <w:sz w:val="28"/>
          <w:sz w:val="28"/>
          <w:szCs w:val="28"/>
          <w:rtl w:val="true"/>
          <w:lang w:bidi="fa-IR"/>
        </w:rPr>
        <w:t>فالثلث للقابل و الحیّ</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بعدم قصد الموصی</w:t>
      </w:r>
      <w:r>
        <w:rPr>
          <w:rFonts w:eastAsia="IRNazanin" w:cs="IRNazanin"/>
          <w:color w:val="111111"/>
          <w:sz w:val="28"/>
          <w:szCs w:val="28"/>
          <w:rtl w:val="true"/>
          <w:lang w:bidi="fa-IR"/>
        </w:rPr>
        <w:t>.</w:t>
      </w:r>
    </w:p>
    <w:p>
      <w:pPr>
        <w:pStyle w:val="Heading3"/>
        <w:numPr>
          <w:ilvl w:val="2"/>
          <w:numId w:val="1"/>
        </w:numPr>
        <w:rPr/>
      </w:pPr>
      <w:bookmarkStart w:id="264" w:name="__RefHeading___Toc2071385_3830689328"/>
      <w:bookmarkStart w:id="265" w:name="_Toc87"/>
      <w:bookmarkEnd w:id="264"/>
      <w:r>
        <w:rPr>
          <w:rtl w:val="true"/>
        </w:rPr>
        <w:t xml:space="preserve">درس </w:t>
      </w:r>
      <w:r>
        <w:rPr>
          <w:rtl w:val="true"/>
        </w:rPr>
        <w:t>(</w:t>
      </w:r>
      <w:r>
        <w:rPr/>
        <w:t>178</w:t>
      </w:r>
      <w:r>
        <w:rPr>
          <w:rtl w:val="true"/>
        </w:rPr>
        <w:t>)</w:t>
      </w:r>
      <w:bookmarkEnd w:id="265"/>
    </w:p>
    <w:p>
      <w:pPr>
        <w:pStyle w:val="BookText"/>
        <w:rPr/>
      </w:pPr>
      <w:r>
        <w:rPr>
          <w:rFonts w:ascii="IRNazanin" w:hAnsi="IRNazanin" w:eastAsia="IRNazanin"/>
          <w:color w:val="111111"/>
          <w:sz w:val="28"/>
          <w:sz w:val="28"/>
          <w:szCs w:val="28"/>
          <w:rtl w:val="true"/>
          <w:lang w:bidi="fa-IR"/>
        </w:rPr>
        <w:t>لا تصحّ الوصیّة بملک الغیر، و لو أجاز الغیر، احتمل 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ملکت مال فلان فقد أوصیت به للفقراء، احتمل الصحّة ؛ لأ نّه أولی من الوصیّة بالمعدوم و هی جائزة، و احتمل المنع ؛ لأنّ مالکه یتمکّن من الوصیّة به، فلو تمکّن غیره منه، لکان الشیء الواحد محلاًّ لتصرّف مالکین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المحال اجتماعهما علی الجمع لا علی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تصحّ الوصیّة بالمجهول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صلّی‌اللّه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تصدّق</w:t>
      </w:r>
    </w:p>
    <w:p>
      <w:pPr>
        <w:pStyle w:val="BookText"/>
        <w:rPr/>
      </w:pPr>
      <w:r>
        <w:rPr>
          <w:rFonts w:ascii="IRNazanin" w:hAnsi="IRNazanin" w:eastAsia="IRNazanin"/>
          <w:color w:val="111111"/>
          <w:sz w:val="28"/>
          <w:sz w:val="28"/>
          <w:szCs w:val="28"/>
          <w:rtl w:val="true"/>
          <w:lang w:bidi="fa-IR"/>
        </w:rPr>
        <w:t>علیکم عند وفاتکم بثلث أموالکم زیادة فی حسناتکم</w:t>
      </w:r>
      <w:r>
        <w:rPr>
          <w:rFonts w:eastAsia="IRNazanin" w:cs="IRNazanin"/>
          <w:color w:val="111111"/>
          <w:sz w:val="28"/>
          <w:szCs w:val="28"/>
          <w:rtl w:val="true"/>
          <w:lang w:bidi="fa-IR"/>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لا یعلم المکلّف ثلث ماله، فلو أوصی بالنصیب، أو القسط، أو بمال قلیل، أو حقیر، أو کثیر، أو عظیم، أو جلیل، أو خطیر</w:t>
      </w:r>
      <w:r>
        <w:rPr>
          <w:rStyle w:val="FootnoteAnchor"/>
          <w:rtl w:val="true"/>
        </w:rPr>
        <w:footnoteReference w:id="1927"/>
      </w:r>
      <w:r>
        <w:rPr>
          <w:rFonts w:ascii="IRNazanin" w:hAnsi="IRNazanin" w:eastAsia="IRNazanin"/>
          <w:color w:val="111111"/>
          <w:sz w:val="28"/>
          <w:sz w:val="28"/>
          <w:szCs w:val="28"/>
          <w:rtl w:val="true"/>
          <w:lang w:bidi="fa-IR"/>
        </w:rPr>
        <w:t>، عیّن الوارث ما شاء إذا لم یعلم</w:t>
      </w:r>
    </w:p>
    <w:p>
      <w:pPr>
        <w:pStyle w:val="BookText"/>
        <w:rPr/>
      </w:pPr>
      <w:r>
        <w:rPr>
          <w:rFonts w:ascii="IRNazanin" w:hAnsi="IRNazanin" w:eastAsia="IRNazanin"/>
          <w:color w:val="111111"/>
          <w:sz w:val="28"/>
          <w:sz w:val="28"/>
          <w:szCs w:val="28"/>
          <w:rtl w:val="true"/>
          <w:lang w:bidi="fa-IR"/>
        </w:rPr>
        <w:t>من الموصی إرادة قدر معیّن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فالعشر ؛ لروایة أبان بن تغلب</w:t>
      </w:r>
      <w:r>
        <w:rPr>
          <w:rStyle w:val="FootnoteAnchor"/>
          <w:rtl w:val="true"/>
        </w:rPr>
        <w:footnoteReference w:id="1928"/>
      </w:r>
      <w:r>
        <w:rPr>
          <w:rFonts w:ascii="IRNazanin" w:hAnsi="IRNazanin" w:eastAsia="IRNazanin"/>
          <w:color w:val="111111"/>
          <w:sz w:val="28"/>
          <w:sz w:val="28"/>
          <w:szCs w:val="28"/>
          <w:rtl w:val="true"/>
          <w:lang w:bidi="fa-IR"/>
        </w:rPr>
        <w:t>، فإن أُضیف إلی جزء آخر، فعشرة، کجزء من ثلثی</w:t>
      </w:r>
      <w:r>
        <w:rPr>
          <w:rStyle w:val="FootnoteAnchor"/>
          <w:rtl w:val="true"/>
        </w:rPr>
        <w:footnoteReference w:id="1929"/>
      </w:r>
      <w:r>
        <w:rPr>
          <w:rFonts w:ascii="IRNazanin" w:hAnsi="IRNazanin" w:eastAsia="IRNazanin"/>
          <w:color w:val="111111"/>
          <w:sz w:val="28"/>
          <w:sz w:val="28"/>
          <w:szCs w:val="28"/>
          <w:rtl w:val="true"/>
          <w:lang w:bidi="fa-IR"/>
        </w:rPr>
        <w:t>؛ لصحیحة عبداللّه بن سنان</w:t>
      </w:r>
      <w:r>
        <w:rPr>
          <w:rStyle w:val="FootnoteAnchor"/>
          <w:rtl w:val="true"/>
        </w:rPr>
        <w:footnoteReference w:id="1930"/>
      </w:r>
      <w:r>
        <w:rPr>
          <w:rFonts w:ascii="IRNazanin" w:hAnsi="IRNazanin" w:eastAsia="IRNazanin"/>
          <w:color w:val="111111"/>
          <w:sz w:val="28"/>
          <w:sz w:val="28"/>
          <w:szCs w:val="28"/>
          <w:rtl w:val="true"/>
          <w:lang w:bidi="fa-IR"/>
        </w:rPr>
        <w:t xml:space="preserve">، و تمثّل بالجبال </w:t>
      </w:r>
    </w:p>
    <w:p>
      <w:pPr>
        <w:pStyle w:val="BookText"/>
        <w:rPr/>
      </w:pPr>
      <w:r>
        <w:rPr>
          <w:rFonts w:ascii="Amiri" w:hAnsi="Amiri" w:eastAsia="Amiri" w:cs="Amiri"/>
          <w:color w:val="111111"/>
          <w:sz w:val="28"/>
          <w:sz w:val="28"/>
          <w:szCs w:val="28"/>
          <w:rtl w:val="true"/>
          <w:lang w:bidi="ar-SA"/>
        </w:rPr>
        <w:t>العشرة</w:t>
      </w:r>
      <w:r>
        <w:rPr>
          <w:rStyle w:val="FootnoteAnchor"/>
          <w:rtl w:val="true"/>
        </w:rPr>
        <w:footnoteReference w:id="1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البزنطیّ عن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 نّه سبع الثلث</w:t>
      </w:r>
      <w:r>
        <w:rPr>
          <w:rStyle w:val="FootnoteAnchor"/>
          <w:rtl w:val="true"/>
        </w:rPr>
        <w:footnoteReference w:id="1933"/>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حملها الشیخ علی الندب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 لروایة صفوان</w:t>
      </w:r>
      <w:r>
        <w:rPr>
          <w:rStyle w:val="FootnoteAnchor"/>
          <w:rtl w:val="true"/>
        </w:rPr>
        <w:footnoteReference w:id="1934"/>
      </w:r>
      <w:r>
        <w:rPr>
          <w:rFonts w:ascii="IRNazanin" w:hAnsi="IRNazanin" w:eastAsia="IRNazanin"/>
          <w:color w:val="111111"/>
          <w:sz w:val="28"/>
          <w:sz w:val="28"/>
          <w:szCs w:val="28"/>
          <w:rtl w:val="true"/>
          <w:lang w:bidi="fa-IR"/>
        </w:rPr>
        <w:t xml:space="preserve">، و هو الأظهر، و روی طلحة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العشر</w:t>
      </w: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کتابی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السدس</w:t>
      </w:r>
      <w:r>
        <w:rPr>
          <w:rStyle w:val="FootnoteAnchor"/>
          <w:rtl w:val="true"/>
        </w:rPr>
        <w:footnoteReference w:id="1936"/>
      </w:r>
      <w:r>
        <w:rPr>
          <w:rFonts w:ascii="IRNazanin" w:hAnsi="IRNazanin" w:eastAsia="IRNazanin"/>
          <w:color w:val="111111"/>
          <w:sz w:val="28"/>
          <w:sz w:val="28"/>
          <w:szCs w:val="28"/>
          <w:rtl w:val="true"/>
          <w:lang w:bidi="fa-IR"/>
        </w:rPr>
        <w:t>، کما قاله علیّ بن بابویه</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النذر عند الشیخ</w:t>
      </w:r>
      <w:r>
        <w:rPr>
          <w:rStyle w:val="FootnoteAnchor"/>
          <w:rtl w:val="true"/>
        </w:rPr>
        <w:footnoteReference w:id="1938"/>
      </w:r>
      <w:r>
        <w:rPr>
          <w:rFonts w:ascii="IRNazanin" w:hAnsi="IRNazanin" w:eastAsia="IRNazanin"/>
          <w:color w:val="111111"/>
          <w:sz w:val="28"/>
          <w:sz w:val="28"/>
          <w:szCs w:val="28"/>
          <w:rtl w:val="true"/>
          <w:lang w:bidi="fa-IR"/>
        </w:rPr>
        <w:t>، و أنکره ابن إدریس</w:t>
      </w:r>
      <w:r>
        <w:rPr>
          <w:rStyle w:val="FootnoteAnchor"/>
          <w:rtl w:val="true"/>
        </w:rPr>
        <w:footnoteReference w:id="1939"/>
      </w:r>
      <w:r>
        <w:rPr>
          <w:rFonts w:ascii="IRNazanin" w:hAnsi="IRNazanin" w:eastAsia="IRNazanin"/>
          <w:color w:val="111111"/>
          <w:sz w:val="28"/>
          <w:sz w:val="28"/>
          <w:szCs w:val="28"/>
          <w:rtl w:val="true"/>
          <w:lang w:bidi="fa-IR"/>
        </w:rPr>
        <w:t>، فیحمل علی ما یفسّره الوارث، و هو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عیّن الموصی أبواباً فنسی الوصیّ باباً منها أو أبواباً، صرفت فی وجوه البرّ علی الأشهر ؛ لمکاتبة الهادی علیه‌السّلام</w:t>
      </w:r>
      <w:r>
        <w:rPr>
          <w:rStyle w:val="FootnoteAnchor"/>
          <w:rtl w:val="true"/>
        </w:rPr>
        <w:footnoteReference w:id="1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الحائریّة</w:t>
      </w:r>
      <w:r>
        <w:rPr>
          <w:rStyle w:val="FootnoteAnchor"/>
          <w:rtl w:val="true"/>
        </w:rPr>
        <w:footnoteReference w:id="1941"/>
      </w:r>
      <w:r>
        <w:rPr>
          <w:rFonts w:ascii="IRNazanin" w:hAnsi="IRNazanin" w:eastAsia="IRNazanin"/>
          <w:color w:val="111111"/>
          <w:sz w:val="28"/>
          <w:sz w:val="28"/>
          <w:szCs w:val="28"/>
          <w:rtl w:val="true"/>
          <w:lang w:bidi="fa-IR"/>
        </w:rPr>
        <w:t xml:space="preserve">، و اختاره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میراثاً</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یدخل جفن السیف و حلیته فی الوصیّة به علی الأظهر ؛ لروایة أبی جمیلة</w:t>
      </w:r>
      <w:r>
        <w:rPr>
          <w:rStyle w:val="FootnoteAnchor"/>
          <w:rtl w:val="true"/>
        </w:rPr>
        <w:footnoteReference w:id="1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من مال ؛ لهذه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فیها من طعام ؛ لروایة عقبة بن خالد فی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السفینة لفلان، و لم یسمّ ما فیها، و فیها طعام، أیعطاها الرجل و ما فیها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للذی أوصی له بها إلاّ أن یکون صاحبها متّهماً</w:t>
      </w:r>
      <w:r>
        <w:rPr>
          <w:rFonts w:eastAsia="IRNazanin" w:cs="IRNazanin"/>
          <w:color w:val="111111"/>
          <w:sz w:val="28"/>
          <w:szCs w:val="28"/>
          <w:rtl w:val="true"/>
          <w:lang w:bidi="fa-IR"/>
        </w:rPr>
        <w:t>»</w:t>
      </w:r>
      <w:r>
        <w:rPr>
          <w:rStyle w:val="FootnoteAnchor"/>
          <w:rtl w:val="true"/>
        </w:rPr>
        <w:footnoteReference w:id="1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صریحة فی المطلوب، و العمل بالقرینة هنا متوجّه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المفید الجِراب المشدود علی الصُنْدوق المقفّل و کذا حمل الوعاء المختوم</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له بسلّة زعفران، دخل، و 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الشرب فی الوصیّة بالضیعة و ما شابهه إذا کان عدلاً، فإن کان متّهماً، لم تنفذ الوصیّة فی أکثر من </w:t>
      </w:r>
      <w:bookmarkStart w:id="266" w:name="pg13665_219276"/>
    </w:p>
    <w:p>
      <w:pPr>
        <w:pStyle w:val="BookText"/>
        <w:rPr/>
      </w:pPr>
      <w:bookmarkEnd w:id="266"/>
      <w:r>
        <w:rPr>
          <w:rFonts w:ascii="IRNazanin" w:hAnsi="IRNazanin" w:eastAsia="IRNazanin"/>
          <w:color w:val="111111"/>
          <w:sz w:val="28"/>
          <w:sz w:val="28"/>
          <w:szCs w:val="28"/>
          <w:rtl w:val="true"/>
          <w:lang w:bidi="fa-IR"/>
        </w:rPr>
        <w:t>ثلثه</w:t>
      </w:r>
      <w:r>
        <w:rPr>
          <w:rStyle w:val="FootnoteAnchor"/>
          <w:rtl w:val="true"/>
        </w:rPr>
        <w:footnoteReference w:id="1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فی النهایة</w:t>
      </w:r>
      <w:r>
        <w:rPr>
          <w:rStyle w:val="FootnoteAnchor"/>
          <w:rtl w:val="true"/>
        </w:rPr>
        <w:footnoteReference w:id="1947"/>
      </w:r>
      <w:r>
        <w:rPr>
          <w:rFonts w:ascii="IRNazanin" w:hAnsi="IRNazanin" w:eastAsia="IRNazanin"/>
          <w:color w:val="111111"/>
          <w:sz w:val="28"/>
          <w:sz w:val="28"/>
          <w:szCs w:val="28"/>
          <w:rtl w:val="true"/>
          <w:lang w:bidi="fa-IR"/>
        </w:rPr>
        <w:t>بهذا القید أیضاً، و کأ نّهما یریانه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له بعبد و لآخر بتمام الثلث، صحّ، فإن مات العبد قبل الموصی، بطلت الوصیّة به و أُعطی الآخر التتمّة، فلو کان قیمته مائة و باقی المال خمسمائة، أُعطی الثانی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الثلث الآن أنقص من الأوّل، و کذا لو عاب أو 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 الواجب کالحجّ و الدین إلی المتبرّع به و حصرها فی الثلث و قصر، قدّم الواجب، و دخل النقص علی الآخر ؛ للنصّ</w:t>
      </w:r>
      <w:r>
        <w:rPr>
          <w:rStyle w:val="FootnoteAnchor"/>
          <w:rtl w:val="true"/>
        </w:rPr>
        <w:footnoteReference w:id="1948"/>
      </w:r>
      <w:r>
        <w:rPr>
          <w:rFonts w:ascii="IRNazanin" w:hAnsi="IRNazanin" w:eastAsia="IRNazanin"/>
          <w:color w:val="111111"/>
          <w:sz w:val="28"/>
          <w:sz w:val="28"/>
          <w:szCs w:val="28"/>
          <w:rtl w:val="true"/>
          <w:lang w:bidi="fa-IR"/>
        </w:rPr>
        <w:t>و فتوی الجماعة</w:t>
      </w:r>
      <w:r>
        <w:rPr>
          <w:rStyle w:val="FootnoteAnchor"/>
          <w:rtl w:val="true"/>
        </w:rPr>
        <w:footnoteReference w:id="1949"/>
      </w:r>
      <w:r>
        <w:rPr>
          <w:rFonts w:ascii="IRNazanin" w:hAnsi="IRNazanin" w:eastAsia="IRNazanin"/>
          <w:color w:val="111111"/>
          <w:sz w:val="28"/>
          <w:sz w:val="28"/>
          <w:szCs w:val="28"/>
          <w:rtl w:val="true"/>
          <w:lang w:bidi="fa-IR"/>
        </w:rPr>
        <w:t>، و القول بأ نّه یکمل الواجب من الأصل لیس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بجزء مشاع، کالثلث و الربع، نزّل علی الإشاعة فی جمیع الترکة، فله من کلّ عین أو منفعة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مؤونة القسمة هنا من الترکة علی تردّد ؛ لأ نّه صار شریکاً، و من وجوب التسلیم إلی الموصی له الموقوف علی القسمة، و ما لا یقسّم، باقٍ علی الشرکة</w:t>
      </w:r>
      <w:r>
        <w:rPr>
          <w:rFonts w:eastAsia="IRNazanin" w:cs="IRNazanin"/>
          <w:color w:val="111111"/>
          <w:sz w:val="28"/>
          <w:szCs w:val="28"/>
          <w:rtl w:val="true"/>
          <w:lang w:bidi="fa-IR"/>
        </w:rPr>
        <w:t>.</w:t>
      </w:r>
    </w:p>
    <w:p>
      <w:pPr>
        <w:pStyle w:val="Heading3"/>
        <w:numPr>
          <w:ilvl w:val="2"/>
          <w:numId w:val="1"/>
        </w:numPr>
        <w:rPr/>
      </w:pPr>
      <w:bookmarkStart w:id="267" w:name="__RefHeading___Toc2071387_3830689328"/>
      <w:bookmarkStart w:id="268" w:name="_Toc88"/>
      <w:bookmarkEnd w:id="267"/>
      <w:r>
        <w:rPr>
          <w:rtl w:val="true"/>
        </w:rPr>
        <w:t xml:space="preserve">درس </w:t>
      </w:r>
      <w:r>
        <w:rPr>
          <w:rtl w:val="true"/>
        </w:rPr>
        <w:t>(</w:t>
      </w:r>
      <w:r>
        <w:rPr/>
        <w:t>179</w:t>
      </w:r>
      <w:r>
        <w:rPr>
          <w:rtl w:val="true"/>
        </w:rPr>
        <w:t>)</w:t>
      </w:r>
      <w:bookmarkEnd w:id="268"/>
    </w:p>
    <w:p>
      <w:pPr>
        <w:pStyle w:val="BookText"/>
        <w:rPr/>
      </w:pPr>
      <w:r>
        <w:rPr>
          <w:rFonts w:ascii="IRNazanin" w:hAnsi="IRNazanin" w:eastAsia="IRNazanin"/>
          <w:color w:val="111111"/>
          <w:sz w:val="28"/>
          <w:sz w:val="28"/>
          <w:szCs w:val="28"/>
          <w:rtl w:val="true"/>
          <w:lang w:bidi="fa-IR"/>
        </w:rPr>
        <w:t>إذا أوصی له بعبد من عبیده، تخیّر الوارث، و لا ینزّل علی الإشاعة بحیث یکون للموصی له عشرهم لو کانوا عشرة مثلاً، و لهم إعطاء الصحیح و المعیب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ماتوا إلاّ واحداً، تعیّن للوصیّة، و لو ماتوا أجمع قبل موته أو بعده و لمّا یفرّط الوارث،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قتلوا، لم تبطل، و یطالب بقیمة ما 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قتلهم </w:t>
      </w:r>
    </w:p>
    <w:p>
      <w:pPr>
        <w:pStyle w:val="BookText"/>
        <w:rPr/>
      </w:pPr>
      <w:r>
        <w:rPr>
          <w:rFonts w:ascii="IRNazanin" w:hAnsi="IRNazanin" w:eastAsia="IRNazanin"/>
          <w:color w:val="111111"/>
          <w:sz w:val="28"/>
          <w:sz w:val="28"/>
          <w:szCs w:val="28"/>
          <w:rtl w:val="true"/>
          <w:lang w:bidi="fa-IR"/>
        </w:rPr>
        <w:t xml:space="preserve">قبل موته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 لتعلّق الوصیّة بالعین لا بالقیمة، بخلاف ما بعد الموت ؛ لأنّ الموصی له یملک</w:t>
      </w:r>
      <w:r>
        <w:rPr>
          <w:rStyle w:val="FootnoteAnchor"/>
          <w:rtl w:val="true"/>
        </w:rPr>
        <w:footnoteReference w:id="1950"/>
      </w:r>
      <w:r>
        <w:rPr>
          <w:rFonts w:ascii="IRNazanin" w:hAnsi="IRNazanin" w:eastAsia="IRNazanin"/>
          <w:color w:val="111111"/>
          <w:sz w:val="28"/>
          <w:sz w:val="28"/>
          <w:szCs w:val="28"/>
          <w:rtl w:val="true"/>
          <w:lang w:bidi="fa-IR"/>
        </w:rPr>
        <w:t>العین فیملک 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الشاة تقع علی المعز و الضأن و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عشراً من الشیاه، جاز إعطاء الذکور و الإناث، و کذا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أعطوه عشراً من الإبل، فالإناث،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له بمثل نصیب ابنه و لیس له سواه، فالنصف، و احتمل الفاضل</w:t>
      </w:r>
    </w:p>
    <w:p>
      <w:pPr>
        <w:pStyle w:val="BookText"/>
        <w:rPr/>
      </w:pPr>
      <w:r>
        <w:rPr>
          <w:rFonts w:ascii="IRNazanin" w:hAnsi="IRNazanin" w:eastAsia="IRNazanin"/>
          <w:color w:val="111111"/>
          <w:sz w:val="28"/>
          <w:sz w:val="28"/>
          <w:szCs w:val="28"/>
          <w:rtl w:val="true"/>
          <w:lang w:bidi="fa-IR"/>
        </w:rPr>
        <w:t>الجمیع</w:t>
      </w:r>
      <w:r>
        <w:rPr>
          <w:rStyle w:val="FootnoteAnchor"/>
          <w:rtl w:val="true"/>
        </w:rPr>
        <w:footnoteReference w:id="1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 نّه خلاف الظاهر ؛ إذ الظاهر توریث ابنه، فلو ردّ، فالثلث علی الاحتمالین، و لو کان له ابنان، فالثلث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بمثل نصیب أحد ورّاثه، حمل علی أقلّهم نصیباً ما لم یعیّن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 ابناً و أربع زوجات، فله سهم من ثلاثة و ثلاثین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نصیب الابن، فله ثمانیة و عشرون من ستّین، یزاد علی أصل المسألة اثنین و ثلاثین، و لو ردّوا فهی من ثمانیة و أربعین، و لو أجاز بعضهم، ضربت وفق مسألة الإجازة فی مسألة الردّ، و الوفق بالجزء من اثنی عشر، فتضرب أربعة فی ستّین أو خمسة فی ثمانیة و أربعین تبلغ مائتین و أربعین، فمن أجاز، أخذ نصیبه من مسألة الإجازة مضروباً فی وفق مسألة الردّ، و مَن ردّ، أخذ نصیبه من مسألة الردّ مضروباً فی وفق مسألة الإجازة، فبإجازة الابن خاصّة للموصی له مائة و ثمانیة، و للابن مائة و اثنا عشر، و للزوجات عشرون، و بإجازة الزوجات خاصّة للموصی له أربعة و ثمانون، و لهنّ ستّة عشر، و للابن مائة و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أجاز بعضهنّ فله نصیبها من المجاز، و هو سهم واحد مزید علی ثلث الترکة و هو ثمانون، و إن شئت مع إجازة البعض أن تدفع الثلث إلی الموصی له، و تقسّم الباقی بین </w:t>
      </w:r>
    </w:p>
    <w:p>
      <w:pPr>
        <w:pStyle w:val="BookText"/>
        <w:rPr/>
      </w:pPr>
      <w:r>
        <w:rPr>
          <w:rFonts w:ascii="IRNazanin" w:hAnsi="IRNazanin" w:eastAsia="IRNazanin"/>
          <w:color w:val="111111"/>
          <w:sz w:val="28"/>
          <w:sz w:val="28"/>
          <w:szCs w:val="28"/>
          <w:rtl w:val="true"/>
          <w:lang w:bidi="fa-IR"/>
        </w:rPr>
        <w:t>الوارث</w:t>
      </w:r>
      <w:r>
        <w:rPr>
          <w:rStyle w:val="FootnoteAnchor"/>
          <w:rtl w:val="true"/>
        </w:rPr>
        <w:footnoteReference w:id="1952"/>
      </w:r>
      <w:r>
        <w:rPr>
          <w:rFonts w:ascii="IRNazanin" w:hAnsi="IRNazanin" w:eastAsia="IRNazanin"/>
          <w:color w:val="111111"/>
          <w:sz w:val="28"/>
          <w:sz w:val="28"/>
          <w:szCs w:val="28"/>
          <w:rtl w:val="true"/>
          <w:lang w:bidi="fa-IR"/>
        </w:rPr>
        <w:t>فریضة علی تقدیری الإجازة و عدمها، فیأخذ الموصی له التفاوت، فیدفع هنا إلی الموصی له ثمانین، ثمّ یقسّم الباقی و هو مائة و ستّون فریضة، للزوجات عشرون، و للابن مائة و أربعون، هذا علی تقدیر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تقدیر الإجازة، للابن مائة و اثنا عشر، و للزوجات الأربع ستّة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w:t>
      </w:r>
      <w:r>
        <w:rPr>
          <w:rStyle w:val="FootnoteAnchor"/>
          <w:rtl w:val="true"/>
        </w:rPr>
        <w:footnoteReference w:id="1953"/>
      </w:r>
      <w:r>
        <w:rPr>
          <w:rFonts w:ascii="IRNazanin" w:hAnsi="IRNazanin" w:eastAsia="IRNazanin"/>
          <w:color w:val="111111"/>
          <w:sz w:val="28"/>
          <w:sz w:val="28"/>
          <w:szCs w:val="28"/>
          <w:rtl w:val="true"/>
          <w:lang w:bidi="fa-IR"/>
        </w:rPr>
        <w:t>ذلک بأنّ الزائد علی</w:t>
      </w:r>
      <w:r>
        <w:rPr>
          <w:rStyle w:val="FootnoteAnchor"/>
          <w:rtl w:val="true"/>
        </w:rPr>
        <w:footnoteReference w:id="1954"/>
      </w:r>
      <w:r>
        <w:rPr>
          <w:rFonts w:ascii="IRNazanin" w:hAnsi="IRNazanin" w:eastAsia="IRNazanin"/>
          <w:color w:val="111111"/>
          <w:sz w:val="28"/>
          <w:sz w:val="28"/>
          <w:szCs w:val="28"/>
          <w:rtl w:val="true"/>
          <w:lang w:bidi="fa-IR"/>
        </w:rPr>
        <w:t xml:space="preserve">الثلث فی مسألة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ثمانیة أسهم و قد صارت مضروبة فی أربعة، فتکون اثنین و ثلاثین سهماً، فتقسّمها فریضة، فیکون للزوجات أربعة، و للابن ثمانیة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فالتفاوت بین نصیبی الابن ثمانیة و عشرون، و بین نصیب کلّ واحدة من الزوجات سهم، فبالإجازة من البعض تدفع ذلک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 طریق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تنظر مازاد علی الثلث فی مسألة الإجازة فتقسّمه بین الورثة فریضة، فإن انقسم، صحّت المسألتان من مسألة الإجازة، و إن انکسر، ضربت مسألة الإجازة فی مخرج الکسر، و قد عرفت أنّ الزائد علی الثلث هنا ثمانیة فتقسّمها علی الورثة، تنکسر فی مخرج الربع، فتضرب أربعة فی ستّین فتبلغ مائتین و أربعین، و یبقی الزائد علی الثلث اثنان و ثلاثون فتقسّم بین الورثة کما مرّ،</w:t>
      </w:r>
    </w:p>
    <w:p>
      <w:pPr>
        <w:pStyle w:val="BookText"/>
        <w:rPr/>
      </w:pPr>
      <w:r>
        <w:rPr>
          <w:rFonts w:ascii="IRNazanin" w:hAnsi="IRNazanin" w:eastAsia="IRNazanin"/>
          <w:color w:val="111111"/>
          <w:sz w:val="28"/>
          <w:sz w:val="28"/>
          <w:szCs w:val="28"/>
          <w:rtl w:val="true"/>
          <w:lang w:bidi="fa-IR"/>
        </w:rPr>
        <w:t>فلو أجاز الزوجات دون الابن، صحّت المسألة من ستّین ؛ لأنّ الموصی له یأخذ نصیبهنّ من الزائد و هو سهم و یبقی للابن سبعة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أوصی له بضعف نصیب ولده، أُعطی مثلیه، و بضعفیه ثلاثة أمثاله، 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أمثاله</w:t>
      </w:r>
      <w:r>
        <w:rPr>
          <w:rStyle w:val="FootnoteAnchor"/>
          <w:rtl w:val="true"/>
        </w:rPr>
        <w:footnoteReference w:id="1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بثلاثة أضعافه أربعة أمثاله، و الأصل فیه أنّ ضعف الشیء هو و مثله، و ضعفاه هو و مثلاه و هکذا، و علی قول المبسوط کلّ ضعف </w:t>
      </w:r>
    </w:p>
    <w:p>
      <w:pPr>
        <w:pStyle w:val="BookText"/>
        <w:rPr/>
      </w:pPr>
      <w:r>
        <w:rPr>
          <w:rFonts w:ascii="IRNazanin" w:hAnsi="IRNazanin" w:eastAsia="IRNazanin"/>
          <w:color w:val="111111"/>
          <w:sz w:val="28"/>
          <w:sz w:val="28"/>
          <w:szCs w:val="28"/>
          <w:rtl w:val="true"/>
          <w:lang w:bidi="fa-IR"/>
        </w:rPr>
        <w:t>مثلان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أوصی بنصیب وارث فإن قصد عزله من الإرث،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و إلاّ حمل علی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فی الخلاف البطلان</w:t>
      </w:r>
      <w:r>
        <w:rPr>
          <w:rStyle w:val="FootnoteAnchor"/>
          <w:rtl w:val="true"/>
        </w:rPr>
        <w:footnoteReference w:id="1956"/>
      </w:r>
      <w:r>
        <w:rPr>
          <w:rFonts w:ascii="IRNazanin" w:hAnsi="IRNazanin" w:eastAsia="IRNazanin"/>
          <w:color w:val="111111"/>
          <w:sz w:val="28"/>
          <w:sz w:val="28"/>
          <w:szCs w:val="28"/>
          <w:rtl w:val="true"/>
          <w:lang w:bidi="fa-IR"/>
        </w:rPr>
        <w:t>، و أطلق بعض الأصحاب الصحّة و الحمل علی المثل</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أوصی بنصیب مَن لا نصیب له، کالکافر و القاتل و العبد، حمل علی مثله،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نصیبه،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 إذ لا نصیب له</w:t>
      </w:r>
      <w:r>
        <w:rPr>
          <w:rStyle w:val="FootnoteAnchor"/>
          <w:rtl w:val="true"/>
        </w:rPr>
        <w:footnoteReference w:id="1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تبطل إن علم کونه لا نصیب له ؛ لکونه قاتلاً، و إلاّ صحّت الوصیّة</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یجوز الرجوع فی الوصیّة صریحاً،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أو لا تعطوه ما أوصیت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کنایة یفهم منها ذلک،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میراث، أو حرام علی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فعلاً یستلزم الرجوع، کالبیع لمتعلّق الوصیّة أو الوصیّة به لآخر أو الهبة و إن لم تقبض، و کذا الرهن، و کذا لو طحن الحنطة أو عجن الدقیق أو نسج الغزل أو خلط الزیت المعیّن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له بمائة، ثمّ أوصی له بمائة فهی واحدة، و لو کانت الثانیة بمائتین، تداخلتا و کان الجمیع مائتین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أوصی له بدار، فانهدمت قبل الموت و خرجت عن الاسم، بطلت عند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w:t>
      </w:r>
      <w:r>
        <w:rPr>
          <w:rStyle w:val="FootnoteAnchor"/>
          <w:rtl w:val="true"/>
        </w:rPr>
        <w:footnoteReference w:id="1960"/>
      </w:r>
      <w:r>
        <w:rPr>
          <w:rFonts w:ascii="IRNazanin" w:hAnsi="IRNazanin" w:eastAsia="IRNazanin"/>
          <w:color w:val="111111"/>
          <w:sz w:val="28"/>
          <w:sz w:val="28"/>
          <w:szCs w:val="28"/>
          <w:rtl w:val="true"/>
          <w:lang w:bidi="fa-IR"/>
        </w:rPr>
        <w:t xml:space="preserve">، و قال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العرصة</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xml:space="preserve">. </w:t>
      </w:r>
      <w:bookmarkStart w:id="269" w:name="pg13665_219281"/>
    </w:p>
    <w:p>
      <w:pPr>
        <w:pStyle w:val="Heading2"/>
        <w:numPr>
          <w:ilvl w:val="1"/>
          <w:numId w:val="1"/>
        </w:numPr>
        <w:rPr/>
      </w:pPr>
      <w:bookmarkStart w:id="270" w:name="__RefHeading___Toc2071389_3830689328"/>
      <w:bookmarkStart w:id="271" w:name="_Toc89"/>
      <w:bookmarkEnd w:id="269"/>
      <w:bookmarkEnd w:id="270"/>
      <w:r>
        <w:rPr>
          <w:rtl w:val="true"/>
        </w:rPr>
        <w:t>کتاب الوصایة</w:t>
      </w:r>
      <w:bookmarkEnd w:id="27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2071391_3830689328"/>
      <w:bookmarkStart w:id="273" w:name="_Toc90"/>
      <w:bookmarkEnd w:id="272"/>
      <w:r>
        <w:rPr>
          <w:rtl w:val="true"/>
        </w:rPr>
        <w:t>اشاره</w:t>
      </w:r>
      <w:bookmarkEnd w:id="27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الوصایة</w:t>
      </w:r>
    </w:p>
    <w:p>
      <w:pPr>
        <w:pStyle w:val="BookText"/>
        <w:rPr/>
      </w:pPr>
      <w:r>
        <w:rPr>
          <w:rFonts w:ascii="IRNazanin" w:hAnsi="IRNazanin" w:eastAsia="IRNazanin"/>
          <w:color w:val="111111"/>
          <w:sz w:val="28"/>
          <w:sz w:val="28"/>
          <w:szCs w:val="28"/>
          <w:rtl w:val="true"/>
          <w:lang w:bidi="fa-IR"/>
        </w:rPr>
        <w:t xml:space="preserve">بکسر الواو و فتحها،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إخراج حقّ أو استیفائه، أو علی طفل أو مجنون یملک الموصی الولایة علیه بالأصالة، کالأب و الجدّ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بالعرض، کالوصیّ عن أحدهما المأذون له فی الإیصاء، و لو نهی، لم یوص، و مع الإطلاق اختلف فیه الشیخان فجوّز الإیصاء الشیخ</w:t>
      </w:r>
      <w:r>
        <w:rPr>
          <w:rStyle w:val="FootnoteAnchor"/>
          <w:rtl w:val="true"/>
        </w:rPr>
        <w:footnoteReference w:id="1962"/>
      </w:r>
      <w:r>
        <w:rPr>
          <w:rFonts w:ascii="IRNazanin" w:hAnsi="IRNazanin" w:eastAsia="IRNazanin"/>
          <w:color w:val="111111"/>
          <w:sz w:val="28"/>
          <w:sz w:val="28"/>
          <w:szCs w:val="28"/>
          <w:rtl w:val="true"/>
          <w:lang w:bidi="fa-IR"/>
        </w:rPr>
        <w:t>، و منعه المفید</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مکاتبة الصفّار للعسکریّ علیه‌السّلام</w:t>
      </w:r>
      <w:r>
        <w:rPr>
          <w:rStyle w:val="FootnoteAnchor"/>
          <w:rtl w:val="true"/>
        </w:rPr>
        <w:footnoteReference w:id="1964"/>
      </w:r>
      <w:r>
        <w:rPr>
          <w:rFonts w:ascii="IRNazanin" w:hAnsi="IRNazanin" w:eastAsia="IRNazanin"/>
          <w:color w:val="111111"/>
          <w:sz w:val="28"/>
          <w:sz w:val="28"/>
          <w:szCs w:val="28"/>
          <w:rtl w:val="true"/>
          <w:lang w:bidi="fa-IR"/>
        </w:rPr>
        <w:t>دلالة ما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للوصیّ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تصحّ الوصیّة إلی المجنون، و لو طرأ الجنون علی الوصیّ، بطلت وصیّته، و فی عودها بعود العقل عندی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جزم الفاضل بأ نّها لا تعود</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 الجنون یعتوره أدواراً،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تحمل علی أوقات الإفاقة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 و بین الأوّل انصراف الوصیّة من</w:t>
      </w:r>
      <w:r>
        <w:rPr>
          <w:rStyle w:val="FootnoteAnchor"/>
          <w:rtl w:val="true"/>
        </w:rPr>
        <w:footnoteReference w:id="1966"/>
      </w:r>
      <w:r>
        <w:rPr>
          <w:rFonts w:ascii="IRNazanin" w:hAnsi="IRNazanin" w:eastAsia="IRNazanin"/>
          <w:color w:val="111111"/>
          <w:sz w:val="28"/>
          <w:sz w:val="28"/>
          <w:szCs w:val="28"/>
          <w:rtl w:val="true"/>
          <w:lang w:bidi="fa-IR"/>
        </w:rPr>
        <w:t>ابتدائها إلی أوقات الإفاقة</w:t>
      </w:r>
      <w:r>
        <w:rPr>
          <w:rStyle w:val="FootnoteAnchor"/>
          <w:rtl w:val="true"/>
        </w:rPr>
        <w:footnoteReference w:id="196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انصرافها هناک إلی دوام عقله الذی لم یدم، و لو قلنا بعود ولایة الأوّل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إن کان منفرداً، فلا تصحّ الوصیّة إلی الصبیّ حتّی ینضمّ إلی کامل، و ینفذ تصرّف الکامل حتّی یبلغ الصبیّ فیشترکان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إذا کان الموصی مسلماً، أو کان کافراً و الوصیّة علی أطفال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إلی الکافر مثله علی ما لا یتعلّق بالمسلم،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الکافر إلی المسلم، صحّ و تصرّف فیما یجوز للمسلم التصرّف فیه من ترکته، دون غیره، 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المشهور اعتبارها، فتبطل الوصیّة إلی الفاسق ؛ لأ نّه لا یرکن إلیه ؛ 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عدلاً ففسق بعد موت الموصی، بطلت، خلافاً لابن إدریس</w:t>
      </w:r>
      <w:r>
        <w:rPr>
          <w:rStyle w:val="FootnoteAnchor"/>
          <w:rtl w:val="true"/>
        </w:rPr>
        <w:footnoteReference w:id="1968"/>
      </w:r>
      <w:r>
        <w:rPr>
          <w:rFonts w:ascii="IRNazanin" w:hAnsi="IRNazanin" w:eastAsia="IRNazanin"/>
          <w:color w:val="111111"/>
          <w:sz w:val="28"/>
          <w:sz w:val="28"/>
          <w:szCs w:val="28"/>
          <w:rtl w:val="true"/>
          <w:lang w:bidi="fa-IR"/>
        </w:rPr>
        <w:t>، و لا تعود بعوده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المولی لو أوصی إلی عبد الغیر أو مکاتبه أو مدبّره أو أُمّ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إلی عبد نفسه أو مدبّره أو مکاتبه أو أُمّ ولده، لم یصحّ عند الشیخ</w:t>
      </w:r>
      <w:r>
        <w:rPr>
          <w:rStyle w:val="FootnoteAnchor"/>
          <w:rtl w:val="true"/>
        </w:rPr>
        <w:footnoteReference w:id="1969"/>
      </w:r>
      <w:r>
        <w:rPr>
          <w:rFonts w:ascii="IRNazanin" w:hAnsi="IRNazanin" w:eastAsia="IRNazanin"/>
          <w:color w:val="111111"/>
          <w:sz w:val="28"/>
          <w:sz w:val="28"/>
          <w:szCs w:val="28"/>
          <w:rtl w:val="true"/>
          <w:lang w:bidi="fa-IR"/>
        </w:rPr>
        <w:t>، و جوّز المفید</w:t>
      </w:r>
      <w:r>
        <w:rPr>
          <w:rStyle w:val="FootnoteAnchor"/>
          <w:rtl w:val="true"/>
        </w:rPr>
        <w:footnoteReference w:id="1970"/>
      </w:r>
      <w:r>
        <w:rPr>
          <w:rFonts w:ascii="Amiri" w:hAnsi="Amiri" w:eastAsia="Amiri" w:cs="Amiri"/>
          <w:color w:val="111111"/>
          <w:sz w:val="28"/>
          <w:sz w:val="28"/>
          <w:szCs w:val="28"/>
          <w:rtl w:val="true"/>
          <w:lang w:bidi="ar-SA"/>
        </w:rPr>
        <w:t>و سلاّر الوصیّة إلی المدبّر و المکاتب مطلقاً</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مَن هو أولی من الوصیّ، کما لو أوصی بالولایة علی أطفاله و له أب فإنّها لاغیة، و یحتمل صحّتها فی ثلث ماله ؛ لأ نّه یملک إخراجه بالکلّیّة،</w:t>
      </w:r>
    </w:p>
    <w:p>
      <w:pPr>
        <w:pStyle w:val="BookText"/>
        <w:rPr/>
      </w:pPr>
      <w:r>
        <w:rPr>
          <w:rFonts w:ascii="IRNazanin" w:hAnsi="IRNazanin" w:eastAsia="IRNazanin"/>
          <w:color w:val="111111"/>
          <w:sz w:val="28"/>
          <w:sz w:val="28"/>
          <w:szCs w:val="28"/>
          <w:rtl w:val="true"/>
          <w:lang w:bidi="fa-IR"/>
        </w:rPr>
        <w:t>فملک</w:t>
      </w:r>
      <w:r>
        <w:rPr>
          <w:rStyle w:val="FootnoteAnchor"/>
          <w:rtl w:val="true"/>
        </w:rPr>
        <w:footnoteReference w:id="1972"/>
      </w:r>
      <w:r>
        <w:rPr>
          <w:rFonts w:ascii="IRNazanin" w:hAnsi="IRNazanin" w:eastAsia="IRNazanin"/>
          <w:color w:val="111111"/>
          <w:sz w:val="28"/>
          <w:sz w:val="28"/>
          <w:szCs w:val="28"/>
          <w:rtl w:val="true"/>
          <w:lang w:bidi="fa-IR"/>
        </w:rPr>
        <w:t>الولایة علیه أولی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بإخراج حقوق أو استیفائها، کان جائزاً، و یشکل بأنّ الاستیفاء ولایة علی مال الطفل فلا یملکها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عیّن المستوفی لتلک الحقوق، </w:t>
      </w:r>
    </w:p>
    <w:p>
      <w:pPr>
        <w:pStyle w:val="BookText"/>
        <w:rPr/>
      </w:pP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ولایة للأُمّ علی الأطفال، فلو نصبت علیهم وصیّاً، لغا، و لو أوصت لهم بمال و نصبت علیه قیّماً لهم، صحّ فی المال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الرشیدة</w:t>
      </w:r>
    </w:p>
    <w:p>
      <w:pPr>
        <w:pStyle w:val="BookText"/>
        <w:rPr/>
      </w:pPr>
      <w:r>
        <w:rPr>
          <w:rFonts w:ascii="IRNazanin" w:hAnsi="IRNazanin" w:eastAsia="IRNazanin"/>
          <w:color w:val="111111"/>
          <w:sz w:val="28"/>
          <w:sz w:val="28"/>
          <w:szCs w:val="28"/>
          <w:rtl w:val="true"/>
          <w:lang w:bidi="fa-IR"/>
        </w:rPr>
        <w:t>الولایة بعد الأب</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الوصیّ، فلو أوصی إلی هَرِم یعجز عن التصرّف، أو إلی مریض مدنف</w:t>
      </w:r>
      <w:r>
        <w:rPr>
          <w:rStyle w:val="FootnoteAnchor"/>
          <w:rtl w:val="true"/>
        </w:rPr>
        <w:footnoteReference w:id="1974"/>
      </w:r>
      <w:r>
        <w:rPr>
          <w:rFonts w:ascii="IRNazanin" w:hAnsi="IRNazanin" w:eastAsia="IRNazanin"/>
          <w:color w:val="111111"/>
          <w:sz w:val="28"/>
          <w:sz w:val="28"/>
          <w:szCs w:val="28"/>
          <w:rtl w:val="true"/>
          <w:lang w:bidi="fa-IR"/>
        </w:rPr>
        <w:t>، أو إلی سفیه ففی بطلانها من رأس أو صحّتها و یضمّ الحاکم إلیه مقوّیاً</w:t>
      </w:r>
      <w:r>
        <w:rPr>
          <w:rStyle w:val="FootnoteAnchor"/>
          <w:rtl w:val="true"/>
        </w:rPr>
        <w:footnoteReference w:id="1975"/>
      </w:r>
      <w:r>
        <w:rPr>
          <w:rFonts w:ascii="IRNazanin" w:hAnsi="IRNazanin" w:eastAsia="IRNazanin"/>
          <w:color w:val="111111"/>
          <w:sz w:val="28"/>
          <w:sz w:val="28"/>
          <w:szCs w:val="28"/>
          <w:rtl w:val="true"/>
          <w:lang w:bidi="fa-IR"/>
        </w:rPr>
        <w:t>نظر، ینشأ من وجوب العمل بقوله ما أمکن، و من عدم الفائدة المقصودة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عرض العجز فی الأثناء، ضمّ الحاکم إلیه قطعاً و لا ینعزل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سلب</w:t>
      </w:r>
      <w:r>
        <w:rPr>
          <w:rStyle w:val="FootnoteAnchor"/>
          <w:rtl w:val="true"/>
        </w:rPr>
        <w:footnoteReference w:id="1976"/>
      </w:r>
      <w:r>
        <w:rPr>
          <w:rFonts w:ascii="IRNazanin" w:hAnsi="IRNazanin" w:eastAsia="IRNazanin"/>
          <w:color w:val="111111"/>
          <w:sz w:val="28"/>
          <w:sz w:val="28"/>
          <w:szCs w:val="28"/>
          <w:rtl w:val="true"/>
          <w:lang w:bidi="fa-IR"/>
        </w:rPr>
        <w:t>السفه العدالة، بطلت الوصیّة إلیه علی القول باشتراطها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ضمّ إلی أحد هؤلاء کافیاً و شرط الاجتماع فالصحّة 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هذه الشروط معتبرة منذ الوصیّة</w:t>
      </w:r>
      <w:r>
        <w:rPr>
          <w:rStyle w:val="FootnoteAnchor"/>
          <w:rtl w:val="true"/>
        </w:rPr>
        <w:footnoteReference w:id="1977"/>
      </w:r>
      <w:r>
        <w:rPr>
          <w:rFonts w:ascii="IRNazanin" w:hAnsi="IRNazanin" w:eastAsia="IRNazanin"/>
          <w:color w:val="111111"/>
          <w:sz w:val="28"/>
          <w:sz w:val="28"/>
          <w:szCs w:val="28"/>
          <w:rtl w:val="true"/>
          <w:lang w:bidi="fa-IR"/>
        </w:rPr>
        <w:t>إلی حین الموت، فلو اختلّ أحدها فی حالة من ذلک،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حین الوصیّة</w:t>
      </w:r>
      <w:r>
        <w:rPr>
          <w:rStyle w:val="FootnoteAnchor"/>
          <w:rtl w:val="true"/>
        </w:rPr>
        <w:footnoteReference w:id="1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Style w:val="FootnoteAnchor"/>
          <w:rtl w:val="true"/>
        </w:rPr>
        <w:footnoteReference w:id="1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الوفاة</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تشترط الذکورة فی الوصیّ و لا البصر، بل تصحّ الوصیّة إلی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w:t>
      </w:r>
    </w:p>
    <w:p>
      <w:pPr>
        <w:pStyle w:val="BookText"/>
        <w:rPr/>
      </w:pPr>
      <w:r>
        <w:rPr>
          <w:rFonts w:ascii="IRNazanin" w:hAnsi="IRNazanin" w:eastAsia="IRNazanin"/>
          <w:color w:val="111111"/>
          <w:sz w:val="28"/>
          <w:sz w:val="28"/>
          <w:szCs w:val="28"/>
          <w:rtl w:val="true"/>
          <w:lang w:bidi="fa-IR"/>
        </w:rPr>
        <w:t>فیه الشیخ إجماعنا</w:t>
      </w: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السکونیّ، عن علیّ علیه‌السّلام بالمنع من الوصیّة إلیها</w:t>
      </w:r>
      <w:r>
        <w:rPr>
          <w:rStyle w:val="FootnoteAnchor"/>
          <w:rtl w:val="true"/>
        </w:rPr>
        <w:footnoteReference w:id="1982"/>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محمولة علی التقیّة أو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 إلی المکفوف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اتّحاد الوصیّ، فتجوز الوصیّة إلی اثنین فصاعداً، و ینصرف الإطلاق إلی الاجتماع، فلیس لأحدهما</w:t>
      </w:r>
      <w:r>
        <w:rPr>
          <w:rStyle w:val="FootnoteAnchor"/>
          <w:rtl w:val="true"/>
        </w:rPr>
        <w:footnoteReference w:id="1983"/>
      </w:r>
      <w:r>
        <w:rPr>
          <w:rFonts w:ascii="Amiri" w:hAnsi="Amiri" w:eastAsia="Amiri" w:cs="Amiri"/>
          <w:color w:val="111111"/>
          <w:sz w:val="28"/>
          <w:sz w:val="28"/>
          <w:szCs w:val="28"/>
          <w:rtl w:val="true"/>
          <w:lang w:bidi="ar-SA"/>
        </w:rPr>
        <w:t>التفرّد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تشاحّا، أجبرهما الحاکم علی الاجتماع، فلو تصرّف أحدهما مع التشاحّ، نفذ فیما تمسّ الضرورة إلیه، کمؤونة الیتیم، و علف دوابّه، و لو نهاهما</w:t>
      </w:r>
      <w:r>
        <w:rPr>
          <w:rStyle w:val="FootnoteAnchor"/>
          <w:rtl w:val="true"/>
        </w:rPr>
        <w:footnoteReference w:id="1984"/>
      </w:r>
      <w:r>
        <w:rPr>
          <w:rFonts w:ascii="IRNazanin" w:hAnsi="IRNazanin" w:eastAsia="IRNazanin"/>
          <w:color w:val="111111"/>
          <w:sz w:val="28"/>
          <w:sz w:val="28"/>
          <w:szCs w:val="28"/>
          <w:rtl w:val="true"/>
          <w:lang w:bidi="fa-IR"/>
        </w:rPr>
        <w:t>عن الانفراد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هنا أن لا یمضی ذلک الضروریّ، بل یرفع الأمر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اجتماعهما، جاز للحاکم عزلهما و نصب غیرهما، و له عزل أحدهما و الضمّ إلیه، و لیس له جعله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جعله منفرداً إذا کان أعلم</w:t>
      </w:r>
    </w:p>
    <w:p>
      <w:pPr>
        <w:pStyle w:val="BookText"/>
        <w:rPr/>
      </w:pPr>
      <w:r>
        <w:rPr>
          <w:rFonts w:ascii="IRNazanin" w:hAnsi="IRNazanin" w:eastAsia="IRNazanin"/>
          <w:color w:val="111111"/>
          <w:sz w:val="28"/>
          <w:sz w:val="28"/>
          <w:szCs w:val="28"/>
          <w:rtl w:val="true"/>
          <w:lang w:bidi="fa-IR"/>
        </w:rPr>
        <w:t>و أقوی فیتبعه</w:t>
      </w:r>
      <w:r>
        <w:rPr>
          <w:rStyle w:val="FootnoteAnchor"/>
          <w:rtl w:val="true"/>
        </w:rPr>
        <w:footnoteReference w:id="1985"/>
      </w:r>
      <w:r>
        <w:rPr>
          <w:rFonts w:ascii="IRNazanin" w:hAnsi="IRNazanin" w:eastAsia="IRNazanin"/>
          <w:color w:val="111111"/>
          <w:sz w:val="28"/>
          <w:sz w:val="28"/>
          <w:szCs w:val="28"/>
          <w:rtl w:val="true"/>
          <w:lang w:bidi="fa-IR"/>
        </w:rPr>
        <w:t>الباقون من الأوصیاء</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یملکان قسمة المال و لا قسمة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عجز أحدهما أو فسق أو جنّ،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ضمّ آخر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مع عزلهما تعدّد منصوب الحاکم، بل لو نصب واحداً، جاز إذا کان فیه کفایة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سوّغ لهما التصرّف علی الانفراد، جاز اقتسام المال و الأطفال، و لو تغیّر أحدهما، استقلّ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أن یوزّع ولایتهما علی المال و الأطفال، فلا یشارک کلّ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الشیخ فی النهایة انفرادهما إذا لم یکن شرط علیهما الاجتماع</w:t>
      </w:r>
      <w:r>
        <w:rPr>
          <w:rStyle w:val="FootnoteAnchor"/>
          <w:rtl w:val="true"/>
        </w:rPr>
        <w:footnoteReference w:id="1987"/>
      </w:r>
      <w:r>
        <w:rPr>
          <w:rFonts w:ascii="IRNazanin" w:hAnsi="IRNazanin" w:eastAsia="IRNazanin"/>
          <w:color w:val="111111"/>
          <w:sz w:val="28"/>
          <w:sz w:val="28"/>
          <w:szCs w:val="28"/>
          <w:rtl w:val="true"/>
          <w:lang w:bidi="fa-IR"/>
        </w:rPr>
        <w:t>، و تبعه ابن البرّاج</w:t>
      </w:r>
      <w:r>
        <w:rPr>
          <w:rStyle w:val="FootnoteAnchor"/>
          <w:rtl w:val="true"/>
        </w:rPr>
        <w:footnoteReference w:id="1988"/>
      </w:r>
      <w:r>
        <w:rPr>
          <w:rFonts w:ascii="IRNazanin" w:hAnsi="IRNazanin" w:eastAsia="IRNazanin"/>
          <w:color w:val="111111"/>
          <w:sz w:val="28"/>
          <w:sz w:val="28"/>
          <w:szCs w:val="28"/>
          <w:rtl w:val="true"/>
          <w:lang w:bidi="fa-IR"/>
        </w:rPr>
        <w:t>؛ لروایة برید عن الصادق علیه‌السّلام</w:t>
      </w:r>
      <w:r>
        <w:rPr>
          <w:rStyle w:val="FootnoteAnchor"/>
          <w:rtl w:val="true"/>
        </w:rPr>
        <w:footnoteReference w:id="1989"/>
      </w:r>
      <w:r>
        <w:rPr>
          <w:rFonts w:ascii="IRNazanin" w:hAnsi="IRNazanin" w:eastAsia="IRNazanin"/>
          <w:color w:val="111111"/>
          <w:sz w:val="28"/>
          <w:sz w:val="28"/>
          <w:szCs w:val="28"/>
          <w:rtl w:val="true"/>
          <w:lang w:bidi="fa-IR"/>
        </w:rPr>
        <w:t>، و هی غیر 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جعل وصیّین علی الترتیب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 زید، فإن مات فإلی عمرو، أو إن بلغ ولدی رشیداً فإلیه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أوصی إلی زید، ثمّ أوصی إلی عمرو، اشترکا و لا انفراد، و لا یعزل الأوّل بالوصیّة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قبل أحدهما دون الآخر،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وحده، بخلاف ما إذا أوصی إلیهما معاً، فإنّه ینعزل القابل بردّ صاحبه</w:t>
      </w:r>
      <w:r>
        <w:rPr>
          <w:rStyle w:val="FootnoteAnchor"/>
          <w:rtl w:val="true"/>
        </w:rPr>
        <w:footnoteReference w:id="1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الفرق نظر ؛ لأنّ الضمّ قد حصل فی الموضعین، فإن کان شرطاً، ثبت فیهما و إلاّ انتفی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أوصی إلی زید،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ضممت إلیه عمرواً، فقبل عمرو خاصّة، لم یکن له الانفراد ؛ لأ نّه جعله مضموماً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ینعزل أو یضمّ الحاکم إلیه ؟ فیه نظر، و جزم الفاضل بالثانی</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للصغیر المنضمّ نقض ما أنفذه البالغ بعد کماله، إذا کان موافقاً للشرع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مات الصبیّ أو بلغ غیر أهل للوصیّة، ففی انفراد الآخر نظر، من ثبوت </w:t>
      </w:r>
      <w:bookmarkStart w:id="274" w:name="pg13665_219288"/>
    </w:p>
    <w:p>
      <w:pPr>
        <w:pStyle w:val="BookText"/>
        <w:rPr/>
      </w:pPr>
      <w:bookmarkEnd w:id="274"/>
      <w:r>
        <w:rPr>
          <w:rFonts w:ascii="IRNazanin" w:hAnsi="IRNazanin" w:eastAsia="IRNazanin"/>
          <w:color w:val="111111"/>
          <w:sz w:val="28"/>
          <w:sz w:val="28"/>
          <w:szCs w:val="28"/>
          <w:rtl w:val="true"/>
          <w:lang w:bidi="fa-IR"/>
        </w:rPr>
        <w:t>ولایته و عدم حصول ما یزیلها، و من دلالة لفظ الموصی علی الضمّ فی وقت إمکانه عادة، و جزم جماعة بالأوّل</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071393_3830689328"/>
      <w:bookmarkStart w:id="276" w:name="_Toc91"/>
      <w:bookmarkEnd w:id="275"/>
      <w:r>
        <w:rPr>
          <w:rtl w:val="true"/>
        </w:rPr>
        <w:t xml:space="preserve">درس </w:t>
      </w:r>
      <w:r>
        <w:rPr>
          <w:rtl w:val="true"/>
        </w:rPr>
        <w:t>(</w:t>
      </w:r>
      <w:r>
        <w:rPr/>
        <w:t>180</w:t>
      </w:r>
      <w:r>
        <w:rPr>
          <w:rtl w:val="true"/>
        </w:rPr>
        <w:t>)</w:t>
      </w:r>
      <w:bookmarkEnd w:id="276"/>
    </w:p>
    <w:p>
      <w:pPr>
        <w:pStyle w:val="BookText"/>
        <w:rPr/>
      </w:pPr>
      <w:r>
        <w:rPr>
          <w:rFonts w:ascii="IRNazanin" w:hAnsi="IRNazanin" w:eastAsia="IRNazanin"/>
          <w:color w:val="111111"/>
          <w:sz w:val="28"/>
          <w:sz w:val="28"/>
          <w:szCs w:val="28"/>
          <w:rtl w:val="true"/>
          <w:lang w:bidi="fa-IR"/>
        </w:rPr>
        <w:t>لا یجب علی الوصیّ القبول، بل له الردّ فی حیاة الموصی، و ینعزل إن بلغه</w:t>
      </w:r>
    </w:p>
    <w:p>
      <w:pPr>
        <w:pStyle w:val="BookText"/>
        <w:rPr/>
      </w:pPr>
      <w:r>
        <w:rPr>
          <w:rFonts w:ascii="IRNazanin" w:hAnsi="IRNazanin" w:eastAsia="IRNazanin"/>
          <w:color w:val="111111"/>
          <w:sz w:val="28"/>
          <w:sz w:val="28"/>
          <w:szCs w:val="28"/>
          <w:rtl w:val="true"/>
          <w:lang w:bidi="fa-IR"/>
        </w:rPr>
        <w:t>الردّ، و إن لم یبلغه أو لم یعلم بالوصیّة حتّی مات، فالمشهور التزامه إلاّ مع العجز ؛ لروایة منصور بن حازم</w:t>
      </w:r>
      <w:r>
        <w:rPr>
          <w:rStyle w:val="FootnoteAnchor"/>
          <w:rtl w:val="true"/>
        </w:rPr>
        <w:footnoteReference w:id="1994"/>
      </w:r>
      <w:r>
        <w:rPr>
          <w:rFonts w:ascii="IRNazanin" w:hAnsi="IRNazanin" w:eastAsia="IRNazanin"/>
          <w:color w:val="111111"/>
          <w:sz w:val="28"/>
          <w:sz w:val="28"/>
          <w:szCs w:val="28"/>
          <w:rtl w:val="true"/>
          <w:lang w:bidi="fa-IR"/>
        </w:rPr>
        <w:t>، و محمّد بن مسلم عن الصادق علیه‌السلام</w:t>
      </w:r>
      <w:r>
        <w:rPr>
          <w:rStyle w:val="FootnoteAnchor"/>
          <w:rtl w:val="true"/>
        </w:rPr>
        <w:footnoteReference w:id="1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الردّ إذا لم یعلم بالوصیّة حتّی مات ؛ للحرج و الضرر</w:t>
      </w:r>
      <w:r>
        <w:rPr>
          <w:rStyle w:val="FootnoteAnchor"/>
          <w:rtl w:val="true"/>
        </w:rPr>
        <w:footnoteReference w:id="1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نعلم له موافقاً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إلی ولده، وجب علیه القبول، و کذا إلی أجنبیّ إذا لم یجد غیره</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 xml:space="preserve">علی قوله بعد نقل هذا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أوصی رجل إلی رجل، فلیس له أن یأبی إن کان حیث لا یجد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أوصی رجل إلی رجل و هو غائب عنه، فلیس له أن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نعثر علی هذه الزیادة فی کتب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مرویّان قویّان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القبول متأخّراً عن الإیجاب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صیغة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إلیک، أو فوّضت، أو جعلتک وصیّاً، أو أقمتک مقامی فی أمر أولادی أو حفظ أموالی، أو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 اقتصر، فإن کان هناک قرینة حال، حمل علیه</w:t>
      </w:r>
      <w:r>
        <w:rPr>
          <w:rStyle w:val="FootnoteAnchor"/>
          <w:rtl w:val="true"/>
        </w:rPr>
        <w:footnoteReference w:id="1999"/>
      </w:r>
      <w:r>
        <w:rPr>
          <w:rFonts w:ascii="IRNazanin" w:hAnsi="IRNazanin" w:eastAsia="IRNazanin"/>
          <w:color w:val="111111"/>
          <w:sz w:val="28"/>
          <w:sz w:val="28"/>
          <w:szCs w:val="28"/>
          <w:rtl w:val="true"/>
          <w:lang w:bidi="fa-IR"/>
        </w:rPr>
        <w:t>، و إلاّ أمکن البطلان، و یحتمل التصرّف فیما لابدّ منه، کحفظ المال و مؤونة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قبل الوصیّ فعلاً، جاز، کما لو باع العین الموصی ببیعها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قلناه من اللزوم بالموت و عدم الردّ فلا عبرة بقبول الوصیّ و عدمه، بل العبرة بعدم الردّ الذی یبلغ الموصی، فإن حصل و إلاّ التزم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 أمین لا یضمن إلاّ مع التعدّی أو التفریط، و له أن یوکّل فیما جرت العادة بالتوکیل فیه، و فی غیره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استیفاء دینه ممّا فی یده من غیر مراجعة الحاکم، سواء أمکنه إثباته عند الحاکم أم لا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یأخذ من تحت یده إلاّ ما تقوم له به البیّنة</w:t>
      </w:r>
      <w:r>
        <w:rPr>
          <w:rStyle w:val="FootnoteAnchor"/>
          <w:rtl w:val="true"/>
        </w:rPr>
        <w:footnoteReference w:id="2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ذلک مع فقد البیّنة</w:t>
      </w:r>
      <w:r>
        <w:rPr>
          <w:rStyle w:val="FootnoteAnchor"/>
          <w:rtl w:val="true"/>
        </w:rPr>
        <w:footnoteReference w:id="2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یقضی دین غیره مع علمه بعد 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الثبوت عند الحاکم و حکمه</w:t>
      </w: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منع ابن إدریس من شرائه لنفسه ؛ لامتناع کونه موجباً قابلاً</w:t>
      </w:r>
      <w:r>
        <w:rPr>
          <w:rStyle w:val="FootnoteAnchor"/>
          <w:rtl w:val="true"/>
        </w:rPr>
        <w:footnoteReference w:id="2003"/>
      </w:r>
      <w:r>
        <w:rPr>
          <w:rFonts w:ascii="IRNazanin" w:hAnsi="IRNazanin" w:eastAsia="IRNazanin"/>
          <w:color w:val="111111"/>
          <w:sz w:val="28"/>
          <w:sz w:val="28"/>
          <w:szCs w:val="28"/>
          <w:rtl w:val="true"/>
          <w:lang w:bidi="fa-IR"/>
        </w:rPr>
        <w:t>، و جوّزه الشیخ</w:t>
      </w:r>
      <w:r>
        <w:rPr>
          <w:rStyle w:val="FootnoteAnchor"/>
          <w:rtl w:val="true"/>
        </w:rPr>
        <w:footnoteReference w:id="2004"/>
      </w:r>
      <w:r>
        <w:rPr>
          <w:rFonts w:ascii="IRNazanin" w:hAnsi="IRNazanin" w:eastAsia="IRNazanin"/>
          <w:color w:val="111111"/>
          <w:sz w:val="28"/>
          <w:sz w:val="28"/>
          <w:szCs w:val="28"/>
          <w:rtl w:val="true"/>
          <w:lang w:bidi="fa-IR"/>
        </w:rPr>
        <w:t>؛ للأصل، و مکاتبة الهمدانیّ</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له البیع علی الطفل من ماله، و هل له الولایة علی تزویج الطفل أو </w:t>
      </w:r>
    </w:p>
    <w:p>
      <w:pPr>
        <w:pStyle w:val="BookText"/>
        <w:rPr/>
      </w:pPr>
      <w:r>
        <w:rPr>
          <w:rFonts w:ascii="IRNazanin" w:hAnsi="IRNazanin" w:eastAsia="IRNazanin"/>
          <w:color w:val="111111"/>
          <w:sz w:val="28"/>
          <w:sz w:val="28"/>
          <w:szCs w:val="28"/>
          <w:rtl w:val="true"/>
          <w:lang w:bidi="fa-IR"/>
        </w:rPr>
        <w:t xml:space="preserve">الطفلة ؟ 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Style w:val="FootnoteAnchor"/>
          <w:rtl w:val="true"/>
        </w:rPr>
        <w:footnoteReference w:id="2006"/>
      </w:r>
      <w:r>
        <w:rPr>
          <w:rFonts w:ascii="IRNazanin" w:hAnsi="IRNazanin" w:eastAsia="IRNazanin"/>
          <w:color w:val="111111"/>
          <w:sz w:val="28"/>
          <w:sz w:val="28"/>
          <w:szCs w:val="28"/>
          <w:rtl w:val="true"/>
          <w:lang w:bidi="fa-IR"/>
        </w:rPr>
        <w:t>، و حمله بعضهم علی الإذن له فی التزویج</w:t>
      </w:r>
      <w:r>
        <w:rPr>
          <w:rStyle w:val="FootnoteAnchor"/>
          <w:rtl w:val="true"/>
        </w:rPr>
        <w:footnoteReference w:id="2007"/>
      </w:r>
      <w:r>
        <w:rPr>
          <w:rFonts w:ascii="IRNazanin" w:hAnsi="IRNazanin" w:eastAsia="IRNazanin"/>
          <w:color w:val="111111"/>
          <w:sz w:val="28"/>
          <w:sz w:val="28"/>
          <w:szCs w:val="28"/>
          <w:rtl w:val="true"/>
          <w:lang w:bidi="fa-IR"/>
        </w:rPr>
        <w:t>، و منع بعضهم منه علی الإطلاق</w:t>
      </w:r>
      <w:r>
        <w:rPr>
          <w:rStyle w:val="FootnoteAnchor"/>
          <w:rtl w:val="true"/>
        </w:rPr>
        <w:footnoteReference w:id="2008"/>
      </w:r>
      <w:r>
        <w:rPr>
          <w:rFonts w:ascii="IRNazanin" w:hAnsi="IRNazanin" w:eastAsia="IRNazanin"/>
          <w:color w:val="111111"/>
          <w:sz w:val="28"/>
          <w:sz w:val="28"/>
          <w:szCs w:val="28"/>
          <w:rtl w:val="true"/>
          <w:lang w:bidi="fa-IR"/>
        </w:rPr>
        <w:t>، و به فحوی روایة</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تزویج مَن بلغ فاسد العقل مع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مسلم جواز تفویض المضاربة إلی الوصیّ علی نصف الربح</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صغر الأولاد</w:t>
      </w:r>
      <w:r>
        <w:rPr>
          <w:rStyle w:val="FootnoteAnchor"/>
          <w:rtl w:val="true"/>
        </w:rPr>
        <w:footnoteReference w:id="2010"/>
      </w:r>
      <w:r>
        <w:rPr>
          <w:rFonts w:ascii="Amiri" w:hAnsi="Amiri" w:eastAsia="Amiri" w:cs="Amiri"/>
          <w:color w:val="111111"/>
          <w:sz w:val="28"/>
          <w:sz w:val="28"/>
          <w:szCs w:val="28"/>
          <w:rtl w:val="true"/>
          <w:lang w:bidi="ar-SA"/>
        </w:rPr>
        <w:t>، و بها قال الجماعة</w:t>
      </w: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إنّما تنفذ فی ثلث المال قبل موته، و الربح تجدّد بعد موته، فلا تنفذ فیه الوصیّة</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یوصی إلیه بجُعل إذا لم یزد عن أُجرة المثل، و إن زاد، اُشترط الخروج من الثلث فی الزائد أو إجازة الورثة، و لو لم یجعل له، فله أُجرة المثل عن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Style w:val="FootnoteAnchor"/>
          <w:rtl w:val="true"/>
        </w:rPr>
        <w:footnoteReference w:id="2013"/>
      </w:r>
      <w:r>
        <w:rPr>
          <w:rFonts w:ascii="IRNazanin" w:hAnsi="IRNazanin" w:eastAsia="IRNazanin"/>
          <w:color w:val="111111"/>
          <w:sz w:val="28"/>
          <w:sz w:val="28"/>
          <w:szCs w:val="28"/>
          <w:rtl w:val="true"/>
          <w:lang w:bidi="fa-IR"/>
        </w:rPr>
        <w:t xml:space="preserve">و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قدر کفایته</w:t>
      </w:r>
      <w:r>
        <w:rPr>
          <w:rStyle w:val="FootnoteAnchor"/>
          <w:rtl w:val="true"/>
        </w:rPr>
        <w:footnoteReference w:id="2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التبیان</w:t>
      </w:r>
      <w:r>
        <w:rPr>
          <w:rStyle w:val="FootnoteAnchor"/>
          <w:rtl w:val="true"/>
        </w:rPr>
        <w:footnoteReference w:id="2015"/>
      </w:r>
      <w:r>
        <w:rPr>
          <w:rFonts w:ascii="IRNazanin" w:hAnsi="IRNazanin" w:eastAsia="IRNazanin"/>
          <w:color w:val="111111"/>
          <w:sz w:val="28"/>
          <w:sz w:val="28"/>
          <w:szCs w:val="28"/>
          <w:rtl w:val="true"/>
          <w:lang w:bidi="fa-IR"/>
        </w:rPr>
        <w:t xml:space="preserve">و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أقلّ الأمرین</w:t>
      </w:r>
      <w:r>
        <w:rPr>
          <w:rStyle w:val="FootnoteAnchor"/>
          <w:rtl w:val="true"/>
        </w:rPr>
        <w:footnoteReference w:id="2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w:t>
      </w:r>
    </w:p>
    <w:p>
      <w:pPr>
        <w:pStyle w:val="BookText"/>
        <w:rPr/>
      </w:pPr>
      <w:r>
        <w:rPr>
          <w:rFonts w:ascii="IRNazanin" w:hAnsi="IRNazanin" w:eastAsia="IRNazanin"/>
          <w:color w:val="111111"/>
          <w:sz w:val="28"/>
          <w:sz w:val="28"/>
          <w:szCs w:val="28"/>
          <w:rtl w:val="true"/>
          <w:lang w:bidi="fa-IR"/>
        </w:rPr>
        <w:t>الحاجة، و مع الغنی یستعفّ</w:t>
      </w:r>
      <w:r>
        <w:rPr>
          <w:rStyle w:val="FootnoteAnchor"/>
          <w:rtl w:val="true"/>
        </w:rPr>
        <w:footnoteReference w:id="2017"/>
      </w:r>
      <w:r>
        <w:rPr>
          <w:rFonts w:ascii="IRNazanin" w:hAnsi="IRNazanin" w:eastAsia="IRNazanin"/>
          <w:color w:val="111111"/>
          <w:sz w:val="28"/>
          <w:sz w:val="28"/>
          <w:szCs w:val="28"/>
          <w:rtl w:val="true"/>
          <w:lang w:bidi="fa-IR"/>
        </w:rPr>
        <w:t>وجوباً عند ابن إدریس</w:t>
      </w:r>
      <w:r>
        <w:rPr>
          <w:rStyle w:val="FootnoteAnchor"/>
          <w:rtl w:val="true"/>
        </w:rPr>
        <w:footnoteReference w:id="2018"/>
      </w:r>
      <w:r>
        <w:rPr>
          <w:rFonts w:ascii="IRNazanin" w:hAnsi="IRNazanin" w:eastAsia="IRNazanin"/>
          <w:color w:val="111111"/>
          <w:sz w:val="28"/>
          <w:sz w:val="28"/>
          <w:szCs w:val="28"/>
          <w:rtl w:val="true"/>
          <w:lang w:bidi="fa-IR"/>
        </w:rPr>
        <w:t>؛ للآیة</w:t>
      </w:r>
      <w:r>
        <w:rPr>
          <w:rStyle w:val="FootnoteAnchor"/>
          <w:rtl w:val="true"/>
        </w:rPr>
        <w:footnoteReference w:id="2019"/>
      </w:r>
      <w:r>
        <w:rPr>
          <w:rFonts w:ascii="IRNazanin" w:hAnsi="IRNazanin" w:eastAsia="IRNazanin"/>
          <w:color w:val="111111"/>
          <w:sz w:val="28"/>
          <w:sz w:val="28"/>
          <w:szCs w:val="28"/>
          <w:rtl w:val="true"/>
          <w:lang w:bidi="fa-IR"/>
        </w:rPr>
        <w:t>، و استحباباً عند الشیخ</w:t>
      </w:r>
      <w:r>
        <w:rPr>
          <w:rStyle w:val="FootnoteAnchor"/>
          <w:rtl w:val="true"/>
        </w:rPr>
        <w:footnoteReference w:id="2020"/>
      </w:r>
      <w:r>
        <w:rPr>
          <w:rFonts w:ascii="IRNazanin" w:hAnsi="IRNazanin" w:eastAsia="IRNazanin"/>
          <w:color w:val="111111"/>
          <w:sz w:val="28"/>
          <w:sz w:val="28"/>
          <w:szCs w:val="28"/>
          <w:rtl w:val="true"/>
          <w:lang w:bidi="fa-IR"/>
        </w:rPr>
        <w:t>و ابن الجنید</w:t>
      </w:r>
      <w:r>
        <w:rPr>
          <w:rStyle w:val="FootnoteAnchor"/>
          <w:rtl w:val="true"/>
        </w:rPr>
        <w:footnoteReference w:id="2021"/>
      </w:r>
      <w:r>
        <w:rPr>
          <w:rFonts w:ascii="IRNazanin" w:hAnsi="IRNazanin" w:eastAsia="IRNazanin"/>
          <w:color w:val="111111"/>
          <w:sz w:val="28"/>
          <w:sz w:val="28"/>
          <w:szCs w:val="28"/>
          <w:rtl w:val="true"/>
          <w:lang w:bidi="fa-IR"/>
        </w:rPr>
        <w:t>و الفاضل</w:t>
      </w:r>
      <w:r>
        <w:rPr>
          <w:rStyle w:val="FootnoteAnchor"/>
          <w:rtl w:val="true"/>
        </w:rPr>
        <w:footnoteReference w:id="2022"/>
      </w:r>
      <w:r>
        <w:rPr>
          <w:rFonts w:ascii="IRNazanin" w:hAnsi="IRNazanin" w:eastAsia="IRNazanin"/>
          <w:color w:val="111111"/>
          <w:sz w:val="28"/>
          <w:sz w:val="28"/>
          <w:szCs w:val="28"/>
          <w:rtl w:val="true"/>
          <w:lang w:bidi="fa-IR"/>
        </w:rPr>
        <w:t>؛ لأنّ الاستعفاف مشعر</w:t>
      </w:r>
      <w:r>
        <w:rPr>
          <w:rStyle w:val="FootnoteAnchor"/>
          <w:rtl w:val="true"/>
        </w:rPr>
        <w:footnoteReference w:id="202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قوله فی الإنفاق علی الطفل و ماله بالمعروف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تقدّم موت الموصی، فأنکر الموصی علیه و لا بیّنة، حلف المنکر، و کذا لو ادّعی دفع المال إلیه و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یقتصر الوصیّ علی ما عیّن له، فلو جعل له النظر فی ماله الموجود، لم ینظر</w:t>
      </w:r>
    </w:p>
    <w:p>
      <w:pPr>
        <w:pStyle w:val="BookText"/>
        <w:rPr/>
      </w:pPr>
      <w:r>
        <w:rPr>
          <w:rFonts w:ascii="IRNazanin" w:hAnsi="IRNazanin" w:eastAsia="IRNazanin"/>
          <w:color w:val="111111"/>
          <w:sz w:val="28"/>
          <w:sz w:val="28"/>
          <w:szCs w:val="28"/>
          <w:rtl w:val="true"/>
          <w:lang w:bidi="fa-IR"/>
        </w:rPr>
        <w:t>فیما یتجدّد، و لو أطلق، دخل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الحلبیّ فی الصحیح، عن الصادق علیه‌السّلام فی الوصیّ یعزل الدین فی بیته فیتلف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للغرماء</w:t>
      </w:r>
      <w:r>
        <w:rPr>
          <w:rStyle w:val="FootnoteAnchor"/>
          <w:rtl w:val="true"/>
        </w:rPr>
        <w:footnoteReference w:id="2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الشیخ</w:t>
      </w:r>
      <w:r>
        <w:rPr>
          <w:rStyle w:val="FootnoteAnchor"/>
          <w:rtl w:val="true"/>
        </w:rPr>
        <w:footnoteReference w:id="2025"/>
      </w:r>
      <w:r>
        <w:rPr>
          <w:rFonts w:ascii="IRNazanin" w:hAnsi="IRNazanin" w:eastAsia="IRNazanin"/>
          <w:color w:val="111111"/>
          <w:sz w:val="28"/>
          <w:sz w:val="28"/>
          <w:szCs w:val="28"/>
          <w:rtl w:val="true"/>
          <w:lang w:bidi="fa-IR"/>
        </w:rPr>
        <w:t>و القاضی إذا تمکّن من الدفع</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تلف جمیع المال، ضمن و إلاّ تخیّر الغرماء، فإن أخذوا من الورثة، رجعوا علی الوصیّ المفرّط</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مات و لا ولیّ لأولاده، فأمرهم إلی الحاکم، فینصب علیهم أمیناً إمّا دائماً، </w:t>
      </w:r>
    </w:p>
    <w:p>
      <w:pPr>
        <w:pStyle w:val="BookText"/>
        <w:rPr/>
      </w:pPr>
      <w:r>
        <w:rPr>
          <w:rFonts w:ascii="IRNazanin" w:hAnsi="IRNazanin" w:eastAsia="IRNazanin"/>
          <w:color w:val="111111"/>
          <w:sz w:val="28"/>
          <w:sz w:val="28"/>
          <w:szCs w:val="28"/>
          <w:rtl w:val="true"/>
          <w:lang w:bidi="fa-IR"/>
        </w:rPr>
        <w:t>أو فی وقت معیّن، أو شغل</w:t>
      </w:r>
      <w:r>
        <w:rPr>
          <w:rStyle w:val="FootnoteAnchor"/>
          <w:rtl w:val="true"/>
        </w:rPr>
        <w:footnoteReference w:id="2028"/>
      </w:r>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یشترط فیه العدالة و باقی الشرائط، و یملک الحاکم عزله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الحاکم أو تعذّر مراجعته، جاز لآحاد المؤمنین العدول التصرّف بما</w:t>
      </w:r>
      <w:r>
        <w:rPr>
          <w:rStyle w:val="FootnoteAnchor"/>
          <w:rtl w:val="true"/>
        </w:rPr>
        <w:footnoteReference w:id="2029"/>
      </w:r>
      <w:r>
        <w:rPr>
          <w:rFonts w:ascii="IRNazanin" w:hAnsi="IRNazanin" w:eastAsia="IRNazanin"/>
          <w:color w:val="111111"/>
          <w:sz w:val="28"/>
          <w:sz w:val="28"/>
          <w:szCs w:val="28"/>
          <w:rtl w:val="true"/>
          <w:lang w:bidi="fa-IR"/>
        </w:rPr>
        <w:t>فیه صلاح ؛ لأ نّه من باب التعاون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لشمول ولایة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للموصی الرجوع فی الوصیّة مادام حیّاً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تثبت الوصیّة</w:t>
      </w:r>
      <w:r>
        <w:rPr>
          <w:rStyle w:val="FootnoteAnchor"/>
          <w:rtl w:val="true"/>
        </w:rPr>
        <w:footnoteReference w:id="2030"/>
      </w:r>
      <w:r>
        <w:rPr>
          <w:rFonts w:ascii="IRNazanin" w:hAnsi="IRNazanin" w:eastAsia="IRNazanin"/>
          <w:color w:val="111111"/>
          <w:sz w:val="28"/>
          <w:sz w:val="28"/>
          <w:szCs w:val="28"/>
          <w:rtl w:val="true"/>
          <w:lang w:bidi="fa-IR"/>
        </w:rPr>
        <w:t>و الرجوع إلاّ بشهادة ذکرین عدلین مسلمین</w:t>
      </w:r>
      <w:r>
        <w:rPr>
          <w:rFonts w:eastAsia="IRNazanin" w:cs="IRNazanin"/>
          <w:color w:val="111111"/>
          <w:sz w:val="28"/>
          <w:szCs w:val="28"/>
          <w:rtl w:val="true"/>
          <w:lang w:bidi="fa-IR"/>
        </w:rPr>
        <w:t xml:space="preserve">. </w:t>
      </w:r>
      <w:bookmarkStart w:id="277" w:name="pg13665_219293"/>
    </w:p>
    <w:p>
      <w:pPr>
        <w:pStyle w:val="Heading2"/>
        <w:numPr>
          <w:ilvl w:val="1"/>
          <w:numId w:val="1"/>
        </w:numPr>
        <w:rPr/>
      </w:pPr>
      <w:bookmarkStart w:id="278" w:name="__RefHeading___Toc2071395_3830689328"/>
      <w:bookmarkStart w:id="279" w:name="_Toc92"/>
      <w:bookmarkEnd w:id="277"/>
      <w:bookmarkEnd w:id="278"/>
      <w:r>
        <w:rPr>
          <w:rtl w:val="true"/>
        </w:rPr>
        <w:t>کتاب المیراث</w:t>
      </w:r>
      <w:bookmarkEnd w:id="27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2071397_3830689328"/>
      <w:bookmarkStart w:id="281" w:name="_Toc93"/>
      <w:bookmarkEnd w:id="280"/>
      <w:r>
        <w:rPr>
          <w:rtl w:val="true"/>
        </w:rPr>
        <w:t>اشاره</w:t>
      </w:r>
      <w:bookmarkEnd w:id="28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المیراث</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یستحقّه إنسان بموت آخر، بنسب أو سبب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بالولادة بانتهاء أحدهما إلی الآخر، أو بانتهائهما إلی ثالث علی الوجه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بالزوجیّة أو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مراتب النسب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 الأبناء و إن نزلوا، ثمّ الإخوة و الأجداد فصاعداً ذکوراً و إناثاً، و أولاد الإخوة فنازلاً ذکوراً و إناثاً، ثمّ الأعمام و الأخوال فصاعداً،</w:t>
      </w:r>
    </w:p>
    <w:p>
      <w:pPr>
        <w:pStyle w:val="BookText"/>
        <w:rPr/>
      </w:pPr>
      <w:r>
        <w:rPr>
          <w:rFonts w:ascii="Amiri" w:hAnsi="Amiri" w:eastAsia="Amiri" w:cs="Amiri"/>
          <w:color w:val="111111"/>
          <w:sz w:val="28"/>
          <w:sz w:val="28"/>
          <w:szCs w:val="28"/>
          <w:rtl w:val="true"/>
          <w:lang w:bidi="ar-SA"/>
        </w:rPr>
        <w:t>و أولادهم فنازلاً ذکوراً و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عمود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فصاعداً و الأبناء فنازلاً، و الباقی 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 فیثبت بالزوجیّة من الجانبین إذا کان العقد دائماً أو مؤجّلاً شرط فیه الإرث، و بولاء العتق، و ضمان الجریرة، و ولاء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الزوجیّة تجامع جمیع الورّاث، و العتق لا یجامع النسب، و هو مقدّم علی ضمان الجریرة المقدّم علی ولاء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وارث إمّا أن یسمّی له فی کتاب اللّه بخصوصه و یسمّی ذا فرض، أو بعمومه و یسمّی قرابة، فالوارث ثلاثة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فرض لا غیر، و هو الأُمّ و الأخ و الأُخت، أو المتعدّد من قبلها إلاّ علی الردّ </w:t>
      </w:r>
    </w:p>
    <w:p>
      <w:pPr>
        <w:pStyle w:val="BookText"/>
        <w:rPr/>
      </w:pPr>
      <w:r>
        <w:rPr>
          <w:rFonts w:ascii="IRNazanin" w:hAnsi="IRNazanin" w:eastAsia="IRNazanin"/>
          <w:color w:val="111111"/>
          <w:sz w:val="28"/>
          <w:sz w:val="28"/>
          <w:szCs w:val="28"/>
          <w:rtl w:val="true"/>
          <w:lang w:bidi="fa-IR"/>
        </w:rPr>
        <w:t>علیها أو علیهم، و الزوج و الزوجة إلاّ علی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فرض تارة و قرابة أُخری، و هو الأب و البنت و إن تعدّدت، و الأُخت للأب و إن تعدّدت</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قرابة لا غیر و هم الباقون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 خلّف المیّت ذا فرض أخذ فرضه، فإن تعدّد فی طبقته، أخذ کلّ فرضه، و الفاضل یردّ علی ذوی الفروض إن فقد غیرهم فی طبقتهم، و کانت وصلتهم متساویة، لا مثل کلالة الأُمّ من الإخوة، و کلالة الأب من الأُخت أو الأخوات، فإنّ کلالة الأب تنفرد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الزوج و الزوجة خلاف، أقربه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الزوج دون الزوجة، سواء کان فی غیبة الإمام أو حضوره، إذا لم یکن وارث سواهما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قصرت الترکة عن ذوی الفروض، نقص البنت أو البنات و الأُخت للأب أو الأخوات له، و لا تعصیب فی الأوّل، کما لا عول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 الوارث لا فرض له فالجمیع له، واحداً کان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 وصلتهم إلی المیّت، فلکلّ نصیب مَن یتقرّب به، کالأعمام لهم نصیب الأب، و الأخوال لهم نصیب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اجتمع ذو فرض و غیره فی طبقة</w:t>
      </w:r>
      <w:r>
        <w:rPr>
          <w:rStyle w:val="FootnoteAnchor"/>
          <w:rtl w:val="true"/>
        </w:rPr>
        <w:footnoteReference w:id="2032"/>
      </w:r>
      <w:r>
        <w:rPr>
          <w:rFonts w:ascii="IRNazanin" w:hAnsi="IRNazanin" w:eastAsia="IRNazanin"/>
          <w:color w:val="111111"/>
          <w:sz w:val="28"/>
          <w:sz w:val="28"/>
          <w:szCs w:val="28"/>
          <w:rtl w:val="true"/>
          <w:lang w:bidi="fa-IR"/>
        </w:rPr>
        <w:t>، فالباقی بعد الفرض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ترث المرتبة اللاحقة مع السابقة، و لو اشتملت المرتبة علی طبقات، ورث </w:t>
      </w:r>
    </w:p>
    <w:p>
      <w:pPr>
        <w:pStyle w:val="BookText"/>
        <w:rPr/>
      </w:pPr>
      <w:r>
        <w:rPr>
          <w:rFonts w:ascii="IRNazanin" w:hAnsi="IRNazanin" w:eastAsia="IRNazanin"/>
          <w:color w:val="111111"/>
          <w:sz w:val="28"/>
          <w:sz w:val="28"/>
          <w:szCs w:val="28"/>
          <w:rtl w:val="true"/>
          <w:lang w:bidi="fa-IR"/>
        </w:rPr>
        <w:t>الأعلی فالأعلی، کالأجداد و الحفدة من أبناء المیّت و أبناء إخوته و أبناء أعمامه و أخواله، و فی مثل أعمام المیّت و أخواله و أعمام أبیه و أخوالهم فصاعداً یمنع الأدنی الأعلی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یجتمع للوارث نسبان فصاعداً، أو سببان، أو نسب و سبب، فیرث بالجمیع ما لم یکن هناک مَن هو أقرب منه فیهما أو فی أحدهما، أو یکن</w:t>
      </w:r>
      <w:r>
        <w:rPr>
          <w:rStyle w:val="FootnoteAnchor"/>
          <w:rtl w:val="true"/>
        </w:rPr>
        <w:footnoteReference w:id="2033"/>
      </w:r>
      <w:r>
        <w:rPr>
          <w:rFonts w:ascii="IRNazanin" w:hAnsi="IRNazanin" w:eastAsia="IRNazanin"/>
          <w:color w:val="111111"/>
          <w:sz w:val="28"/>
          <w:sz w:val="28"/>
          <w:szCs w:val="28"/>
          <w:rtl w:val="true"/>
          <w:lang w:bidi="fa-IR"/>
        </w:rPr>
        <w:t>أحدهما مانعاً للآخر، و لا یمنع مَن هو فی طبقته من ذی النسب الواحد، فههنا ثمانیة أمثلة</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نسبان یرث بهما، کعمّ هو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متعدّدة یرث بها، مثل ابن ابن عمّ لأب هو ابن ابن خال، و هو ابن بنت عمّة و هو ابن بنت 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نسبان یحجب أحدهما الآخر، کأخ هو ابن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نسبان یحجب غیر صاحبهما أحدهما، کزوج هو ابن عمّ و للزوجة أخ أو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نسبان فصاعداً لواحد، و نسب واحد لآخر، کابنی عمّ أحدهما ابن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سببان فی واحد و لا یحجب أحدهما الآخر، کزوج هو معتق أو ضامن جریرة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سببان و یحجب أحدهما الآخر، کالإمام إذا مات عتیقه، فإنّه یرثه</w:t>
      </w:r>
      <w:r>
        <w:rPr>
          <w:rStyle w:val="FootnoteAnchor"/>
          <w:rtl w:val="true"/>
        </w:rPr>
        <w:footnoteReference w:id="2035"/>
      </w:r>
      <w:bookmarkStart w:id="282" w:name="pg13665_219298"/>
    </w:p>
    <w:p>
      <w:pPr>
        <w:pStyle w:val="BookText"/>
        <w:rPr/>
      </w:pPr>
      <w:bookmarkEnd w:id="282"/>
      <w:r>
        <w:rPr>
          <w:rFonts w:ascii="IRNazanin" w:hAnsi="IRNazanin" w:eastAsia="IRNazanin"/>
          <w:color w:val="111111"/>
          <w:sz w:val="28"/>
          <w:sz w:val="28"/>
          <w:szCs w:val="28"/>
          <w:rtl w:val="true"/>
          <w:lang w:bidi="fa-IR"/>
        </w:rPr>
        <w:t>بالعتق لا بالإمامة، و کمعتق هو ضامن جریرة، کما لو کان قد ضمن جریرة کافر، ثمّ استرقّ فأعتقه، و قلنا ببقاء ضمان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سببان و هناک مَن یحجب أحدهما، کزوج معتقته و لها ولد أو أخ</w:t>
      </w:r>
      <w:r>
        <w:rPr>
          <w:rFonts w:eastAsia="IRNazanin" w:cs="IRNazanin"/>
          <w:color w:val="111111"/>
          <w:sz w:val="28"/>
          <w:szCs w:val="28"/>
          <w:rtl w:val="true"/>
          <w:lang w:bidi="fa-IR"/>
        </w:rPr>
        <w:t>.</w:t>
      </w:r>
    </w:p>
    <w:p>
      <w:pPr>
        <w:pStyle w:val="Heading3"/>
        <w:numPr>
          <w:ilvl w:val="2"/>
          <w:numId w:val="1"/>
        </w:numPr>
        <w:rPr/>
      </w:pPr>
      <w:bookmarkStart w:id="283" w:name="__RefHeading___Toc2071399_3830689328"/>
      <w:bookmarkStart w:id="284" w:name="_Toc94"/>
      <w:bookmarkEnd w:id="283"/>
      <w:r>
        <w:rPr>
          <w:rtl w:val="true"/>
        </w:rPr>
        <w:t xml:space="preserve">درس </w:t>
      </w:r>
      <w:r>
        <w:rPr>
          <w:rtl w:val="true"/>
        </w:rPr>
        <w:t>(</w:t>
      </w:r>
      <w:r>
        <w:rPr/>
        <w:t>181</w:t>
      </w:r>
      <w:r>
        <w:rPr>
          <w:rtl w:val="true"/>
        </w:rPr>
        <w:t>)</w:t>
      </w:r>
      <w:bookmarkEnd w:id="284"/>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متی اجتمع قرابة الأبوین مع قرابة الأُمّ، تشارکوا مع اتّحاد الرتبة، و یختصّ الردّ بقرابة الأبوین حیث یقع، و کذا قرابة الأب وحده مع قرابة الأُمّ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اجتمع قرابة الأب وحده مع قرابة الأبوین، فلا شیء لقرابة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اجتمع قرابة الأب وحده مع قرابة الأُمّ وحدها، تنزّل قرابة الأب منزلة قرابة الأبوین مع عدمهم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الردّ علی الإخوة خلاف یأتی إن‌شاءاللّه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یمنع أبعد أقرب إلاّ فی مسألة إجماعیّة، و هی ابن عمّ للأبوین مع عمّ لأب، فابن العمّ یمنعه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یتغیّر الحکم بتعدّد أحدهما أو تعدّدهما، و لا بالزوج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یتغیّر بالذکورة و الأُنوثة علی الأقرب، وفاقاً لابن إدریس</w:t>
      </w:r>
      <w:r>
        <w:rPr>
          <w:rStyle w:val="FootnoteAnchor"/>
          <w:rtl w:val="true"/>
        </w:rPr>
        <w:footnoteReference w:id="2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العمّة للأب کالعمّ</w:t>
      </w:r>
      <w:r>
        <w:rPr>
          <w:rStyle w:val="FootnoteAnchor"/>
          <w:rtl w:val="true"/>
        </w:rPr>
        <w:footnoteReference w:id="2037"/>
      </w:r>
      <w:r>
        <w:rPr>
          <w:rFonts w:ascii="IRNazanin" w:hAnsi="IRNazanin" w:eastAsia="IRNazanin"/>
          <w:color w:val="111111"/>
          <w:sz w:val="28"/>
          <w:sz w:val="28"/>
          <w:szCs w:val="28"/>
          <w:rtl w:val="true"/>
          <w:lang w:bidi="fa-IR"/>
        </w:rPr>
        <w:t>، و کذا بمجامعة الخال، فیکون المال بین العمّ و الخال علی ما یأتی إن‌شاءاللّه تعالی، و به قال عماد الدین بن حمزة رحمه‌اللّه‌</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قال قطب الدین الراوندیّ</w:t>
      </w:r>
      <w:r>
        <w:rPr>
          <w:rStyle w:val="FootnoteAnchor"/>
          <w:rtl w:val="true"/>
        </w:rPr>
        <w:footnoteReference w:id="2039"/>
      </w:r>
      <w:r>
        <w:rPr>
          <w:rFonts w:ascii="IRNazanin" w:hAnsi="IRNazanin" w:eastAsia="IRNazanin"/>
          <w:color w:val="111111"/>
          <w:sz w:val="28"/>
          <w:sz w:val="28"/>
          <w:szCs w:val="28"/>
          <w:rtl w:val="true"/>
          <w:lang w:bidi="fa-IR"/>
        </w:rPr>
        <w:t xml:space="preserve">و معین الدین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للخال و ابن العمّ ؛ لأنّ الخال لا یمنع العمّ، فلأن لا یمنع ابن العمّ الذی هو أقرب، أولی</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سدید الدین محمود الحمصیّ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للخال ؛ لأنّ العمّ محجوب بابن العمّ، و ابن العمّ محجوب بالخال</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سلیمان بن محرز</w:t>
      </w:r>
      <w:r>
        <w:rPr>
          <w:rStyle w:val="FootnoteAnchor"/>
          <w:rtl w:val="true"/>
        </w:rPr>
        <w:footnoteReference w:id="2042"/>
      </w:r>
      <w:r>
        <w:rPr>
          <w:rFonts w:ascii="IRNazanin" w:hAnsi="IRNazanin" w:eastAsia="IRNazanin"/>
          <w:color w:val="111111"/>
          <w:sz w:val="28"/>
          <w:sz w:val="28"/>
          <w:szCs w:val="28"/>
          <w:rtl w:val="true"/>
          <w:lang w:bidi="fa-IR"/>
        </w:rPr>
        <w:t xml:space="preserve">، عن الصادق علیه‌السّلام فی ابن عمّ و خال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 و خالة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للخالة</w:t>
      </w:r>
      <w:r>
        <w:rPr>
          <w:rFonts w:eastAsia="IRNazanin" w:cs="IRNazanin"/>
          <w:color w:val="111111"/>
          <w:sz w:val="28"/>
          <w:szCs w:val="28"/>
          <w:rtl w:val="true"/>
          <w:lang w:bidi="fa-IR"/>
        </w:rPr>
        <w:t>»</w:t>
      </w:r>
      <w:r>
        <w:rPr>
          <w:rStyle w:val="FootnoteAnchor"/>
          <w:rtl w:val="true"/>
        </w:rPr>
        <w:footnoteReference w:id="2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المسألة مباحث طویلة، و فوائد جلیلة جرت بین هؤلاء الفضلاء رضوان‌اللّه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موضعان آخران قد یتصوّر فیهما تقدیم الأبعد علی الأقرب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 إخوة لأُمّ، و جدّاً قریباً لأب، و جدّاً بعیداً لأُمّ، سواء کان هناک إخوة لأب أم لا، أو ترک مع الإخوة للأب جدّاً بعیداً لأب، و مع الإخوة للأُمّ جدّاً</w:t>
      </w:r>
    </w:p>
    <w:p>
      <w:pPr>
        <w:pStyle w:val="BookText"/>
        <w:rPr/>
      </w:pPr>
      <w:r>
        <w:rPr>
          <w:rFonts w:ascii="Amiri" w:hAnsi="Amiri" w:eastAsia="Amiri" w:cs="Amiri"/>
          <w:color w:val="111111"/>
          <w:sz w:val="28"/>
          <w:sz w:val="28"/>
          <w:szCs w:val="28"/>
          <w:rtl w:val="true"/>
          <w:lang w:bidi="ar-SA"/>
        </w:rPr>
        <w:t>قریباً لأُمّ، فإنّ الجدّ القریب فی المسألة الأُولی یأخذ ثلثی المال، و للإخوة للأُمّ</w:t>
      </w:r>
    </w:p>
    <w:p>
      <w:pPr>
        <w:pStyle w:val="BookText"/>
        <w:rPr/>
      </w:pP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هنا مشارکة الجدّ البعید لهم ؛ لأنّ الأخ لا یمنع الجدّ البعید، و الجدّ القریب لا یزاحمه البعید، و فی 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لأقرباء الأُمّ الثلث، و للإخوة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مشارکة الجدّ البعید إیّاهم لما قلناه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ترک جدّاً لأُمّ، و ابن أخ لأُمّ مع أخ لأب، فإنّ ابن الأخ لا یحجبه </w:t>
      </w:r>
    </w:p>
    <w:p>
      <w:pPr>
        <w:pStyle w:val="BookText"/>
        <w:rPr/>
      </w:pPr>
      <w:r>
        <w:rPr>
          <w:rFonts w:ascii="Amiri" w:hAnsi="Amiri" w:eastAsia="Amiri" w:cs="Amiri"/>
          <w:color w:val="111111"/>
          <w:sz w:val="28"/>
          <w:sz w:val="28"/>
          <w:szCs w:val="28"/>
          <w:rtl w:val="true"/>
          <w:lang w:bidi="ar-SA"/>
        </w:rPr>
        <w:t>الجدّ للأُمّ، و لا یزاحم الأخ للأب، فیرث مع الجدّ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الأولاد و الإخوة من قبل الأب، و الأعمام من قبله و الأجداد من قبله یقتسمون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اقتسام کلالة الأُمّ بالسویّة من الإخوة و الأجداد و الأعمام</w:t>
      </w:r>
    </w:p>
    <w:p>
      <w:pPr>
        <w:pStyle w:val="BookText"/>
        <w:rPr/>
      </w:pPr>
      <w:r>
        <w:rPr>
          <w:rFonts w:ascii="IRNazanin" w:hAnsi="IRNazanin" w:eastAsia="IRNazanin"/>
          <w:color w:val="111111"/>
          <w:sz w:val="28"/>
          <w:sz w:val="28"/>
          <w:szCs w:val="28"/>
          <w:rtl w:val="true"/>
          <w:lang w:bidi="fa-IR"/>
        </w:rPr>
        <w:t>و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اقتسام المعتقین و ضمناء الجریرة بنسبة العتق و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اقتسام ورثة</w:t>
      </w:r>
    </w:p>
    <w:p>
      <w:pPr>
        <w:pStyle w:val="BookText"/>
        <w:rPr/>
      </w:pPr>
      <w:r>
        <w:rPr>
          <w:rFonts w:ascii="IRNazanin" w:hAnsi="IRNazanin" w:eastAsia="IRNazanin"/>
          <w:color w:val="111111"/>
          <w:sz w:val="28"/>
          <w:sz w:val="28"/>
          <w:szCs w:val="28"/>
          <w:rtl w:val="true"/>
          <w:lang w:bidi="fa-IR"/>
        </w:rPr>
        <w:t>المعتق، کاقتسام میراثه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الفروض المعیّنة فی کتاب اللّه تعالی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للزوج مع فقد الولد و إن نزل، و للبنت الواحدة و الأُخت للأبوین أو للأب مع فقد أُخت الأبوین، إذا لم یکن ذکر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للزوج مع وجود ولد</w:t>
      </w:r>
      <w:r>
        <w:rPr>
          <w:rStyle w:val="FootnoteAnchor"/>
          <w:rtl w:val="true"/>
        </w:rPr>
        <w:footnoteReference w:id="2044"/>
      </w:r>
      <w:r>
        <w:rPr>
          <w:rFonts w:ascii="Amiri" w:hAnsi="Amiri" w:eastAsia="Amiri" w:cs="Amiri"/>
          <w:color w:val="111111"/>
          <w:sz w:val="28"/>
          <w:sz w:val="28"/>
          <w:szCs w:val="28"/>
          <w:rtl w:val="true"/>
          <w:lang w:bidi="ar-SA"/>
        </w:rPr>
        <w:t>، و للزوجة أو الزوجات</w:t>
      </w:r>
      <w:r>
        <w:rPr>
          <w:rStyle w:val="FootnoteAnchor"/>
          <w:rtl w:val="true"/>
        </w:rPr>
        <w:footnoteReference w:id="2045"/>
      </w:r>
      <w:r>
        <w:rPr>
          <w:rFonts w:ascii="IRNazanin" w:hAnsi="IRNazanin" w:eastAsia="IRNazanin"/>
          <w:color w:val="111111"/>
          <w:sz w:val="28"/>
          <w:sz w:val="28"/>
          <w:szCs w:val="28"/>
          <w:rtl w:val="true"/>
          <w:lang w:bidi="fa-IR"/>
        </w:rPr>
        <w:t>مع فقده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للزوجة أو الزوجات مع وجود الولد و إن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سهم البنتین فصاعداً، و الأُختین فصاعداً للأب و الأُمّ أو للأب مع فقد کلالة الأبوین، إذا لم یکن ذکر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سهم الأُمّ مع عدم الحاجب من الولد و الإخوة و سهم الاثنین فصاعداً من ولد الأُمّ، ذکوراً کانوا أو إناثاً، أو ذکوراً و إناثاً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کلّ من الأبوین مع الولد، و سهم الأُمّ مع وجود الحاجب من الإخوة للأبوین أو للأب، و سهم الواحد من ولد الأُمّ</w:t>
      </w:r>
      <w:r>
        <w:rPr>
          <w:rFonts w:eastAsia="IRNazanin" w:cs="IRNazanin"/>
          <w:color w:val="111111"/>
          <w:sz w:val="28"/>
          <w:szCs w:val="28"/>
          <w:rtl w:val="true"/>
          <w:lang w:bidi="fa-IR"/>
        </w:rPr>
        <w:t xml:space="preserve">. </w:t>
      </w:r>
      <w:bookmarkStart w:id="285" w:name="pg13665_219301"/>
    </w:p>
    <w:p>
      <w:pPr>
        <w:pStyle w:val="BookText"/>
        <w:rPr/>
      </w:pPr>
      <w:bookmarkEnd w:id="285"/>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اجتماع نصفین، کزوج و أُخت لأب، و نصف و ربع، کزوجة و أُخت لأب، و کزوج و بنت، و نصف و ثلثین، کأن کان مع الزوج أُختان فصاعداً، و یدخل النقص علیهما، و نصف و ثلث، کزوج و أُمّ، و ککلالة الأُمّ</w:t>
      </w:r>
      <w:r>
        <w:rPr>
          <w:rStyle w:val="FootnoteAnchor"/>
          <w:rtl w:val="true"/>
        </w:rPr>
        <w:footnoteReference w:id="2046"/>
      </w:r>
      <w:r>
        <w:rPr>
          <w:rFonts w:ascii="IRNazanin" w:hAnsi="IRNazanin" w:eastAsia="IRNazanin"/>
          <w:color w:val="111111"/>
          <w:sz w:val="28"/>
          <w:sz w:val="28"/>
          <w:szCs w:val="28"/>
          <w:rtl w:val="true"/>
          <w:lang w:bidi="fa-IR"/>
        </w:rPr>
        <w:t>إذا تعدّد مع أُختین فصاعداً لأب، و نصف و سدس، کزوج و واحد من کلالة الأُمّ، و کبنت مع أُمّ، و کأُخت لأب مع واحد من کلالة الأُمّ، و نصف و ثمن، کزوجة 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اجتماع ربع و ثلثین، کزوج و ابنتین، و کزوجة و اختین لأب، و ربع و ثلث، کزوجة و أُمّ، و زوجة و اثنین من 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و سدس، کزوجة و واحد من کلالة الأُمّ، و کزوج و ابن و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اجتماع ثمن مع ثلثین، کزوجة و بنتین، و ثمن مع سدس، کزوجة و ابن و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اجتماع ثلثین و ثلث</w:t>
      </w:r>
      <w:r>
        <w:rPr>
          <w:rStyle w:val="FootnoteAnchor"/>
          <w:rtl w:val="true"/>
        </w:rPr>
        <w:footnoteReference w:id="2047"/>
      </w:r>
      <w:r>
        <w:rPr>
          <w:rFonts w:ascii="Amiri" w:hAnsi="Amiri" w:eastAsia="Amiri" w:cs="Amiri"/>
          <w:color w:val="111111"/>
          <w:sz w:val="28"/>
          <w:sz w:val="28"/>
          <w:szCs w:val="28"/>
          <w:rtl w:val="true"/>
          <w:lang w:bidi="ar-SA"/>
        </w:rPr>
        <w:t>، کإخوة لأُمّ</w:t>
      </w:r>
      <w:r>
        <w:rPr>
          <w:rStyle w:val="FootnoteAnchor"/>
          <w:rtl w:val="true"/>
        </w:rPr>
        <w:footnoteReference w:id="2048"/>
      </w:r>
      <w:r>
        <w:rPr>
          <w:rFonts w:ascii="Amiri" w:hAnsi="Amiri" w:eastAsia="Amiri" w:cs="Amiri"/>
          <w:color w:val="111111"/>
          <w:sz w:val="28"/>
          <w:sz w:val="28"/>
          <w:szCs w:val="28"/>
          <w:rtl w:val="true"/>
          <w:lang w:bidi="ar-SA"/>
        </w:rPr>
        <w:t>مع أُختین فصاعداً 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یمتنع اجتماع ربع و ثمن و ثلث و ثمن، و ثلث و سدس فرضاً، و یمکن قرابةً، کزوج و أبوین</w:t>
      </w:r>
      <w:r>
        <w:rPr>
          <w:rFonts w:eastAsia="IRNazanin" w:cs="IRNazanin"/>
          <w:color w:val="111111"/>
          <w:sz w:val="28"/>
          <w:szCs w:val="28"/>
          <w:rtl w:val="true"/>
          <w:lang w:bidi="fa-IR"/>
        </w:rPr>
        <w:t>.</w:t>
      </w:r>
    </w:p>
    <w:p>
      <w:pPr>
        <w:pStyle w:val="Heading3"/>
        <w:numPr>
          <w:ilvl w:val="2"/>
          <w:numId w:val="1"/>
        </w:numPr>
        <w:rPr/>
      </w:pPr>
      <w:bookmarkStart w:id="286" w:name="__RefHeading___Toc2071401_3830689328"/>
      <w:bookmarkStart w:id="287" w:name="_Toc95"/>
      <w:bookmarkEnd w:id="286"/>
      <w:r>
        <w:rPr>
          <w:rtl w:val="true"/>
        </w:rPr>
        <w:t xml:space="preserve">درس </w:t>
      </w:r>
      <w:r>
        <w:rPr>
          <w:rtl w:val="true"/>
        </w:rPr>
        <w:t>(</w:t>
      </w:r>
      <w:r>
        <w:rPr/>
        <w:t>182</w:t>
      </w:r>
      <w:r>
        <w:rPr>
          <w:rtl w:val="true"/>
        </w:rPr>
        <w:t>)</w:t>
      </w:r>
      <w:bookmarkEnd w:id="287"/>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مخرج السهم أقلّ عدد یخرج منه</w:t>
      </w:r>
      <w:r>
        <w:rPr>
          <w:rStyle w:val="FootnoteAnchor"/>
          <w:rtl w:val="true"/>
        </w:rPr>
        <w:footnoteReference w:id="2049"/>
      </w:r>
      <w:r>
        <w:rPr>
          <w:rFonts w:ascii="IRNazanin" w:hAnsi="IRNazanin" w:eastAsia="IRNazanin"/>
          <w:color w:val="111111"/>
          <w:sz w:val="28"/>
          <w:sz w:val="28"/>
          <w:szCs w:val="28"/>
          <w:rtl w:val="true"/>
          <w:lang w:bidi="fa-IR"/>
        </w:rPr>
        <w:t xml:space="preserve">صحیحاً، و هو اثنان للنصف، و الباقی من </w:t>
      </w:r>
    </w:p>
    <w:p>
      <w:pPr>
        <w:pStyle w:val="BookText"/>
        <w:rPr/>
      </w:pPr>
      <w:r>
        <w:rPr>
          <w:rFonts w:ascii="Amiri" w:hAnsi="Amiri" w:eastAsia="Amiri" w:cs="Amiri"/>
          <w:color w:val="111111"/>
          <w:sz w:val="28"/>
          <w:sz w:val="28"/>
          <w:szCs w:val="28"/>
          <w:rtl w:val="true"/>
          <w:lang w:bidi="ar-SA"/>
        </w:rPr>
        <w:t>سمیّه</w:t>
      </w:r>
      <w:r>
        <w:rPr>
          <w:rStyle w:val="FootnoteAnchor"/>
          <w:rtl w:val="true"/>
        </w:rPr>
        <w:footnoteReference w:id="2050"/>
      </w:r>
      <w:r>
        <w:rPr>
          <w:rFonts w:ascii="IRNazanin" w:hAnsi="IRNazanin" w:eastAsia="IRNazanin"/>
          <w:color w:val="111111"/>
          <w:sz w:val="28"/>
          <w:sz w:val="28"/>
          <w:szCs w:val="28"/>
          <w:rtl w:val="true"/>
          <w:lang w:bidi="fa-IR"/>
        </w:rPr>
        <w:t>، و سمیّ الثلث و الثلثین الثلاثة، فالمخارج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اجتماعها یراعی فیها التساوی و التباین و التداخل و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اجتماع‌الورثة قد یوجب ذلک و إن لم یکن لهم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فالمتساویان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یجتزأ بأحدهما، کالثلاثة، و الثلاثة فی إخوة ثلاثة لأُمّ، و أخوات ثلاث لأب و أُمّ فی باب الفرض، و کأعمام ثلاثة و أخوال ثلاثة فی باب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المتبائنان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اللذان لا یعدّهما سوی الواحد، تضرب أحدهما فی الآخر، کالخمسة و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المتداخلان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یسمّیان متناسبین و متوافقین، و هما اللذان یعدّ أقلّهما الأکثر، و لا یتجاوز نصفه، کالثلاثة و الستّة و الأربعة و الاثنی عشر و الخمسة و العشرین یجتزئ بأکثرهما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المتوافقان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اللذان یعدّهما عدد ثالث، کالستّة و الثمانیة یعدّهما الاثنان، و التسعة، و الاثنی عشر یعدّهما الثلاثة، و الثمانیة و الاثنی عشر یعدّهما الأربعة و لذلک</w:t>
      </w:r>
      <w:r>
        <w:rPr>
          <w:rStyle w:val="FootnoteAnchor"/>
          <w:rtl w:val="true"/>
        </w:rPr>
        <w:footnoteReference w:id="2051"/>
      </w:r>
      <w:r>
        <w:rPr>
          <w:rFonts w:ascii="IRNazanin" w:hAnsi="IRNazanin" w:eastAsia="IRNazanin"/>
          <w:color w:val="111111"/>
          <w:sz w:val="28"/>
          <w:sz w:val="28"/>
          <w:szCs w:val="28"/>
          <w:rtl w:val="true"/>
          <w:lang w:bidi="fa-IR"/>
        </w:rPr>
        <w:t>یسمّیان بالمتشارکین، و یجتزئ بضرب أحدهما فی الکسر الذی ذلک المشترک سَمِیٌّ له، کالنصف فی الستّة و الثمانیة، و الربع فی الثمانیة و الاثنی عشر،</w:t>
      </w:r>
    </w:p>
    <w:p>
      <w:pPr>
        <w:pStyle w:val="BookText"/>
        <w:rPr/>
      </w:pPr>
      <w:r>
        <w:rPr>
          <w:rFonts w:ascii="IRNazanin" w:hAnsi="IRNazanin" w:eastAsia="IRNazanin"/>
          <w:color w:val="111111"/>
          <w:sz w:val="28"/>
          <w:sz w:val="28"/>
          <w:szCs w:val="28"/>
          <w:rtl w:val="true"/>
          <w:lang w:bidi="fa-IR"/>
        </w:rPr>
        <w:t>و الثلث فی التسعة و الاثنی عشر، و یترامی إلی الجزء من أحد عشر فصاعداً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تکون الفریضة بقدر السهام، و تنقسم من مخارج السهام، کأبوین و ابنتین فالفریضة</w:t>
      </w:r>
      <w:r>
        <w:rPr>
          <w:rStyle w:val="FootnoteAnchor"/>
          <w:rtl w:val="true"/>
        </w:rPr>
        <w:footnoteReference w:id="2052"/>
      </w:r>
      <w:r>
        <w:rPr>
          <w:rFonts w:ascii="IRNazanin" w:hAnsi="IRNazanin" w:eastAsia="IRNazanin"/>
          <w:color w:val="111111"/>
          <w:sz w:val="28"/>
          <w:sz w:val="28"/>
          <w:szCs w:val="28"/>
          <w:rtl w:val="true"/>
          <w:lang w:bidi="fa-IR"/>
        </w:rPr>
        <w:t xml:space="preserve">سدسان و ثلثان، و هی مال کامل و المخرج ستّة ؛ لدخول الثلاثة فی </w:t>
      </w:r>
    </w:p>
    <w:p>
      <w:pPr>
        <w:pStyle w:val="BookText"/>
        <w:rPr/>
      </w:pP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لا تنقسم من المخارج، فکسرها إمّا علی فریق أو أکثر، فیراعی فی سهام</w:t>
      </w:r>
    </w:p>
    <w:p>
      <w:pPr>
        <w:pStyle w:val="BookText"/>
        <w:rPr/>
      </w:pPr>
      <w:r>
        <w:rPr>
          <w:rFonts w:ascii="IRNazanin" w:hAnsi="IRNazanin" w:eastAsia="IRNazanin"/>
          <w:color w:val="111111"/>
          <w:sz w:val="28"/>
          <w:sz w:val="28"/>
          <w:szCs w:val="28"/>
          <w:rtl w:val="true"/>
          <w:lang w:bidi="fa-IR"/>
        </w:rPr>
        <w:t>المنکسر علیهم و عددهم یناسب الأعداد بالموافقة و شبهها، و مع الموافقة یؤخذ من العدد لا من النصیب، و یراعی مع تعدّد أعداد المنکسر علیهم التناسب المذکور فی القاعدة</w:t>
      </w:r>
      <w:r>
        <w:rPr>
          <w:rStyle w:val="FootnoteAnchor"/>
          <w:rtl w:val="true"/>
        </w:rPr>
        <w:footnoteReference w:id="2053"/>
      </w:r>
      <w:r>
        <w:rPr>
          <w:rFonts w:ascii="IRNazanin" w:hAnsi="IRNazanin" w:eastAsia="IRNazanin"/>
          <w:color w:val="111111"/>
          <w:sz w:val="28"/>
          <w:sz w:val="28"/>
          <w:szCs w:val="28"/>
          <w:rtl w:val="true"/>
          <w:lang w:bidi="fa-IR"/>
        </w:rPr>
        <w:t xml:space="preserve">السالفة، و لنذکر هنا أربعة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انکسرت علی فریق واحد، و لا وفق بین عدده و سهامه، کأبوین و خمس بنات، فإنّ للبنات أربعة أسهم، و هی تنکسر علی الخمسة و تبائنها، فتضرب الخمسة فی أصل المسألة و هی ستّة تبلغ ثلاثین فتصحّ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مع الوفق، کأن کان البنات ستّاً، فالتوافق و التشارک بالنصف، فتضرب نصف عددهنّ فی ستّة تبلغ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انکسرت علی الجمیع و لا وفق، کزوجتین و ثلاثة إخوة للأُمّ و سبعة للأبوین، فالمسألة من اثنی عشر ؛ لأ نّها مخرج الربع و الثلث، فللزوجتین الربع ثلاثة، و للإخوة للأُمّ الثلث أربعة، و للإخوة للأب الباقی و هو خمسة، و هذه الأعداد</w:t>
      </w:r>
    </w:p>
    <w:p>
      <w:pPr>
        <w:pStyle w:val="BookText"/>
        <w:rPr/>
      </w:pPr>
      <w:r>
        <w:rPr>
          <w:rFonts w:ascii="IRNazanin" w:hAnsi="IRNazanin" w:eastAsia="IRNazanin"/>
          <w:color w:val="111111"/>
          <w:sz w:val="28"/>
          <w:sz w:val="28"/>
          <w:szCs w:val="28"/>
          <w:rtl w:val="true"/>
          <w:lang w:bidi="fa-IR"/>
        </w:rPr>
        <w:t>الثلاثة متبائنة، فتضرب أیّها شئت فی الآخر، ثمّ المبلغ فی الباقی، ثمّ المبلغ فی أصل المسألة، کما تضرب اثنین هنا فی ثلاثة تبلغ ستّة، ثمّ تضربها فی سبعة یکون اثنین و أربعین، ثمّ اثنین و أربعین فی اثنی عشر تبلغ خمسمائة و أربعة، فکلّ مَن کان له سهم من اثنی عشر، أخذه مضروباً فی اثنین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هنا توافق مضروب المخارج مع أصل المسألة و لا عدمه ؛ لأ نّه لا أثر له هنا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و الأربعون فی هذه الصورة یشارک الاثنی عشر فی السدس، فیجتزئ بسدس أحدهما فی الآخر</w:t>
      </w:r>
      <w:r>
        <w:rPr>
          <w:rFonts w:eastAsia="IRNazanin" w:cs="IRNazanin"/>
          <w:color w:val="111111"/>
          <w:sz w:val="28"/>
          <w:szCs w:val="28"/>
          <w:rtl w:val="true"/>
          <w:lang w:bidi="fa-IR"/>
        </w:rPr>
        <w:t xml:space="preserve">. </w:t>
      </w:r>
      <w:bookmarkStart w:id="288" w:name="pg13665_219304"/>
    </w:p>
    <w:p>
      <w:pPr>
        <w:pStyle w:val="BookText"/>
        <w:rPr/>
      </w:pPr>
      <w:bookmarkEnd w:id="288"/>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انکسرت علی الجمیع مع الوفق، کستّ زوجات فی المریض یطلّق و یتزوّج و یدخل ثمّ یموت قبل الحول، و ثمانیة من کلالة الأُمّ، و عشرة من کلالة الأب، فالمسألة اثنا عشر، للزوجات ثلاثة و توافق عددهنّ بالثلث، و لکلالة الأُمّ أربعة و توافق عددهم بالربع، و لکلالة الأب خمسة و توافق عددهم بالخمس، فتردّ الزوجات إلی اثنین، و الإخوة للأُمّ إلی اثنین، و الإخوة للأب إلی اثنین، فتتماثل الأعداد فیجتزئ باثنین، فتضربهما فی اثنی عشر تبلغ أربعة و عشرین، للزوجات ثلاثة فی اثنین ستّة لکلّ واحدة سهم، و للإخوة للأُمّ ثمانیة لکلّ واحد سهم، و للإخوة للأب عشرة لکلّ واحد سهم، و منه یعلم ما إذا انکسرت علی بعضهم دون بعض، أو کان لبعض من انکسر وفق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w:t>
      </w:r>
      <w:r>
        <w:rPr>
          <w:rStyle w:val="FootnoteAnchor"/>
          <w:rtl w:val="true"/>
        </w:rPr>
        <w:footnoteReference w:id="2054"/>
      </w:r>
      <w:r>
        <w:rPr>
          <w:rFonts w:ascii="IRNazanin" w:hAnsi="IRNazanin" w:eastAsia="IRNazanin"/>
          <w:color w:val="111111"/>
          <w:sz w:val="28"/>
          <w:sz w:val="28"/>
          <w:szCs w:val="28"/>
          <w:rtl w:val="true"/>
          <w:lang w:bidi="fa-IR"/>
        </w:rPr>
        <w:t xml:space="preserve">زادت الفریضة علی السهام، فهی مردودة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w:t>
      </w:r>
      <w:r>
        <w:rPr>
          <w:rStyle w:val="FootnoteAnchor"/>
          <w:rtl w:val="true"/>
        </w:rPr>
        <w:footnoteReference w:id="2055"/>
      </w:r>
      <w:r>
        <w:rPr>
          <w:rFonts w:ascii="IRNazanin" w:hAnsi="IRNazanin" w:eastAsia="IRNazanin"/>
          <w:color w:val="111111"/>
          <w:sz w:val="28"/>
          <w:sz w:val="28"/>
          <w:szCs w:val="28"/>
          <w:rtl w:val="true"/>
          <w:lang w:bidi="fa-IR"/>
        </w:rPr>
        <w:t xml:space="preserve">إن‌شاءاللّه تعالی و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القسمة علی تلک السهام، و إن نقصت الفریضة عن السهام، أخذ مَن لا ینقص سهامه وافیة، و کان للآخر الباقی، و یراعی فی القسمة موافقة سهام کلّ لعدده و عدمها علی ما مرّ</w:t>
      </w:r>
      <w:r>
        <w:rPr>
          <w:rFonts w:eastAsia="IRNazanin" w:cs="IRNazanin"/>
          <w:color w:val="111111"/>
          <w:sz w:val="28"/>
          <w:szCs w:val="28"/>
          <w:rtl w:val="true"/>
          <w:lang w:bidi="fa-IR"/>
        </w:rPr>
        <w:t>.</w:t>
      </w:r>
    </w:p>
    <w:p>
      <w:pPr>
        <w:pStyle w:val="Heading3"/>
        <w:numPr>
          <w:ilvl w:val="2"/>
          <w:numId w:val="1"/>
        </w:numPr>
        <w:rPr/>
      </w:pPr>
      <w:bookmarkStart w:id="289" w:name="__RefHeading___Toc2071403_3830689328"/>
      <w:bookmarkStart w:id="290" w:name="_Toc96"/>
      <w:bookmarkEnd w:id="289"/>
      <w:r>
        <w:rPr>
          <w:rtl w:val="true"/>
        </w:rPr>
        <w:t xml:space="preserve">درس </w:t>
      </w:r>
      <w:r>
        <w:rPr>
          <w:rtl w:val="true"/>
        </w:rPr>
        <w:t>(</w:t>
      </w:r>
      <w:r>
        <w:rPr/>
        <w:t>183</w:t>
      </w:r>
      <w:r>
        <w:rPr>
          <w:rtl w:val="true"/>
        </w:rPr>
        <w:t>)</w:t>
      </w:r>
      <w:bookmarkEnd w:id="290"/>
    </w:p>
    <w:p>
      <w:pPr>
        <w:pStyle w:val="BookText"/>
        <w:rPr/>
      </w:pPr>
      <w:r>
        <w:rPr>
          <w:rFonts w:ascii="IRNazanin" w:hAnsi="IRNazanin" w:eastAsia="IRNazanin"/>
          <w:color w:val="111111"/>
          <w:sz w:val="28"/>
          <w:sz w:val="28"/>
          <w:szCs w:val="28"/>
          <w:rtl w:val="true"/>
          <w:lang w:bidi="fa-IR"/>
        </w:rPr>
        <w:t xml:space="preserve">موانع الإرث فی الجملة عشرون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و هو مانع من الإرث، فلا یرث الرقیق من قریبه، سواء کان الموروث حرّاً أو رقیقاً، و کذا لا یورث الرقّ، و ماله لمولاه بحقّ الملک لا بالإرث، </w:t>
      </w:r>
    </w:p>
    <w:p>
      <w:pPr>
        <w:pStyle w:val="BookText"/>
        <w:rPr/>
      </w:pPr>
      <w:r>
        <w:rPr>
          <w:rFonts w:ascii="IRNazanin" w:hAnsi="IRNazanin" w:eastAsia="IRNazanin"/>
          <w:color w:val="111111"/>
          <w:sz w:val="28"/>
          <w:sz w:val="28"/>
          <w:szCs w:val="28"/>
          <w:rtl w:val="true"/>
          <w:lang w:bidi="fa-IR"/>
        </w:rPr>
        <w:t xml:space="preserve">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الحرّ و الرقّ، ورث الحرّ و إن کان ضامن جریرة دون العبد، و إن کان</w:t>
      </w:r>
    </w:p>
    <w:p>
      <w:pPr>
        <w:pStyle w:val="BookText"/>
        <w:rPr/>
      </w:pP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له ابن رقّ و له ولد حرّ، ورث جدّه و لا یمنع برقّ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تحرّر بعضه، ورث و ورث منه بحساب الحرّیّة، فلو کان له ولد نصفه حرّ و أخ حرّ، فالمال بینهما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الأخ نصفه حرّاً، فللابن النصف و للأخ الربع، و لو کان هناک</w:t>
      </w:r>
    </w:p>
    <w:p>
      <w:pPr>
        <w:pStyle w:val="BookText"/>
        <w:rPr/>
      </w:pPr>
      <w:r>
        <w:rPr>
          <w:rFonts w:ascii="IRNazanin" w:hAnsi="IRNazanin" w:eastAsia="IRNazanin"/>
          <w:color w:val="111111"/>
          <w:sz w:val="28"/>
          <w:sz w:val="28"/>
          <w:szCs w:val="28"/>
          <w:rtl w:val="true"/>
          <w:lang w:bidi="fa-IR"/>
        </w:rPr>
        <w:t>عمّ حرّ، أخذ الربع الباقی، و لو کان نصفه حرّاً، أخذ الثمن و کان الثمن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العبد بعد موت قریبه و کان الوارث واحداً، لم یرث، و إن کان متعدّداً و اقتسموا المال، لم یرث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یقتسموا و کان مساویاً لهم فی الدرجة، ورث معهم، و إن کان أولی، ورث دونهم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فقد الوارث و هناک قریب رقّ، اُشتری من الترکة و أُعتق و ورث الباقی، سواء کان أحد الأبوین أو ولداً أو غیرهما من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یفکّ سوی الأبوین و الولد</w:t>
      </w:r>
      <w:r>
        <w:rPr>
          <w:rStyle w:val="FootnoteAnchor"/>
          <w:rtl w:val="true"/>
        </w:rPr>
        <w:footnoteReference w:id="2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اختیار الشیخ</w:t>
      </w:r>
      <w:r>
        <w:rPr>
          <w:rStyle w:val="FootnoteAnchor"/>
          <w:rtl w:val="true"/>
        </w:rPr>
        <w:footnoteReference w:id="2057"/>
      </w:r>
      <w:r>
        <w:rPr>
          <w:rFonts w:ascii="IRNazanin" w:hAnsi="IRNazanin" w:eastAsia="IRNazanin"/>
          <w:color w:val="111111"/>
          <w:sz w:val="28"/>
          <w:sz w:val="28"/>
          <w:szCs w:val="28"/>
          <w:rtl w:val="true"/>
          <w:lang w:bidi="fa-IR"/>
        </w:rPr>
        <w:t>؛ لروایة عبداللّه بن طلحة، عن الصادق علیه‌السّلام</w:t>
      </w:r>
      <w:r>
        <w:rPr>
          <w:rStyle w:val="FootnoteAnchor"/>
          <w:rtl w:val="true"/>
        </w:rPr>
        <w:footnoteReference w:id="2058"/>
      </w:r>
      <w:r>
        <w:rPr>
          <w:rFonts w:ascii="IRNazanin" w:hAnsi="IRNazanin" w:eastAsia="IRNazanin"/>
          <w:color w:val="111111"/>
          <w:sz w:val="28"/>
          <w:sz w:val="28"/>
          <w:szCs w:val="28"/>
          <w:rtl w:val="true"/>
          <w:lang w:bidi="fa-IR"/>
        </w:rPr>
        <w:t>، و فی الزوجة روایة صحیحة عنه علیه‌السّلام</w:t>
      </w:r>
      <w:r>
        <w:rPr>
          <w:rStyle w:val="FootnoteAnchor"/>
          <w:rtl w:val="true"/>
        </w:rPr>
        <w:footnoteReference w:id="2059"/>
      </w:r>
      <w:r>
        <w:rPr>
          <w:rFonts w:ascii="IRNazanin" w:hAnsi="IRNazanin" w:eastAsia="IRNazanin"/>
          <w:color w:val="111111"/>
          <w:sz w:val="28"/>
          <w:sz w:val="28"/>
          <w:szCs w:val="28"/>
          <w:rtl w:val="true"/>
          <w:lang w:bidi="fa-IR"/>
        </w:rPr>
        <w:t>، و یلزم علیها فکّ الزوج بطریق الأولی، و اختاره الشیخ أیضاً</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قصر المال عن قیمته، لم یفکّ علی الأظهر، و نقل الأصحاب قولاً بالفکّ و یسعی فی الباقی</w:t>
      </w:r>
      <w:r>
        <w:rPr>
          <w:rStyle w:val="FootnoteAnchor"/>
          <w:rtl w:val="true"/>
        </w:rPr>
        <w:footnoteReference w:id="2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یفکّ إلاّ</w:t>
      </w:r>
      <w:r>
        <w:rPr>
          <w:rStyle w:val="FootnoteAnchor"/>
          <w:rtl w:val="true"/>
        </w:rPr>
        <w:footnoteReference w:id="2062"/>
      </w:r>
      <w:r>
        <w:rPr>
          <w:rFonts w:ascii="IRNazanin" w:hAnsi="IRNazanin" w:eastAsia="IRNazanin"/>
          <w:color w:val="111111"/>
          <w:sz w:val="28"/>
          <w:sz w:val="28"/>
          <w:szCs w:val="28"/>
          <w:rtl w:val="true"/>
          <w:lang w:bidi="fa-IR"/>
        </w:rPr>
        <w:t>أن یقصر المال عن جزء</w:t>
      </w:r>
    </w:p>
    <w:p>
      <w:pPr>
        <w:pStyle w:val="BookText"/>
        <w:rPr/>
      </w:pPr>
      <w:r>
        <w:rPr>
          <w:rFonts w:ascii="IRNazanin" w:hAnsi="IRNazanin" w:eastAsia="IRNazanin"/>
          <w:color w:val="111111"/>
          <w:sz w:val="28"/>
          <w:sz w:val="28"/>
          <w:szCs w:val="28"/>
          <w:rtl w:val="true"/>
          <w:lang w:bidi="fa-IR"/>
        </w:rPr>
        <w:t>من ثلاثین جزءاً من قیمته، فلا یفکّ أخذاً من عدّة الشهر، و زعم أنّ الأمة لو تجاوزت قیمتها دیة الحرّة، ردّت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حکاهما عنه الکلینیّ ساکتاً علیهما</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یقهر المالک علی البیع لو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المدبّر و المکاتب، کالقنّ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المدبّر صالحاً للإرث، فحکمه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أُمّ الولد، کالقنّ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فلا یرث الکافر المسلم و إن قرب حتّی أنّ ضامن الجریرة المسلم، و الإمام یمنعانه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المسلم الکافر، و یمنع ورثته الکفّار و إن قربوا و بَعُدَ، و لو</w:t>
      </w:r>
      <w:r>
        <w:rPr>
          <w:rStyle w:val="FootnoteAnchor"/>
          <w:rtl w:val="true"/>
        </w:rPr>
        <w:footnoteReference w:id="2064"/>
      </w:r>
      <w:r>
        <w:rPr>
          <w:rFonts w:ascii="IRNazanin" w:hAnsi="IRNazanin" w:eastAsia="IRNazanin"/>
          <w:color w:val="111111"/>
          <w:sz w:val="28"/>
          <w:sz w:val="28"/>
          <w:szCs w:val="28"/>
          <w:rtl w:val="true"/>
          <w:lang w:bidi="fa-IR"/>
        </w:rPr>
        <w:t>لم یکن هناک ضامن جریرة مسلم، ورثه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الحربیّ و الذمّیّ و الخارجیّ و الناصبیّ و الغالی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المبتدعة من المسلمین، فیقع التوارث بینهم و بین أهل الحقّ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المؤمن أهل البدع من المعتزلة و المرجئة و الخوارج و الحشویّة، و لا ترث هذه الفرق مؤمناً</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 و المشبّهة</w:t>
      </w:r>
    </w:p>
    <w:p>
      <w:pPr>
        <w:pStyle w:val="BookText"/>
        <w:rPr/>
      </w:pPr>
      <w:r>
        <w:rPr>
          <w:rFonts w:ascii="IRNazanin" w:hAnsi="IRNazanin" w:eastAsia="IRNazanin"/>
          <w:color w:val="111111"/>
          <w:sz w:val="28"/>
          <w:sz w:val="28"/>
          <w:szCs w:val="28"/>
          <w:rtl w:val="true"/>
          <w:lang w:bidi="fa-IR"/>
        </w:rPr>
        <w:t>و جاحد الإمامة لا یرثون المسلم</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المرتدّ یرثه المسلم، و لو فقد، فالإمام، و لا یرثه الکافر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ارتدّ عن ملّة فمات، ورثه الکفّار</w:t>
      </w:r>
      <w:r>
        <w:rPr>
          <w:rStyle w:val="FootnoteAnchor"/>
          <w:rtl w:val="true"/>
        </w:rPr>
        <w:footnoteReference w:id="2067"/>
      </w:r>
      <w:r>
        <w:rPr>
          <w:rStyle w:val="FootnoteAnchor"/>
          <w:rtl w:val="true"/>
        </w:rPr>
        <w:footnoteReference w:id="2068"/>
      </w:r>
      <w:r>
        <w:rPr>
          <w:rFonts w:ascii="IRNazanin" w:hAnsi="IRNazanin" w:eastAsia="IRNazanin"/>
          <w:color w:val="111111"/>
          <w:sz w:val="28"/>
          <w:sz w:val="28"/>
          <w:szCs w:val="28"/>
          <w:rtl w:val="true"/>
          <w:lang w:bidi="fa-IR"/>
        </w:rPr>
        <w:t>، و فی النهایة روی ذلک</w:t>
      </w:r>
      <w:r>
        <w:rPr>
          <w:rStyle w:val="FootnoteAnchor"/>
          <w:rtl w:val="true"/>
        </w:rPr>
        <w:footnoteReference w:id="20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الجنید عن ابن فضّال، و ابن یحیی عن الصادق علیه‌السّلام</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ارتدّ أحد الورثة قبل القسمة، فماله لوارثه إن قتل، أو کان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أسلم علی میراث قبل قسمته، شارک إن کان مساویاً، و انفرد إن کان أولی، سواء کان الموروث</w:t>
      </w:r>
      <w:r>
        <w:rPr>
          <w:rStyle w:val="FootnoteAnchor"/>
          <w:rtl w:val="true"/>
        </w:rPr>
        <w:footnoteReference w:id="2071"/>
      </w:r>
      <w:r>
        <w:rPr>
          <w:rFonts w:ascii="IRNazanin" w:hAnsi="IRNazanin" w:eastAsia="IRNazanin"/>
          <w:color w:val="111111"/>
          <w:sz w:val="28"/>
          <w:sz w:val="28"/>
          <w:szCs w:val="28"/>
          <w:rtl w:val="true"/>
          <w:lang w:bidi="fa-IR"/>
        </w:rPr>
        <w:t>مسلماً أو کافراً، و النماء کالأصل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اقتسموا، أو کان الوارث واحداً، 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تنزیل</w:t>
      </w:r>
      <w:r>
        <w:rPr>
          <w:rStyle w:val="FootnoteAnchor"/>
          <w:rtl w:val="true"/>
        </w:rPr>
        <w:footnoteReference w:id="2072"/>
      </w:r>
      <w:r>
        <w:rPr>
          <w:rFonts w:ascii="IRNazanin" w:hAnsi="IRNazanin" w:eastAsia="IRNazanin"/>
          <w:color w:val="111111"/>
          <w:sz w:val="28"/>
          <w:sz w:val="28"/>
          <w:szCs w:val="28"/>
          <w:rtl w:val="true"/>
          <w:lang w:bidi="fa-IR"/>
        </w:rPr>
        <w:t>الإمام منزلة الوارث الواحد، أو اعتبار نقل الترکة إلی بیت المال، أو توریث الوارث مطلقاً،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الوارث أحد الزوجین،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المشارکة مع الزوجة ؛ لأنّ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الإمام إیّاها دون الزوج ؛ لأنّ الأقرب انفراده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w:t>
      </w:r>
    </w:p>
    <w:p>
      <w:pPr>
        <w:pStyle w:val="BookText"/>
        <w:rPr/>
      </w:pPr>
      <w:r>
        <w:rPr>
          <w:rFonts w:ascii="IRNazanin" w:hAnsi="IRNazanin" w:eastAsia="IRNazanin"/>
          <w:color w:val="111111"/>
          <w:sz w:val="28"/>
          <w:sz w:val="28"/>
          <w:szCs w:val="28"/>
          <w:rtl w:val="true"/>
          <w:lang w:bidi="fa-IR"/>
        </w:rPr>
        <w:t>مع الزوجین</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تنازعا فی تقدّم إسلامه علی قسمة المال،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الوارث</w:t>
      </w:r>
      <w:r>
        <w:rPr>
          <w:rStyle w:val="FootnoteAnchor"/>
          <w:rtl w:val="true"/>
        </w:rPr>
        <w:footnoteReference w:id="2074"/>
      </w:r>
      <w:r>
        <w:rPr>
          <w:rFonts w:ascii="IRNazanin" w:hAnsi="IRNazanin" w:eastAsia="IRNazanin"/>
          <w:color w:val="111111"/>
          <w:sz w:val="28"/>
          <w:sz w:val="28"/>
          <w:szCs w:val="28"/>
          <w:rtl w:val="true"/>
          <w:lang w:bidi="fa-IR"/>
        </w:rPr>
        <w:t>؛ لأصالة عدم الإرث إلاّ مع یقین السبب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بأ نّهما إن اتّفقا علی زمان القسمة و اختلفا فی تقدّم الإسلام أو اختلفا فی زمان القسمة و الإسلام، یحلف الوارث، و إن اتّفقا علی زمان الإسلام و اختلفا فی تقدّم القسمة و تأخّرها، یحلف المتجدّد إسلامه، کان قویّاً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صدّقه أحد الورثة، مضی فی نصیبه، و تقبل</w:t>
      </w:r>
      <w:r>
        <w:rPr>
          <w:rStyle w:val="FootnoteAnchor"/>
          <w:rtl w:val="true"/>
        </w:rPr>
        <w:footnoteReference w:id="2075"/>
      </w:r>
      <w:r>
        <w:rPr>
          <w:rFonts w:ascii="IRNazanin" w:hAnsi="IRNazanin" w:eastAsia="IRNazanin"/>
          <w:color w:val="111111"/>
          <w:sz w:val="28"/>
          <w:sz w:val="28"/>
          <w:szCs w:val="28"/>
          <w:rtl w:val="true"/>
          <w:lang w:bidi="fa-IR"/>
        </w:rPr>
        <w:t xml:space="preserve">شهادته علی الباقین، و فی الاکتفاء هنا بالشاهد و الیمین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الغرض المال، و من أنّ الإسلام لیس بمال، و کذا الشاهد و المرأتان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الطفل یتبع المسلم من الأبوین، فیجری فیه الإرث و التوریث بحسب الإسلام، و لا حکم لإسلامه منفرداً و إن کان مراهقاً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مالک بن أعین الصحیحة، عن الباقر علیه‌السّلام فی نصرانیّ مات عن زوجة و ولد نصاری</w:t>
      </w:r>
      <w:r>
        <w:rPr>
          <w:rStyle w:val="FootnoteAnchor"/>
          <w:rtl w:val="true"/>
        </w:rPr>
        <w:footnoteReference w:id="2076"/>
      </w:r>
      <w:r>
        <w:rPr>
          <w:rFonts w:ascii="IRNazanin" w:hAnsi="IRNazanin" w:eastAsia="IRNazanin"/>
          <w:color w:val="111111"/>
          <w:sz w:val="28"/>
          <w:sz w:val="28"/>
          <w:szCs w:val="28"/>
          <w:rtl w:val="true"/>
          <w:lang w:bidi="fa-IR"/>
        </w:rPr>
        <w:t xml:space="preserve">، و ابن أخ مسلم و ابن أُخت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أخیه الثلثان و لابن أُخته الثلث، و ینفقان علی أولاده</w:t>
      </w:r>
      <w:r>
        <w:rPr>
          <w:rStyle w:val="FootnoteAnchor"/>
          <w:rtl w:val="true"/>
        </w:rPr>
        <w:footnoteReference w:id="2077"/>
      </w:r>
      <w:r>
        <w:rPr>
          <w:rFonts w:ascii="IRNazanin" w:hAnsi="IRNazanin" w:eastAsia="IRNazanin"/>
          <w:color w:val="111111"/>
          <w:sz w:val="28"/>
          <w:sz w:val="28"/>
          <w:szCs w:val="28"/>
          <w:rtl w:val="true"/>
          <w:lang w:bidi="fa-IR"/>
        </w:rPr>
        <w:t>بالنسبة، فإذا أدرکوا، قطعوا النفقة عنهم، فإن أسلموا صغاراً، دفع المال إلی الإمام حتّی یدرکوا، فإن بقوا علی الإسلام، دفع المال إلیهم، و إن لم یبقوا، فهو لابن الأخ و ابن الأُخت</w:t>
      </w:r>
      <w:r>
        <w:rPr>
          <w:rStyle w:val="FootnoteAnchor"/>
          <w:rtl w:val="true"/>
        </w:rPr>
        <w:footnoteReference w:id="2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معظم الأصحاب</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طرّد بعضهم الحکم فی ذی القرابة المسلم مع الأولاد</w:t>
      </w:r>
      <w:r>
        <w:rPr>
          <w:rStyle w:val="FootnoteAnchor"/>
          <w:rtl w:val="true"/>
        </w:rPr>
        <w:footnoteReference w:id="2080"/>
      </w:r>
      <w:r>
        <w:rPr>
          <w:rFonts w:ascii="IRNazanin" w:hAnsi="IRNazanin" w:eastAsia="IRNazanin"/>
          <w:color w:val="111111"/>
          <w:sz w:val="28"/>
          <w:sz w:val="28"/>
          <w:szCs w:val="28"/>
          <w:rtl w:val="true"/>
          <w:lang w:bidi="fa-IR"/>
        </w:rPr>
        <w:t>، و ردّها الحلّیّون و أقرّوا الإرث علی المسلمین إلاّ أن یسلم الأولاد قبل القسمة، و أنکروا وجوب الإنفاق</w:t>
      </w:r>
      <w:r>
        <w:rPr>
          <w:rStyle w:val="FootnoteAnchor"/>
          <w:rtl w:val="true"/>
        </w:rPr>
        <w:footnoteReference w:id="2081"/>
      </w:r>
      <w:r>
        <w:rPr>
          <w:rFonts w:ascii="IRNazanin" w:hAnsi="IRNazanin" w:eastAsia="IRNazanin"/>
          <w:color w:val="111111"/>
          <w:sz w:val="28"/>
          <w:sz w:val="28"/>
          <w:szCs w:val="28"/>
          <w:rtl w:val="true"/>
          <w:lang w:bidi="fa-IR"/>
        </w:rPr>
        <w:t xml:space="preserve">؛ بناءاً علی أنّ حکم الطفل حکم أبویه، و جهة الإنفاق معلومة و لیس هذا </w:t>
      </w:r>
    </w:p>
    <w:p>
      <w:pPr>
        <w:pStyle w:val="BookText"/>
        <w:rPr/>
      </w:pPr>
      <w:r>
        <w:rPr>
          <w:rFonts w:ascii="IRNazanin" w:hAnsi="IRNazanin" w:eastAsia="IRNazanin"/>
          <w:color w:val="111111"/>
          <w:sz w:val="28"/>
          <w:sz w:val="28"/>
          <w:szCs w:val="28"/>
          <w:rtl w:val="true"/>
          <w:lang w:bidi="fa-IR"/>
        </w:rPr>
        <w:t xml:space="preserve">منها ، و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بها ؛ اتّباعاً للمعظم</w:t>
      </w:r>
      <w:r>
        <w:rPr>
          <w:rStyle w:val="FootnoteAnchor"/>
          <w:rtl w:val="true"/>
        </w:rPr>
        <w:footnoteReference w:id="2082"/>
      </w:r>
      <w:r>
        <w:rPr>
          <w:rFonts w:ascii="IRNazanin" w:hAnsi="IRNazanin" w:eastAsia="IRNazanin"/>
          <w:color w:val="111111"/>
          <w:sz w:val="28"/>
          <w:sz w:val="28"/>
          <w:szCs w:val="28"/>
          <w:rtl w:val="true"/>
          <w:lang w:bidi="fa-IR"/>
        </w:rPr>
        <w:t>، و الخروج عن الأُصول جائز إذا قام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موافقة الأصل من حیث إنّ الولادة علی الفطرة، فَهُم بحکم المسلمین إلاّ</w:t>
      </w:r>
      <w:r>
        <w:rPr>
          <w:rStyle w:val="FootnoteAnchor"/>
          <w:rtl w:val="true"/>
        </w:rPr>
        <w:footnoteReference w:id="2083"/>
      </w:r>
      <w:r>
        <w:rPr>
          <w:rFonts w:ascii="IRNazanin" w:hAnsi="IRNazanin" w:eastAsia="IRNazanin"/>
          <w:color w:val="111111"/>
          <w:sz w:val="28"/>
          <w:sz w:val="28"/>
          <w:szCs w:val="28"/>
          <w:rtl w:val="true"/>
          <w:lang w:bidi="fa-IR"/>
        </w:rPr>
        <w:t>أن یبلغوا</w:t>
      </w:r>
      <w:r>
        <w:rPr>
          <w:rStyle w:val="FootnoteAnchor"/>
          <w:rtl w:val="true"/>
        </w:rPr>
        <w:footnoteReference w:id="2084"/>
      </w:r>
      <w:r>
        <w:rPr>
          <w:rFonts w:ascii="IRNazanin" w:hAnsi="IRNazanin" w:eastAsia="IRNazanin"/>
          <w:color w:val="111111"/>
          <w:sz w:val="28"/>
          <w:sz w:val="28"/>
          <w:szCs w:val="28"/>
          <w:rtl w:val="true"/>
          <w:lang w:bidi="fa-IR"/>
        </w:rPr>
        <w:t>و یعربوا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ماتوا قبل البلوغ، أمکن أن یورث عنهم المال ؛ لعدم إعراب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لابن الأخ و الأُخت ؛ بناءاً علی أنّ إعراب الإسلام شرط و لم یحصل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یتوارث الکفّار و إن اختلفوا فی الملل، و المسلمون و إن اختلفوا فی النحل ما لم یؤدّ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کفّار ملّتنا غیرهم من الکفّار، و لا یرثهم</w:t>
      </w:r>
    </w:p>
    <w:p>
      <w:pPr>
        <w:pStyle w:val="BookText"/>
        <w:rPr/>
      </w:pPr>
      <w:r>
        <w:rPr>
          <w:rFonts w:ascii="Amiri" w:hAnsi="Amiri" w:eastAsia="Amiri" w:cs="Amiri"/>
          <w:color w:val="111111"/>
          <w:sz w:val="28"/>
          <w:sz w:val="28"/>
          <w:szCs w:val="28"/>
          <w:rtl w:val="true"/>
          <w:lang w:bidi="ar-SA"/>
        </w:rPr>
        <w:t>الکفّار</w:t>
      </w:r>
      <w:r>
        <w:rPr>
          <w:rStyle w:val="FootnoteAnchor"/>
          <w:rtl w:val="true"/>
        </w:rPr>
        <w:footnoteReference w:id="2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الفاضل ؛ للتساوی فی الکفر، فیرث بعضهم بعضاً</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و هو یمنع القاتل من الإرث إذا کان عمداً ظلماً، و لو اشترکوا فی القتل، منعوا، و إن کان خطأً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من الدیة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مطلقاً</w:t>
      </w: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w:t>
      </w:r>
      <w:r>
        <w:rPr>
          <w:rStyle w:val="FootnoteAnchor"/>
          <w:rtl w:val="true"/>
        </w:rPr>
        <w:footnoteReference w:id="2088"/>
      </w:r>
      <w:r>
        <w:rPr>
          <w:rFonts w:ascii="Amiri" w:hAnsi="Amiri" w:eastAsia="Amiri" w:cs="Amiri"/>
          <w:color w:val="111111"/>
          <w:sz w:val="28"/>
          <w:sz w:val="28"/>
          <w:szCs w:val="28"/>
          <w:rtl w:val="true"/>
          <w:lang w:bidi="ar-SA"/>
        </w:rPr>
        <w:t xml:space="preserve">و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 مطلقاً</w:t>
      </w:r>
      <w:r>
        <w:rPr>
          <w:rStyle w:val="FootnoteAnchor"/>
          <w:rtl w:val="true"/>
        </w:rPr>
        <w:footnoteReference w:id="2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شبیه </w:t>
      </w:r>
    </w:p>
    <w:p>
      <w:pPr>
        <w:pStyle w:val="BookText"/>
        <w:rPr/>
      </w:pPr>
      <w:r>
        <w:rPr>
          <w:rFonts w:ascii="IRNazanin" w:hAnsi="IRNazanin" w:eastAsia="IRNazanin"/>
          <w:color w:val="111111"/>
          <w:sz w:val="28"/>
          <w:sz w:val="28"/>
          <w:szCs w:val="28"/>
          <w:rtl w:val="true"/>
          <w:lang w:bidi="fa-IR"/>
        </w:rPr>
        <w:t>عمد، فکالعمد عند ابن الجنید</w:t>
      </w:r>
      <w:r>
        <w:rPr>
          <w:rStyle w:val="FootnoteAnchor"/>
          <w:rtl w:val="true"/>
        </w:rPr>
        <w:footnoteReference w:id="2090"/>
      </w:r>
      <w:r>
        <w:rPr>
          <w:rFonts w:ascii="IRNazanin" w:hAnsi="IRNazanin" w:eastAsia="IRNazanin"/>
          <w:color w:val="111111"/>
          <w:sz w:val="28"/>
          <w:sz w:val="28"/>
          <w:szCs w:val="28"/>
          <w:rtl w:val="true"/>
          <w:lang w:bidi="fa-IR"/>
        </w:rPr>
        <w:t>، و کالخطأ عند سلاّر</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 ابنه تأدیباً غیر مسرف فمات، ورثه ؛ لأ نّه ضرب سائغ، و لو أسرف، لم یرث، و لو بطّ جرحه أو جراحه فمات، ورثه ؛ لأ نّه استصلاح، و کذا لو تلف بدابّة یسوقها أو یقودها، و لا یرثه لو رکب دابّة فأوطأها إیّاه، و لو أخرج کنیفاً أو ظلّة أو حفر بئراً فی غیر حقّه فمات قریبه به، ورثه، و لو قتل الصبیّ</w:t>
      </w:r>
    </w:p>
    <w:p>
      <w:pPr>
        <w:pStyle w:val="BookText"/>
        <w:rPr/>
      </w:pPr>
      <w:r>
        <w:rPr>
          <w:rFonts w:ascii="IRNazanin" w:hAnsi="IRNazanin" w:eastAsia="IRNazanin"/>
          <w:color w:val="111111"/>
          <w:sz w:val="28"/>
          <w:sz w:val="28"/>
          <w:szCs w:val="28"/>
          <w:rtl w:val="true"/>
          <w:lang w:bidi="fa-IR"/>
        </w:rPr>
        <w:t>و المجنون قریبه، ورثه</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ابن أبی عقیل</w:t>
      </w:r>
      <w:r>
        <w:rPr>
          <w:rStyle w:val="FootnoteAnchor"/>
          <w:rtl w:val="true"/>
        </w:rPr>
        <w:footnoteReference w:id="2093"/>
      </w:r>
      <w:r>
        <w:rPr>
          <w:rFonts w:ascii="IRNazanin" w:hAnsi="IRNazanin" w:eastAsia="IRNazanin"/>
          <w:color w:val="111111"/>
          <w:sz w:val="28"/>
          <w:sz w:val="28"/>
          <w:szCs w:val="28"/>
          <w:rtl w:val="true"/>
          <w:lang w:bidi="fa-IR"/>
        </w:rPr>
        <w:t>، و نقله الکلینیّ</w:t>
      </w:r>
      <w:r>
        <w:rPr>
          <w:rStyle w:val="FootnoteAnchor"/>
          <w:rtl w:val="true"/>
        </w:rPr>
        <w:footnoteReference w:id="2094"/>
      </w:r>
      <w:r>
        <w:rPr>
          <w:rFonts w:ascii="IRNazanin" w:hAnsi="IRNazanin" w:eastAsia="IRNazanin"/>
          <w:color w:val="111111"/>
          <w:sz w:val="28"/>
          <w:sz w:val="28"/>
          <w:szCs w:val="28"/>
          <w:rtl w:val="true"/>
          <w:lang w:bidi="fa-IR"/>
        </w:rPr>
        <w:t>، و الصدوق عن الفضل ساکتین علیه</w:t>
      </w:r>
      <w:r>
        <w:rPr>
          <w:rStyle w:val="FootnoteAnchor"/>
          <w:rtl w:val="true"/>
        </w:rPr>
        <w:footnoteReference w:id="2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بالسبب مانع</w:t>
      </w:r>
      <w:r>
        <w:rPr>
          <w:rStyle w:val="FootnoteAnchor"/>
          <w:rtl w:val="true"/>
        </w:rPr>
        <w:footnoteReference w:id="2096"/>
      </w:r>
      <w:r>
        <w:rPr>
          <w:rFonts w:ascii="IRNazanin" w:hAnsi="IRNazanin" w:eastAsia="IRNazanin"/>
          <w:color w:val="111111"/>
          <w:sz w:val="28"/>
          <w:sz w:val="28"/>
          <w:szCs w:val="28"/>
          <w:rtl w:val="true"/>
          <w:lang w:bidi="fa-IR"/>
        </w:rPr>
        <w:t>، و کذا قتل الصبیّ و المجنون و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یحجب المتقرّب بالقاتل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 الدیة مَن یرث المال عدا الإخوة و الأخوات من الأُمّ ؛ لروایات متظافرة</w:t>
      </w:r>
      <w:r>
        <w:rPr>
          <w:rStyle w:val="FootnoteAnchor"/>
          <w:rtl w:val="true"/>
        </w:rPr>
        <w:footnoteReference w:id="2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المفید</w:t>
      </w:r>
      <w:r>
        <w:rPr>
          <w:rStyle w:val="FootnoteAnchor"/>
          <w:rtl w:val="true"/>
        </w:rPr>
        <w:footnoteReference w:id="2098"/>
      </w:r>
      <w:r>
        <w:rPr>
          <w:rFonts w:ascii="IRNazanin" w:hAnsi="IRNazanin" w:eastAsia="IRNazanin"/>
          <w:color w:val="111111"/>
          <w:sz w:val="28"/>
          <w:sz w:val="28"/>
          <w:szCs w:val="28"/>
          <w:rtl w:val="true"/>
          <w:lang w:bidi="fa-IR"/>
        </w:rPr>
        <w:t>و أبو الصلاح المنع فی قرابة الأُمّ</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الشیخ فی الخلاف الأخوات من قبل الأب</w:t>
      </w:r>
      <w:r>
        <w:rPr>
          <w:rStyle w:val="FootnoteAnchor"/>
          <w:rtl w:val="true"/>
        </w:rPr>
        <w:footnoteReference w:id="2100"/>
      </w:r>
      <w:r>
        <w:rPr>
          <w:rFonts w:ascii="IRNazanin" w:hAnsi="IRNazanin" w:eastAsia="IRNazanin"/>
          <w:color w:val="111111"/>
          <w:sz w:val="28"/>
          <w:sz w:val="28"/>
          <w:szCs w:val="28"/>
          <w:rtl w:val="true"/>
          <w:lang w:bidi="fa-IR"/>
        </w:rPr>
        <w:t xml:space="preserve">، و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یرثها </w:t>
      </w:r>
      <w:bookmarkStart w:id="291" w:name="pg13665_219311"/>
    </w:p>
    <w:p>
      <w:pPr>
        <w:pStyle w:val="BookText"/>
        <w:rPr/>
      </w:pPr>
      <w:bookmarkEnd w:id="291"/>
      <w:r>
        <w:rPr>
          <w:rFonts w:ascii="IRNazanin" w:hAnsi="IRNazanin" w:eastAsia="IRNazanin"/>
          <w:color w:val="111111"/>
          <w:sz w:val="28"/>
          <w:sz w:val="28"/>
          <w:szCs w:val="28"/>
          <w:rtl w:val="true"/>
          <w:lang w:bidi="fa-IR"/>
        </w:rPr>
        <w:t>وارث المال</w:t>
      </w:r>
      <w:r>
        <w:rPr>
          <w:rStyle w:val="FootnoteAnchor"/>
          <w:rtl w:val="true"/>
        </w:rPr>
        <w:footnoteReference w:id="2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ابن إدریس</w:t>
      </w:r>
      <w:r>
        <w:rPr>
          <w:rStyle w:val="FootnoteAnchor"/>
          <w:rtl w:val="true"/>
        </w:rPr>
        <w:footnoteReference w:id="2102"/>
      </w:r>
      <w:r>
        <w:rPr>
          <w:rFonts w:ascii="IRNazanin" w:hAnsi="IRNazanin" w:eastAsia="IRNazanin"/>
          <w:color w:val="111111"/>
          <w:sz w:val="28"/>
          <w:sz w:val="28"/>
          <w:szCs w:val="28"/>
          <w:rtl w:val="true"/>
          <w:lang w:bidi="fa-IR"/>
        </w:rPr>
        <w:t>، و الفاضل</w:t>
      </w:r>
      <w:r>
        <w:rPr>
          <w:rStyle w:val="FootnoteAnchor"/>
          <w:rtl w:val="true"/>
        </w:rPr>
        <w:footnoteReference w:id="2103"/>
      </w:r>
      <w:r>
        <w:rPr>
          <w:rFonts w:ascii="IRNazanin" w:hAnsi="IRNazanin" w:eastAsia="IRNazanin"/>
          <w:color w:val="111111"/>
          <w:sz w:val="28"/>
          <w:sz w:val="28"/>
          <w:szCs w:val="28"/>
          <w:rtl w:val="true"/>
          <w:lang w:bidi="fa-IR"/>
        </w:rPr>
        <w:t>؛ للآیة</w:t>
      </w:r>
      <w:r>
        <w:rPr>
          <w:rStyle w:val="FootnoteAnchor"/>
          <w:rtl w:val="true"/>
        </w:rPr>
        <w:footnoteReference w:id="2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قرابة الأُمّ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أبو العبّاس عن الصادق علیه‌السّلام أ نّه لیس للنساء عفو و لا قود</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الزوجان فیرثان من الدیة فی أشهر الروایات</w:t>
      </w:r>
      <w:r>
        <w:rPr>
          <w:rStyle w:val="FootnoteAnchor"/>
          <w:rtl w:val="true"/>
        </w:rPr>
        <w:footnoteReference w:id="2106"/>
      </w:r>
      <w:r>
        <w:rPr>
          <w:rFonts w:ascii="IRNazanin" w:hAnsi="IRNazanin" w:eastAsia="IRNazanin"/>
          <w:color w:val="111111"/>
          <w:sz w:val="28"/>
          <w:sz w:val="28"/>
          <w:szCs w:val="28"/>
          <w:rtl w:val="true"/>
          <w:lang w:bidi="fa-IR"/>
        </w:rPr>
        <w:t>، و روایة السکونیّ عن علیّ</w:t>
      </w:r>
    </w:p>
    <w:p>
      <w:pPr>
        <w:pStyle w:val="BookText"/>
        <w:rPr/>
      </w:pPr>
      <w:r>
        <w:rPr>
          <w:rFonts w:ascii="IRNazanin" w:hAnsi="IRNazanin" w:eastAsia="IRNazanin"/>
          <w:color w:val="111111"/>
          <w:sz w:val="28"/>
          <w:sz w:val="28"/>
          <w:szCs w:val="28"/>
          <w:rtl w:val="true"/>
          <w:lang w:bidi="fa-IR"/>
        </w:rPr>
        <w:t>علیه‌السّلام بمنع</w:t>
      </w:r>
      <w:r>
        <w:rPr>
          <w:rStyle w:val="FootnoteAnchor"/>
          <w:rtl w:val="true"/>
        </w:rPr>
        <w:footnoteReference w:id="2107"/>
      </w:r>
      <w:r>
        <w:rPr>
          <w:rFonts w:ascii="IRNazanin" w:hAnsi="IRNazanin" w:eastAsia="IRNazanin"/>
          <w:color w:val="111111"/>
          <w:sz w:val="28"/>
          <w:sz w:val="28"/>
          <w:szCs w:val="28"/>
          <w:rtl w:val="true"/>
          <w:lang w:bidi="fa-IR"/>
        </w:rPr>
        <w:t>إرث الزوجین من الدیة</w:t>
      </w:r>
      <w:r>
        <w:rPr>
          <w:rStyle w:val="FootnoteAnchor"/>
          <w:rtl w:val="true"/>
        </w:rPr>
        <w:footnoteReference w:id="2108"/>
      </w:r>
      <w:r>
        <w:rPr>
          <w:rFonts w:ascii="IRNazanin" w:hAnsi="IRNazanin" w:eastAsia="IRNazanin"/>
          <w:color w:val="111111"/>
          <w:sz w:val="28"/>
          <w:sz w:val="28"/>
          <w:szCs w:val="28"/>
          <w:rtl w:val="true"/>
          <w:lang w:bidi="fa-IR"/>
        </w:rPr>
        <w:t>،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الدیة کسائر أموال المیّت، یقضی منها دیونه، و تنفّذ وصایاه و لو</w:t>
      </w:r>
      <w:r>
        <w:rPr>
          <w:rStyle w:val="FootnoteAnchor"/>
          <w:rtl w:val="true"/>
        </w:rPr>
        <w:footnoteReference w:id="2109"/>
      </w:r>
      <w:r>
        <w:rPr>
          <w:rFonts w:ascii="Amiri" w:hAnsi="Amiri" w:eastAsia="Amiri" w:cs="Amiri"/>
          <w:color w:val="111111"/>
          <w:sz w:val="28"/>
          <w:sz w:val="28"/>
          <w:szCs w:val="28"/>
          <w:rtl w:val="true"/>
          <w:lang w:bidi="ar-SA"/>
        </w:rPr>
        <w:t>أُخذت صلحاً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یکن وارث سوی القاتل، ورثه الإمام، و له القصاص أو الدیة، و لیس له العفو علی الأقرب</w:t>
      </w:r>
      <w:r>
        <w:rPr>
          <w:rFonts w:eastAsia="IRNazanin" w:cs="IRNazanin"/>
          <w:color w:val="111111"/>
          <w:sz w:val="28"/>
          <w:szCs w:val="28"/>
          <w:rtl w:val="true"/>
          <w:lang w:bidi="fa-IR"/>
        </w:rPr>
        <w:t>.</w:t>
      </w:r>
    </w:p>
    <w:p>
      <w:pPr>
        <w:pStyle w:val="Heading3"/>
        <w:numPr>
          <w:ilvl w:val="2"/>
          <w:numId w:val="1"/>
        </w:numPr>
        <w:rPr/>
      </w:pPr>
      <w:bookmarkStart w:id="292" w:name="__RefHeading___Toc2071405_3830689328"/>
      <w:bookmarkStart w:id="293" w:name="_Toc97"/>
      <w:bookmarkEnd w:id="292"/>
      <w:r>
        <w:rPr>
          <w:rtl w:val="true"/>
        </w:rPr>
        <w:t xml:space="preserve">درس </w:t>
      </w:r>
      <w:r>
        <w:rPr>
          <w:rtl w:val="true"/>
        </w:rPr>
        <w:t>(</w:t>
      </w:r>
      <w:r>
        <w:rPr/>
        <w:t>184</w:t>
      </w:r>
      <w:r>
        <w:rPr>
          <w:rtl w:val="true"/>
        </w:rPr>
        <w:t>)</w:t>
      </w:r>
      <w:bookmarkEnd w:id="29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 و هو یقطع إرث الزوجین و الولد المنفیّ من جانب الأب و الابن، فیرث الابن أُمّه و ترثه، و کذا یرثه ولده و قرابة الأُمّ و زوجه و زوجته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ابوبصیر،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یرث أخواله مع أ نّهم یرثونه</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حملها الشیخ علی عدم اعتراف الأب به بعد اللعان، فإن اعترف، وقعت الموارثة بینه و بین أخواله</w:t>
      </w:r>
      <w:r>
        <w:rPr>
          <w:rStyle w:val="FootnoteAnchor"/>
          <w:rtl w:val="true"/>
        </w:rPr>
        <w:footnoteReference w:id="2111"/>
      </w:r>
      <w:r>
        <w:rPr>
          <w:rFonts w:ascii="IRNazanin" w:hAnsi="IRNazanin" w:eastAsia="IRNazanin"/>
          <w:color w:val="111111"/>
          <w:sz w:val="28"/>
          <w:sz w:val="28"/>
          <w:szCs w:val="28"/>
          <w:rtl w:val="true"/>
          <w:lang w:bidi="fa-IR"/>
        </w:rPr>
        <w:t>، و به روایات</w:t>
      </w:r>
      <w:r>
        <w:rPr>
          <w:rStyle w:val="FootnoteAnchor"/>
          <w:rtl w:val="true"/>
        </w:rPr>
        <w:footnoteReference w:id="2112"/>
      </w:r>
      <w:r>
        <w:rPr>
          <w:rFonts w:ascii="IRNazanin" w:hAnsi="IRNazanin" w:eastAsia="IRNazanin"/>
          <w:color w:val="111111"/>
          <w:sz w:val="28"/>
          <w:sz w:val="28"/>
          <w:szCs w:val="28"/>
          <w:rtl w:val="true"/>
          <w:lang w:bidi="fa-IR"/>
        </w:rPr>
        <w:t xml:space="preserve">، 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الموارثة مطلقاً ؛ لروایة زید الشحّام، عن الصادق علیه‌السّلام</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أکذب الأب نفسه فی لعانه و اعترف به، ورثه الولد، و لا یرث الأب الولد، و أمّا قرابة الأب مع اعتراف الأب به، فأثبت إرث الولد منهم أبوالصلاح</w:t>
      </w:r>
      <w:r>
        <w:rPr>
          <w:rStyle w:val="FootnoteAnchor"/>
          <w:rtl w:val="true"/>
        </w:rPr>
        <w:footnoteReference w:id="2114"/>
      </w:r>
      <w:r>
        <w:rPr>
          <w:rFonts w:ascii="IRNazanin" w:hAnsi="IRNazanin" w:eastAsia="IRNazanin"/>
          <w:color w:val="111111"/>
          <w:sz w:val="28"/>
          <w:sz w:val="28"/>
          <w:szCs w:val="28"/>
          <w:rtl w:val="true"/>
          <w:lang w:bidi="fa-IR"/>
        </w:rPr>
        <w:t>، و نفاه الباقون</w:t>
      </w:r>
      <w:r>
        <w:rPr>
          <w:rStyle w:val="FootnoteAnchor"/>
          <w:rtl w:val="true"/>
        </w:rPr>
        <w:footnoteReference w:id="2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الفاضل التوارث</w:t>
      </w:r>
      <w:r>
        <w:rPr>
          <w:rStyle w:val="FootnoteAnchor"/>
          <w:rtl w:val="true"/>
        </w:rPr>
        <w:footnoteReference w:id="2116"/>
      </w:r>
      <w:r>
        <w:rPr>
          <w:rFonts w:ascii="IRNazanin" w:hAnsi="IRNazanin" w:eastAsia="IRNazanin"/>
          <w:color w:val="111111"/>
          <w:sz w:val="28"/>
          <w:sz w:val="28"/>
          <w:szCs w:val="28"/>
          <w:rtl w:val="true"/>
          <w:lang w:bidi="fa-IR"/>
        </w:rPr>
        <w:t>بینهم إذا اعترفوا به و کذّبوا الأب فی نفیه</w:t>
      </w:r>
      <w:r>
        <w:rPr>
          <w:rStyle w:val="FootnoteAnchor"/>
          <w:rtl w:val="true"/>
        </w:rPr>
        <w:footnoteReference w:id="2117"/>
      </w:r>
      <w:r>
        <w:rPr>
          <w:rFonts w:ascii="IRNazanin" w:hAnsi="IRNazanin" w:eastAsia="IRNazanin"/>
          <w:color w:val="111111"/>
          <w:sz w:val="28"/>
          <w:sz w:val="28"/>
          <w:szCs w:val="28"/>
          <w:rtl w:val="true"/>
          <w:lang w:bidi="fa-IR"/>
        </w:rPr>
        <w:t>، و هو نادر، مع أنّ الشرع حکم بانقطاع النسب فکیف یعود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انفردت أُمّه، فلها الثلث تسمیةً و الباقی ردّاً ؛ لروایة أبی الصباح، و زید الشحّام، عن الصادق علیه‌السّلام</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أبوعبیدة،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الثلث و الباقی للإمام علیه‌السّلام ؛ لأ نّه عاقلته</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روی زرارة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علیه‌السّلام قضی بذلک</w:t>
      </w:r>
      <w:r>
        <w:rPr>
          <w:rStyle w:val="FootnoteAnchor"/>
          <w:rtl w:val="true"/>
        </w:rPr>
        <w:footnoteReference w:id="2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الشیخ بشرط عدم عصبة الأُمّ</w:t>
      </w:r>
      <w:r>
        <w:rPr>
          <w:rStyle w:val="FootnoteAnchor"/>
          <w:rtl w:val="true"/>
        </w:rPr>
        <w:footnoteReference w:id="2121"/>
      </w:r>
      <w:r>
        <w:rPr>
          <w:rFonts w:ascii="IRNazanin" w:hAnsi="IRNazanin" w:eastAsia="IRNazanin"/>
          <w:color w:val="111111"/>
          <w:sz w:val="28"/>
          <w:sz w:val="28"/>
          <w:szCs w:val="28"/>
          <w:rtl w:val="true"/>
          <w:lang w:bidi="fa-IR"/>
        </w:rPr>
        <w:t>، و هو خیرة ابن الجنید</w:t>
      </w:r>
      <w:r>
        <w:rPr>
          <w:rStyle w:val="FootnoteAnchor"/>
          <w:rtl w:val="true"/>
        </w:rPr>
        <w:footnoteReference w:id="2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 بها حال حضور الإمام لا حال غیبته</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فقد الوارث، ورثه الإمام علیه‌السّلام، و لا عبرة بنسب الأب هنا، فلو کان</w:t>
      </w:r>
    </w:p>
    <w:p>
      <w:pPr>
        <w:pStyle w:val="BookText"/>
        <w:rPr/>
      </w:pPr>
      <w:r>
        <w:rPr>
          <w:rFonts w:ascii="IRNazanin" w:hAnsi="IRNazanin" w:eastAsia="IRNazanin"/>
          <w:color w:val="111111"/>
          <w:sz w:val="28"/>
          <w:sz w:val="28"/>
          <w:szCs w:val="28"/>
          <w:rtl w:val="true"/>
          <w:lang w:bidi="fa-IR"/>
        </w:rPr>
        <w:t>له إخوة للأبوین و إخوة للأُمّ، فالقسمة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کانا توأمین، توارثا بالأُمومة</w:t>
      </w:r>
    </w:p>
    <w:p>
      <w:pPr>
        <w:pStyle w:val="BookText"/>
        <w:rPr/>
      </w:pPr>
      <w:r>
        <w:rPr>
          <w:rFonts w:ascii="IRNazanin" w:hAnsi="IRNazanin" w:eastAsia="IRNazanin"/>
          <w:color w:val="111111"/>
          <w:sz w:val="28"/>
          <w:sz w:val="28"/>
          <w:szCs w:val="28"/>
          <w:rtl w:val="true"/>
          <w:lang w:bidi="fa-IR"/>
        </w:rPr>
        <w:t>علی ما أفتی به الأصحاب</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 هو یقطع النسب من الأبوین، فلا یرثان الولد، و لا یرثهما، و لا مَن یتقرّب بهما، و إنّما یرثه ولده و زوجته، ثمّ المعتق، ثمّ الضامن، ثمّ الإمام</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إسحاق بن عمّار أ نّه ترثه أُمّه و إخوته منها أو عصبتها</w:t>
      </w:r>
      <w:r>
        <w:rPr>
          <w:rStyle w:val="FootnoteAnchor"/>
          <w:rtl w:val="true"/>
        </w:rPr>
        <w:footnoteReference w:id="2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p>
    <w:p>
      <w:pPr>
        <w:pStyle w:val="BookText"/>
        <w:rPr/>
      </w:pPr>
      <w:r>
        <w:rPr>
          <w:rFonts w:ascii="IRNazanin" w:hAnsi="IRNazanin" w:eastAsia="IRNazanin"/>
          <w:color w:val="111111"/>
          <w:sz w:val="28"/>
          <w:sz w:val="28"/>
          <w:szCs w:val="28"/>
          <w:rtl w:val="true"/>
          <w:lang w:bidi="fa-IR"/>
        </w:rPr>
        <w:t>روایة یونس</w:t>
      </w:r>
      <w:r>
        <w:rPr>
          <w:rStyle w:val="FootnoteAnchor"/>
          <w:rtl w:val="true"/>
        </w:rPr>
        <w:footnoteReference w:id="2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الجنید</w:t>
      </w:r>
      <w:r>
        <w:rPr>
          <w:rStyle w:val="FootnoteAnchor"/>
          <w:rtl w:val="true"/>
        </w:rPr>
        <w:footnoteReference w:id="2128"/>
      </w:r>
      <w:r>
        <w:rPr>
          <w:rFonts w:ascii="IRNazanin" w:hAnsi="IRNazanin" w:eastAsia="IRNazanin"/>
          <w:color w:val="111111"/>
          <w:sz w:val="28"/>
          <w:sz w:val="28"/>
          <w:szCs w:val="28"/>
          <w:rtl w:val="true"/>
          <w:lang w:bidi="fa-IR"/>
        </w:rPr>
        <w:t>، و الصدوق</w:t>
      </w:r>
      <w:r>
        <w:rPr>
          <w:rStyle w:val="FootnoteAnchor"/>
          <w:rtl w:val="true"/>
        </w:rPr>
        <w:footnoteReference w:id="2129"/>
      </w:r>
      <w:r>
        <w:rPr>
          <w:rFonts w:ascii="Amiri" w:hAnsi="Amiri" w:eastAsia="Amiri" w:cs="Amiri"/>
          <w:color w:val="111111"/>
          <w:sz w:val="28"/>
          <w:sz w:val="28"/>
          <w:szCs w:val="28"/>
          <w:rtl w:val="true"/>
          <w:lang w:bidi="ar-SA"/>
        </w:rPr>
        <w:t>، و الحلبیّ</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الشیخ الأُولی إلی توهّم الراوی أ نّه کولد الملاعنة، و الثانیة إلی الشذوذ</w:t>
      </w:r>
      <w:r>
        <w:rPr>
          <w:rStyle w:val="FootnoteAnchor"/>
          <w:rtl w:val="true"/>
        </w:rPr>
        <w:footnoteReference w:id="2131"/>
      </w:r>
      <w:r>
        <w:rPr>
          <w:rFonts w:ascii="Amiri" w:hAnsi="Amiri" w:eastAsia="Amiri" w:cs="Amiri"/>
          <w:color w:val="111111"/>
          <w:sz w:val="28"/>
          <w:sz w:val="28"/>
          <w:szCs w:val="28"/>
          <w:rtl w:val="true"/>
          <w:lang w:bidi="ar-SA"/>
        </w:rPr>
        <w:t>، مع أ نّها مقطوعة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حنّان، عن الصادق علیه‌السّلام</w:t>
      </w:r>
      <w:r>
        <w:rPr>
          <w:rStyle w:val="FootnoteAnchor"/>
          <w:rtl w:val="true"/>
        </w:rPr>
        <w:footnoteReference w:id="2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به الأب، ورثه</w:t>
      </w: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مطّرحة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عند السلطان من جریرة الابن و میراثه، فإنّه یمنع إرث الأب منه، و یرثه أقرب الناس إلیه فی روایة أبی بصیر</w:t>
      </w:r>
      <w:r>
        <w:rPr>
          <w:rStyle w:val="FootnoteAnchor"/>
          <w:rtl w:val="true"/>
        </w:rPr>
        <w:footnoteReference w:id="2134"/>
      </w:r>
      <w:r>
        <w:rPr>
          <w:rFonts w:ascii="IRNazanin" w:hAnsi="IRNazanin" w:eastAsia="IRNazanin"/>
          <w:color w:val="111111"/>
          <w:sz w:val="28"/>
          <w:sz w:val="28"/>
          <w:szCs w:val="28"/>
          <w:rtl w:val="true"/>
          <w:lang w:bidi="fa-IR"/>
        </w:rPr>
        <w:t>، و علیها الشیخ فی النهایة</w:t>
      </w:r>
      <w:r>
        <w:rPr>
          <w:rStyle w:val="FootnoteAnchor"/>
          <w:rtl w:val="true"/>
        </w:rPr>
        <w:footnoteReference w:id="21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القاضی</w:t>
      </w:r>
      <w:r>
        <w:rPr>
          <w:rStyle w:val="FootnoteAnchor"/>
          <w:rtl w:val="true"/>
        </w:rPr>
        <w:footnoteReference w:id="2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أنکرها الأکثر</w:t>
      </w:r>
      <w:r>
        <w:rPr>
          <w:rStyle w:val="FootnoteAnchor"/>
          <w:rtl w:val="true"/>
        </w:rPr>
        <w:footnoteReference w:id="2137"/>
      </w:r>
      <w:r>
        <w:rPr>
          <w:rFonts w:ascii="IRNazanin" w:hAnsi="IRNazanin" w:eastAsia="IRNazanin"/>
          <w:color w:val="111111"/>
          <w:sz w:val="28"/>
          <w:sz w:val="28"/>
          <w:szCs w:val="28"/>
          <w:rtl w:val="true"/>
          <w:lang w:bidi="fa-IR"/>
        </w:rPr>
        <w:t>، و الشیخ فی الحائریّة</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النسب، فیما إذا وطئ المولی أو الزوج و أجنبیّ المرأة فی طهر واحد، فإنّ الولد لا یرث الأب، بل یستحبّ له أن یعزل له قسطاً من میراثه، و لو </w:t>
      </w:r>
    </w:p>
    <w:p>
      <w:pPr>
        <w:pStyle w:val="BookText"/>
        <w:rPr/>
      </w:pPr>
      <w:r>
        <w:rPr>
          <w:rFonts w:ascii="IRNazanin" w:hAnsi="IRNazanin" w:eastAsia="IRNazanin"/>
          <w:color w:val="111111"/>
          <w:sz w:val="28"/>
          <w:sz w:val="28"/>
          <w:szCs w:val="28"/>
          <w:rtl w:val="true"/>
          <w:lang w:bidi="fa-IR"/>
        </w:rPr>
        <w:t>مات الولد، لم یرثه الأب، و میراثه لولده، فإن فقدوا</w:t>
      </w:r>
      <w:r>
        <w:rPr>
          <w:rStyle w:val="FootnoteAnchor"/>
          <w:rtl w:val="true"/>
        </w:rPr>
        <w:footnoteReference w:id="2139"/>
      </w:r>
      <w:r>
        <w:rPr>
          <w:rFonts w:ascii="IRNazanin" w:hAnsi="IRNazanin" w:eastAsia="IRNazanin"/>
          <w:color w:val="111111"/>
          <w:sz w:val="28"/>
          <w:sz w:val="28"/>
          <w:szCs w:val="28"/>
          <w:rtl w:val="true"/>
          <w:lang w:bidi="fa-IR"/>
        </w:rPr>
        <w:t>، فللإمام عند الشیخ</w:t>
      </w:r>
      <w:r>
        <w:rPr>
          <w:rStyle w:val="FootnoteAnchor"/>
          <w:rtl w:val="true"/>
        </w:rPr>
        <w:footnoteReference w:id="2140"/>
      </w:r>
      <w:r>
        <w:rPr>
          <w:rFonts w:ascii="IRNazanin" w:hAnsi="IRNazanin" w:eastAsia="IRNazanin"/>
          <w:color w:val="111111"/>
          <w:sz w:val="28"/>
          <w:sz w:val="28"/>
          <w:szCs w:val="28"/>
          <w:rtl w:val="true"/>
          <w:lang w:bidi="fa-IR"/>
        </w:rPr>
        <w:t>و القاضی</w:t>
      </w:r>
      <w:r>
        <w:rPr>
          <w:rStyle w:val="FootnoteAnchor"/>
          <w:rtl w:val="true"/>
        </w:rPr>
        <w:footnoteReference w:id="2141"/>
      </w:r>
      <w:r>
        <w:rPr>
          <w:rFonts w:ascii="Amiri" w:hAnsi="Amiri" w:eastAsia="Amiri" w:cs="Amiri"/>
          <w:color w:val="111111"/>
          <w:sz w:val="28"/>
          <w:sz w:val="28"/>
          <w:szCs w:val="28"/>
          <w:rtl w:val="true"/>
          <w:lang w:bidi="ar-SA"/>
        </w:rPr>
        <w:t>، و هو مرویّ</w:t>
      </w:r>
      <w:r>
        <w:rPr>
          <w:rStyle w:val="FootnoteAnchor"/>
          <w:rtl w:val="true"/>
        </w:rPr>
        <w:footnoteReference w:id="2142"/>
      </w:r>
      <w:r>
        <w:rPr>
          <w:rFonts w:ascii="IRNazanin" w:hAnsi="IRNazanin" w:eastAsia="IRNazanin"/>
          <w:color w:val="111111"/>
          <w:sz w:val="28"/>
          <w:sz w:val="28"/>
          <w:szCs w:val="28"/>
          <w:rtl w:val="true"/>
          <w:lang w:bidi="fa-IR"/>
        </w:rPr>
        <w:t>فی الأمة بسند صحیح</w:t>
      </w:r>
      <w:r>
        <w:rPr>
          <w:rStyle w:val="FootnoteAnchor"/>
          <w:rtl w:val="true"/>
        </w:rPr>
        <w:footnoteReference w:id="2143"/>
      </w:r>
      <w:r>
        <w:rPr>
          <w:rFonts w:ascii="IRNazanin" w:hAnsi="IRNazanin" w:eastAsia="IRNazanin"/>
          <w:color w:val="111111"/>
          <w:sz w:val="28"/>
          <w:sz w:val="28"/>
          <w:szCs w:val="28"/>
          <w:rtl w:val="true"/>
          <w:lang w:bidi="fa-IR"/>
        </w:rPr>
        <w:t>، و أنکر ابن إدریس ذلک، و ألحق الولد بالزوج</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المنقطعة، و هی مانعة من نفوذ الإرث ظاهراً حتّی یعلم موته ببیّنة، أو مضیّ مدّة لا یعیش مثله إلیها عادة</w:t>
      </w:r>
      <w:r>
        <w:rPr>
          <w:rStyle w:val="FootnoteAnchor"/>
          <w:rtl w:val="true"/>
        </w:rPr>
        <w:footnoteReference w:id="2145"/>
      </w:r>
      <w:r>
        <w:rPr>
          <w:rFonts w:ascii="IRNazanin" w:hAnsi="IRNazanin" w:eastAsia="IRNazanin"/>
          <w:color w:val="111111"/>
          <w:sz w:val="28"/>
          <w:sz w:val="28"/>
          <w:szCs w:val="28"/>
          <w:rtl w:val="true"/>
          <w:lang w:bidi="fa-IR"/>
        </w:rPr>
        <w:t>، فیحکم بتوریث مَن هو موجود حال</w:t>
      </w:r>
    </w:p>
    <w:p>
      <w:pPr>
        <w:pStyle w:val="BookText"/>
        <w:rPr/>
      </w:pPr>
      <w:r>
        <w:rPr>
          <w:rFonts w:ascii="IRNazanin" w:hAnsi="IRNazanin" w:eastAsia="IRNazanin"/>
          <w:color w:val="111111"/>
          <w:sz w:val="28"/>
          <w:sz w:val="28"/>
          <w:szCs w:val="28"/>
          <w:rtl w:val="true"/>
          <w:lang w:bidi="fa-IR"/>
        </w:rPr>
        <w:t>الحکم، و لو مات له قریب، عزل نصیبه منه و کان بحکم</w:t>
      </w:r>
      <w:r>
        <w:rPr>
          <w:rStyle w:val="FootnoteAnchor"/>
          <w:rtl w:val="true"/>
        </w:rPr>
        <w:footnoteReference w:id="2146"/>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بعد أربع سنین مَن کان فی عسکر شهدت هزیمته، و قتل أکثرهم، و بعد عشر سنین من انقطع خبره أو أُسر</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یحبس ماله أربع سنین، و یطلب فیها فی کلّ الأرض، فإن لم یوجد، قسّم ماله بین ورثته</w:t>
      </w:r>
      <w:r>
        <w:rPr>
          <w:rStyle w:val="FootnoteAnchor"/>
          <w:rtl w:val="true"/>
        </w:rPr>
        <w:footnoteReference w:id="2148"/>
      </w:r>
      <w:r>
        <w:rPr>
          <w:rFonts w:ascii="IRNazanin" w:hAnsi="IRNazanin" w:eastAsia="IRNazanin"/>
          <w:color w:val="111111"/>
          <w:sz w:val="28"/>
          <w:sz w:val="28"/>
          <w:szCs w:val="28"/>
          <w:rtl w:val="true"/>
          <w:lang w:bidi="fa-IR"/>
        </w:rPr>
        <w:t>، و نحوه قال الصدوق</w:t>
      </w:r>
      <w:r>
        <w:rPr>
          <w:rStyle w:val="FootnoteAnchor"/>
          <w:rtl w:val="true"/>
        </w:rPr>
        <w:footnoteReference w:id="2149"/>
      </w:r>
      <w:r>
        <w:rPr>
          <w:rFonts w:ascii="Amiri" w:hAnsi="Amiri" w:eastAsia="Amiri" w:cs="Amiri"/>
          <w:color w:val="111111"/>
          <w:sz w:val="28"/>
          <w:sz w:val="28"/>
          <w:szCs w:val="28"/>
          <w:rtl w:val="true"/>
          <w:lang w:bidi="ar-SA"/>
        </w:rPr>
        <w:t>و الحلبیّ</w:t>
      </w: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یباع عقاره بعد عشر سنین إذا انقطع خبره، و لو عزل </w:t>
      </w:r>
      <w:bookmarkStart w:id="294" w:name="pg13665_219316"/>
    </w:p>
    <w:p>
      <w:pPr>
        <w:pStyle w:val="BookText"/>
        <w:rPr/>
      </w:pPr>
      <w:bookmarkEnd w:id="294"/>
      <w:r>
        <w:rPr>
          <w:rFonts w:ascii="IRNazanin" w:hAnsi="IRNazanin" w:eastAsia="IRNazanin"/>
          <w:color w:val="111111"/>
          <w:sz w:val="28"/>
          <w:sz w:val="28"/>
          <w:szCs w:val="28"/>
          <w:rtl w:val="true"/>
          <w:lang w:bidi="fa-IR"/>
        </w:rPr>
        <w:t>میراث الولد الغائب من أبیه و طالت المدّة، جاز لوارث أبیه أقتسامه مع الملاءة و یضمنون</w:t>
      </w:r>
      <w:r>
        <w:rPr>
          <w:rStyle w:val="FootnoteAnchor"/>
          <w:rtl w:val="true"/>
        </w:rPr>
        <w:footnoteReference w:id="2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مختار الشیخ</w:t>
      </w:r>
      <w:r>
        <w:rPr>
          <w:rStyle w:val="FootnoteAnchor"/>
          <w:rtl w:val="true"/>
        </w:rPr>
        <w:footnoteReference w:id="2152"/>
      </w:r>
      <w:r>
        <w:rPr>
          <w:rFonts w:ascii="IRNazanin" w:hAnsi="IRNazanin" w:eastAsia="IRNazanin"/>
          <w:color w:val="111111"/>
          <w:sz w:val="28"/>
          <w:sz w:val="28"/>
          <w:szCs w:val="28"/>
          <w:rtl w:val="true"/>
          <w:lang w:bidi="fa-IR"/>
        </w:rPr>
        <w:t>و أتباعه</w:t>
      </w:r>
      <w:r>
        <w:rPr>
          <w:rStyle w:val="FootnoteAnchor"/>
          <w:rtl w:val="true"/>
        </w:rPr>
        <w:footnoteReference w:id="2153"/>
      </w:r>
      <w:r>
        <w:rPr>
          <w:rFonts w:ascii="IRNazanin" w:hAnsi="IRNazanin" w:eastAsia="IRNazanin"/>
          <w:color w:val="111111"/>
          <w:sz w:val="28"/>
          <w:sz w:val="28"/>
          <w:szCs w:val="28"/>
          <w:rtl w:val="true"/>
          <w:lang w:bidi="fa-IR"/>
        </w:rPr>
        <w:t>، و ابن إدریس</w:t>
      </w:r>
      <w:r>
        <w:rPr>
          <w:rStyle w:val="FootnoteAnchor"/>
          <w:rtl w:val="true"/>
        </w:rPr>
        <w:footnoteReference w:id="2154"/>
      </w:r>
      <w:r>
        <w:rPr>
          <w:rFonts w:ascii="IRNazanin" w:hAnsi="IRNazanin" w:eastAsia="IRNazanin"/>
          <w:color w:val="111111"/>
          <w:sz w:val="28"/>
          <w:sz w:val="28"/>
          <w:szCs w:val="28"/>
          <w:rtl w:val="true"/>
          <w:lang w:bidi="fa-IR"/>
        </w:rPr>
        <w:t>، و قول المرتضی قویّ</w:t>
      </w:r>
      <w:r>
        <w:rPr>
          <w:rStyle w:val="FootnoteAnchor"/>
          <w:rtl w:val="true"/>
        </w:rPr>
        <w:footnoteReference w:id="2155"/>
      </w:r>
      <w:r>
        <w:rPr>
          <w:rFonts w:ascii="IRNazanin" w:hAnsi="IRNazanin" w:eastAsia="IRNazanin"/>
          <w:color w:val="111111"/>
          <w:sz w:val="28"/>
          <w:sz w:val="28"/>
          <w:szCs w:val="28"/>
          <w:rtl w:val="true"/>
          <w:lang w:bidi="fa-IR"/>
        </w:rPr>
        <w:t>، و إلیه جنح الفاضل رحمهم‌اللّه‌</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المستغرق</w:t>
      </w:r>
      <w:r>
        <w:rPr>
          <w:rStyle w:val="FootnoteAnchor"/>
          <w:rtl w:val="true"/>
        </w:rPr>
        <w:footnoteReference w:id="2157"/>
      </w:r>
      <w:r>
        <w:rPr>
          <w:rFonts w:ascii="IRNazanin" w:hAnsi="IRNazanin" w:eastAsia="IRNazanin"/>
          <w:color w:val="111111"/>
          <w:sz w:val="28"/>
          <w:sz w:val="28"/>
          <w:szCs w:val="28"/>
          <w:rtl w:val="true"/>
          <w:lang w:bidi="fa-IR"/>
        </w:rPr>
        <w:t>للترکة ؛ للآیة</w:t>
      </w:r>
      <w:r>
        <w:rPr>
          <w:rStyle w:val="FootnoteAnchor"/>
          <w:rtl w:val="true"/>
        </w:rPr>
        <w:footnoteReference w:id="2158"/>
      </w:r>
      <w:r>
        <w:rPr>
          <w:rFonts w:ascii="IRNazanin" w:hAnsi="IRNazanin" w:eastAsia="IRNazanin"/>
          <w:color w:val="111111"/>
          <w:sz w:val="28"/>
          <w:sz w:val="28"/>
          <w:szCs w:val="28"/>
          <w:rtl w:val="true"/>
          <w:lang w:bidi="fa-IR"/>
        </w:rPr>
        <w:t>، و هو مذهب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النماء مصروفاً فی الدین ؛ لعدم ملک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یملکه الوارث و یتعلّق به الدین</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تعلّق الأرش بالجانی أو تعلّق الرهن و لو لم یستغرق</w:t>
      </w:r>
      <w:r>
        <w:rPr>
          <w:rStyle w:val="FootnoteAnchor"/>
          <w:rtl w:val="true"/>
        </w:rPr>
        <w:footnoteReference w:id="2160"/>
      </w:r>
      <w:r>
        <w:rPr>
          <w:rFonts w:ascii="IRNazanin" w:hAnsi="IRNazanin" w:eastAsia="IRNazanin"/>
          <w:color w:val="111111"/>
          <w:sz w:val="28"/>
          <w:sz w:val="28"/>
          <w:szCs w:val="28"/>
          <w:rtl w:val="true"/>
          <w:lang w:bidi="fa-IR"/>
        </w:rPr>
        <w:t>، انتقل إلیهم ما زاد، و یکون جمیع الترکة کالرهن حتّی یقضی الدین</w:t>
      </w:r>
      <w:r>
        <w:rPr>
          <w:rFonts w:eastAsia="IRNazanin" w:cs="IRNazanin"/>
          <w:color w:val="111111"/>
          <w:sz w:val="28"/>
          <w:szCs w:val="28"/>
          <w:rtl w:val="true"/>
          <w:lang w:bidi="fa-IR"/>
        </w:rPr>
        <w:t>.</w:t>
      </w:r>
    </w:p>
    <w:p>
      <w:pPr>
        <w:pStyle w:val="Heading3"/>
        <w:numPr>
          <w:ilvl w:val="2"/>
          <w:numId w:val="1"/>
        </w:numPr>
        <w:rPr/>
      </w:pPr>
      <w:bookmarkStart w:id="295" w:name="__RefHeading___Toc2071407_3830689328"/>
      <w:bookmarkStart w:id="296" w:name="_Toc98"/>
      <w:bookmarkEnd w:id="295"/>
      <w:r>
        <w:rPr>
          <w:rtl w:val="true"/>
        </w:rPr>
        <w:t xml:space="preserve">درس </w:t>
      </w:r>
      <w:r>
        <w:rPr>
          <w:rtl w:val="true"/>
        </w:rPr>
        <w:t>(</w:t>
      </w:r>
      <w:r>
        <w:rPr/>
        <w:t>185</w:t>
      </w:r>
      <w:r>
        <w:rPr>
          <w:rtl w:val="true"/>
        </w:rPr>
        <w:t>)</w:t>
      </w:r>
      <w:bookmarkEnd w:id="29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اقتران موت المتوارثین، أو اشتباه المتقدّم و المتأخّر فی الموت، إذا کان حتف الأنف، أو لا بسبب</w:t>
      </w:r>
      <w:r>
        <w:rPr>
          <w:rStyle w:val="FootnoteAnchor"/>
          <w:rtl w:val="true"/>
        </w:rPr>
        <w:footnoteReference w:id="2161"/>
      </w:r>
      <w:r>
        <w:rPr>
          <w:rFonts w:ascii="IRNazanin" w:hAnsi="IRNazanin" w:eastAsia="IRNazanin"/>
          <w:color w:val="111111"/>
          <w:sz w:val="28"/>
          <w:sz w:val="28"/>
          <w:szCs w:val="28"/>
          <w:rtl w:val="true"/>
          <w:lang w:bidi="fa-IR"/>
        </w:rPr>
        <w:t xml:space="preserve">الغرق و الهدم، فإنّه لا یتوارث الموتی، </w:t>
      </w:r>
    </w:p>
    <w:p>
      <w:pPr>
        <w:pStyle w:val="BookText"/>
        <w:rPr/>
      </w:pPr>
      <w:r>
        <w:rPr>
          <w:rFonts w:ascii="IRNazanin" w:hAnsi="IRNazanin" w:eastAsia="IRNazanin"/>
          <w:color w:val="111111"/>
          <w:sz w:val="28"/>
          <w:sz w:val="28"/>
          <w:szCs w:val="28"/>
          <w:rtl w:val="true"/>
          <w:lang w:bidi="fa-IR"/>
        </w:rPr>
        <w:t>بل میراث کلّ لورثته</w:t>
      </w:r>
      <w:r>
        <w:rPr>
          <w:rStyle w:val="FootnoteAnchor"/>
          <w:rtl w:val="true"/>
        </w:rPr>
        <w:footnoteReference w:id="2162"/>
      </w:r>
      <w:r>
        <w:rPr>
          <w:rFonts w:ascii="IRNazanin" w:hAnsi="IRNazanin" w:eastAsia="IRNazanin"/>
          <w:color w:val="111111"/>
          <w:sz w:val="28"/>
          <w:sz w:val="28"/>
          <w:szCs w:val="28"/>
          <w:rtl w:val="true"/>
          <w:lang w:bidi="fa-IR"/>
        </w:rPr>
        <w:t>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یلوح من ابن الجنید</w:t>
      </w:r>
      <w:r>
        <w:rPr>
          <w:rStyle w:val="FootnoteAnchor"/>
          <w:rtl w:val="true"/>
        </w:rPr>
        <w:footnoteReference w:id="2163"/>
      </w:r>
      <w:r>
        <w:rPr>
          <w:rFonts w:ascii="IRNazanin" w:hAnsi="IRNazanin" w:eastAsia="IRNazanin"/>
          <w:color w:val="111111"/>
          <w:sz w:val="28"/>
          <w:sz w:val="28"/>
          <w:szCs w:val="28"/>
          <w:rtl w:val="true"/>
          <w:lang w:bidi="fa-IR"/>
        </w:rPr>
        <w:t>و الحلبیّ اطّراد حکم الغرقی و الهدمی فی کلّ مشتبه</w:t>
      </w:r>
      <w:r>
        <w:rPr>
          <w:rStyle w:val="FootnoteAnchor"/>
          <w:rtl w:val="true"/>
        </w:rPr>
        <w:footnoteReference w:id="2164"/>
      </w:r>
      <w:r>
        <w:rPr>
          <w:rFonts w:ascii="IRNazanin" w:hAnsi="IRNazanin" w:eastAsia="IRNazanin"/>
          <w:color w:val="111111"/>
          <w:sz w:val="28"/>
          <w:sz w:val="28"/>
          <w:szCs w:val="28"/>
          <w:rtl w:val="true"/>
          <w:lang w:bidi="fa-IR"/>
        </w:rPr>
        <w:t>، و صرّح ابن حمزة بذلک فی الغرق و الحرق و الهدم و القتل</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حکمنا بالتوریث</w:t>
      </w:r>
      <w:r>
        <w:rPr>
          <w:rStyle w:val="FootnoteAnchor"/>
          <w:rtl w:val="true"/>
        </w:rPr>
        <w:footnoteReference w:id="2166"/>
      </w:r>
      <w:r>
        <w:rPr>
          <w:rFonts w:ascii="IRNazanin" w:hAnsi="IRNazanin" w:eastAsia="IRNazanin"/>
          <w:color w:val="111111"/>
          <w:sz w:val="28"/>
          <w:sz w:val="28"/>
          <w:szCs w:val="28"/>
          <w:rtl w:val="true"/>
          <w:lang w:bidi="fa-IR"/>
        </w:rPr>
        <w:t>مع الغرق و الهدم، اشترط</w:t>
      </w:r>
      <w:r>
        <w:rPr>
          <w:rStyle w:val="FootnoteAnchor"/>
          <w:rtl w:val="true"/>
        </w:rPr>
        <w:footnoteReference w:id="2167"/>
      </w:r>
      <w:r>
        <w:rPr>
          <w:rFonts w:ascii="IRNazanin" w:hAnsi="IRNazanin" w:eastAsia="IRNazanin"/>
          <w:color w:val="111111"/>
          <w:sz w:val="28"/>
          <w:sz w:val="28"/>
          <w:szCs w:val="28"/>
          <w:rtl w:val="true"/>
          <w:lang w:bidi="fa-IR"/>
        </w:rPr>
        <w:t>فیه اشتباه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اقتران الموت، فلا توارث، و لو علم التقدّم و التأخّر، ورث المتأخّر المتقدّم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تکون الموارثة دائرة بینهما، فلو غرق أخوان و لکلّ منهما ولد أو لأحدهما، فلا توارث بینهما، ثمّ إن کان لأحدهما</w:t>
      </w:r>
      <w:r>
        <w:rPr>
          <w:rStyle w:val="FootnoteAnchor"/>
          <w:rtl w:val="true"/>
        </w:rPr>
        <w:footnoteReference w:id="2168"/>
      </w:r>
      <w:r>
        <w:rPr>
          <w:rFonts w:ascii="IRNazanin" w:hAnsi="IRNazanin" w:eastAsia="IRNazanin"/>
          <w:color w:val="111111"/>
          <w:sz w:val="28"/>
          <w:sz w:val="28"/>
          <w:szCs w:val="28"/>
          <w:rtl w:val="true"/>
          <w:lang w:bidi="fa-IR"/>
        </w:rPr>
        <w:t>مال، صار لمن لا مال له و منه إلی وارثه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أحدهما ممّا ورث منه الآخر، و إلاّ تسلسل و استدعی المحال عادة، و هو فرض الحیاة بعد الموت ؛ لأنّ التوریث منه یقتضی فرض موته، فلو ورث ما</w:t>
      </w:r>
      <w:r>
        <w:rPr>
          <w:rStyle w:val="FootnoteAnchor"/>
          <w:rtl w:val="true"/>
        </w:rPr>
        <w:footnoteReference w:id="2169"/>
      </w:r>
      <w:r>
        <w:rPr>
          <w:rFonts w:ascii="IRNazanin" w:hAnsi="IRNazanin" w:eastAsia="IRNazanin"/>
          <w:color w:val="111111"/>
          <w:sz w:val="28"/>
          <w:sz w:val="28"/>
          <w:szCs w:val="28"/>
          <w:rtl w:val="true"/>
          <w:lang w:bidi="fa-IR"/>
        </w:rPr>
        <w:t>انتقل عنه، لکان حیّاً بعد انتقال المال عنه، و هو ممتنع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w:t>
      </w:r>
      <w:r>
        <w:rPr>
          <w:rStyle w:val="FootnoteAnchor"/>
          <w:rtl w:val="true"/>
        </w:rPr>
        <w:footnoteReference w:id="2170"/>
      </w:r>
      <w:r>
        <w:rPr>
          <w:rFonts w:ascii="Amiri" w:hAnsi="Amiri" w:eastAsia="Amiri" w:cs="Amiri"/>
          <w:color w:val="111111"/>
          <w:sz w:val="28"/>
          <w:sz w:val="28"/>
          <w:szCs w:val="28"/>
          <w:rtl w:val="true"/>
          <w:lang w:bidi="ar-SA"/>
        </w:rPr>
        <w:t xml:space="preserve">و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 ممّا ورث منه</w:t>
      </w:r>
      <w:r>
        <w:rPr>
          <w:rStyle w:val="FootnoteAnchor"/>
          <w:rtl w:val="true"/>
        </w:rPr>
        <w:footnoteReference w:id="2171"/>
      </w:r>
      <w:r>
        <w:rPr>
          <w:rFonts w:ascii="IRNazanin" w:hAnsi="IRNazanin" w:eastAsia="IRNazanin"/>
          <w:color w:val="111111"/>
          <w:sz w:val="28"/>
          <w:sz w:val="28"/>
          <w:szCs w:val="28"/>
          <w:rtl w:val="true"/>
          <w:lang w:bidi="fa-IR"/>
        </w:rPr>
        <w:t>لوجوب تقدیم الأضعف، و لا فائدة إلاّ التوریث ممّا ورث</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الوجوب، و لو سلّم، کان</w:t>
      </w:r>
      <w:r>
        <w:rPr>
          <w:rStyle w:val="FootnoteAnchor"/>
          <w:rtl w:val="true"/>
        </w:rPr>
        <w:footnoteReference w:id="2172"/>
      </w:r>
      <w:r>
        <w:rPr>
          <w:rFonts w:ascii="IRNazanin" w:hAnsi="IRNazanin" w:eastAsia="IRNazanin"/>
          <w:color w:val="111111"/>
          <w:sz w:val="28"/>
          <w:sz w:val="28"/>
          <w:szCs w:val="28"/>
          <w:rtl w:val="true"/>
          <w:lang w:bidi="fa-IR"/>
        </w:rPr>
        <w:t>تعبّداً، فلو غرق الأب و ولده، قدّم موت الابن، فیرث الأب نصیبه منه، ثمّ نفرض</w:t>
      </w:r>
      <w:r>
        <w:rPr>
          <w:rStyle w:val="FootnoteAnchor"/>
          <w:rtl w:val="true"/>
        </w:rPr>
        <w:footnoteReference w:id="2173"/>
      </w:r>
      <w:r>
        <w:rPr>
          <w:rFonts w:ascii="IRNazanin" w:hAnsi="IRNazanin" w:eastAsia="IRNazanin"/>
          <w:color w:val="111111"/>
          <w:sz w:val="28"/>
          <w:sz w:val="28"/>
          <w:szCs w:val="28"/>
          <w:rtl w:val="true"/>
          <w:lang w:bidi="fa-IR"/>
        </w:rPr>
        <w:t>موت الأب، فیرث الولد</w:t>
      </w:r>
      <w:r>
        <w:rPr>
          <w:rStyle w:val="FootnoteAnchor"/>
          <w:rtl w:val="true"/>
        </w:rPr>
        <w:footnoteReference w:id="2174"/>
      </w:r>
      <w:r>
        <w:rPr>
          <w:rFonts w:ascii="IRNazanin" w:hAnsi="IRNazanin" w:eastAsia="IRNazanin"/>
          <w:color w:val="111111"/>
          <w:sz w:val="28"/>
          <w:sz w:val="28"/>
          <w:szCs w:val="28"/>
          <w:rtl w:val="true"/>
          <w:lang w:bidi="fa-IR"/>
        </w:rPr>
        <w:t>نصیبه منه، و یصیر</w:t>
      </w:r>
      <w:r>
        <w:rPr>
          <w:rStyle w:val="FootnoteAnchor"/>
          <w:rtl w:val="true"/>
        </w:rPr>
        <w:footnoteReference w:id="2175"/>
      </w:r>
      <w:r>
        <w:rPr>
          <w:rFonts w:ascii="IRNazanin" w:hAnsi="IRNazanin" w:eastAsia="IRNazanin"/>
          <w:color w:val="111111"/>
          <w:sz w:val="28"/>
          <w:sz w:val="28"/>
          <w:szCs w:val="28"/>
          <w:rtl w:val="true"/>
          <w:lang w:bidi="fa-IR"/>
        </w:rPr>
        <w:t>مال کلّ واحد منقولاً إلی ورثة</w:t>
      </w:r>
      <w:r>
        <w:rPr>
          <w:rStyle w:val="FootnoteAnchor"/>
          <w:rtl w:val="true"/>
        </w:rPr>
        <w:footnoteReference w:id="2176"/>
      </w:r>
      <w:r>
        <w:rPr>
          <w:rFonts w:ascii="IRNazanin" w:hAnsi="IRNazanin" w:eastAsia="IRNazanin"/>
          <w:color w:val="111111"/>
          <w:sz w:val="28"/>
          <w:sz w:val="28"/>
          <w:szCs w:val="28"/>
          <w:rtl w:val="true"/>
          <w:lang w:bidi="fa-IR"/>
        </w:rPr>
        <w:t>الآخر الأحیاء إن لم یکن وارث غیرهما أولی منهما، و إن شارکهما مساوٍ، انتقل إلی وارثة الحیّ ما ورثه، و لو تساویا</w:t>
      </w:r>
    </w:p>
    <w:p>
      <w:pPr>
        <w:pStyle w:val="BookText"/>
        <w:rPr/>
      </w:pPr>
      <w:r>
        <w:rPr>
          <w:rFonts w:ascii="IRNazanin" w:hAnsi="IRNazanin" w:eastAsia="IRNazanin"/>
          <w:color w:val="111111"/>
          <w:sz w:val="28"/>
          <w:sz w:val="28"/>
          <w:szCs w:val="28"/>
          <w:rtl w:val="true"/>
          <w:lang w:bidi="fa-IR"/>
        </w:rPr>
        <w:t>فی الاستحقاق فلا تقدیم، و یصیر مال کلّ منهما لورثة الآخر، کأخوین لأب و لکلّ منهما خال، و لو</w:t>
      </w:r>
      <w:r>
        <w:rPr>
          <w:rStyle w:val="FootnoteAnchor"/>
          <w:rtl w:val="true"/>
        </w:rPr>
        <w:footnoteReference w:id="2177"/>
      </w:r>
      <w:r>
        <w:rPr>
          <w:rFonts w:ascii="IRNazanin" w:hAnsi="IRNazanin" w:eastAsia="IRNazanin"/>
          <w:color w:val="111111"/>
          <w:sz w:val="28"/>
          <w:sz w:val="28"/>
          <w:szCs w:val="28"/>
          <w:rtl w:val="true"/>
          <w:lang w:bidi="fa-IR"/>
        </w:rPr>
        <w:t>لم یکن لهما وارث، صار مالهما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قول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لکلّ من الأخوین جدّ لأُمّ و لا مال لأحدهما، یقرع، فإن خرج توریث المعدم أوّلاً، انتقل مال الآخر إلیه و إلی جدّه، ثلثه لجدّه، و ثلثاه لأخیه، ثمّ یقدّر</w:t>
      </w:r>
      <w:r>
        <w:rPr>
          <w:rStyle w:val="FootnoteAnchor"/>
          <w:rtl w:val="true"/>
        </w:rPr>
        <w:footnoteReference w:id="2178"/>
      </w:r>
      <w:r>
        <w:rPr>
          <w:rFonts w:ascii="IRNazanin" w:hAnsi="IRNazanin" w:eastAsia="IRNazanin"/>
          <w:color w:val="111111"/>
          <w:sz w:val="28"/>
          <w:sz w:val="28"/>
          <w:szCs w:val="28"/>
          <w:rtl w:val="true"/>
          <w:lang w:bidi="fa-IR"/>
        </w:rPr>
        <w:t>موت المعدم، فیرث الموسر منه ثلثی ما انتقل إلیه، و ثلثه لجدّ</w:t>
      </w:r>
      <w:r>
        <w:rPr>
          <w:rStyle w:val="FootnoteAnchor"/>
          <w:rtl w:val="true"/>
        </w:rPr>
        <w:footnoteReference w:id="2179"/>
      </w:r>
      <w:r>
        <w:rPr>
          <w:rFonts w:ascii="IRNazanin" w:hAnsi="IRNazanin" w:eastAsia="IRNazanin"/>
          <w:color w:val="111111"/>
          <w:sz w:val="28"/>
          <w:sz w:val="28"/>
          <w:szCs w:val="28"/>
          <w:rtl w:val="true"/>
          <w:lang w:bidi="fa-IR"/>
        </w:rPr>
        <w:t>المعدم، و ینتقل ما ورثه الموسر إلی جدّه، فیجتمع لجدّه ثلث أصل ماله و ثلثا ثلثیه، و ذلک سبعة أتساع ماله، و لجدّ</w:t>
      </w:r>
      <w:r>
        <w:rPr>
          <w:rStyle w:val="FootnoteAnchor"/>
          <w:rtl w:val="true"/>
        </w:rPr>
        <w:footnoteReference w:id="2180"/>
      </w:r>
      <w:r>
        <w:rPr>
          <w:rFonts w:ascii="IRNazanin" w:hAnsi="IRNazanin" w:eastAsia="IRNazanin"/>
          <w:color w:val="111111"/>
          <w:sz w:val="28"/>
          <w:sz w:val="28"/>
          <w:szCs w:val="28"/>
          <w:rtl w:val="true"/>
          <w:lang w:bidi="fa-IR"/>
        </w:rPr>
        <w:t>المعدم تسعان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خرج توریث الموسر، لم یرث من أخیه شیئاً، ثمّ یقدّر موت الموسر فیرث ماله أخوه و جدّه أثلاثاً، فیکون لجدّه الثلث، و لأخیه الثلثان، ینتقل</w:t>
      </w:r>
      <w:r>
        <w:rPr>
          <w:rStyle w:val="FootnoteAnchor"/>
          <w:rtl w:val="true"/>
        </w:rPr>
        <w:footnoteReference w:id="2181"/>
      </w:r>
      <w:r>
        <w:rPr>
          <w:rFonts w:ascii="IRNazanin" w:hAnsi="IRNazanin" w:eastAsia="IRNazanin"/>
          <w:color w:val="111111"/>
          <w:sz w:val="28"/>
          <w:sz w:val="28"/>
          <w:szCs w:val="28"/>
          <w:rtl w:val="true"/>
          <w:lang w:bidi="fa-IR"/>
        </w:rPr>
        <w:t xml:space="preserve">ما صار لأخیه إلی جدّه، فیکون لجدّ الموسر ثلث ماله، و لجدّ المعدم ثلثاه، فوجبت القرعة ؛ </w:t>
      </w:r>
      <w:bookmarkStart w:id="297" w:name="pg13665_219319"/>
    </w:p>
    <w:p>
      <w:pPr>
        <w:pStyle w:val="BookText"/>
        <w:rPr/>
      </w:pPr>
      <w:bookmarkEnd w:id="297"/>
      <w:r>
        <w:rPr>
          <w:rFonts w:ascii="IRNazanin" w:hAnsi="IRNazanin" w:eastAsia="IRNazanin"/>
          <w:color w:val="111111"/>
          <w:sz w:val="28"/>
          <w:sz w:val="28"/>
          <w:szCs w:val="28"/>
          <w:rtl w:val="true"/>
          <w:lang w:bidi="fa-IR"/>
        </w:rPr>
        <w:t>لتغیّر الحکم بالتقدّم و التأخّر، و علی الأصحّ یصیر مال الموسر بین جدّه و جدّ أخیه أثلاثاً، لجدّه الثلث، و لجدّ أخیه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یقرع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لهما مال تساویا فی قدره أو اختلفا، فإنّ جدّ المتقدّم فی الموت</w:t>
      </w:r>
      <w:r>
        <w:rPr>
          <w:rStyle w:val="FootnoteAnchor"/>
          <w:rtl w:val="true"/>
        </w:rPr>
        <w:footnoteReference w:id="2182"/>
      </w:r>
      <w:r>
        <w:rPr>
          <w:rFonts w:ascii="Amiri" w:hAnsi="Amiri" w:eastAsia="Amiri" w:cs="Amiri"/>
          <w:color w:val="111111"/>
          <w:sz w:val="28"/>
          <w:sz w:val="28"/>
          <w:szCs w:val="28"/>
          <w:rtl w:val="true"/>
          <w:lang w:bidi="ar-SA"/>
        </w:rPr>
        <w:t xml:space="preserve">یفوز بأکثر ممّا یحصل له لو تأخّر موت مورّثه، و علی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مال کلّ أخ بین جدّه و جدّ أخیه أثلاثاً، لجدّه ثلثه، و لجدّ أخیه ثلثاه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تکثّرت الغرقی، لم یتغیّر الحکم، فیقدّر موت کلّ واحد و یورث</w:t>
      </w:r>
      <w:r>
        <w:rPr>
          <w:rStyle w:val="FootnoteAnchor"/>
          <w:rtl w:val="true"/>
        </w:rPr>
        <w:footnoteReference w:id="2183"/>
      </w:r>
      <w:r>
        <w:rPr>
          <w:rFonts w:ascii="IRNazanin" w:hAnsi="IRNazanin" w:eastAsia="IRNazanin"/>
          <w:color w:val="111111"/>
          <w:sz w:val="28"/>
          <w:sz w:val="28"/>
          <w:szCs w:val="28"/>
          <w:rtl w:val="true"/>
          <w:lang w:bidi="fa-IR"/>
        </w:rPr>
        <w:t>بحسب الاستحقاق</w:t>
      </w:r>
      <w:r>
        <w:rPr>
          <w:rFonts w:eastAsia="IRNazanin" w:cs="IRNazanin"/>
          <w:color w:val="111111"/>
          <w:sz w:val="28"/>
          <w:szCs w:val="28"/>
          <w:rtl w:val="true"/>
          <w:lang w:bidi="fa-IR"/>
        </w:rPr>
        <w:t>.</w:t>
      </w:r>
    </w:p>
    <w:p>
      <w:pPr>
        <w:pStyle w:val="Heading3"/>
        <w:numPr>
          <w:ilvl w:val="2"/>
          <w:numId w:val="1"/>
        </w:numPr>
        <w:rPr/>
      </w:pPr>
      <w:bookmarkStart w:id="298" w:name="__RefHeading___Toc2071409_3830689328"/>
      <w:bookmarkStart w:id="299" w:name="_Toc99"/>
      <w:bookmarkEnd w:id="298"/>
      <w:r>
        <w:rPr>
          <w:rtl w:val="true"/>
        </w:rPr>
        <w:t xml:space="preserve">درس </w:t>
      </w:r>
      <w:r>
        <w:rPr>
          <w:rtl w:val="true"/>
        </w:rPr>
        <w:t>(</w:t>
      </w:r>
      <w:r>
        <w:rPr/>
        <w:t>186</w:t>
      </w:r>
      <w:r>
        <w:rPr>
          <w:rtl w:val="true"/>
        </w:rPr>
        <w:t>)</w:t>
      </w:r>
      <w:bookmarkEnd w:id="299"/>
    </w:p>
    <w:p>
      <w:pPr>
        <w:pStyle w:val="BookText"/>
        <w:rPr/>
      </w:pPr>
      <w:r>
        <w:rPr>
          <w:rFonts w:ascii="IRNazanin" w:hAnsi="IRNazanin" w:eastAsia="IRNazanin"/>
          <w:color w:val="111111"/>
          <w:sz w:val="28"/>
          <w:sz w:val="28"/>
          <w:szCs w:val="28"/>
          <w:rtl w:val="true"/>
          <w:lang w:bidi="fa-IR"/>
        </w:rPr>
        <w:t xml:space="preserve">و حادی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و إرثه ممنوع إلاّ أن ینفصل حیّاً، فلو سقط میّتاً، لم یرث ؛ لقوله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لا یرث و لا یورث</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یشترط حیاته عند موت المورّث، فلو کان نطفة، ورث إذا انفصل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استقرار الحیاة، فلو سقط بجنایة جانٍ و تحرّک حرکة تدلّ علی الحیاة، ورث، و انتقل ماله إلی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بالتقلّص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 بعضه</w:t>
      </w:r>
    </w:p>
    <w:p>
      <w:pPr>
        <w:pStyle w:val="BookText"/>
        <w:rPr/>
      </w:pPr>
      <w:r>
        <w:rPr>
          <w:rFonts w:ascii="Amiri" w:hAnsi="Amiri" w:eastAsia="Amiri" w:cs="Amiri"/>
          <w:color w:val="111111"/>
          <w:sz w:val="28"/>
          <w:sz w:val="28"/>
          <w:szCs w:val="28"/>
          <w:rtl w:val="true"/>
          <w:lang w:bidi="ar-SA"/>
        </w:rPr>
        <w:t>میّتاً، لم یرث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الاستهلال ؛ لأ نّه قد یکون أخرس، بل یکفی الحرکة البیّنة، و روایة </w:t>
      </w:r>
    </w:p>
    <w:p>
      <w:pPr>
        <w:pStyle w:val="BookText"/>
        <w:rPr/>
      </w:pPr>
      <w:r>
        <w:rPr>
          <w:rFonts w:ascii="IRNazanin" w:hAnsi="IRNazanin" w:eastAsia="IRNazanin"/>
          <w:color w:val="111111"/>
          <w:sz w:val="28"/>
          <w:sz w:val="28"/>
          <w:szCs w:val="28"/>
          <w:rtl w:val="true"/>
          <w:lang w:bidi="fa-IR"/>
        </w:rPr>
        <w:t>عبداللّه بن سنان باشتراط سماع صوته</w:t>
      </w:r>
      <w:r>
        <w:rPr>
          <w:rStyle w:val="FootnoteAnchor"/>
          <w:rtl w:val="true"/>
        </w:rPr>
        <w:footnoteReference w:id="2185"/>
      </w:r>
      <w:r>
        <w:rPr>
          <w:rFonts w:ascii="IRNazanin" w:hAnsi="IRNazanin" w:eastAsia="IRNazanin"/>
          <w:color w:val="111111"/>
          <w:sz w:val="28"/>
          <w:sz w:val="28"/>
          <w:szCs w:val="28"/>
          <w:rtl w:val="true"/>
          <w:lang w:bidi="fa-IR"/>
        </w:rPr>
        <w:t>محمولة علی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یُحْجَب عن الإرث حتّی ینفصل حیّاً یَحْجُب غیرَه ممّن هو دونه، کما لو کان للمیّت امرأة حامل و إخوة، فإنّه یرجئ میراثه حتّی یتبیّن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طلبت المرأة الإرث، أُعطیت الثمن إذا کانت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طلب الأبوان، أُعطیا السدسین و الباقی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طلب الإخوة فرض الحمل ذکرین ؛ لندور الزائد، فإن انکشف الحال بخلافه، استدرک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وجوده حال موت المورّث، بأن یُوضَع لدون ستّة أشهر منذ الموت، أو لأقصی الحمل إذا لم توط‌ء الأُمّ وطئاً یصلح استناد</w:t>
      </w:r>
      <w:r>
        <w:rPr>
          <w:rStyle w:val="FootnoteAnchor"/>
          <w:rtl w:val="true"/>
        </w:rPr>
        <w:footnoteReference w:id="2186"/>
      </w:r>
      <w:r>
        <w:rPr>
          <w:rFonts w:ascii="IRNazanin" w:hAnsi="IRNazanin" w:eastAsia="IRNazanin"/>
          <w:color w:val="111111"/>
          <w:sz w:val="28"/>
          <w:sz w:val="28"/>
          <w:szCs w:val="28"/>
          <w:rtl w:val="true"/>
          <w:lang w:bidi="fa-IR"/>
        </w:rPr>
        <w:t>الولد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الدرجة مع وجود أقرب، فلا یرث أبعد مع أقرب حسب ما فصّل، و یأتی إن‌شاءاللّه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وجوده مانعاً عن بعض الإرث، و ذلک متحقّق</w:t>
      </w:r>
      <w:r>
        <w:rPr>
          <w:rStyle w:val="FootnoteAnchor"/>
          <w:rtl w:val="true"/>
        </w:rPr>
        <w:footnoteReference w:id="2187"/>
      </w:r>
      <w:r>
        <w:rPr>
          <w:rFonts w:ascii="IRNazanin" w:hAnsi="IRNazanin" w:eastAsia="IRNazanin"/>
          <w:color w:val="111111"/>
          <w:sz w:val="28"/>
          <w:sz w:val="28"/>
          <w:szCs w:val="28"/>
          <w:rtl w:val="true"/>
          <w:lang w:bidi="fa-IR"/>
        </w:rPr>
        <w:t xml:space="preserve">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بالنسبة إلی الأبوین أو أحدهما و إلی کلّ من الزوجین، فإنّ الولد علی الإطلاق یحجب الزوجین عن النصیب الأعلی إلی الأدنی، و یحجب الذکر الأبوین أو أحدهما عمّا زاد عن السدس، و تحجب البنت الأبوین أو أحدهما، و البنات أحد الأبوین عمّا زاد علی النصیب الحاصل من الأصل و الردّ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تحجب البنتان</w:t>
      </w:r>
      <w:r>
        <w:rPr>
          <w:rStyle w:val="FootnoteAnchor"/>
          <w:rtl w:val="true"/>
        </w:rPr>
        <w:footnoteReference w:id="2188"/>
      </w:r>
      <w:r>
        <w:rPr>
          <w:rFonts w:ascii="IRNazanin" w:hAnsi="IRNazanin" w:eastAsia="IRNazanin"/>
          <w:color w:val="111111"/>
          <w:sz w:val="28"/>
          <w:sz w:val="28"/>
          <w:szCs w:val="28"/>
          <w:rtl w:val="true"/>
          <w:lang w:bidi="fa-IR"/>
        </w:rPr>
        <w:t>أحد الأبوین عمّا زاد علی السدس</w:t>
      </w:r>
      <w:r>
        <w:rPr>
          <w:rStyle w:val="FootnoteAnchor"/>
          <w:rtl w:val="true"/>
        </w:rPr>
        <w:footnoteReference w:id="218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لروایة أبی بصیر، عن الصادق علیه‌السّلام</w:t>
      </w:r>
      <w:r>
        <w:rPr>
          <w:rStyle w:val="FootnoteAnchor"/>
          <w:rtl w:val="true"/>
        </w:rPr>
        <w:footnoteReference w:id="2190"/>
      </w:r>
      <w:r>
        <w:rPr>
          <w:rFonts w:ascii="IRNazanin" w:hAnsi="IRNazanin" w:eastAsia="IRNazanin"/>
          <w:color w:val="111111"/>
          <w:sz w:val="28"/>
          <w:sz w:val="28"/>
          <w:szCs w:val="28"/>
          <w:rtl w:val="true"/>
          <w:lang w:bidi="fa-IR"/>
        </w:rPr>
        <w:t>، و هی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الإخوة، فإنّهم یمنعون الأُمّ عمّا زاد عن السدس إذا کان الأب موجوداً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خلّفت زوجها و أُمّها و إخوة، فللأُمّ السدس و الباقی ردّ</w:t>
      </w:r>
      <w:r>
        <w:rPr>
          <w:rStyle w:val="FootnoteAnchor"/>
          <w:rtl w:val="true"/>
        </w:rPr>
        <w:footnoteReference w:id="2191"/>
      </w:r>
      <w:r>
        <w:rPr>
          <w:rFonts w:ascii="IRNazanin" w:hAnsi="IRNazanin" w:eastAsia="IRNazanin"/>
          <w:color w:val="111111"/>
          <w:sz w:val="28"/>
          <w:sz w:val="28"/>
          <w:szCs w:val="28"/>
          <w:rtl w:val="true"/>
          <w:lang w:bidi="fa-IR"/>
        </w:rPr>
        <w:t>علیها</w:t>
      </w:r>
      <w:r>
        <w:rPr>
          <w:rStyle w:val="FootnoteAnchor"/>
          <w:rtl w:val="true"/>
        </w:rPr>
        <w:footnoteReference w:id="2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w:t>
      </w:r>
      <w:r>
        <w:rPr>
          <w:rStyle w:val="FootnoteAnchor"/>
          <w:rtl w:val="true"/>
        </w:rPr>
        <w:footnoteReference w:id="2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الحجب عمّا زاد علی السدس فریضة ؛ لمکان الإخوة، و هو یشبه النزاع اللفظیّ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زرارة، عن الصادق علیه‌السّلام فی أُمّ و أخوات لأب و أُمّ و أخوات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للأُمّ السدس، و لکلالة الأب الثلثان، و لکلالة الأُمّ السدس</w:t>
      </w:r>
      <w:r>
        <w:rPr>
          <w:rStyle w:val="FootnoteAnchor"/>
          <w:rtl w:val="true"/>
        </w:rPr>
        <w:footnoteReference w:id="2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متروکة ؛ للإجماع علی أنّ الإخوة لا یرثون مع الأُمّ، و حملها الشیخ علی إلزامهم بمعتقدهم</w:t>
      </w:r>
      <w:r>
        <w:rPr>
          <w:rStyle w:val="FootnoteAnchor"/>
          <w:rtl w:val="true"/>
        </w:rPr>
        <w:footnoteReference w:id="2195"/>
      </w:r>
      <w:r>
        <w:rPr>
          <w:rFonts w:ascii="IRNazanin" w:hAnsi="IRNazanin" w:eastAsia="IRNazanin"/>
          <w:color w:val="111111"/>
          <w:sz w:val="28"/>
          <w:sz w:val="28"/>
          <w:szCs w:val="28"/>
          <w:rtl w:val="true"/>
          <w:lang w:bidi="fa-IR"/>
        </w:rPr>
        <w:t>، یعنی</w:t>
      </w:r>
      <w:r>
        <w:rPr>
          <w:rStyle w:val="FootnoteAnchor"/>
          <w:rtl w:val="true"/>
        </w:rPr>
        <w:footnoteReference w:id="2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الأُمّ تری ذلک، حلّ للأخوات التناول ؛ لنصّ الباقر</w:t>
      </w:r>
      <w:r>
        <w:rPr>
          <w:rStyle w:val="FootnoteAnchor"/>
          <w:rtl w:val="true"/>
        </w:rPr>
        <w:footnoteReference w:id="2197"/>
      </w:r>
      <w:r>
        <w:rPr>
          <w:rFonts w:ascii="IRNazanin" w:hAnsi="IRNazanin" w:eastAsia="IRNazanin"/>
          <w:color w:val="111111"/>
          <w:sz w:val="28"/>
          <w:sz w:val="28"/>
          <w:szCs w:val="28"/>
          <w:rtl w:val="true"/>
          <w:lang w:bidi="fa-IR"/>
        </w:rPr>
        <w:t>و الصادق</w:t>
      </w:r>
      <w:r>
        <w:rPr>
          <w:rStyle w:val="FootnoteAnchor"/>
          <w:rtl w:val="true"/>
        </w:rPr>
        <w:footnoteReference w:id="2198"/>
      </w:r>
      <w:r>
        <w:rPr>
          <w:rFonts w:ascii="IRNazanin" w:hAnsi="IRNazanin" w:eastAsia="IRNazanin"/>
          <w:color w:val="111111"/>
          <w:sz w:val="28"/>
          <w:sz w:val="28"/>
          <w:szCs w:val="28"/>
          <w:rtl w:val="true"/>
          <w:lang w:bidi="fa-IR"/>
        </w:rPr>
        <w:t>و الکاظم علیهم‌السّلام علی جواز ذلک</w:t>
      </w:r>
      <w:r>
        <w:rPr>
          <w:rStyle w:val="FootnoteAnchor"/>
          <w:rtl w:val="true"/>
        </w:rPr>
        <w:footnoteReference w:id="2199"/>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یشترط فی الحجب مع وجود الأب خمسة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فلابدّ من أخوین ذکرین، أو أخ و أُختین، أو أربع 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الخنثی کالأُنثی، و یحتمل قویّاً القرعة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للأبوین أو للأب، فلا تحجب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موانع الإرث عنهم، من الکفر و القتل و الرقّ و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الصدوق</w:t>
      </w:r>
      <w:r>
        <w:rPr>
          <w:rStyle w:val="FootnoteAnchor"/>
          <w:rtl w:val="true"/>
        </w:rPr>
        <w:footnoteReference w:id="2200"/>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یحجب القاتل</w:t>
      </w:r>
      <w:r>
        <w:rPr>
          <w:rStyle w:val="FootnoteAnchor"/>
          <w:rtl w:val="true"/>
        </w:rPr>
        <w:footnoteReference w:id="2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الغائب یحجب ما لم یقض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انفصالهم، فالحمل لا یحجب علی قول</w:t>
      </w:r>
      <w:r>
        <w:rPr>
          <w:rStyle w:val="FootnoteAnchor"/>
          <w:rtl w:val="true"/>
        </w:rPr>
        <w:footnoteReference w:id="2202"/>
      </w:r>
      <w:r>
        <w:rPr>
          <w:rFonts w:ascii="Amiri" w:hAnsi="Amiri" w:eastAsia="Amiri" w:cs="Amiri"/>
          <w:color w:val="111111"/>
          <w:sz w:val="28"/>
          <w:sz w:val="28"/>
          <w:szCs w:val="28"/>
          <w:rtl w:val="true"/>
          <w:lang w:bidi="ar-SA"/>
        </w:rPr>
        <w:t>، و لو کان بعضهم میّتاً أو کلّهم</w:t>
      </w:r>
    </w:p>
    <w:p>
      <w:pPr>
        <w:pStyle w:val="BookText"/>
        <w:rPr/>
      </w:pPr>
      <w:r>
        <w:rPr>
          <w:rFonts w:ascii="IRNazanin" w:hAnsi="IRNazanin" w:eastAsia="IRNazanin"/>
          <w:color w:val="111111"/>
          <w:sz w:val="28"/>
          <w:sz w:val="28"/>
          <w:szCs w:val="28"/>
          <w:rtl w:val="true"/>
          <w:lang w:bidi="fa-IR"/>
        </w:rPr>
        <w:t>عند موت الموروث</w:t>
      </w:r>
      <w:r>
        <w:rPr>
          <w:rStyle w:val="FootnoteAnchor"/>
          <w:rtl w:val="true"/>
        </w:rPr>
        <w:footnoteReference w:id="2203"/>
      </w:r>
      <w:r>
        <w:rPr>
          <w:rFonts w:ascii="IRNazanin" w:hAnsi="IRNazanin" w:eastAsia="IRNazanin"/>
          <w:color w:val="111111"/>
          <w:sz w:val="28"/>
          <w:sz w:val="28"/>
          <w:szCs w:val="28"/>
          <w:rtl w:val="true"/>
          <w:lang w:bidi="fa-IR"/>
        </w:rPr>
        <w:t>، لم یحجب، و کذا لو اقترن موتاهما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اشتبه التقدّم و التأخّر،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الحجب، و فی الغرقی نظر، کما لو مات أخوان غرقاً و معهما أبوان، و لهما أخ آخر حیّاً أو غریقاً، فإنّ فرض موت کلّ واحد منهما یستدعی کون الآخر حیّاً، فیتحقّق الحجب، و من عدم القطع بوجوده، و الإرث حکم شرعیّ، فلا یلزم منه اطّراد الحکم بالحیاة مع احتمال عدم تقدیر السبق بینهما، و لم أجد فی هذا کلاماً لمن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خلّف بنتاً و أبوین و حاجباً،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للبنت النصف، و للأبوین السدسان، و الباقی یردّ علی الأب و البنت أرباعاً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معین الدین سالم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الردّ أخماساً، فیأخذ الأب ما </w:t>
      </w:r>
      <w:bookmarkStart w:id="300" w:name="pg13665_219323"/>
    </w:p>
    <w:p>
      <w:pPr>
        <w:pStyle w:val="BookText"/>
        <w:rPr/>
      </w:pPr>
      <w:bookmarkEnd w:id="300"/>
      <w:r>
        <w:rPr>
          <w:rFonts w:ascii="IRNazanin" w:hAnsi="IRNazanin" w:eastAsia="IRNazanin"/>
          <w:color w:val="111111"/>
          <w:sz w:val="28"/>
          <w:sz w:val="28"/>
          <w:szCs w:val="28"/>
          <w:rtl w:val="true"/>
          <w:lang w:bidi="fa-IR"/>
        </w:rPr>
        <w:t>کان یردّ علی الأبوین مع عدم الحاجب</w:t>
      </w:r>
      <w:r>
        <w:rPr>
          <w:rStyle w:val="FootnoteAnchor"/>
          <w:rtl w:val="true"/>
        </w:rPr>
        <w:footnoteReference w:id="2204"/>
      </w:r>
      <w:r>
        <w:rPr>
          <w:rFonts w:ascii="IRNazanin" w:hAnsi="IRNazanin" w:eastAsia="IRNazanin"/>
          <w:color w:val="111111"/>
          <w:sz w:val="28"/>
          <w:sz w:val="28"/>
          <w:szCs w:val="28"/>
          <w:rtl w:val="true"/>
          <w:lang w:bidi="fa-IR"/>
        </w:rPr>
        <w:t>، و هو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فلو کانت الأُمّ أُختاً لأب، فلا حجب، کما یتّفق فی المجوس</w:t>
      </w:r>
      <w:r>
        <w:rPr>
          <w:rStyle w:val="FootnoteAnchor"/>
          <w:rtl w:val="true"/>
        </w:rPr>
        <w:footnoteReference w:id="2205"/>
      </w:r>
      <w:r>
        <w:rPr>
          <w:rFonts w:ascii="IRNazanin" w:hAnsi="IRNazanin" w:eastAsia="IRNazanin"/>
          <w:color w:val="111111"/>
          <w:sz w:val="28"/>
          <w:sz w:val="28"/>
          <w:szCs w:val="28"/>
          <w:rtl w:val="true"/>
          <w:lang w:bidi="fa-IR"/>
        </w:rPr>
        <w:t>، أو الشبهة بوطئ الرجل ابنته، فولدها أخوها لأبیها</w:t>
      </w:r>
      <w:r>
        <w:rPr>
          <w:rFonts w:eastAsia="IRNazanin" w:cs="IRNazanin"/>
          <w:color w:val="111111"/>
          <w:sz w:val="28"/>
          <w:szCs w:val="28"/>
          <w:rtl w:val="true"/>
          <w:lang w:bidi="fa-IR"/>
        </w:rPr>
        <w:t>.</w:t>
      </w:r>
    </w:p>
    <w:p>
      <w:pPr>
        <w:pStyle w:val="Heading3"/>
        <w:numPr>
          <w:ilvl w:val="2"/>
          <w:numId w:val="1"/>
        </w:numPr>
        <w:rPr/>
      </w:pPr>
      <w:bookmarkStart w:id="301" w:name="__RefHeading___Toc2071411_3830689328"/>
      <w:bookmarkStart w:id="302" w:name="_Toc100"/>
      <w:bookmarkEnd w:id="301"/>
      <w:r>
        <w:rPr>
          <w:rtl w:val="true"/>
        </w:rPr>
        <w:t xml:space="preserve">درس </w:t>
      </w:r>
      <w:r>
        <w:rPr>
          <w:rtl w:val="true"/>
        </w:rPr>
        <w:t>(</w:t>
      </w:r>
      <w:r>
        <w:rPr/>
        <w:t>187</w:t>
      </w:r>
      <w:r>
        <w:rPr>
          <w:rtl w:val="true"/>
        </w:rPr>
        <w:t>)</w:t>
      </w:r>
      <w:bookmarkEnd w:id="302"/>
    </w:p>
    <w:p>
      <w:pPr>
        <w:pStyle w:val="BookText"/>
        <w:rPr/>
      </w:pPr>
      <w:r>
        <w:rPr>
          <w:rFonts w:ascii="IRNazanin" w:hAnsi="IRNazanin" w:eastAsia="IRNazanin"/>
          <w:color w:val="111111"/>
          <w:sz w:val="28"/>
          <w:sz w:val="28"/>
          <w:szCs w:val="28"/>
          <w:rtl w:val="true"/>
          <w:lang w:bidi="fa-IR"/>
        </w:rPr>
        <w:t xml:space="preserve">و ثالث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یتعلّق بالزوجین و هو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عقد المریض علی امرأة عن الدخول إذا مات فی مرضه، فإنّ ذلک یمنع من إرثها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عقدت المریضة علی نفسها،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الدخول، و لو برأ من مرضه، زال المانع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العقد منقطعاً، منع من الإرث فی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شرطا التوریث، فالمرویّ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w:t>
      </w:r>
      <w:r>
        <w:rPr>
          <w:rStyle w:val="FootnoteAnchor"/>
          <w:rtl w:val="true"/>
        </w:rPr>
        <w:footnoteReference w:id="2206"/>
      </w:r>
      <w:r>
        <w:rPr>
          <w:rFonts w:ascii="IRNazanin" w:hAnsi="IRNazanin" w:eastAsia="IRNazanin"/>
          <w:color w:val="111111"/>
          <w:sz w:val="28"/>
          <w:sz w:val="28"/>
          <w:szCs w:val="28"/>
          <w:rtl w:val="true"/>
          <w:lang w:bidi="fa-IR"/>
        </w:rPr>
        <w:t>، و علیه یتخرّج اشتراط أحدهما دون صاحبه، و هو أشکل من الأوّل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خلت الزوجة عن ولد، لم ترث من رقبة الأرض شیئاً، و تعطی قیمة الآلات و الأبنیة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من عین الأرض لا من قیمتها</w:t>
      </w:r>
      <w:r>
        <w:rPr>
          <w:rStyle w:val="FootnoteAnchor"/>
          <w:rtl w:val="true"/>
        </w:rPr>
        <w:footnoteReference w:id="2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 من البساتین و الضیاع، و تعطی قیمة آلات الدور و المساکن</w:t>
      </w:r>
      <w:r>
        <w:rPr>
          <w:rStyle w:val="FootnoteAnchor"/>
          <w:rtl w:val="true"/>
        </w:rPr>
        <w:footnoteReference w:id="2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زرارة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 من السلاح و الدوابّ</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کان لها ولد من المیّت، فالشیخ</w:t>
      </w:r>
      <w:r>
        <w:rPr>
          <w:rStyle w:val="FootnoteAnchor"/>
          <w:rtl w:val="true"/>
        </w:rPr>
        <w:footnoteReference w:id="2210"/>
      </w:r>
      <w:r>
        <w:rPr>
          <w:rFonts w:ascii="IRNazanin" w:hAnsi="IRNazanin" w:eastAsia="IRNazanin"/>
          <w:color w:val="111111"/>
          <w:sz w:val="28"/>
          <w:sz w:val="28"/>
          <w:szCs w:val="28"/>
          <w:rtl w:val="true"/>
          <w:lang w:bidi="fa-IR"/>
        </w:rPr>
        <w:t>و أتباعه یورثونها من جمیع ما ترک</w:t>
      </w:r>
      <w:r>
        <w:rPr>
          <w:rStyle w:val="FootnoteAnchor"/>
          <w:rtl w:val="true"/>
        </w:rPr>
        <w:footnoteReference w:id="2211"/>
      </w:r>
      <w:r>
        <w:rPr>
          <w:rFonts w:ascii="IRNazanin" w:hAnsi="IRNazanin" w:eastAsia="IRNazanin"/>
          <w:color w:val="111111"/>
          <w:sz w:val="28"/>
          <w:sz w:val="28"/>
          <w:szCs w:val="28"/>
          <w:rtl w:val="true"/>
          <w:lang w:bidi="fa-IR"/>
        </w:rPr>
        <w:t>، و هو فتوی الصدوق</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ابن إدریس بأ نّه لا فرق بین أن یکون لها منه ولد أو لا</w:t>
      </w:r>
      <w:r>
        <w:rPr>
          <w:rStyle w:val="FootnoteAnchor"/>
          <w:rtl w:val="true"/>
        </w:rPr>
        <w:footnoteReference w:id="2213"/>
      </w:r>
      <w:r>
        <w:rPr>
          <w:rFonts w:ascii="IRNazanin" w:hAnsi="IRNazanin" w:eastAsia="IRNazanin"/>
          <w:color w:val="111111"/>
          <w:sz w:val="28"/>
          <w:sz w:val="28"/>
          <w:szCs w:val="28"/>
          <w:rtl w:val="true"/>
          <w:lang w:bidi="fa-IR"/>
        </w:rPr>
        <w:t>، و هو ظاهر</w:t>
      </w:r>
    </w:p>
    <w:p>
      <w:pPr>
        <w:pStyle w:val="BookText"/>
        <w:rPr/>
      </w:pPr>
      <w:r>
        <w:rPr>
          <w:rFonts w:ascii="IRNazanin" w:hAnsi="IRNazanin" w:eastAsia="IRNazanin"/>
          <w:color w:val="111111"/>
          <w:sz w:val="28"/>
          <w:sz w:val="28"/>
          <w:szCs w:val="28"/>
          <w:rtl w:val="true"/>
          <w:lang w:bidi="fa-IR"/>
        </w:rPr>
        <w:t>المفید</w:t>
      </w:r>
      <w:r>
        <w:rPr>
          <w:rStyle w:val="FootnoteAnchor"/>
          <w:rtl w:val="true"/>
        </w:rPr>
        <w:footnoteReference w:id="2214"/>
      </w:r>
      <w:r>
        <w:rPr>
          <w:rFonts w:ascii="IRNazanin" w:hAnsi="IRNazanin" w:eastAsia="IRNazanin"/>
          <w:color w:val="111111"/>
          <w:sz w:val="28"/>
          <w:sz w:val="28"/>
          <w:szCs w:val="28"/>
          <w:rtl w:val="true"/>
          <w:lang w:bidi="fa-IR"/>
        </w:rPr>
        <w:t>و المرتضی</w:t>
      </w:r>
      <w:r>
        <w:rPr>
          <w:rStyle w:val="FootnoteAnchor"/>
          <w:rtl w:val="true"/>
        </w:rPr>
        <w:footnoteReference w:id="2215"/>
      </w:r>
      <w:r>
        <w:rPr>
          <w:rFonts w:ascii="Amiri" w:hAnsi="Amiri" w:eastAsia="Amiri" w:cs="Amiri"/>
          <w:color w:val="111111"/>
          <w:sz w:val="28"/>
          <w:sz w:val="28"/>
          <w:szCs w:val="28"/>
          <w:rtl w:val="true"/>
          <w:lang w:bidi="ar-SA"/>
        </w:rPr>
        <w:t>و الحلبیّ</w:t>
      </w:r>
      <w:r>
        <w:rPr>
          <w:rStyle w:val="FootnoteAnchor"/>
          <w:rtl w:val="true"/>
        </w:rPr>
        <w:footnoteReference w:id="2216"/>
      </w:r>
      <w:r>
        <w:rPr>
          <w:rFonts w:ascii="IRNazanin" w:hAnsi="IRNazanin" w:eastAsia="IRNazanin"/>
          <w:color w:val="111111"/>
          <w:sz w:val="28"/>
          <w:sz w:val="28"/>
          <w:szCs w:val="28"/>
          <w:rtl w:val="true"/>
          <w:lang w:bidi="fa-IR"/>
        </w:rPr>
        <w:t>و الشیخ فی الاستبصار</w:t>
      </w:r>
      <w:r>
        <w:rPr>
          <w:rStyle w:val="FootnoteAnchor"/>
          <w:rtl w:val="true"/>
        </w:rPr>
        <w:footnoteReference w:id="2217"/>
      </w:r>
      <w:r>
        <w:rPr>
          <w:rFonts w:ascii="IRNazanin" w:hAnsi="IRNazanin" w:eastAsia="IRNazanin"/>
          <w:color w:val="111111"/>
          <w:sz w:val="28"/>
          <w:sz w:val="28"/>
          <w:szCs w:val="28"/>
          <w:rtl w:val="true"/>
          <w:lang w:bidi="fa-IR"/>
        </w:rPr>
        <w:t>، و أکثر الأخبار لم یفرق</w:t>
      </w:r>
      <w:r>
        <w:rPr>
          <w:rStyle w:val="FootnoteAnchor"/>
          <w:rtl w:val="true"/>
        </w:rPr>
        <w:footnoteReference w:id="2218"/>
      </w:r>
      <w:r>
        <w:rPr>
          <w:rFonts w:ascii="IRNazanin" w:hAnsi="IRNazanin" w:eastAsia="IRNazanin"/>
          <w:color w:val="111111"/>
          <w:sz w:val="28"/>
          <w:sz w:val="28"/>
          <w:szCs w:val="28"/>
          <w:rtl w:val="true"/>
          <w:lang w:bidi="fa-IR"/>
        </w:rPr>
        <w:t>، و الفرق فی روایة ابن أُذینة</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لها ولد ولد، فإن کان وارثاً،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کالولد، و إن لم یکن وارثاً، کما لو کان هناک ولد للصلب ففیه نظر، من صدق الولد، و من عدم إرثه فتبقی علّة المنع موجودة، و هی إدخال المرأة علیهم من یکرهونه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الفضولیّان الصغیرین، و بلغ أحدهما و أجاز ثمّ مات، عزل من ترکته نصیب الآخر، فإن مات قبل البلوغ، فلا إرث، و إن بلغ و ردّ، فلا إرث، و إن بلغ</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فأجاز رغبة فی الإرث، فلا إرث، و یعلم ذلک بقوله، و إن أجاز مخبراً عن عدم </w:t>
      </w:r>
    </w:p>
    <w:p>
      <w:pPr>
        <w:pStyle w:val="BookText"/>
        <w:rPr/>
      </w:pPr>
      <w:r>
        <w:rPr>
          <w:rFonts w:ascii="IRNazanin" w:hAnsi="IRNazanin" w:eastAsia="IRNazanin"/>
          <w:color w:val="111111"/>
          <w:sz w:val="28"/>
          <w:sz w:val="28"/>
          <w:szCs w:val="28"/>
          <w:rtl w:val="true"/>
          <w:lang w:bidi="fa-IR"/>
        </w:rPr>
        <w:t>الرغبة فی الإرث، أُحلف علی ذلک، فإن امتنع، فلا 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أحد الزوجین مباشراً للعقد، و باشر الفضولیّ عن الآخر، و مات من باشر عنه الفضولیّ قبل إجازته، فلا إرث، سواء کان قد بلغ أم لا، و إن مات المباشر عن نفسه، ففی عزل نصیب الآخر و سریان الحکم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کانا صغیرین و باشر الولیّ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رجعیّاً و مات فی العدّة أو ماتت توارثا، و لو کان بائناً، فلا إرث و إن ماتا فی العدّة، إلاّ أن یکون الطلاق فی المرض، فترثه إلی سنة ما لم تتزوّج أو یبرأ من مرضه، و لو کان بسؤالها، ففیه وجهان مبنیّان علی تعلّق الحکم بالطلاق فی المرض، أو باعتبار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کانت أمة فأُعتقت أو کافرة فأسلمت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فسخ نکاحها بعیبها</w:t>
      </w:r>
      <w:r>
        <w:rPr>
          <w:rStyle w:val="FootnoteAnchor"/>
          <w:rtl w:val="true"/>
        </w:rPr>
        <w:footnoteReference w:id="2220"/>
      </w:r>
      <w:r>
        <w:rPr>
          <w:rFonts w:ascii="IRNazanin" w:hAnsi="IRNazanin" w:eastAsia="IRNazanin"/>
          <w:color w:val="111111"/>
          <w:sz w:val="28"/>
          <w:sz w:val="28"/>
          <w:szCs w:val="28"/>
          <w:rtl w:val="true"/>
          <w:lang w:bidi="fa-IR"/>
        </w:rPr>
        <w:t>، ففی إجراء الحکم وجه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فسخت نکاحه بعیبه، لم یتوارثا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فسخ النکاح بسبب الرضاع، سواء کانت هی المرضعة أو بعض قرابة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طلّق الأسیر مع أمارات إتلافه أو المأخوذ للقود أو للرجم،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یطّرد الحکم فیه، و طرّده ابن الجنید و حکم بالإرث إلی سنة</w:t>
      </w:r>
      <w:r>
        <w:rPr>
          <w:rStyle w:val="FootnoteAnchor"/>
          <w:rtl w:val="true"/>
        </w:rPr>
        <w:footnoteReference w:id="2221"/>
      </w:r>
      <w:r>
        <w:rPr>
          <w:rFonts w:ascii="IRNazanin" w:hAnsi="IRNazanin" w:eastAsia="IRNazanin"/>
          <w:color w:val="111111"/>
          <w:sz w:val="28"/>
          <w:sz w:val="28"/>
          <w:szCs w:val="28"/>
          <w:rtl w:val="true"/>
          <w:lang w:bidi="fa-IR"/>
        </w:rPr>
        <w:t xml:space="preserve">، و جنح إلیه فی </w:t>
      </w:r>
    </w:p>
    <w:p>
      <w:pPr>
        <w:pStyle w:val="BookText"/>
        <w:rPr/>
      </w:pPr>
      <w:r>
        <w:rPr>
          <w:rFonts w:ascii="IRNazanin" w:hAnsi="IRNazanin" w:eastAsia="IRNazanin"/>
          <w:color w:val="111111"/>
          <w:sz w:val="28"/>
          <w:sz w:val="28"/>
          <w:szCs w:val="28"/>
          <w:rtl w:val="true"/>
          <w:lang w:bidi="fa-IR"/>
        </w:rPr>
        <w:t xml:space="preserve">المختلف،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الحکم بالمریض</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تزوّجت زوجة المفقود ثمّ ماتت و حضر الأوّل، فإن کان التزویج الثانی فاسداً لعدم استیفاء الشرائط، ورثها الأوّل، و إن کان صحیحاً،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الأوّل و لو کان الثانی قد حازه</w:t>
      </w:r>
      <w:r>
        <w:rPr>
          <w:rStyle w:val="FootnoteAnchor"/>
          <w:rtl w:val="true"/>
        </w:rPr>
        <w:footnoteReference w:id="2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طلّق بائناً و اشتبه ثمّ مات،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مات المسلم عن کفر و له زوجات تبعنه فی الإسلام و لمّا یتخیّر</w:t>
      </w:r>
      <w:r>
        <w:rPr>
          <w:rStyle w:val="FootnoteAnchor"/>
          <w:rtl w:val="true"/>
        </w:rPr>
        <w:footnoteReference w:id="2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بالتشریک أو الوقف</w:t>
      </w:r>
    </w:p>
    <w:p>
      <w:pPr>
        <w:pStyle w:val="BookText"/>
        <w:rPr/>
      </w:pPr>
      <w:r>
        <w:rPr>
          <w:rFonts w:ascii="Amiri" w:hAnsi="Amiri" w:eastAsia="Amiri" w:cs="Amiri"/>
          <w:color w:val="111111"/>
          <w:sz w:val="28"/>
          <w:sz w:val="28"/>
          <w:szCs w:val="28"/>
          <w:rtl w:val="true"/>
          <w:lang w:bidi="ar-SA"/>
        </w:rPr>
        <w:t>حتّی یصطلحن</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معیّنة و اشتبهت</w:t>
      </w:r>
      <w:r>
        <w:rPr>
          <w:rStyle w:val="FootnoteAnchor"/>
          <w:rtl w:val="true"/>
        </w:rPr>
        <w:footnoteReference w:id="2226"/>
      </w:r>
      <w:r>
        <w:rPr>
          <w:rFonts w:ascii="Amiri" w:hAnsi="Amiri" w:eastAsia="Amiri" w:cs="Amiri"/>
          <w:color w:val="111111"/>
          <w:sz w:val="28"/>
          <w:sz w:val="28"/>
          <w:szCs w:val="28"/>
          <w:rtl w:val="true"/>
          <w:lang w:bidi="ar-SA"/>
        </w:rPr>
        <w:t xml:space="preserve">، ثمّ تزوّج أُخری و مات عن أربع غیر المطلّقة، فالمرویّ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للمعیّنة</w:t>
      </w:r>
      <w:r>
        <w:rPr>
          <w:rStyle w:val="FootnoteAnchor"/>
          <w:rtl w:val="true"/>
        </w:rPr>
        <w:footnoteReference w:id="2227"/>
      </w:r>
      <w:r>
        <w:rPr>
          <w:rFonts w:ascii="Amiri" w:hAnsi="Amiri" w:eastAsia="Amiri" w:cs="Amiri"/>
          <w:color w:val="111111"/>
          <w:sz w:val="28"/>
          <w:sz w:val="28"/>
          <w:szCs w:val="28"/>
          <w:rtl w:val="true"/>
          <w:lang w:bidi="ar-SA"/>
        </w:rPr>
        <w:t>ربع نصیب الزوجیّة، و یُقَسّم الباقی بین الأربع بالسویّة</w:t>
      </w:r>
      <w:r>
        <w:rPr>
          <w:rStyle w:val="FootnoteAnchor"/>
          <w:rtl w:val="true"/>
        </w:rPr>
        <w:footnoteReference w:id="2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اشتبهت بواحدة أو باثنتین، ففی انسحاب الحکم أو القرعة نظر، من الخروج عن النصّ، و تساویهما معنیً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الأب ابنه بنتاً فی حجره فمات الابن، ورثته، و لو ماتت، لم یرثها الابن إلاّ أن یکون قد رضی بالعقد ورثتها</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 xml:space="preserve">. </w:t>
      </w:r>
      <w:bookmarkStart w:id="303" w:name="pg13665_219327"/>
    </w:p>
    <w:p>
      <w:pPr>
        <w:pStyle w:val="BookText"/>
        <w:rPr/>
      </w:pPr>
      <w:bookmarkEnd w:id="303"/>
      <w:r>
        <w:rPr>
          <w:rFonts w:ascii="IRNazanin" w:hAnsi="IRNazanin" w:eastAsia="IRNazanin"/>
          <w:color w:val="111111"/>
          <w:sz w:val="28"/>
          <w:sz w:val="28"/>
          <w:szCs w:val="28"/>
          <w:rtl w:val="true"/>
          <w:lang w:bidi="fa-IR"/>
        </w:rPr>
        <w:t>و یشکل بأنّ العقد إن صحّ، توارثا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الورثة لا عبرة به إذا لم یکن فیهم ولیّ شرعیّ</w:t>
      </w:r>
      <w:r>
        <w:rPr>
          <w:rFonts w:eastAsia="IRNazanin" w:cs="IRNazanin"/>
          <w:color w:val="111111"/>
          <w:sz w:val="28"/>
          <w:szCs w:val="28"/>
          <w:rtl w:val="true"/>
          <w:lang w:bidi="fa-IR"/>
        </w:rPr>
        <w:t>.</w:t>
      </w:r>
    </w:p>
    <w:p>
      <w:pPr>
        <w:pStyle w:val="Heading3"/>
        <w:numPr>
          <w:ilvl w:val="2"/>
          <w:numId w:val="1"/>
        </w:numPr>
        <w:rPr/>
      </w:pPr>
      <w:bookmarkStart w:id="304" w:name="__RefHeading___Toc2071413_3830689328"/>
      <w:bookmarkStart w:id="305" w:name="_Toc101"/>
      <w:bookmarkEnd w:id="304"/>
      <w:r>
        <w:rPr>
          <w:rtl w:val="true"/>
        </w:rPr>
        <w:t xml:space="preserve">درس </w:t>
      </w:r>
      <w:r>
        <w:rPr>
          <w:rtl w:val="true"/>
        </w:rPr>
        <w:t>(</w:t>
      </w:r>
      <w:r>
        <w:rPr/>
        <w:t>188</w:t>
      </w:r>
      <w:r>
        <w:rPr>
          <w:rtl w:val="true"/>
        </w:rPr>
        <w:t>)</w:t>
      </w:r>
      <w:bookmarkEnd w:id="305"/>
    </w:p>
    <w:p>
      <w:pPr>
        <w:pStyle w:val="BookText"/>
        <w:rPr/>
      </w:pPr>
      <w:r>
        <w:rPr>
          <w:rFonts w:ascii="IRNazanin" w:hAnsi="IRNazanin" w:eastAsia="IRNazanin"/>
          <w:color w:val="111111"/>
          <w:sz w:val="28"/>
          <w:sz w:val="28"/>
          <w:szCs w:val="28"/>
          <w:rtl w:val="true"/>
          <w:lang w:bidi="fa-IR"/>
        </w:rPr>
        <w:t xml:space="preserve">و رابع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المستهلّ من الإرث إذا لم یکمل شهود الاستهلال، فلو شهدت امرأة واحدة، منع من ثلاثة أرباع النصیب، و لو شهدت اثنتان، منع من النصف، و لو شهدت ثلاث، منع من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الجنید قبول شهادة الواحدة فی الجمیع</w:t>
      </w:r>
      <w:r>
        <w:rPr>
          <w:rStyle w:val="FootnoteAnchor"/>
          <w:rtl w:val="true"/>
        </w:rPr>
        <w:footnoteReference w:id="2231"/>
      </w:r>
      <w:r>
        <w:rPr>
          <w:rFonts w:ascii="IRNazanin" w:hAnsi="IRNazanin" w:eastAsia="IRNazanin"/>
          <w:color w:val="111111"/>
          <w:sz w:val="28"/>
          <w:sz w:val="28"/>
          <w:szCs w:val="28"/>
          <w:rtl w:val="true"/>
          <w:lang w:bidi="fa-IR"/>
        </w:rPr>
        <w:t>، و هو قول الحسن</w:t>
      </w:r>
      <w:r>
        <w:rPr>
          <w:rStyle w:val="FootnoteAnchor"/>
          <w:rtl w:val="true"/>
        </w:rPr>
        <w:footnoteReference w:id="2232"/>
      </w:r>
      <w:r>
        <w:rPr>
          <w:rFonts w:ascii="IRNazanin" w:hAnsi="IRNazanin" w:eastAsia="IRNazanin"/>
          <w:color w:val="111111"/>
          <w:sz w:val="28"/>
          <w:sz w:val="28"/>
          <w:szCs w:val="28"/>
          <w:rtl w:val="true"/>
          <w:lang w:bidi="fa-IR"/>
        </w:rPr>
        <w:t>، و هو</w:t>
      </w:r>
    </w:p>
    <w:p>
      <w:pPr>
        <w:pStyle w:val="BookText"/>
        <w:rPr/>
      </w:pPr>
      <w:r>
        <w:rPr>
          <w:rFonts w:ascii="IRNazanin" w:hAnsi="IRNazanin" w:eastAsia="IRNazanin"/>
          <w:color w:val="111111"/>
          <w:sz w:val="28"/>
          <w:sz w:val="28"/>
          <w:szCs w:val="28"/>
          <w:rtl w:val="true"/>
          <w:lang w:bidi="fa-IR"/>
        </w:rPr>
        <w:t>ظاهر المفید</w:t>
      </w:r>
      <w:r>
        <w:rPr>
          <w:rStyle w:val="FootnoteAnchor"/>
          <w:rtl w:val="true"/>
        </w:rPr>
        <w:footnoteReference w:id="2233"/>
      </w:r>
      <w:r>
        <w:rPr>
          <w:rFonts w:ascii="IRNazanin" w:hAnsi="IRNazanin" w:eastAsia="IRNazanin"/>
          <w:color w:val="111111"/>
          <w:sz w:val="28"/>
          <w:sz w:val="28"/>
          <w:szCs w:val="28"/>
          <w:rtl w:val="true"/>
          <w:lang w:bidi="fa-IR"/>
        </w:rPr>
        <w:t>، فعلی هذا لا یمنع</w:t>
      </w:r>
      <w:r>
        <w:rPr>
          <w:rStyle w:val="FootnoteAnchor"/>
          <w:rtl w:val="true"/>
        </w:rPr>
        <w:footnoteReference w:id="2234"/>
      </w:r>
      <w:r>
        <w:rPr>
          <w:rFonts w:ascii="Amiri" w:hAnsi="Amiri" w:eastAsia="Amiri" w:cs="Amiri"/>
          <w:color w:val="111111"/>
          <w:sz w:val="28"/>
          <w:sz w:val="28"/>
          <w:szCs w:val="28"/>
          <w:rtl w:val="true"/>
          <w:lang w:bidi="ar-SA"/>
        </w:rPr>
        <w:t>، إلاّ أ نّه متروک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خامس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الحرّ الوارث بالعبد فیما لو سقط بیت علی قوم فماتوا و بقی منهم صبیّان،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له، و اشتبه، فإنّه روی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یقرع لتعیین الحرّ، فإذا تعیّن، أُعتق الآخر و صار الحرّ</w:t>
      </w:r>
    </w:p>
    <w:p>
      <w:pPr>
        <w:pStyle w:val="BookText"/>
        <w:rPr/>
      </w:pPr>
      <w:r>
        <w:rPr>
          <w:rFonts w:ascii="IRNazanin" w:hAnsi="IRNazanin" w:eastAsia="IRNazanin"/>
          <w:color w:val="111111"/>
          <w:sz w:val="28"/>
          <w:sz w:val="28"/>
          <w:szCs w:val="28"/>
          <w:rtl w:val="true"/>
          <w:lang w:bidi="fa-IR"/>
        </w:rPr>
        <w:t>مولاه</w:t>
      </w:r>
      <w:r>
        <w:rPr>
          <w:rStyle w:val="FootnoteAnchor"/>
          <w:rtl w:val="true"/>
        </w:rPr>
        <w:footnoteReference w:id="2235"/>
      </w:r>
      <w:r>
        <w:rPr>
          <w:rFonts w:ascii="IRNazanin" w:hAnsi="IRNazanin" w:eastAsia="IRNazanin"/>
          <w:color w:val="111111"/>
          <w:sz w:val="28"/>
          <w:sz w:val="28"/>
          <w:szCs w:val="28"/>
          <w:rtl w:val="true"/>
          <w:lang w:bidi="fa-IR"/>
        </w:rPr>
        <w:t>، فهذا منع من إرث الحرّ العبد إن أوجبنا عتق الآخر، و هو ظاهر الروایة، و ظاهر قول الحسن</w:t>
      </w:r>
      <w:r>
        <w:rPr>
          <w:rStyle w:val="FootnoteAnchor"/>
          <w:rtl w:val="true"/>
        </w:rPr>
        <w:footnoteReference w:id="2236"/>
      </w:r>
      <w:r>
        <w:rPr>
          <w:rFonts w:ascii="IRNazanin" w:hAnsi="IRNazanin" w:eastAsia="IRNazanin"/>
          <w:color w:val="111111"/>
          <w:sz w:val="28"/>
          <w:sz w:val="28"/>
          <w:szCs w:val="28"/>
          <w:rtl w:val="true"/>
          <w:lang w:bidi="fa-IR"/>
        </w:rPr>
        <w:t>و الصدوق</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یرثه الحرّ بعد القرعة و لا عتق</w:t>
      </w:r>
      <w:r>
        <w:rPr>
          <w:rStyle w:val="FootnoteAnchor"/>
          <w:rtl w:val="true"/>
        </w:rPr>
        <w:footnoteReference w:id="2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قویّ، </w:t>
      </w:r>
    </w:p>
    <w:p>
      <w:pPr>
        <w:pStyle w:val="BookText"/>
        <w:rPr/>
      </w:pPr>
      <w:r>
        <w:rPr>
          <w:rFonts w:ascii="IRNazanin" w:hAnsi="IRNazanin" w:eastAsia="IRNazanin"/>
          <w:color w:val="111111"/>
          <w:sz w:val="28"/>
          <w:sz w:val="28"/>
          <w:szCs w:val="28"/>
          <w:rtl w:val="true"/>
          <w:lang w:bidi="fa-IR"/>
        </w:rPr>
        <w:t>و تحمل الروایة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الحبوة، فإنّه لا ینفذ فیه میراث غیر المحبوّ و هو الولد الأکبر الذکر، و ذلک فی السیف و الخاتم و المصحف و ثیاب بدن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ابن إدریس أن لا یکون سفیهاً، فاسد الرأی</w:t>
      </w:r>
      <w:r>
        <w:rPr>
          <w:rStyle w:val="FootnoteAnchor"/>
          <w:rtl w:val="true"/>
        </w:rPr>
        <w:footnoteReference w:id="2239"/>
      </w:r>
      <w:r>
        <w:rPr>
          <w:rFonts w:ascii="Amiri" w:hAnsi="Amiri" w:eastAsia="Amiri" w:cs="Amiri"/>
          <w:color w:val="111111"/>
          <w:sz w:val="28"/>
          <w:sz w:val="28"/>
          <w:szCs w:val="28"/>
          <w:rtl w:val="true"/>
          <w:lang w:bidi="ar-SA"/>
        </w:rPr>
        <w:t>، و أن یخلّف المیّت غیرها</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شرط ابن حمزة ثبات العقل، و سداد الرأی، و فقد آخر فی سنّه، و حصول ترکة غیرها، و قیامه بقضاء ما فاته من صیام و صلاة</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الدرع، و الکتب، و الرحل، و الراحلة</w:t>
      </w:r>
      <w:r>
        <w:rPr>
          <w:rStyle w:val="FootnoteAnchor"/>
          <w:rtl w:val="true"/>
        </w:rPr>
        <w:footnoteReference w:id="2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p>
    <w:p>
      <w:pPr>
        <w:pStyle w:val="BookText"/>
        <w:rPr/>
      </w:pPr>
      <w:r>
        <w:rPr>
          <w:rFonts w:ascii="IRNazanin" w:hAnsi="IRNazanin" w:eastAsia="IRNazanin"/>
          <w:color w:val="111111"/>
          <w:sz w:val="28"/>
          <w:sz w:val="28"/>
          <w:szCs w:val="28"/>
          <w:rtl w:val="true"/>
          <w:lang w:bidi="fa-IR"/>
        </w:rPr>
        <w:t>الفضیل</w:t>
      </w:r>
      <w:r>
        <w:rPr>
          <w:rStyle w:val="FootnoteAnchor"/>
          <w:rtl w:val="true"/>
        </w:rPr>
        <w:footnoteReference w:id="2243"/>
      </w:r>
      <w:r>
        <w:rPr>
          <w:rFonts w:ascii="IRNazanin" w:hAnsi="IRNazanin" w:eastAsia="IRNazanin"/>
          <w:color w:val="111111"/>
          <w:sz w:val="28"/>
          <w:sz w:val="28"/>
          <w:szCs w:val="28"/>
          <w:rtl w:val="true"/>
          <w:lang w:bidi="fa-IR"/>
        </w:rPr>
        <w:t xml:space="preserve">و مرسلة ابن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السلاح</w:t>
      </w:r>
      <w:r>
        <w:rPr>
          <w:rStyle w:val="FootnoteAnchor"/>
          <w:rtl w:val="true"/>
        </w:rPr>
        <w:footnoteReference w:id="2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الأکبر أُنثی، فللأکبر من الذکور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ابن إدریس بوجوب الحبوة</w:t>
      </w:r>
      <w:r>
        <w:rPr>
          <w:rStyle w:val="FootnoteAnchor"/>
          <w:rtl w:val="true"/>
        </w:rPr>
        <w:footnoteReference w:id="2245"/>
      </w:r>
      <w:r>
        <w:rPr>
          <w:rFonts w:ascii="IRNazanin" w:hAnsi="IRNazanin" w:eastAsia="IRNazanin"/>
          <w:color w:val="111111"/>
          <w:sz w:val="28"/>
          <w:sz w:val="28"/>
          <w:szCs w:val="28"/>
          <w:rtl w:val="true"/>
          <w:lang w:bidi="fa-IR"/>
        </w:rPr>
        <w:t>، و هو ظاهر الأکثر</w:t>
      </w:r>
      <w:r>
        <w:rPr>
          <w:rStyle w:val="FootnoteAnchor"/>
          <w:rtl w:val="true"/>
        </w:rPr>
        <w:footnoteReference w:id="2246"/>
      </w:r>
      <w:r>
        <w:rPr>
          <w:rFonts w:ascii="IRNazanin" w:hAnsi="IRNazanin" w:eastAsia="IRNazanin"/>
          <w:color w:val="111111"/>
          <w:sz w:val="28"/>
          <w:sz w:val="28"/>
          <w:szCs w:val="28"/>
          <w:rtl w:val="true"/>
          <w:lang w:bidi="fa-IR"/>
        </w:rPr>
        <w:t>، و الأخبار</w:t>
      </w:r>
      <w:r>
        <w:rPr>
          <w:rStyle w:val="FootnoteAnchor"/>
          <w:rtl w:val="true"/>
        </w:rPr>
        <w:footnoteReference w:id="224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 نّها لا تحسب علیه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علیه بالقیمة</w:t>
      </w:r>
      <w:r>
        <w:rPr>
          <w:rStyle w:val="FootnoteAnchor"/>
          <w:rtl w:val="true"/>
        </w:rPr>
        <w:footnoteReference w:id="2248"/>
      </w:r>
      <w:r>
        <w:rPr>
          <w:rFonts w:ascii="IRNazanin" w:hAnsi="IRNazanin" w:eastAsia="IRNazanin"/>
          <w:color w:val="111111"/>
          <w:sz w:val="28"/>
          <w:sz w:val="28"/>
          <w:szCs w:val="28"/>
          <w:rtl w:val="true"/>
          <w:lang w:bidi="fa-IR"/>
        </w:rPr>
        <w:t>،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ابن الجنید باستحباب الحبوة</w:t>
      </w:r>
      <w:r>
        <w:rPr>
          <w:rStyle w:val="FootnoteAnchor"/>
          <w:rtl w:val="true"/>
        </w:rPr>
        <w:footnoteReference w:id="2249"/>
      </w:r>
      <w:r>
        <w:rPr>
          <w:rFonts w:ascii="IRNazanin" w:hAnsi="IRNazanin" w:eastAsia="IRNazanin"/>
          <w:color w:val="111111"/>
          <w:sz w:val="28"/>
          <w:sz w:val="28"/>
          <w:szCs w:val="28"/>
          <w:rtl w:val="true"/>
          <w:lang w:bidi="fa-IR"/>
        </w:rPr>
        <w:t xml:space="preserve">، و هو ظاهر الحلبیّ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السنّة أن یحبی، و ذکر ثیاب مصلاّه</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تعدّد الأکبر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قاله فی المبسوط</w:t>
      </w:r>
      <w:r>
        <w:rPr>
          <w:rStyle w:val="FootnoteAnchor"/>
          <w:rtl w:val="true"/>
        </w:rPr>
        <w:footnoteReference w:id="2251"/>
      </w:r>
      <w:r>
        <w:rPr>
          <w:rFonts w:ascii="Amiri" w:hAnsi="Amiri" w:eastAsia="Amiri" w:cs="Amiri"/>
          <w:color w:val="111111"/>
          <w:sz w:val="28"/>
          <w:sz w:val="28"/>
          <w:szCs w:val="28"/>
          <w:rtl w:val="true"/>
          <w:lang w:bidi="ar-SA"/>
        </w:rPr>
        <w:t>، خلافاً لابن حمزة</w:t>
      </w:r>
      <w:r>
        <w:rPr>
          <w:rStyle w:val="FootnoteAnchor"/>
          <w:rtl w:val="true"/>
        </w:rPr>
        <w:footnoteReference w:id="2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اشتراط بلوغه احتمال، و ظاهره و ظاهر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w:t>
      </w:r>
      <w:r>
        <w:rPr>
          <w:rStyle w:val="FootnoteAnchor"/>
          <w:rtl w:val="true"/>
        </w:rPr>
        <w:footnoteReference w:id="2253"/>
      </w:r>
    </w:p>
    <w:p>
      <w:pPr>
        <w:pStyle w:val="BookText"/>
        <w:rPr/>
      </w:pPr>
      <w:r>
        <w:rPr>
          <w:rFonts w:ascii="IRNazanin" w:hAnsi="IRNazanin" w:eastAsia="IRNazanin"/>
          <w:color w:val="111111"/>
          <w:sz w:val="28"/>
          <w:sz w:val="28"/>
          <w:szCs w:val="28"/>
          <w:rtl w:val="true"/>
          <w:lang w:bidi="fa-IR"/>
        </w:rPr>
        <w:t>سفیهاً و لا فاسد 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تعدّدت هذه الأجناس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بالذی یعتاد لبسه و یدیمه</w:t>
      </w:r>
      <w:r>
        <w:rPr>
          <w:rStyle w:val="FootnoteAnchor"/>
          <w:rtl w:val="true"/>
        </w:rPr>
        <w:footnoteReference w:id="2254"/>
      </w:r>
      <w:r>
        <w:rPr>
          <w:rFonts w:ascii="IRNazanin" w:hAnsi="IRNazanin" w:eastAsia="IRNazanin"/>
          <w:color w:val="111111"/>
          <w:sz w:val="28"/>
          <w:sz w:val="28"/>
          <w:szCs w:val="28"/>
          <w:rtl w:val="true"/>
          <w:lang w:bidi="fa-IR"/>
        </w:rPr>
        <w:t xml:space="preserve">، و هو حسن فیما جاء بلفظ الوحدة، أمّا الثیاب،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حتّی العمامة، و کلام أبی الصلاح یقتضی تخصیص ثیاب الصلاة</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دیناً مستغرقاً</w:t>
      </w:r>
      <w:r>
        <w:rPr>
          <w:rStyle w:val="FootnoteAnchor"/>
          <w:rtl w:val="true"/>
        </w:rPr>
        <w:footnoteReference w:id="2256"/>
      </w:r>
      <w:r>
        <w:rPr>
          <w:rFonts w:ascii="IRNazanin" w:hAnsi="IRNazanin" w:eastAsia="IRNazanin"/>
          <w:color w:val="111111"/>
          <w:sz w:val="28"/>
          <w:sz w:val="28"/>
          <w:szCs w:val="28"/>
          <w:rtl w:val="true"/>
          <w:lang w:bidi="fa-IR"/>
        </w:rPr>
        <w:t>فلا حبوة ؛ إذ لا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قضی الورثة الدین من غیر الترکة،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أراد الأکبر افتکاکها من ماله لیتخیّرها</w:t>
      </w:r>
      <w:r>
        <w:rPr>
          <w:rStyle w:val="FootnoteAnchor"/>
          <w:rtl w:val="true"/>
        </w:rPr>
        <w:footnoteReference w:id="2257"/>
      </w:r>
      <w:r>
        <w:rPr>
          <w:rFonts w:ascii="IRNazanin" w:hAnsi="IRNazanin" w:eastAsia="IRNazanin"/>
          <w:color w:val="111111"/>
          <w:sz w:val="28"/>
          <w:sz w:val="28"/>
          <w:szCs w:val="28"/>
          <w:rtl w:val="true"/>
          <w:lang w:bidi="fa-IR"/>
        </w:rPr>
        <w:t xml:space="preserve">،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المیّت بصرفها فی جهة مباحة،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اعتبارها من الثلث، و لو زادت،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توقّفها علی إجازة الأکبر لا غیره</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قصر نصیب کلّ وارث عن قدر الحبوة،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غیر مانع، و یحتمل المنع للإجحاف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 و مؤونة التجهیز، و هو مانع من الإرث فی قدره، فلو لم یفضل شیء، فلا إرث إلاّ فی الزوجة علی ما سلف</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ثامن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فإنّها مانعة ما لم تزد علی الثلث، فإن زادت و لم یُجز الوارث، نفذ الإرث فی الباقی، و إن أجاز، فظاهر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الإرث لا ینفذ فیها</w:t>
      </w:r>
      <w:r>
        <w:rPr>
          <w:rStyle w:val="FootnoteAnchor"/>
          <w:rtl w:val="true"/>
        </w:rPr>
        <w:footnoteReference w:id="2260"/>
      </w:r>
      <w:r>
        <w:rPr>
          <w:rFonts w:ascii="IRNazanin" w:hAnsi="IRNazanin" w:eastAsia="IRNazanin"/>
          <w:color w:val="111111"/>
          <w:sz w:val="28"/>
          <w:sz w:val="28"/>
          <w:szCs w:val="28"/>
          <w:rtl w:val="true"/>
          <w:lang w:bidi="fa-IR"/>
        </w:rPr>
        <w:t>؛ بناءاً علی أنّ الإجازة تنفیذ لفعل الموصی، لا ابتداء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ابنی بابویه مَن لا وارث له و لا عصبة یصحّ إیصاؤه بجمیع ماله فی المسلمین و المساکین و ابن السبیل</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تاسع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العین موقوفة، فإنّه لا ینفذ فیها المواریث و إن کانت ملکاً للموقوف علیه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هناک مرتبة أُخری، انتقلت إلیها، نحو</w:t>
      </w:r>
      <w:r>
        <w:rPr>
          <w:rStyle w:val="FootnoteAnchor"/>
          <w:rtl w:val="true"/>
        </w:rPr>
        <w:footnoteReference w:id="2262"/>
      </w:r>
      <w:r>
        <w:rPr>
          <w:rFonts w:ascii="IRNazanin" w:hAnsi="IRNazanin" w:eastAsia="IRNazanin"/>
          <w:color w:val="111111"/>
          <w:sz w:val="28"/>
          <w:sz w:val="28"/>
          <w:szCs w:val="28"/>
          <w:rtl w:val="true"/>
          <w:lang w:bidi="fa-IR"/>
        </w:rPr>
        <w:t>الوقف، و إن کان منقطعاً، ففیه خلاف سبق فی الوقف</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العبد جانیاً عمداً، فإنّه إذا اختیر استرقاقه أو قتله، تبیّن عدم نفوذ الإرث فیه، و یحتمل تملّک الوارث ثمّ ینتزع منه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خطأً، نفذ فیه الإرث ؛ لأنّ التخییر إلی مولی الجانی، و من ذلک أُمّ </w:t>
      </w:r>
      <w:bookmarkStart w:id="306" w:name="pg13665_219331"/>
    </w:p>
    <w:p>
      <w:pPr>
        <w:pStyle w:val="BookText"/>
        <w:rPr/>
      </w:pPr>
      <w:bookmarkEnd w:id="306"/>
      <w:r>
        <w:rPr>
          <w:rFonts w:ascii="IRNazanin" w:hAnsi="IRNazanin" w:eastAsia="IRNazanin"/>
          <w:color w:val="111111"/>
          <w:sz w:val="28"/>
          <w:sz w:val="28"/>
          <w:szCs w:val="28"/>
          <w:rtl w:val="true"/>
          <w:lang w:bidi="fa-IR"/>
        </w:rPr>
        <w:t>الولد، فإنّ مَن عداها ولدها یکون حقّه فی القیمة، و یحتمل نفوذ الإرث فیها ثمّ 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یحیی عن وصیّ علیّ بن السریّ أ نّه أوصی بإخراج ولده جعفر من الإرث ؛ لما أصاب</w:t>
      </w:r>
      <w:r>
        <w:rPr>
          <w:rStyle w:val="FootnoteAnchor"/>
          <w:rtl w:val="true"/>
        </w:rPr>
        <w:footnoteReference w:id="2264"/>
      </w:r>
      <w:r>
        <w:rPr>
          <w:rFonts w:ascii="Amiri" w:hAnsi="Amiri" w:eastAsia="Amiri" w:cs="Amiri"/>
          <w:color w:val="111111"/>
          <w:sz w:val="28"/>
          <w:sz w:val="28"/>
          <w:szCs w:val="28"/>
          <w:rtl w:val="true"/>
          <w:lang w:bidi="ar-SA"/>
        </w:rPr>
        <w:t>أُمّ ولده، فأقرّه الکاظم علیه‌السّلام</w:t>
      </w: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قضیّة فی واقعة، فلا تتعدّی إلی غیرها</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فجر بزوجة أبیه، لم یورث من میراث أبیه شیئاً</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071415_3830689328"/>
      <w:bookmarkStart w:id="308" w:name="_Toc102"/>
      <w:bookmarkEnd w:id="307"/>
      <w:r>
        <w:rPr>
          <w:rtl w:val="true"/>
        </w:rPr>
        <w:t xml:space="preserve">درس </w:t>
      </w:r>
      <w:r>
        <w:rPr>
          <w:rtl w:val="true"/>
        </w:rPr>
        <w:t>(</w:t>
      </w:r>
      <w:r>
        <w:rPr/>
        <w:t>189</w:t>
      </w:r>
      <w:r>
        <w:rPr>
          <w:rtl w:val="true"/>
        </w:rPr>
        <w:t>)</w:t>
      </w:r>
      <w:bookmarkEnd w:id="308"/>
    </w:p>
    <w:p>
      <w:pPr>
        <w:pStyle w:val="BookText"/>
        <w:rPr/>
      </w:pPr>
      <w:r>
        <w:rPr>
          <w:rFonts w:ascii="IRNazanin" w:hAnsi="IRNazanin" w:eastAsia="IRNazanin"/>
          <w:color w:val="111111"/>
          <w:sz w:val="28"/>
          <w:sz w:val="28"/>
          <w:szCs w:val="28"/>
          <w:rtl w:val="true"/>
          <w:lang w:bidi="fa-IR"/>
        </w:rPr>
        <w:t>فی میراث الآباء و الأولاد</w:t>
      </w:r>
    </w:p>
    <w:p>
      <w:pPr>
        <w:pStyle w:val="BookText"/>
        <w:rPr/>
      </w:pPr>
      <w:r>
        <w:rPr>
          <w:rFonts w:ascii="Amiri" w:hAnsi="Amiri" w:eastAsia="Amiri" w:cs="Amiri"/>
          <w:color w:val="111111"/>
          <w:sz w:val="28"/>
          <w:sz w:val="28"/>
          <w:szCs w:val="28"/>
          <w:rtl w:val="true"/>
          <w:lang w:bidi="ar-SA"/>
        </w:rPr>
        <w:t>للأب وحده المال، و للأُمّ وحدها الثلث تسمیةً و الباقی 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اجتمعا، فلها الثلث لا مع الحاجب، و السدس معه، و الباقی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زوج أو زوجة، فلهما النصیب الأعلی، و للأُمّ ثلث الأصل أو سدسه و الباقی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الزوج أو الزوجة مع الأُمّ، فلها الثلث بعد نصیب الزوجیّة تسمیة و 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أحدهما مع الأب، فالباقی بعد نصیب الزوجیّة 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معهما ابن، فلهما السدسان و الباقی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أحدهما مع الابن، فله </w:t>
      </w:r>
    </w:p>
    <w:p>
      <w:pPr>
        <w:pStyle w:val="BookText"/>
        <w:rPr/>
      </w:pPr>
      <w:r>
        <w:rPr>
          <w:rFonts w:ascii="IRNazanin" w:hAnsi="IRNazanin" w:eastAsia="IRNazanin"/>
          <w:color w:val="111111"/>
          <w:sz w:val="28"/>
          <w:sz w:val="28"/>
          <w:szCs w:val="28"/>
          <w:rtl w:val="true"/>
          <w:lang w:bidi="fa-IR"/>
        </w:rPr>
        <w:t>السدس و الباقی للابن، و کذا لو تعدّد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معهما بنتان فصاعداً، فلهما الثلثان، و للأبوین السدسان، و لو</w:t>
      </w:r>
      <w:r>
        <w:rPr>
          <w:rStyle w:val="FootnoteAnchor"/>
          <w:rtl w:val="true"/>
        </w:rPr>
        <w:footnoteReference w:id="2268"/>
      </w:r>
      <w:r>
        <w:rPr>
          <w:rFonts w:ascii="IRNazanin" w:hAnsi="IRNazanin" w:eastAsia="IRNazanin"/>
          <w:color w:val="111111"/>
          <w:sz w:val="28"/>
          <w:sz w:val="28"/>
          <w:szCs w:val="28"/>
          <w:rtl w:val="true"/>
          <w:lang w:bidi="fa-IR"/>
        </w:rPr>
        <w:t>کانت بنت واحدة، فلها النصف، و لهما السدسان، و یردّ الباقی أخماساً علی الجمیع، و مع الحاجب یردّ أرباعاً علی البنت 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معهما ذکور و إناث أو مع أحدهما، فلهما السدسان أو لأحدهما السدس، و الباقی یقسّم،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للابن المنفرد المال، و للاثنین</w:t>
      </w:r>
      <w:r>
        <w:rPr>
          <w:rStyle w:val="FootnoteAnchor"/>
          <w:rtl w:val="true"/>
        </w:rPr>
        <w:footnoteReference w:id="2269"/>
      </w:r>
      <w:r>
        <w:rPr>
          <w:rFonts w:ascii="IRNazanin" w:hAnsi="IRNazanin" w:eastAsia="IRNazanin"/>
          <w:color w:val="111111"/>
          <w:sz w:val="28"/>
          <w:sz w:val="28"/>
          <w:szCs w:val="28"/>
          <w:rtl w:val="true"/>
          <w:lang w:bidi="fa-IR"/>
        </w:rPr>
        <w:t>فصاعداً المال بالسویّة، و للبنت المنفردة</w:t>
      </w:r>
    </w:p>
    <w:p>
      <w:pPr>
        <w:pStyle w:val="BookText"/>
        <w:rPr/>
      </w:pPr>
      <w:r>
        <w:rPr>
          <w:rFonts w:ascii="IRNazanin" w:hAnsi="IRNazanin" w:eastAsia="IRNazanin"/>
          <w:color w:val="111111"/>
          <w:sz w:val="28"/>
          <w:sz w:val="28"/>
          <w:szCs w:val="28"/>
          <w:rtl w:val="true"/>
          <w:lang w:bidi="fa-IR"/>
        </w:rPr>
        <w:t>النصف تسمیة و الباقی ردّاً، و إن کانتا اثنتین فصاعداً، فلهما الثلثان تسمیة، و الباقی</w:t>
      </w:r>
    </w:p>
    <w:p>
      <w:pPr>
        <w:pStyle w:val="BookText"/>
        <w:rPr/>
      </w:pP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اجتمع الذکور و الإناث، اقتسموا الجمیع،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البنت و أحد الأبوین، فلها النصف، و له السدس، و الباقی یردّ أرباعاً، فیکون جمیع المال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زوج أو زوجة، فلهما النصیب الأدنی، و للبنت النصف، و لأحد</w:t>
      </w:r>
    </w:p>
    <w:p>
      <w:pPr>
        <w:pStyle w:val="BookText"/>
        <w:rPr/>
      </w:pPr>
      <w:r>
        <w:rPr>
          <w:rFonts w:ascii="IRNazanin" w:hAnsi="IRNazanin" w:eastAsia="IRNazanin"/>
          <w:color w:val="111111"/>
          <w:sz w:val="28"/>
          <w:sz w:val="28"/>
          <w:szCs w:val="28"/>
          <w:rtl w:val="true"/>
          <w:lang w:bidi="fa-IR"/>
        </w:rPr>
        <w:t>الأبوین السدس، و الباقی یردّ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الأبوین مع البنتین السدس، و لهما الثلثان، و الباقی یردّ أخماساً، و مع الزوجة تأخذ الثمن و الباقی یردّ أخماساً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اجتمع الأبوان و البنت و الزوجة، فلهما السدسان، و للبنت النصف، و للزوجة الثمن، و الباقی یردّ أخماساً مع عدم الحاجب، و إلاّ فعلی الأب و البنت أرباعاً، و مع الزوج یدخل النقص علی البنتین، و کذا یدخل علیهما لو اجتمعا مع الأبوین و الزوج أو الزوجة، و کذا لو اجتمعت البنت و الأبوان و الزوج، فالنقص </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عدم الأولاد، قام بنوهم مقامهم، سواء کان الأبوان موجودین أو أحدهما، أو لا علی الأصحّ، و لا نعلم فیه خلافاً إلاّ من الصدوق</w:t>
      </w:r>
      <w:r>
        <w:rPr>
          <w:rStyle w:val="FootnoteAnchor"/>
          <w:rtl w:val="true"/>
        </w:rPr>
        <w:footnoteReference w:id="2270"/>
      </w:r>
      <w:r>
        <w:rPr>
          <w:rFonts w:ascii="IRNazanin" w:hAnsi="IRNazanin" w:eastAsia="IRNazanin"/>
          <w:color w:val="111111"/>
          <w:sz w:val="28"/>
          <w:sz w:val="28"/>
          <w:szCs w:val="28"/>
          <w:rtl w:val="true"/>
          <w:lang w:bidi="fa-IR"/>
        </w:rPr>
        <w:t>، فإنّه شرط فی توریثهم عدم الأبوین ؛ تعویلاً علی روایة قاصرة الدلالة</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أولاد الأولاد ینزلون منزلة آبائهم، فلابن البنت نصیب أُمّه، و لبنت الابن نصیب أبیها، فلو خلّف بنت ابن و بنی بنت، فلبنت الابن الثلثان، و لبنی البنت الثلث و إن 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یقتسم أولاد البنت و أولاد الابن النصیب</w:t>
      </w:r>
      <w:r>
        <w:rPr>
          <w:rStyle w:val="FootnoteAnchor"/>
          <w:rtl w:val="true"/>
        </w:rPr>
        <w:footnoteReference w:id="2272"/>
      </w:r>
      <w:r>
        <w:rPr>
          <w:rFonts w:ascii="IRNazanin" w:hAnsi="IRNazanin" w:eastAsia="IRNazanin"/>
          <w:color w:val="111111"/>
          <w:sz w:val="28"/>
          <w:sz w:val="28"/>
          <w:szCs w:val="28"/>
          <w:rtl w:val="true"/>
          <w:lang w:bidi="fa-IR"/>
        </w:rPr>
        <w:t>،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w:t>
      </w:r>
    </w:p>
    <w:p>
      <w:pPr>
        <w:pStyle w:val="BookText"/>
        <w:rPr/>
      </w:pPr>
      <w:r>
        <w:rPr>
          <w:rFonts w:ascii="IRNazanin" w:hAnsi="IRNazanin" w:eastAsia="IRNazanin"/>
          <w:color w:val="111111"/>
          <w:sz w:val="28"/>
          <w:sz w:val="28"/>
          <w:szCs w:val="28"/>
          <w:rtl w:val="true"/>
          <w:lang w:bidi="fa-IR"/>
        </w:rPr>
        <w:t>الشیخ أنّ أولاد البنت یقتسمون بالسویّة</w:t>
      </w:r>
      <w:r>
        <w:rPr>
          <w:rStyle w:val="FootnoteAnchor"/>
          <w:rtl w:val="true"/>
        </w:rPr>
        <w:footnoteReference w:id="2273"/>
      </w:r>
      <w:r>
        <w:rPr>
          <w:rFonts w:ascii="IRNazanin" w:hAnsi="IRNazanin" w:eastAsia="IRNazanin"/>
          <w:color w:val="111111"/>
          <w:sz w:val="28"/>
          <w:sz w:val="28"/>
          <w:szCs w:val="28"/>
          <w:rtl w:val="true"/>
          <w:lang w:bidi="fa-IR"/>
        </w:rPr>
        <w:t>، و اختاره تلمیذه القاضی</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w:t>
      </w:r>
      <w:r>
        <w:rPr>
          <w:rStyle w:val="FootnoteAnchor"/>
          <w:rtl w:val="true"/>
        </w:rPr>
        <w:footnoteReference w:id="2275"/>
      </w:r>
      <w:r>
        <w:rPr>
          <w:rFonts w:ascii="IRNazanin" w:hAnsi="IRNazanin" w:eastAsia="IRNazanin"/>
          <w:color w:val="111111"/>
          <w:sz w:val="28"/>
          <w:sz w:val="28"/>
          <w:szCs w:val="28"/>
          <w:rtl w:val="true"/>
          <w:lang w:bidi="fa-IR"/>
        </w:rPr>
        <w:t>و المرتضی</w:t>
      </w:r>
      <w:r>
        <w:rPr>
          <w:rStyle w:val="FootnoteAnchor"/>
          <w:rtl w:val="true"/>
        </w:rPr>
        <w:footnoteReference w:id="2276"/>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أولاد الأولاد بأنفسهم،</w:t>
      </w:r>
    </w:p>
    <w:p>
      <w:pPr>
        <w:pStyle w:val="BookText"/>
        <w:rPr/>
      </w:pPr>
      <w:r>
        <w:rPr>
          <w:rFonts w:ascii="IRNazanin" w:hAnsi="IRNazanin" w:eastAsia="IRNazanin"/>
          <w:color w:val="111111"/>
          <w:sz w:val="28"/>
          <w:sz w:val="28"/>
          <w:szCs w:val="28"/>
          <w:rtl w:val="true"/>
          <w:lang w:bidi="fa-IR"/>
        </w:rPr>
        <w:t>فللذکر ضعف الأُنثی و إن کان یتقرّب بأُمّه و تتقرّب الأُنثی بأبیها ؛ لأ نّهم أولاد حقیقة</w:t>
      </w:r>
      <w:r>
        <w:rPr>
          <w:rStyle w:val="FootnoteAnchor"/>
          <w:rtl w:val="true"/>
        </w:rPr>
        <w:footnoteReference w:id="2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فتوی و روایة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یترتّب أولاد الأولاد فی الإرث، فالأقرب إلی المیّت یمنع الأبعد ذکراً کان أو أُنثی، و لا یرث الجدّ و الجدّة مع الأبوین، بل یستحبّ للأبوین إطعام آبائهما </w:t>
      </w:r>
      <w:bookmarkStart w:id="309" w:name="pg13665_219334"/>
    </w:p>
    <w:p>
      <w:pPr>
        <w:pStyle w:val="BookText"/>
        <w:rPr/>
      </w:pPr>
      <w:bookmarkEnd w:id="309"/>
      <w:r>
        <w:rPr>
          <w:rFonts w:ascii="IRNazanin" w:hAnsi="IRNazanin" w:eastAsia="IRNazanin"/>
          <w:color w:val="111111"/>
          <w:sz w:val="28"/>
          <w:sz w:val="28"/>
          <w:szCs w:val="28"/>
          <w:rtl w:val="true"/>
          <w:lang w:bidi="fa-IR"/>
        </w:rPr>
        <w:t>سدس الأصل إذا زاد نصیب المطعم بقدر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نصیب أحدهما خاصّة، أطعم أبویه لا أبوی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یستحبّ للأولاد طعمة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 الجدّین مفقوداً، فالطعمة للآخر، و إن وجدا، فهی بینهما بالسویّة</w:t>
      </w:r>
      <w:r>
        <w:rPr>
          <w:rFonts w:eastAsia="IRNazanin" w:cs="IRNazanin"/>
          <w:color w:val="111111"/>
          <w:sz w:val="28"/>
          <w:szCs w:val="28"/>
          <w:rtl w:val="true"/>
          <w:lang w:bidi="fa-IR"/>
        </w:rPr>
        <w:t>.</w:t>
      </w:r>
    </w:p>
    <w:p>
      <w:pPr>
        <w:pStyle w:val="Heading3"/>
        <w:numPr>
          <w:ilvl w:val="2"/>
          <w:numId w:val="1"/>
        </w:numPr>
        <w:rPr/>
      </w:pPr>
      <w:bookmarkStart w:id="310" w:name="__RefHeading___Toc2071417_3830689328"/>
      <w:bookmarkStart w:id="311" w:name="_Toc103"/>
      <w:bookmarkEnd w:id="310"/>
      <w:r>
        <w:rPr>
          <w:rtl w:val="true"/>
        </w:rPr>
        <w:t xml:space="preserve">درس </w:t>
      </w:r>
      <w:r>
        <w:rPr>
          <w:rtl w:val="true"/>
        </w:rPr>
        <w:t>(</w:t>
      </w:r>
      <w:r>
        <w:rPr/>
        <w:t>190</w:t>
      </w:r>
      <w:r>
        <w:rPr>
          <w:rtl w:val="true"/>
        </w:rPr>
        <w:t>)</w:t>
      </w:r>
      <w:bookmarkEnd w:id="311"/>
    </w:p>
    <w:p>
      <w:pPr>
        <w:pStyle w:val="BookText"/>
        <w:rPr/>
      </w:pPr>
      <w:r>
        <w:rPr>
          <w:rFonts w:ascii="IRNazanin" w:hAnsi="IRNazanin" w:eastAsia="IRNazanin"/>
          <w:color w:val="111111"/>
          <w:sz w:val="28"/>
          <w:sz w:val="28"/>
          <w:szCs w:val="28"/>
          <w:rtl w:val="true"/>
          <w:lang w:bidi="fa-IR"/>
        </w:rPr>
        <w:t>فی میراث الإخوة و الأجداد</w:t>
      </w:r>
    </w:p>
    <w:p>
      <w:pPr>
        <w:pStyle w:val="BookText"/>
        <w:rPr/>
      </w:pPr>
      <w:r>
        <w:rPr>
          <w:rFonts w:ascii="IRNazanin" w:hAnsi="IRNazanin" w:eastAsia="IRNazanin"/>
          <w:color w:val="111111"/>
          <w:sz w:val="28"/>
          <w:sz w:val="28"/>
          <w:szCs w:val="28"/>
          <w:rtl w:val="true"/>
          <w:lang w:bidi="fa-IR"/>
        </w:rPr>
        <w:t>إنّما یرثون مع عدم الآباء و الأبناء و 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الجدّ مع ولد الولد و یرث الجدّ للأب مع الأب و الجدّ من قبل الأُمّ مع الأُمّ</w:t>
      </w:r>
      <w:r>
        <w:rPr>
          <w:rStyle w:val="FootnoteAnchor"/>
          <w:rtl w:val="true"/>
        </w:rPr>
        <w:footnoteReference w:id="2278"/>
      </w:r>
      <w:r>
        <w:rPr>
          <w:rFonts w:ascii="IRNazanin" w:hAnsi="IRNazanin" w:eastAsia="IRNazanin"/>
          <w:color w:val="111111"/>
          <w:sz w:val="28"/>
          <w:sz w:val="28"/>
          <w:szCs w:val="28"/>
          <w:rtl w:val="true"/>
          <w:lang w:bidi="fa-IR"/>
        </w:rPr>
        <w:t xml:space="preserve">؛ لروایة سعد عن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الجدّ مع بنات البنت السدس</w:t>
      </w:r>
      <w:r>
        <w:rPr>
          <w:rStyle w:val="FootnoteAnchor"/>
          <w:rtl w:val="true"/>
        </w:rPr>
        <w:footnoteReference w:id="2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فضّال إجماع العصابة</w:t>
      </w:r>
      <w:r>
        <w:rPr>
          <w:rStyle w:val="FootnoteAnchor"/>
          <w:rtl w:val="true"/>
        </w:rPr>
        <w:footnoteReference w:id="2280"/>
      </w:r>
      <w:r>
        <w:rPr>
          <w:rFonts w:ascii="IRNazanin" w:hAnsi="IRNazanin" w:eastAsia="IRNazanin"/>
          <w:color w:val="111111"/>
          <w:sz w:val="28"/>
          <w:sz w:val="28"/>
          <w:szCs w:val="28"/>
          <w:rtl w:val="true"/>
          <w:lang w:bidi="fa-IR"/>
        </w:rPr>
        <w:t>علی ترک العمل بهذا الخبر</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خلّفت زوجها و ابن ابنها و جدّاً، فللزوج الربع، و للجدّ</w:t>
      </w:r>
    </w:p>
    <w:p>
      <w:pPr>
        <w:pStyle w:val="BookText"/>
        <w:rPr/>
      </w:pPr>
      <w:r>
        <w:rPr>
          <w:rFonts w:ascii="IRNazanin" w:hAnsi="IRNazanin" w:eastAsia="IRNazanin"/>
          <w:color w:val="111111"/>
          <w:sz w:val="28"/>
          <w:sz w:val="28"/>
          <w:szCs w:val="28"/>
          <w:rtl w:val="true"/>
          <w:lang w:bidi="fa-IR"/>
        </w:rPr>
        <w:t>السدس، و الباقی لابن الابن</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خلّف بنتاً و أبوین، فالفاضل عن أنصبائهم للجدّین أو الجدّتین، و لو خلّف ولد ولد و جدّاً أو والداً و جدّاً، فللجدّ السدس</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یونس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أبو الأب أولی من ابن ابن الابن</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الأقوال الثلاثة شاذّة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فللأخ من الأبوین وحده المال، و للأخوین فصاعداً المال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الإخوة و الأخوات للأبوین، فالمال بینهم، للذکر مثل حظّ الأنثیین، و للأُخت المنفردة للأبوین، النصف تسمیة، و الباقی ردّاً، و للأُختین فصاعداً، الثلثان</w:t>
      </w:r>
    </w:p>
    <w:p>
      <w:pPr>
        <w:pStyle w:val="BookText"/>
        <w:rPr/>
      </w:pPr>
      <w:r>
        <w:rPr>
          <w:rFonts w:ascii="Amiri" w:hAnsi="Amiri" w:eastAsia="Amiri" w:cs="Amiri"/>
          <w:color w:val="111111"/>
          <w:sz w:val="28"/>
          <w:sz w:val="28"/>
          <w:szCs w:val="28"/>
          <w:rtl w:val="true"/>
          <w:lang w:bidi="ar-SA"/>
        </w:rPr>
        <w:t>تسمیة، و الباقی ردّاً بینهنّ بالسویّة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یرث معهم الإخوة و الأخوات من کلالة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یقومون مقامهم عند عدمهم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للواحد من کلالة الأُمّ ذکراً أو أُنثی إذا انفرد، السدس تسمیةً، و الباقی ردّاً، و للاثنین فصاعداً، الثلث تسمیةً، و الباقی ردّاً بالسویّة ذکوراً کانوا أو إناثاً، أو ذکوراً و إناثاً</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اجتمعت الکلالات الثلاث، سقط کلالة الأب، و کان لکلالة الأُمّ سدس الأصل إن کان واحداً، و الثلث إن کان أکثر بالسویّة، و الباقی لکلالة الأب و الأُمّ و إن کان واحداً، ذکراً کان</w:t>
      </w:r>
      <w:r>
        <w:rPr>
          <w:rStyle w:val="FootnoteAnchor"/>
          <w:rtl w:val="true"/>
        </w:rPr>
        <w:footnoteReference w:id="2286"/>
      </w:r>
      <w:r>
        <w:rPr>
          <w:rFonts w:ascii="IRNazanin" w:hAnsi="IRNazanin" w:eastAsia="IRNazanin"/>
          <w:color w:val="111111"/>
          <w:sz w:val="28"/>
          <w:sz w:val="28"/>
          <w:szCs w:val="28"/>
          <w:rtl w:val="true"/>
          <w:lang w:bidi="fa-IR"/>
        </w:rPr>
        <w:t>أو ذکرین فصاعداً أو ذکوراً و إناثاً، للذکر مثل حظّ الأُنثیین، و تسقط</w:t>
      </w:r>
      <w:r>
        <w:rPr>
          <w:rStyle w:val="FootnoteAnchor"/>
          <w:rtl w:val="true"/>
        </w:rPr>
        <w:footnoteReference w:id="2287"/>
      </w:r>
      <w:r>
        <w:rPr>
          <w:rFonts w:ascii="IRNazanin" w:hAnsi="IRNazanin" w:eastAsia="IRNazanin"/>
          <w:color w:val="111111"/>
          <w:sz w:val="28"/>
          <w:sz w:val="28"/>
          <w:szCs w:val="28"/>
          <w:rtl w:val="true"/>
          <w:lang w:bidi="fa-IR"/>
        </w:rPr>
        <w:t>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 کلالة الأُمّ أُخت للأبوین، فلها النصف، و للواحد من کلالة الأُمّ، السدس، و للأکثر، الثلث، و الباقی للأُخت من الأبوین، و لو کانتا أُختین للأبوین مع</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من کلالة الأُمّ، کان السدس ردّاً علیهما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تفرّد الحسن</w:t>
      </w:r>
      <w:r>
        <w:rPr>
          <w:rStyle w:val="FootnoteAnchor"/>
          <w:rtl w:val="true"/>
        </w:rPr>
        <w:footnoteReference w:id="2288"/>
      </w:r>
      <w:r>
        <w:rPr>
          <w:rFonts w:ascii="IRNazanin" w:hAnsi="IRNazanin" w:eastAsia="IRNazanin"/>
          <w:color w:val="111111"/>
          <w:sz w:val="28"/>
          <w:sz w:val="28"/>
          <w:szCs w:val="28"/>
          <w:rtl w:val="true"/>
          <w:lang w:bidi="fa-IR"/>
        </w:rPr>
        <w:t>و الفضل بأنّ الباقی یردّ بالنسبة أرباعاً أو أخماساً</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xml:space="preserve">. </w:t>
      </w:r>
      <w:bookmarkStart w:id="312" w:name="pg13665_219336"/>
    </w:p>
    <w:p>
      <w:pPr>
        <w:pStyle w:val="BookText"/>
        <w:rPr/>
      </w:pPr>
      <w:bookmarkEnd w:id="312"/>
      <w:r>
        <w:rPr>
          <w:rFonts w:ascii="IRNazanin" w:hAnsi="IRNazanin" w:eastAsia="IRNazanin"/>
          <w:color w:val="111111"/>
          <w:sz w:val="28"/>
          <w:sz w:val="28"/>
          <w:szCs w:val="28"/>
          <w:rtl w:val="true"/>
          <w:lang w:bidi="fa-IR"/>
        </w:rPr>
        <w:t xml:space="preserve">و لو کانت الأُخت للأب خاصّة أو الأُختان کذلک مع کلالة الأُمّ، فالخلاف هنا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ابن الجنید</w:t>
      </w:r>
      <w:r>
        <w:rPr>
          <w:rStyle w:val="FootnoteAnchor"/>
          <w:rtl w:val="true"/>
        </w:rPr>
        <w:footnoteReference w:id="2290"/>
      </w:r>
      <w:r>
        <w:rPr>
          <w:rFonts w:ascii="IRNazanin" w:hAnsi="IRNazanin" w:eastAsia="IRNazanin"/>
          <w:color w:val="111111"/>
          <w:sz w:val="28"/>
          <w:sz w:val="28"/>
          <w:szCs w:val="28"/>
          <w:rtl w:val="true"/>
          <w:lang w:bidi="fa-IR"/>
        </w:rPr>
        <w:t>و الحسن</w:t>
      </w:r>
      <w:r>
        <w:rPr>
          <w:rStyle w:val="FootnoteAnchor"/>
          <w:rtl w:val="true"/>
        </w:rPr>
        <w:footnoteReference w:id="2291"/>
      </w:r>
      <w:r>
        <w:rPr>
          <w:rFonts w:ascii="IRNazanin" w:hAnsi="IRNazanin" w:eastAsia="IRNazanin"/>
          <w:color w:val="111111"/>
          <w:sz w:val="28"/>
          <w:sz w:val="28"/>
          <w:szCs w:val="28"/>
          <w:rtl w:val="true"/>
          <w:lang w:bidi="fa-IR"/>
        </w:rPr>
        <w:t>و ابن إدریس</w:t>
      </w:r>
      <w:r>
        <w:rPr>
          <w:rStyle w:val="FootnoteAnchor"/>
          <w:rtl w:val="true"/>
        </w:rPr>
        <w:footnoteReference w:id="2292"/>
      </w:r>
      <w:r>
        <w:rPr>
          <w:rFonts w:ascii="IRNazanin" w:hAnsi="IRNazanin" w:eastAsia="IRNazanin"/>
          <w:color w:val="111111"/>
          <w:sz w:val="28"/>
          <w:sz w:val="28"/>
          <w:szCs w:val="28"/>
          <w:rtl w:val="true"/>
          <w:lang w:bidi="fa-IR"/>
        </w:rPr>
        <w:t>و المحقّق یردّ علی الجمیع بالنسبة</w:t>
      </w:r>
      <w:r>
        <w:rPr>
          <w:rStyle w:val="FootnoteAnchor"/>
          <w:rtl w:val="true"/>
        </w:rPr>
        <w:footnoteReference w:id="2293"/>
      </w:r>
      <w:r>
        <w:rPr>
          <w:rFonts w:ascii="IRNazanin" w:hAnsi="IRNazanin" w:eastAsia="IRNazanin"/>
          <w:color w:val="111111"/>
          <w:sz w:val="28"/>
          <w:sz w:val="28"/>
          <w:szCs w:val="28"/>
          <w:rtl w:val="true"/>
          <w:lang w:bidi="fa-IR"/>
        </w:rPr>
        <w:t>، و عند الشیخین</w:t>
      </w:r>
      <w:r>
        <w:rPr>
          <w:rStyle w:val="FootnoteAnchor"/>
          <w:rtl w:val="true"/>
        </w:rPr>
        <w:footnoteReference w:id="2294"/>
      </w:r>
      <w:r>
        <w:rPr>
          <w:rFonts w:ascii="IRNazanin" w:hAnsi="IRNazanin" w:eastAsia="IRNazanin"/>
          <w:color w:val="111111"/>
          <w:sz w:val="28"/>
          <w:sz w:val="28"/>
          <w:szCs w:val="28"/>
          <w:rtl w:val="true"/>
          <w:lang w:bidi="fa-IR"/>
        </w:rPr>
        <w:t>و أتباعهما، یختصّ به کلالة الأب</w:t>
      </w:r>
      <w:r>
        <w:rPr>
          <w:rStyle w:val="FootnoteAnchor"/>
          <w:rtl w:val="true"/>
        </w:rPr>
        <w:footnoteReference w:id="2295"/>
      </w:r>
      <w:r>
        <w:rPr>
          <w:rFonts w:ascii="IRNazanin" w:hAnsi="IRNazanin" w:eastAsia="IRNazanin"/>
          <w:color w:val="111111"/>
          <w:sz w:val="28"/>
          <w:sz w:val="28"/>
          <w:szCs w:val="28"/>
          <w:rtl w:val="true"/>
          <w:lang w:bidi="fa-IR"/>
        </w:rPr>
        <w:t>؛ لروایة محمّد بن مسلم عن الباقر علیه‌السّلام</w:t>
      </w:r>
      <w:r>
        <w:rPr>
          <w:rStyle w:val="FootnoteAnchor"/>
          <w:rtl w:val="true"/>
        </w:rPr>
        <w:footnoteReference w:id="2296"/>
      </w:r>
      <w:r>
        <w:rPr>
          <w:rFonts w:ascii="IRNazanin" w:hAnsi="IRNazanin" w:eastAsia="IRNazanin"/>
          <w:color w:val="111111"/>
          <w:sz w:val="28"/>
          <w:sz w:val="28"/>
          <w:szCs w:val="28"/>
          <w:rtl w:val="true"/>
          <w:lang w:bidi="fa-IR"/>
        </w:rPr>
        <w:t>، و هو الأقرب</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للزوج أو الزوجة، النصیب الأعلی، و لکلالة الأُمّ، سدس الأصل أو ثلثه، و الباقی لکلالة الأب ذکوراً کانوا أو إناثاً و لا عول هنا، کما لا عول فی اجتماع الزوج أو الزوجة مع البنات، و لا تعصیب عندنا بحال</w:t>
      </w:r>
      <w:r>
        <w:rPr>
          <w:rFonts w:eastAsia="IRNazanin" w:cs="IRNazanin"/>
          <w:color w:val="111111"/>
          <w:sz w:val="28"/>
          <w:szCs w:val="28"/>
          <w:rtl w:val="true"/>
          <w:lang w:bidi="fa-IR"/>
        </w:rPr>
        <w:t>.</w:t>
      </w:r>
    </w:p>
    <w:p>
      <w:pPr>
        <w:pStyle w:val="Heading3"/>
        <w:numPr>
          <w:ilvl w:val="2"/>
          <w:numId w:val="1"/>
        </w:numPr>
        <w:rPr/>
      </w:pPr>
      <w:bookmarkStart w:id="313" w:name="__RefHeading___Toc2071419_3830689328"/>
      <w:bookmarkStart w:id="314" w:name="_Toc104"/>
      <w:bookmarkEnd w:id="313"/>
      <w:r>
        <w:rPr>
          <w:rtl w:val="true"/>
        </w:rPr>
        <w:t xml:space="preserve">درس </w:t>
      </w:r>
      <w:r>
        <w:rPr>
          <w:rtl w:val="true"/>
        </w:rPr>
        <w:t>(</w:t>
      </w:r>
      <w:r>
        <w:rPr/>
        <w:t>191</w:t>
      </w:r>
      <w:r>
        <w:rPr>
          <w:rtl w:val="true"/>
        </w:rPr>
        <w:t>)</w:t>
      </w:r>
      <w:bookmarkEnd w:id="314"/>
    </w:p>
    <w:p>
      <w:pPr>
        <w:pStyle w:val="BookText"/>
        <w:rPr/>
      </w:pPr>
      <w:r>
        <w:rPr>
          <w:rFonts w:ascii="IRNazanin" w:hAnsi="IRNazanin" w:eastAsia="IRNazanin"/>
          <w:color w:val="111111"/>
          <w:sz w:val="28"/>
          <w:sz w:val="28"/>
          <w:szCs w:val="28"/>
          <w:rtl w:val="true"/>
          <w:lang w:bidi="fa-IR"/>
        </w:rPr>
        <w:t>للجدّ المنفرد، المال، لأب کان أو لأُمّ، و کذا الجدّة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اجتمعا من طرف واحد، تقاسما المال، للذکر مثل حظّ الأُنثیین إن کانا لأب، و بالسویّة إن کانا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من طرفین، فللجدّ للأُمّ أو الجدّة أو لهما، الثلث بینهما بالسویّة، و للجدّ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الجدّة للأب أو لهما، الثلثان بالتفاوت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الحسن</w:t>
      </w:r>
      <w:r>
        <w:rPr>
          <w:rStyle w:val="FootnoteAnchor"/>
          <w:rtl w:val="true"/>
        </w:rPr>
        <w:footnoteReference w:id="2298"/>
      </w:r>
      <w:r>
        <w:rPr>
          <w:rFonts w:ascii="Amiri" w:hAnsi="Amiri" w:eastAsia="Amiri" w:cs="Amiri"/>
          <w:color w:val="111111"/>
          <w:sz w:val="28"/>
          <w:sz w:val="28"/>
          <w:szCs w:val="28"/>
          <w:rtl w:val="true"/>
          <w:lang w:bidi="ar-SA"/>
        </w:rPr>
        <w:t xml:space="preserve">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 جدّته أُمّ أُمّه، و جدّته أُمّ أبیه، فلأُمّ الأُمّ، السدس، و لأُمّ الأب، النصف، و الباقی ردّ</w:t>
      </w:r>
      <w:r>
        <w:rPr>
          <w:rStyle w:val="FootnoteAnchor"/>
          <w:rtl w:val="true"/>
        </w:rPr>
        <w:footnoteReference w:id="2299"/>
      </w:r>
      <w:r>
        <w:rPr>
          <w:rFonts w:ascii="Amiri" w:hAnsi="Amiri" w:eastAsia="Amiri" w:cs="Amiri"/>
          <w:color w:val="111111"/>
          <w:sz w:val="28"/>
          <w:sz w:val="28"/>
          <w:szCs w:val="28"/>
          <w:rtl w:val="true"/>
          <w:lang w:bidi="ar-SA"/>
        </w:rPr>
        <w:t>علیهما بالنسبة، کمن ترک أُختاً لأب و أُمّ، و أُختاً لأُمّ</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للجدّ من الأُمّ مع الجدّ للأب أو الأخ للأب، السدس، و الباقی للجدّ للأب أو الأخ</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 جدّته أُمّ أُمّه، و أُخته للأبوین، فللجدّة، السدس</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الحلبیّان</w:t>
      </w:r>
      <w:r>
        <w:rPr>
          <w:rStyle w:val="FootnoteAnchor"/>
          <w:rtl w:val="true"/>
        </w:rPr>
        <w:footnoteReference w:id="2303"/>
      </w:r>
      <w:r>
        <w:rPr>
          <w:rFonts w:ascii="Amiri" w:hAnsi="Amiri" w:eastAsia="Amiri" w:cs="Amiri"/>
          <w:color w:val="111111"/>
          <w:sz w:val="28"/>
          <w:sz w:val="28"/>
          <w:szCs w:val="28"/>
          <w:rtl w:val="true"/>
          <w:lang w:bidi="ar-SA"/>
        </w:rPr>
        <w:t xml:space="preserve">و الکیدریّ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أو الجدّة للأُمّ، السدس، و لهما الثلث بالسویّة</w:t>
      </w:r>
      <w:r>
        <w:rPr>
          <w:rStyle w:val="FootnoteAnchor"/>
          <w:rtl w:val="true"/>
        </w:rPr>
        <w:footnoteReference w:id="2304"/>
      </w:r>
      <w:r>
        <w:rPr>
          <w:rFonts w:ascii="IRNazanin" w:hAnsi="IRNazanin" w:eastAsia="IRNazanin"/>
          <w:color w:val="111111"/>
          <w:sz w:val="28"/>
          <w:sz w:val="28"/>
          <w:szCs w:val="28"/>
          <w:rtl w:val="true"/>
          <w:lang w:bidi="fa-IR"/>
        </w:rPr>
        <w:t>،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جامعهم أحد الزوجین، أخذ نصیبه الأعلی، و للجدّ أو الجدّة أو هما</w:t>
      </w:r>
      <w:r>
        <w:rPr>
          <w:rStyle w:val="FootnoteAnchor"/>
          <w:rtl w:val="true"/>
        </w:rPr>
        <w:footnoteReference w:id="2305"/>
      </w:r>
      <w:r>
        <w:rPr>
          <w:rFonts w:ascii="IRNazanin" w:hAnsi="IRNazanin" w:eastAsia="IRNazanin"/>
          <w:color w:val="111111"/>
          <w:sz w:val="28"/>
          <w:sz w:val="28"/>
          <w:szCs w:val="28"/>
          <w:rtl w:val="true"/>
          <w:lang w:bidi="fa-IR"/>
        </w:rPr>
        <w:t>من الأُمّ، ثلث الأصل، و الباقی للمتقرّب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 الأجداد الدنیا من علا من الأجداد، و یقومون مقامهم عند عدمهم، الأقرب إلی المیّت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یمنعون مَن یتقرّب بهم من الأعمام و الأخوال</w:t>
      </w:r>
    </w:p>
    <w:p>
      <w:pPr>
        <w:pStyle w:val="BookText"/>
        <w:rPr/>
      </w:pPr>
      <w:r>
        <w:rPr>
          <w:rFonts w:ascii="IRNazanin" w:hAnsi="IRNazanin" w:eastAsia="IRNazanin"/>
          <w:color w:val="111111"/>
          <w:sz w:val="28"/>
          <w:sz w:val="28"/>
          <w:szCs w:val="28"/>
          <w:rtl w:val="true"/>
          <w:lang w:bidi="fa-IR"/>
        </w:rPr>
        <w:t>و إن بعد الأجداد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للمیّت فی المرتبة الأُولی أربعة أجداد، و فی الثانیة ثمانیة، و فی الثالثة ستّة عشر، و علی هذا فلو خلّف الثمانیة، فلقرابة الأُمّ، الثلث بینهم بالسویّة، و لقرابة </w:t>
      </w:r>
    </w:p>
    <w:p>
      <w:pPr>
        <w:pStyle w:val="BookText"/>
        <w:rPr/>
      </w:pPr>
      <w:r>
        <w:rPr>
          <w:rFonts w:ascii="IRNazanin" w:hAnsi="IRNazanin" w:eastAsia="IRNazanin"/>
          <w:color w:val="111111"/>
          <w:sz w:val="28"/>
          <w:sz w:val="28"/>
          <w:szCs w:val="28"/>
          <w:rtl w:val="true"/>
          <w:lang w:bidi="fa-IR"/>
        </w:rPr>
        <w:t>الأب، الثلثان، لأبوی أب الأب، الثلثان بینهما أثلاثاً، و لأبوی أُمّ الأب، الثلث بینهما</w:t>
      </w:r>
    </w:p>
    <w:p>
      <w:pPr>
        <w:pStyle w:val="BookText"/>
        <w:rPr/>
      </w:pPr>
      <w:r>
        <w:rPr>
          <w:rFonts w:ascii="IRNazanin" w:hAnsi="IRNazanin" w:eastAsia="IRNazanin"/>
          <w:color w:val="111111"/>
          <w:sz w:val="28"/>
          <w:sz w:val="28"/>
          <w:szCs w:val="28"/>
          <w:rtl w:val="true"/>
          <w:lang w:bidi="fa-IR"/>
        </w:rPr>
        <w:t>أثلاثاً، قاله الشیخ</w:t>
      </w:r>
      <w:r>
        <w:rPr>
          <w:rStyle w:val="FootnoteAnchor"/>
          <w:rtl w:val="true"/>
        </w:rPr>
        <w:footnoteReference w:id="2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فسهام أقرباء الأُمّ أربعة، و سهام أقرباء الأب تسعة، و أصلها ثلاثة تنکسر علی الفریقین، و لا وفق، فتضرب أربعة فی تسعة، ثمّ فی ثلاثة تبلغ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معین الدین سالم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الثلث لأبوی أُمّ الأُمّ بالسویّة، و ثلثاه لأبوی أب الأُمّ بالسویّة، و ثلث الثلثین لأبوی أُمّ الأب بالسویّة، و ثلثاهما</w:t>
      </w:r>
    </w:p>
    <w:p>
      <w:pPr>
        <w:pStyle w:val="BookText"/>
        <w:rPr/>
      </w:pPr>
      <w:r>
        <w:rPr>
          <w:rFonts w:ascii="IRNazanin" w:hAnsi="IRNazanin" w:eastAsia="IRNazanin"/>
          <w:color w:val="111111"/>
          <w:sz w:val="28"/>
          <w:sz w:val="28"/>
          <w:szCs w:val="28"/>
          <w:rtl w:val="true"/>
          <w:lang w:bidi="fa-IR"/>
        </w:rPr>
        <w:t>لأبوی أبیه أثلاثاً، فسهام قرابة الأُمّ، ستّة، و سهام قرابة الأب، ثمانیة عشر، فیجتزئ</w:t>
      </w:r>
    </w:p>
    <w:p>
      <w:pPr>
        <w:pStyle w:val="BookText"/>
        <w:rPr/>
      </w:pPr>
      <w:r>
        <w:rPr>
          <w:rFonts w:ascii="IRNazanin" w:hAnsi="IRNazanin" w:eastAsia="IRNazanin"/>
          <w:color w:val="111111"/>
          <w:sz w:val="28"/>
          <w:sz w:val="28"/>
          <w:szCs w:val="28"/>
          <w:rtl w:val="true"/>
          <w:lang w:bidi="fa-IR"/>
        </w:rPr>
        <w:t>بها و تضرب فی أصل المسألة تبلغ أربعة و خمسین و منها تصحّ</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زین الدین محمّد بن القاسم البرزهیّ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الثلث لأبوی أُمّ الأُمّ بالسویّة، و ثلثا الثلث لأبوی أب الأُمّ أثلاثاً، و صحّتها أیضاً من أربعة و خمسین</w:t>
      </w:r>
      <w:r>
        <w:rPr>
          <w:rStyle w:val="FootnoteAnchor"/>
          <w:rtl w:val="true"/>
        </w:rPr>
        <w:footnoteReference w:id="2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یجتمع فی الجدّ الواحد قرابة الأبوین، فیکون له نصیب الجدّین، و یرث معه المنفرد بإحدی القرابتین إذا کان فی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الجدّ للأب خاصّة ؛ إذ لیس کالإخوة فی منع کلالة الأبوین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الإخوة و الأجداد، فالأخ للأُمّ کالجدّ من قبلها، و کذا الأُخت</w:t>
      </w:r>
    </w:p>
    <w:p>
      <w:pPr>
        <w:pStyle w:val="BookText"/>
        <w:rPr/>
      </w:pPr>
      <w:r>
        <w:rPr>
          <w:rFonts w:ascii="IRNazanin" w:hAnsi="IRNazanin" w:eastAsia="IRNazanin"/>
          <w:color w:val="111111"/>
          <w:sz w:val="28"/>
          <w:sz w:val="28"/>
          <w:szCs w:val="28"/>
          <w:rtl w:val="true"/>
          <w:lang w:bidi="fa-IR"/>
        </w:rPr>
        <w:t>کالجدّة، و الأخ للأب کالجدّ من قبله، و کذا الأُخت للأب، فلقرابة الأُمّ من الإخوة و الأجداد، الثلث بینهم بالسویّة، و لقرابة الأب، الثلثان بینهم بالتفاوت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 الإخوة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للأب مقام الإخوة للأب و الأُمّ عند فقدهم</w:t>
      </w:r>
      <w:r>
        <w:rPr>
          <w:rFonts w:eastAsia="Amiri" w:cs="Amiri" w:ascii="Amiri" w:hAnsi="Amiri"/>
          <w:color w:val="111111"/>
          <w:sz w:val="28"/>
          <w:szCs w:val="28"/>
          <w:rtl w:val="true"/>
          <w:lang w:bidi="ar-SA"/>
        </w:rPr>
        <w:t xml:space="preserve">. </w:t>
      </w:r>
      <w:bookmarkStart w:id="315" w:name="pg13665_219339"/>
    </w:p>
    <w:p>
      <w:pPr>
        <w:pStyle w:val="BookText"/>
        <w:rPr/>
      </w:pPr>
      <w:bookmarkEnd w:id="315"/>
      <w:r>
        <w:rPr>
          <w:rFonts w:ascii="IRNazanin" w:hAnsi="IRNazanin" w:eastAsia="IRNazanin"/>
          <w:color w:val="111111"/>
          <w:sz w:val="28"/>
          <w:sz w:val="28"/>
          <w:szCs w:val="28"/>
          <w:rtl w:val="true"/>
          <w:lang w:bidi="fa-IR"/>
        </w:rPr>
        <w:t xml:space="preserve">و لو خلّف جدّاً أو جدّةً أو إیّاهما لأُمّ مع أخ أو إخوة لأب و أُمّ، فللجدودة، الثلث، و الباقی للإخوة، و لو کانت أُختاً واحدة للأبوین، و لو کانت للأب، فالأقرب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نّها کذلک، و یمکن انسحاب الخلاف السابق</w:t>
      </w:r>
      <w:r>
        <w:rPr>
          <w:rStyle w:val="FootnoteAnchor"/>
          <w:rtl w:val="true"/>
        </w:rPr>
        <w:footnoteReference w:id="2309"/>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خلّف أخاً أو اُختاً لأُمّ و جدّاً أو جدّةً أو إیّاهما لأب، فللواحد من کلالة الأُمّ السدس، و الباقی للجدودة، و یقاسم الأجداد و إن علوا الإخوة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یمنع کلّ طبقة من فوقها و لا یمنعهم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أولاد الإخوة مقام آبائهم عند عدمهم، فیرث کلّ نصیب مَن یتقرّب به، فلولد الأُخت نصیب أُمّه اتّحد أو تعدّد ذکراً کان أو أُنثی، و لولد الأخ نصیب أبیه</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 أولاد کلالة الأب و الأُمّ أولاد کلالة الأب، و یقومون مقامهم عند عدمهم، و یقاسمون الأجداد کآبائهم و إن علوا و سفل أولاد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میراث لابن الأخ من الأبوین مع الأخ للأُمّ، و لا لابن ابن الأخ من الأبوین مع ابن أخ لأُمّ، خلافاً للفضل فی المسألتین ؛ لاجتماع السببین</w:t>
      </w:r>
      <w:r>
        <w:rPr>
          <w:rStyle w:val="FootnoteAnchor"/>
          <w:rtl w:val="true"/>
        </w:rPr>
        <w:footnoteReference w:id="2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بتفاوت الدرجتین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القسمة بین أولاد الإخوة للأبوین أو للأب، للذکر مثل حظّ الأُنثیین، و القسمة بین أولاد الإخوة للأُمّ بالسویّة</w:t>
      </w:r>
      <w:r>
        <w:rPr>
          <w:rFonts w:eastAsia="IRNazanin" w:cs="IRNazanin"/>
          <w:color w:val="111111"/>
          <w:sz w:val="28"/>
          <w:szCs w:val="28"/>
          <w:rtl w:val="true"/>
          <w:lang w:bidi="fa-IR"/>
        </w:rPr>
        <w:t>.</w:t>
      </w:r>
    </w:p>
    <w:p>
      <w:pPr>
        <w:pStyle w:val="Heading3"/>
        <w:numPr>
          <w:ilvl w:val="2"/>
          <w:numId w:val="1"/>
        </w:numPr>
        <w:rPr/>
      </w:pPr>
      <w:bookmarkStart w:id="316" w:name="__RefHeading___Toc2071421_3830689328"/>
      <w:bookmarkStart w:id="317" w:name="_Toc105"/>
      <w:bookmarkEnd w:id="316"/>
      <w:r>
        <w:rPr>
          <w:rtl w:val="true"/>
        </w:rPr>
        <w:t xml:space="preserve">درس </w:t>
      </w:r>
      <w:r>
        <w:rPr>
          <w:rtl w:val="true"/>
        </w:rPr>
        <w:t>(</w:t>
      </w:r>
      <w:r>
        <w:rPr/>
        <w:t>192</w:t>
      </w:r>
      <w:r>
        <w:rPr>
          <w:rtl w:val="true"/>
        </w:rPr>
        <w:t>)</w:t>
      </w:r>
      <w:bookmarkEnd w:id="317"/>
    </w:p>
    <w:p>
      <w:pPr>
        <w:pStyle w:val="BookText"/>
        <w:rPr/>
      </w:pPr>
      <w:r>
        <w:rPr>
          <w:rFonts w:ascii="IRNazanin" w:hAnsi="IRNazanin" w:eastAsia="IRNazanin"/>
          <w:color w:val="111111"/>
          <w:sz w:val="28"/>
          <w:sz w:val="28"/>
          <w:szCs w:val="28"/>
          <w:rtl w:val="true"/>
          <w:lang w:bidi="fa-IR"/>
        </w:rPr>
        <w:t>فی الأعمام و الأخوال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أُولو الأرحام، و إنّما یرثون مع فقد الإخوة و بنیهم، و الأجداد فصاعداً، </w:t>
      </w:r>
    </w:p>
    <w:p>
      <w:pPr>
        <w:pStyle w:val="BookText"/>
        <w:rPr/>
      </w:pPr>
      <w:r>
        <w:rPr>
          <w:rFonts w:ascii="Amiri" w:hAnsi="Amiri" w:eastAsia="Amiri" w:cs="Amiri"/>
          <w:color w:val="111111"/>
          <w:sz w:val="28"/>
          <w:sz w:val="28"/>
          <w:szCs w:val="28"/>
          <w:rtl w:val="true"/>
          <w:lang w:bidi="ar-SA"/>
        </w:rPr>
        <w:t>و عن الفضل أ نّه لو خلّف خالاً و جدّة لأُمّ، اقتسما المال نصفین</w:t>
      </w:r>
      <w:r>
        <w:rPr>
          <w:rStyle w:val="FootnoteAnchor"/>
          <w:rtl w:val="true"/>
        </w:rPr>
        <w:footnoteReference w:id="2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ترک جدّته و عمّته و خالته، فالمال للجدّة، و نقل عن یونس مشارکة العمّة و الخالة، و أ نّه جعل العمّة تساوی الجدّ، و غلّطه فی ذلک، و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خلّف عمّاً و ابن أخ، اقتسما المال نصفین</w:t>
      </w:r>
      <w:r>
        <w:rPr>
          <w:rStyle w:val="FootnoteAnchor"/>
          <w:rtl w:val="true"/>
        </w:rPr>
        <w:footnoteReference w:id="2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 أو</w:t>
      </w:r>
      <w:r>
        <w:rPr>
          <w:rStyle w:val="FootnoteAnchor"/>
          <w:rtl w:val="true"/>
        </w:rPr>
        <w:footnoteReference w:id="2313"/>
      </w:r>
      <w:r>
        <w:rPr>
          <w:rFonts w:ascii="IRNazanin" w:hAnsi="IRNazanin" w:eastAsia="IRNazanin"/>
          <w:color w:val="111111"/>
          <w:sz w:val="28"/>
          <w:sz w:val="28"/>
          <w:szCs w:val="28"/>
          <w:rtl w:val="true"/>
          <w:lang w:bidi="fa-IR"/>
        </w:rPr>
        <w:t>العمّة أو أکثر من قبل أب أو أُمّ المال بالسویّة إذا کانوا من قبل الأُمّ، و بالتفاوت إذا کانوا من قبل الأبوین أو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 قرابة الأب إلاّ مع عدم قرابة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قرابة الأُمّ مع قرابة الأب، فلقرابة الأُمّ، السدس إن کان واحداً عمّاً کان أو عمّة، و الثلث إن کانوا أکثر بالسویّة، و لقرابة الأبوین أو الأب، الثلثان عمّاً</w:t>
      </w:r>
    </w:p>
    <w:p>
      <w:pPr>
        <w:pStyle w:val="BookText"/>
        <w:rPr/>
      </w:pPr>
      <w:r>
        <w:rPr>
          <w:rFonts w:ascii="IRNazanin" w:hAnsi="IRNazanin" w:eastAsia="IRNazanin"/>
          <w:color w:val="111111"/>
          <w:sz w:val="28"/>
          <w:sz w:val="28"/>
          <w:szCs w:val="28"/>
          <w:rtl w:val="true"/>
          <w:lang w:bidi="fa-IR"/>
        </w:rPr>
        <w:t>کان أو عمّة أو أکثر بالتفاوت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خلّف کلالة الأُمّ مع عمّة الأب</w:t>
      </w:r>
      <w:r>
        <w:rPr>
          <w:rStyle w:val="FootnoteAnchor"/>
          <w:rtl w:val="true"/>
        </w:rPr>
        <w:footnoteReference w:id="2314"/>
      </w:r>
      <w:r>
        <w:rPr>
          <w:rFonts w:ascii="IRNazanin" w:hAnsi="IRNazanin" w:eastAsia="IRNazanin"/>
          <w:color w:val="111111"/>
          <w:sz w:val="28"/>
          <w:sz w:val="28"/>
          <w:szCs w:val="28"/>
          <w:rtl w:val="true"/>
          <w:lang w:bidi="fa-IR"/>
        </w:rPr>
        <w:t>، فلها الفاضل عن السدس أو الثلث،</w:t>
      </w:r>
    </w:p>
    <w:p>
      <w:pPr>
        <w:pStyle w:val="BookText"/>
        <w:rPr/>
      </w:pPr>
      <w:r>
        <w:rPr>
          <w:rFonts w:ascii="IRNazanin" w:hAnsi="IRNazanin" w:eastAsia="IRNazanin"/>
          <w:color w:val="111111"/>
          <w:sz w:val="28"/>
          <w:sz w:val="28"/>
          <w:szCs w:val="28"/>
          <w:rtl w:val="true"/>
          <w:lang w:bidi="fa-IR"/>
        </w:rPr>
        <w:t>و لا ینسحب الخلاف فی الأُخت للأب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جامعهم أحد الزوجین، أخذ نصیبه الأعلی، و لقرابة الأُمّ، ثلث الأصل أو سدسه بحسب التعدّد و الوحدة، و الباقی لقرابة الأبوین، و مع عدمهم، فلقرابة الأب، و القسمة بینهم مع التعدّد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للخال المنفرد، المال، و کذا الخالة لأب کان أو لأُمّ، و للمتعدّد، المال بالسویّة لأب کانوا أو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الکلالتان، فللمتقرّب بالأُمّ، السدس إن کان واحداً، و الثلث إن کان أکثر بالسویّة و إن کانوا ذکوراً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للمتقرّب بالأبوین أو بالأب مع عدمهم،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الباقی، واحداً کان أو أکثر بالسویّة و إن کانوا ذکوراً و إناثاً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الشیخ </w:t>
      </w:r>
    </w:p>
    <w:p>
      <w:pPr>
        <w:pStyle w:val="BookText"/>
        <w:rPr/>
      </w:pPr>
      <w:r>
        <w:rPr>
          <w:rFonts w:ascii="IRNazanin" w:hAnsi="IRNazanin" w:eastAsia="IRNazanin"/>
          <w:color w:val="111111"/>
          <w:sz w:val="28"/>
          <w:sz w:val="28"/>
          <w:szCs w:val="28"/>
          <w:rtl w:val="true"/>
          <w:lang w:bidi="fa-IR"/>
        </w:rPr>
        <w:t>فی الخلاف عن بعض الأصحاب أ نّهم یقتسمونه للذکر ضعف الأُنثی</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هناک أحد الزوجین، فله نصیبه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الأخوال من جهة واحدة، فالباقی لهم بالسویّة کیف کانوا، و إن کانوا متفرّقین، سقط کلالة الأب مع کلالة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 کلالة الأُمّ، سدس الثلث</w:t>
      </w:r>
      <w:r>
        <w:rPr>
          <w:rStyle w:val="FootnoteAnchor"/>
          <w:rtl w:val="true"/>
        </w:rPr>
        <w:footnoteReference w:id="2316"/>
      </w:r>
      <w:r>
        <w:rPr>
          <w:rFonts w:ascii="IRNazanin" w:hAnsi="IRNazanin" w:eastAsia="IRNazanin"/>
          <w:color w:val="111111"/>
          <w:sz w:val="28"/>
          <w:sz w:val="28"/>
          <w:szCs w:val="28"/>
          <w:rtl w:val="true"/>
          <w:lang w:bidi="fa-IR"/>
        </w:rPr>
        <w:t>إن کان واحداً، و ثلثه إن کان</w:t>
      </w:r>
      <w:r>
        <w:rPr>
          <w:rStyle w:val="FootnoteAnchor"/>
          <w:rtl w:val="true"/>
        </w:rPr>
        <w:footnoteReference w:id="2317"/>
      </w:r>
      <w:r>
        <w:rPr>
          <w:rFonts w:ascii="IRNazanin" w:hAnsi="IRNazanin" w:eastAsia="IRNazanin"/>
          <w:color w:val="111111"/>
          <w:sz w:val="28"/>
          <w:sz w:val="28"/>
          <w:szCs w:val="28"/>
          <w:rtl w:val="true"/>
          <w:lang w:bidi="fa-IR"/>
        </w:rPr>
        <w:t>أکثر، و الباقی لکلالة الأبوین، فلو خلّفت زوجها و خالاً من الأُمّ و خالاً من الأبوین، فللزوج النصف، و للخال للأُمّ سدس الثلث، و نقل أ نّه یأخذ سدس الباقی</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یفهم من کلام الأصحاب أنّ للخال للأُمّ بعد نصیب الزوجیّة، سدس الأصل إن اتّحد، و ثلثه إن تعدّد، کما لو لم یکن هناک زوج و لا زوجة</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اجتمع الأخوال و الأعمام، فللأخوال الثلث، و کذا لو کان واحداً، و للأعمام الثلثان، و کذا لو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متفرّقین، فللأخوال من جهة الأُمّ ثلث الثلث،</w:t>
      </w:r>
    </w:p>
    <w:p>
      <w:pPr>
        <w:pStyle w:val="BookText"/>
        <w:rPr/>
      </w:pPr>
      <w:r>
        <w:rPr>
          <w:rFonts w:ascii="IRNazanin" w:hAnsi="IRNazanin" w:eastAsia="IRNazanin"/>
          <w:color w:val="111111"/>
          <w:sz w:val="28"/>
          <w:sz w:val="28"/>
          <w:szCs w:val="28"/>
          <w:rtl w:val="true"/>
          <w:lang w:bidi="fa-IR"/>
        </w:rPr>
        <w:t>و إن کان واحداً، فله سدس الثلث، و الباقی من الثلث للأخوال من جهة الأب، و کذا إن کان واحداً، و الثلثان للأعمام، فللمتقرّب بالأُمّ، سدس الثلثین إن کان واحداً، و ثلثهما إن کان أکثر بالسویّة و إن اختلفوا فی الذکوریّة و الأُنوثیّة، و الباقی للأعمام</w:t>
      </w:r>
    </w:p>
    <w:p>
      <w:pPr>
        <w:pStyle w:val="BookText"/>
        <w:rPr/>
      </w:pPr>
      <w:r>
        <w:rPr>
          <w:rFonts w:ascii="IRNazanin" w:hAnsi="IRNazanin" w:eastAsia="IRNazanin"/>
          <w:color w:val="111111"/>
          <w:sz w:val="28"/>
          <w:sz w:val="28"/>
          <w:szCs w:val="28"/>
          <w:rtl w:val="true"/>
          <w:lang w:bidi="fa-IR"/>
        </w:rPr>
        <w:t>المتقرّبین بالأبوین بالتفاوت، و لو عدموا، قام مقامهم قرابة الأب، و کذا فی الأخوال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للزوج أو الزوجة مع الأعمام و</w:t>
      </w:r>
      <w:r>
        <w:rPr>
          <w:rStyle w:val="FootnoteAnchor"/>
          <w:rtl w:val="true"/>
        </w:rPr>
        <w:footnoteReference w:id="2320"/>
      </w:r>
      <w:r>
        <w:rPr>
          <w:rFonts w:ascii="IRNazanin" w:hAnsi="IRNazanin" w:eastAsia="IRNazanin"/>
          <w:color w:val="111111"/>
          <w:sz w:val="28"/>
          <w:sz w:val="28"/>
          <w:szCs w:val="28"/>
          <w:rtl w:val="true"/>
          <w:lang w:bidi="fa-IR"/>
        </w:rPr>
        <w:t xml:space="preserve">الأخوال، النصیب الأعلی، و للأخوال، ثلث </w:t>
      </w:r>
    </w:p>
    <w:p>
      <w:pPr>
        <w:pStyle w:val="BookText"/>
        <w:rPr/>
      </w:pPr>
      <w:r>
        <w:rPr>
          <w:rFonts w:ascii="IRNazanin" w:hAnsi="IRNazanin" w:eastAsia="IRNazanin"/>
          <w:color w:val="111111"/>
          <w:sz w:val="28"/>
          <w:sz w:val="28"/>
          <w:szCs w:val="28"/>
          <w:rtl w:val="true"/>
          <w:lang w:bidi="fa-IR"/>
        </w:rPr>
        <w:t>الأصل و کذا لو کان واحداً، و للأعمام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تفرّقت الخؤولة و العمومة، فللمتقرّب بالأُمّ من الخؤولة، سدس الثلث إن کان واحداً، و ثلثه إن کانوا</w:t>
      </w:r>
      <w:r>
        <w:rPr>
          <w:rStyle w:val="FootnoteAnchor"/>
          <w:rtl w:val="true"/>
        </w:rPr>
        <w:footnoteReference w:id="2321"/>
      </w:r>
      <w:r>
        <w:rPr>
          <w:rFonts w:ascii="IRNazanin" w:hAnsi="IRNazanin" w:eastAsia="IRNazanin"/>
          <w:color w:val="111111"/>
          <w:sz w:val="28"/>
          <w:sz w:val="28"/>
          <w:szCs w:val="28"/>
          <w:rtl w:val="true"/>
          <w:lang w:bidi="fa-IR"/>
        </w:rPr>
        <w:t>أکثر، و الباقی للمتقرّب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للمتقرّب بالأُمّ من العمومة، سدس الثلثین إن کان واحداً، و ثلثه إن کانوا أکثر بالسویّة</w:t>
      </w:r>
      <w:r>
        <w:rPr>
          <w:rStyle w:val="FootnoteAnchor"/>
          <w:rtl w:val="true"/>
        </w:rPr>
        <w:footnoteReference w:id="2322"/>
      </w:r>
      <w:r>
        <w:rPr>
          <w:rFonts w:ascii="IRNazanin" w:hAnsi="IRNazanin" w:eastAsia="IRNazanin"/>
          <w:color w:val="111111"/>
          <w:sz w:val="28"/>
          <w:sz w:val="28"/>
          <w:szCs w:val="28"/>
          <w:rtl w:val="true"/>
          <w:lang w:bidi="fa-IR"/>
        </w:rPr>
        <w:t>، و الباقی للمتقرّب بالأبوین، و مع عدمهم للمتقرّب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أولاد الأخوال و الأعمام مقام آبائهم و أُمّهاتهم، و یقتسمون کما کان یقتسم آباؤهم، و لکلّ نصیب مَن یتقرّب به، و الأقرب منهم یمنع الأبعد و إن لم یکن من صنفه، فابن الخال أولی من ابن ابن العمّ، و ابن العمّ أولی من ابن ابن الخال، و الخال أولی من بنی العمّ، و العمّ أولی من بنی الخال، کما أنّ العمّ أولی من ابن العمّ</w:t>
      </w:r>
    </w:p>
    <w:p>
      <w:pPr>
        <w:pStyle w:val="BookText"/>
        <w:rPr/>
      </w:pPr>
      <w:r>
        <w:rPr>
          <w:rFonts w:ascii="IRNazanin" w:hAnsi="IRNazanin" w:eastAsia="IRNazanin"/>
          <w:color w:val="111111"/>
          <w:sz w:val="28"/>
          <w:sz w:val="28"/>
          <w:szCs w:val="28"/>
          <w:rtl w:val="true"/>
          <w:lang w:bidi="fa-IR"/>
        </w:rPr>
        <w:t>إلاّ فی المسألة الإجماعیّة</w:t>
      </w:r>
      <w:r>
        <w:rPr>
          <w:rStyle w:val="FootnoteAnchor"/>
          <w:rtl w:val="true"/>
        </w:rPr>
        <w:footnoteReference w:id="2323"/>
      </w:r>
      <w:r>
        <w:rPr>
          <w:rFonts w:ascii="IRNazanin" w:hAnsi="IRNazanin" w:eastAsia="IRNazanin"/>
          <w:color w:val="111111"/>
          <w:sz w:val="28"/>
          <w:sz w:val="28"/>
          <w:szCs w:val="28"/>
          <w:rtl w:val="true"/>
          <w:lang w:bidi="fa-IR"/>
        </w:rPr>
        <w:t>، و الخال أولی من ابن الخال علی الإطلاق، و أعمام المیّت و أخواله و أولادهم فنازلاً أولی من عمومة أب المیّت و عمّاته و خؤولته و خالاته، و من عمومة أُمّ المیّت و عمّاتها و خؤولتها و خالاتها، و مع عدم أولاد العمومة و الخؤولة یرث هؤلاء، و الأدنی منهم إلی المیّت و أولاده و إن نزلوا أولی من</w:t>
      </w:r>
    </w:p>
    <w:p>
      <w:pPr>
        <w:pStyle w:val="BookText"/>
        <w:rPr/>
      </w:pPr>
      <w:r>
        <w:rPr>
          <w:rFonts w:ascii="IRNazanin" w:hAnsi="IRNazanin" w:eastAsia="IRNazanin"/>
          <w:color w:val="111111"/>
          <w:sz w:val="28"/>
          <w:sz w:val="28"/>
          <w:szCs w:val="28"/>
          <w:rtl w:val="true"/>
          <w:lang w:bidi="fa-IR"/>
        </w:rPr>
        <w:t>الأعلی، فابن ابن عمّ الأب أولی من عمّ الجدّ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عمّ الأب و عمّته و خاله و خالته، و عمّ الأُمّ و عمّتها و خالها و خالتها، فالثلث لقرابة الأُمّ بالسویّة علی القول</w:t>
      </w:r>
      <w:r>
        <w:rPr>
          <w:rStyle w:val="FootnoteAnchor"/>
          <w:rtl w:val="true"/>
        </w:rPr>
        <w:footnoteReference w:id="2324"/>
      </w:r>
      <w:r>
        <w:rPr>
          <w:rFonts w:ascii="Amiri" w:hAnsi="Amiri" w:eastAsia="Amiri" w:cs="Amiri"/>
          <w:color w:val="111111"/>
          <w:sz w:val="28"/>
          <w:sz w:val="28"/>
          <w:szCs w:val="28"/>
          <w:rtl w:val="true"/>
          <w:lang w:bidi="ar-SA"/>
        </w:rPr>
        <w:t>المشهور، و الثلثان لقرابة الأب ثلثهما</w:t>
      </w:r>
    </w:p>
    <w:p>
      <w:pPr>
        <w:pStyle w:val="BookText"/>
        <w:rPr/>
      </w:pPr>
      <w:r>
        <w:rPr>
          <w:rFonts w:ascii="IRNazanin" w:hAnsi="IRNazanin" w:eastAsia="IRNazanin"/>
          <w:color w:val="111111"/>
          <w:sz w:val="28"/>
          <w:sz w:val="28"/>
          <w:szCs w:val="28"/>
          <w:rtl w:val="true"/>
          <w:lang w:bidi="fa-IR"/>
        </w:rPr>
        <w:t>للخال و الخالة بالسویّة، و ثلثاهما للعمّ و العمّة أثلاثاً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فسهام أقرباء الأُمّ أربعة، و أقرباء الأب ثمانیة عشر، و یتوافقان بالنصف، </w:t>
      </w:r>
      <w:bookmarkStart w:id="318" w:name="pg13665_219343"/>
    </w:p>
    <w:p>
      <w:pPr>
        <w:pStyle w:val="BookText"/>
        <w:rPr/>
      </w:pPr>
      <w:bookmarkEnd w:id="318"/>
      <w:r>
        <w:rPr>
          <w:rFonts w:ascii="IRNazanin" w:hAnsi="IRNazanin" w:eastAsia="IRNazanin"/>
          <w:color w:val="111111"/>
          <w:sz w:val="28"/>
          <w:sz w:val="28"/>
          <w:szCs w:val="28"/>
          <w:rtl w:val="true"/>
          <w:lang w:bidi="fa-IR"/>
        </w:rPr>
        <w:t>فتضرب نصف أحدهما فی الآخر، ثمّ الحاصل فی ثلاثة تبلغ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 الأُمّ و خالتها، ثلث الثلث بالسویّة، و ثلثاه لعمّها و عمّتها بالسویّة،</w:t>
      </w:r>
    </w:p>
    <w:p>
      <w:pPr>
        <w:pStyle w:val="BookText"/>
        <w:rPr/>
      </w:pPr>
      <w:r>
        <w:rPr>
          <w:rFonts w:ascii="IRNazanin" w:hAnsi="IRNazanin" w:eastAsia="IRNazanin"/>
          <w:color w:val="111111"/>
          <w:sz w:val="28"/>
          <w:sz w:val="28"/>
          <w:szCs w:val="28"/>
          <w:rtl w:val="true"/>
          <w:lang w:bidi="fa-IR"/>
        </w:rPr>
        <w:t>و صحّتها من أربعة و خمسین</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للأخوال الأربعة الثلث بالسویّة، و للأعمام الثلثان ثلثه لعمّ الأُمّ و عمّتها بالسویّة، و ثلثاهما لعمّ الأب و عمّته أثلاثاً، و صحّتها من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یجتمع للوارث سببان فصاعداً فیرث بالجمیع، کعمّ هو خال و ابن عمّ هو ابن خال، و لو منع أحدهما الآخر، ورث بالمانع، کأخ هو ابن عمّ</w:t>
      </w:r>
      <w:r>
        <w:rPr>
          <w:rFonts w:eastAsia="IRNazanin" w:cs="IRNazanin"/>
          <w:color w:val="111111"/>
          <w:sz w:val="28"/>
          <w:szCs w:val="28"/>
          <w:rtl w:val="true"/>
          <w:lang w:bidi="fa-IR"/>
        </w:rPr>
        <w:t>.</w:t>
      </w:r>
    </w:p>
    <w:p>
      <w:pPr>
        <w:pStyle w:val="Heading3"/>
        <w:numPr>
          <w:ilvl w:val="2"/>
          <w:numId w:val="1"/>
        </w:numPr>
        <w:rPr/>
      </w:pPr>
      <w:bookmarkStart w:id="319" w:name="__RefHeading___Toc2071423_3830689328"/>
      <w:bookmarkStart w:id="320" w:name="_Toc106"/>
      <w:bookmarkEnd w:id="319"/>
      <w:r>
        <w:rPr>
          <w:rtl w:val="true"/>
        </w:rPr>
        <w:t xml:space="preserve">درس </w:t>
      </w:r>
      <w:r>
        <w:rPr>
          <w:rtl w:val="true"/>
        </w:rPr>
        <w:t>(</w:t>
      </w:r>
      <w:r>
        <w:rPr/>
        <w:t>193</w:t>
      </w:r>
      <w:r>
        <w:rPr>
          <w:rtl w:val="true"/>
        </w:rPr>
        <w:t>)</w:t>
      </w:r>
      <w:bookmarkEnd w:id="320"/>
    </w:p>
    <w:p>
      <w:pPr>
        <w:pStyle w:val="BookText"/>
        <w:rPr/>
      </w:pPr>
      <w:r>
        <w:rPr>
          <w:rFonts w:ascii="IRNazanin" w:hAnsi="IRNazanin" w:eastAsia="IRNazanin"/>
          <w:color w:val="111111"/>
          <w:sz w:val="28"/>
          <w:sz w:val="28"/>
          <w:szCs w:val="28"/>
          <w:rtl w:val="true"/>
          <w:lang w:bidi="fa-IR"/>
        </w:rPr>
        <w:t>فی الأسباب</w:t>
      </w:r>
    </w:p>
    <w:p>
      <w:pPr>
        <w:pStyle w:val="BookText"/>
        <w:rPr/>
      </w:pPr>
      <w:r>
        <w:rPr>
          <w:rFonts w:ascii="IRNazanin" w:hAnsi="IRNazanin" w:eastAsia="IRNazanin"/>
          <w:color w:val="111111"/>
          <w:sz w:val="28"/>
          <w:sz w:val="28"/>
          <w:szCs w:val="28"/>
          <w:rtl w:val="true"/>
          <w:lang w:bidi="fa-IR"/>
        </w:rPr>
        <w:t xml:space="preserve">فالزوجان یرثان مع جمیع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خلوا عن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 الأعلی مع فقد الولد و إن نزل ذکراً أو أُنثی، و النصیب الأدنی مع وجوده، و لا یردّ علیهما مع</w:t>
      </w:r>
    </w:p>
    <w:p>
      <w:pPr>
        <w:pStyle w:val="BookText"/>
        <w:rPr/>
      </w:pPr>
      <w:r>
        <w:rPr>
          <w:rFonts w:ascii="IRNazanin" w:hAnsi="IRNazanin" w:eastAsia="IRNazanin"/>
          <w:color w:val="111111"/>
          <w:sz w:val="28"/>
          <w:sz w:val="28"/>
          <w:szCs w:val="28"/>
          <w:rtl w:val="true"/>
          <w:lang w:bidi="fa-IR"/>
        </w:rPr>
        <w:t>وجود وارث و لو ضامن 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لم یکن سوی الزوج أو الزوجة، 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الزوج، فیأخذ النصف تسمیةً و الباقی ردّاً، و نقل المفید</w:t>
      </w:r>
      <w:r>
        <w:rPr>
          <w:rStyle w:val="FootnoteAnchor"/>
          <w:rtl w:val="true"/>
        </w:rPr>
        <w:footnoteReference w:id="2326"/>
      </w:r>
      <w:r>
        <w:rPr>
          <w:rFonts w:ascii="IRNazanin" w:hAnsi="IRNazanin" w:eastAsia="IRNazanin"/>
          <w:color w:val="111111"/>
          <w:sz w:val="28"/>
          <w:sz w:val="28"/>
          <w:szCs w:val="28"/>
          <w:rtl w:val="true"/>
          <w:lang w:bidi="fa-IR"/>
        </w:rPr>
        <w:t>و المرتضی</w:t>
      </w:r>
      <w:r>
        <w:rPr>
          <w:rStyle w:val="FootnoteAnchor"/>
          <w:rtl w:val="true"/>
        </w:rPr>
        <w:footnoteReference w:id="2327"/>
      </w:r>
      <w:r>
        <w:rPr>
          <w:rFonts w:ascii="IRNazanin" w:hAnsi="IRNazanin" w:eastAsia="IRNazanin"/>
          <w:color w:val="111111"/>
          <w:sz w:val="28"/>
          <w:sz w:val="28"/>
          <w:szCs w:val="28"/>
          <w:rtl w:val="true"/>
          <w:lang w:bidi="fa-IR"/>
        </w:rPr>
        <w:t>و الشیخ فیه الإجماع</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سلاّر وجود الخلاف فیه</w:t>
      </w:r>
      <w:r>
        <w:rPr>
          <w:rStyle w:val="FootnoteAnchor"/>
          <w:rtl w:val="true"/>
        </w:rPr>
        <w:footnoteReference w:id="2329"/>
      </w:r>
      <w:r>
        <w:rPr>
          <w:rFonts w:ascii="IRNazanin" w:hAnsi="IRNazanin" w:eastAsia="IRNazanin"/>
          <w:color w:val="111111"/>
          <w:sz w:val="28"/>
          <w:sz w:val="28"/>
          <w:szCs w:val="28"/>
          <w:rtl w:val="true"/>
          <w:lang w:bidi="fa-IR"/>
        </w:rPr>
        <w:t xml:space="preserve">؛ لموثّقة جمیل بن درّاج، عن الصادق </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الردّ علی زوج و لا زوجة</w:t>
      </w:r>
      <w:r>
        <w:rPr>
          <w:rFonts w:eastAsia="IRNazanin" w:cs="IRNazanin"/>
          <w:color w:val="111111"/>
          <w:sz w:val="28"/>
          <w:szCs w:val="28"/>
          <w:rtl w:val="true"/>
          <w:lang w:bidi="fa-IR"/>
        </w:rPr>
        <w:t>»</w:t>
      </w:r>
      <w:r>
        <w:rPr>
          <w:rStyle w:val="FootnoteAnchor"/>
          <w:rtl w:val="true"/>
        </w:rPr>
        <w:footnoteReference w:id="2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یعارضها أخبار صحاح مصرّحة بالردّ علیه</w:t>
      </w:r>
      <w:r>
        <w:rPr>
          <w:rStyle w:val="FootnoteAnchor"/>
          <w:rtl w:val="true"/>
        </w:rPr>
        <w:footnoteReference w:id="2331"/>
      </w:r>
    </w:p>
    <w:p>
      <w:pPr>
        <w:pStyle w:val="BookText"/>
        <w:rPr/>
      </w:pP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الزوجة فثالث الأقوال للصدوق</w:t>
      </w:r>
      <w:r>
        <w:rPr>
          <w:rStyle w:val="FootnoteAnchor"/>
          <w:rtl w:val="true"/>
        </w:rPr>
        <w:footnoteReference w:id="2332"/>
      </w:r>
      <w:r>
        <w:rPr>
          <w:rFonts w:ascii="IRNazanin" w:hAnsi="IRNazanin" w:eastAsia="IRNazanin"/>
          <w:color w:val="111111"/>
          <w:sz w:val="28"/>
          <w:sz w:val="28"/>
          <w:szCs w:val="28"/>
          <w:rtl w:val="true"/>
          <w:lang w:bidi="fa-IR"/>
        </w:rPr>
        <w:t xml:space="preserve">و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علیها حال الغیبة لا حال حضور الإمام</w:t>
      </w:r>
      <w:r>
        <w:rPr>
          <w:rStyle w:val="FootnoteAnchor"/>
          <w:rtl w:val="true"/>
        </w:rPr>
        <w:footnoteReference w:id="2333"/>
      </w:r>
      <w:r>
        <w:rPr>
          <w:rFonts w:ascii="IRNazanin" w:hAnsi="IRNazanin" w:eastAsia="IRNazanin"/>
          <w:color w:val="111111"/>
          <w:sz w:val="28"/>
          <w:sz w:val="28"/>
          <w:szCs w:val="28"/>
          <w:rtl w:val="true"/>
          <w:lang w:bidi="fa-IR"/>
        </w:rPr>
        <w:t xml:space="preserve">؛ جمعاً بین الأخبار، 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الردّ علیها مطلقاً، و لم یقل بالردّ علیها مطلقاً إلاّ المفید فی ظاهر کلامه</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تعدّدت الزوجة، فالحصّة مشترکة و لو زِدْنَ علی الأربع، کما فی المریض یطلّق و یتزوّج، ثمّ یدخل و یموت فی مرضه قبل مضیّ سنة و لمّا تتزوّج مطلّقته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ترث المطلّقة رجعیّة إذا مات فی العدّة و تورث، بخلاف البائنة، إلاّ أن یکون الطلاق فی المرض، فإنّها ترثه إلی سنة و لا یرثها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التوریث الدخول، إلاّ إذا کان التزویج فی المرض علی ما سلف</w:t>
      </w:r>
      <w:r>
        <w:rPr>
          <w:rStyle w:val="FootnoteAnchor"/>
          <w:rtl w:val="true"/>
        </w:rPr>
        <w:footnoteReference w:id="2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الولاء بالعتق فقد ذکر فیه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الولاء بضمان الجریرة، فهو أن یکون سائبة، کالمعتق فی نذر أو کفّارة أو حرّ الأصل، و لا یعلم له قریب فیضمن واحد جریرته فیرثه، و لا یرث المضمون الضامن، إلاّ أن یدور الضمان، و إنّما یرث مع فقد جمیع الأنساب، و مع فقد المعتق و عصبته و معتقه و مَن یمتّ</w:t>
      </w:r>
      <w:r>
        <w:rPr>
          <w:rStyle w:val="FootnoteAnchor"/>
          <w:rtl w:val="true"/>
        </w:rPr>
        <w:footnoteReference w:id="233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الإمام، فهو وارث عند عدم ضامن الجریرة، و عدم کلّ وارث إلاّ الزوجة، فمع حضوره یصنع به ما شاء، و کان أمیرالمؤمنین علیه‌السّلام یتبرّع به علی فقراء بلد المیّت، و ضعفاء جیرانه</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 غائباً قال جماعة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له بالوصاة أو الدفن إلی حین ظهوره</w:t>
      </w:r>
      <w:r>
        <w:rPr>
          <w:rStyle w:val="FootnoteAnchor"/>
          <w:rtl w:val="true"/>
        </w:rPr>
        <w:footnoteReference w:id="2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قسمته فی الفقراء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أخذه المتغلّب، فلا ضمان علی أحد، و لا یجوز دفعه إلیه إلاّ مع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سلیمان بن خالد، عن الصادق علیه‌السّلام فی المعتق سائبة و لم یتولّ أحداً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میراثه فی بیت مال المسلمین</w:t>
      </w:r>
      <w:r>
        <w:rPr>
          <w:rFonts w:eastAsia="IRNazanin" w:cs="IRNazanin"/>
          <w:color w:val="111111"/>
          <w:sz w:val="28"/>
          <w:szCs w:val="28"/>
          <w:rtl w:val="true"/>
          <w:lang w:bidi="fa-IR"/>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یعارضه روایة أبی الأحوص، عن الباقر علیه‌السّلام، أنّ میراثه للإمام</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أبوبصیر، عن الصادق علیه‌السّلام، أنّ السائبة یرثه أقرب الناس إلی الذی أعتقه و یضمن جریرته</w:t>
      </w:r>
      <w:r>
        <w:rPr>
          <w:rStyle w:val="FootnoteAnchor"/>
          <w:rtl w:val="true"/>
        </w:rPr>
        <w:footnoteReference w:id="2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یعمل علیه بل میراثه لبیت المال</w:t>
      </w:r>
      <w:r>
        <w:rPr>
          <w:rStyle w:val="FootnoteAnchor"/>
          <w:rtl w:val="true"/>
        </w:rPr>
        <w:footnoteReference w:id="2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یشعر بأ نّه لبیت مال المسلمین، کما فی الروایة، و لم أر قائلاً به من الأصحاب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مات کافر ذمّیّ أو حربیّ و لا وارث له، فمیراثه للإمام،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یختصّ </w:t>
      </w:r>
      <w:bookmarkStart w:id="321" w:name="pg13665_219346"/>
    </w:p>
    <w:p>
      <w:pPr>
        <w:pStyle w:val="BookText"/>
        <w:rPr/>
      </w:pPr>
      <w:bookmarkEnd w:id="321"/>
      <w:r>
        <w:rPr>
          <w:rFonts w:ascii="IRNazanin" w:hAnsi="IRNazanin" w:eastAsia="IRNazanin"/>
          <w:color w:val="111111"/>
          <w:sz w:val="28"/>
          <w:sz w:val="28"/>
          <w:szCs w:val="28"/>
          <w:rtl w:val="true"/>
          <w:lang w:bidi="fa-IR"/>
        </w:rPr>
        <w:t>بالإمام ما ترکه المشرکون خوفاً من غیر حرب، و ما غنمته سریّة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مال الصلح و الجزیة، فللمجاهدین، و مع عدمهم، فلفقراء المسلمین</w:t>
      </w:r>
      <w:r>
        <w:rPr>
          <w:rFonts w:eastAsia="IRNazanin" w:cs="IRNazanin"/>
          <w:color w:val="111111"/>
          <w:sz w:val="28"/>
          <w:szCs w:val="28"/>
          <w:rtl w:val="true"/>
          <w:lang w:bidi="fa-IR"/>
        </w:rPr>
        <w:t>.</w:t>
      </w:r>
    </w:p>
    <w:p>
      <w:pPr>
        <w:pStyle w:val="Heading3"/>
        <w:numPr>
          <w:ilvl w:val="2"/>
          <w:numId w:val="1"/>
        </w:numPr>
        <w:rPr/>
      </w:pPr>
      <w:bookmarkStart w:id="322" w:name="__RefHeading___Toc2071425_3830689328"/>
      <w:bookmarkStart w:id="323" w:name="_Toc107"/>
      <w:bookmarkEnd w:id="322"/>
      <w:r>
        <w:rPr>
          <w:rtl w:val="true"/>
        </w:rPr>
        <w:t xml:space="preserve">درس </w:t>
      </w:r>
      <w:r>
        <w:rPr>
          <w:rtl w:val="true"/>
        </w:rPr>
        <w:t>(</w:t>
      </w:r>
      <w:r>
        <w:rPr/>
        <w:t>194</w:t>
      </w:r>
      <w:r>
        <w:rPr>
          <w:rtl w:val="true"/>
        </w:rPr>
        <w:t>)</w:t>
      </w:r>
      <w:bookmarkEnd w:id="323"/>
    </w:p>
    <w:p>
      <w:pPr>
        <w:pStyle w:val="BookText"/>
        <w:rPr/>
      </w:pPr>
      <w:r>
        <w:rPr>
          <w:rFonts w:ascii="IRNazanin" w:hAnsi="IRNazanin" w:eastAsia="IRNazanin"/>
          <w:color w:val="111111"/>
          <w:sz w:val="28"/>
          <w:sz w:val="28"/>
          <w:szCs w:val="28"/>
          <w:rtl w:val="true"/>
          <w:lang w:bidi="fa-IR"/>
        </w:rPr>
        <w:t>فی میراث الخنثی و شبهه</w:t>
      </w:r>
    </w:p>
    <w:p>
      <w:pPr>
        <w:pStyle w:val="BookText"/>
        <w:rPr/>
      </w:pPr>
      <w:r>
        <w:rPr>
          <w:rFonts w:ascii="IRNazanin" w:hAnsi="IRNazanin" w:eastAsia="IRNazanin"/>
          <w:color w:val="111111"/>
          <w:sz w:val="28"/>
          <w:sz w:val="28"/>
          <w:szCs w:val="28"/>
          <w:rtl w:val="true"/>
          <w:lang w:bidi="fa-IR"/>
        </w:rPr>
        <w:t>مَن له ما للرجال و ما للنساء، یورّث بما یبول منه، فإن بال منهما، فبالذی یسبق منه البول، فإن سبق منهما معاً، ورث علی الذی یتأخّر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علی الذی یسبق انقطاعه</w:t>
      </w:r>
      <w:r>
        <w:rPr>
          <w:rStyle w:val="FootnoteAnchor"/>
          <w:rtl w:val="true"/>
        </w:rPr>
        <w:footnoteReference w:id="2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تساویا سبقاً و قطعاً فهو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المفید</w:t>
      </w:r>
      <w:r>
        <w:rPr>
          <w:rStyle w:val="FootnoteAnchor"/>
          <w:rtl w:val="true"/>
        </w:rPr>
        <w:footnoteReference w:id="2344"/>
      </w:r>
      <w:r>
        <w:rPr>
          <w:rFonts w:ascii="IRNazanin" w:hAnsi="IRNazanin" w:eastAsia="IRNazanin"/>
          <w:color w:val="111111"/>
          <w:sz w:val="28"/>
          <w:sz w:val="28"/>
          <w:szCs w:val="28"/>
          <w:rtl w:val="true"/>
          <w:lang w:bidi="fa-IR"/>
        </w:rPr>
        <w:t>و المرتضی</w:t>
      </w:r>
      <w:r>
        <w:rPr>
          <w:rStyle w:val="FootnoteAnchor"/>
          <w:rtl w:val="true"/>
        </w:rPr>
        <w:footnoteReference w:id="2345"/>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أضلاعه، فإن کانت ثمانی عشرة فهو أُنثی، و إن کانت سبع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 الأیمن تسع، و من</w:t>
      </w:r>
      <w:r>
        <w:rPr>
          <w:rStyle w:val="FootnoteAnchor"/>
          <w:rtl w:val="true"/>
        </w:rPr>
        <w:footnoteReference w:id="2346"/>
      </w:r>
      <w:r>
        <w:rPr>
          <w:rFonts w:ascii="IRNazanin" w:hAnsi="IRNazanin" w:eastAsia="IRNazanin"/>
          <w:color w:val="111111"/>
          <w:sz w:val="28"/>
          <w:sz w:val="28"/>
          <w:szCs w:val="28"/>
          <w:rtl w:val="true"/>
          <w:lang w:bidi="fa-IR"/>
        </w:rPr>
        <w:t>الأیسر ثمان، و ضلع ناقص صغیر، فهو الذکر</w:t>
      </w:r>
      <w:r>
        <w:rPr>
          <w:rStyle w:val="FootnoteAnchor"/>
          <w:rtl w:val="true"/>
        </w:rPr>
        <w:footnoteReference w:id="2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أنّ حوّاء خلقت من ضلع آدم الأیسر علیهماالسلام</w:t>
      </w:r>
      <w:r>
        <w:rPr>
          <w:rStyle w:val="FootnoteAnchor"/>
          <w:rtl w:val="true"/>
        </w:rPr>
        <w:footnoteReference w:id="2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فیه المفید و المرتضی الإجماع، و رواه میسرة بن شریح من قضاء أمیرالمؤمنین علیه‌السّلام</w:t>
      </w:r>
      <w:r>
        <w:rPr>
          <w:rStyle w:val="FootnoteAnchor"/>
          <w:rtl w:val="true"/>
        </w:rPr>
        <w:footnoteReference w:id="2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بالقرعة</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هناک علامة من لحیة أو بول أو حیض أو احتلام </w:t>
      </w:r>
    </w:p>
    <w:p>
      <w:pPr>
        <w:pStyle w:val="BookText"/>
        <w:rPr/>
      </w:pPr>
      <w:r>
        <w:rPr>
          <w:rFonts w:ascii="IRNazanin" w:hAnsi="IRNazanin" w:eastAsia="IRNazanin"/>
          <w:color w:val="111111"/>
          <w:sz w:val="28"/>
          <w:sz w:val="28"/>
          <w:szCs w:val="28"/>
          <w:rtl w:val="true"/>
          <w:lang w:bidi="fa-IR"/>
        </w:rPr>
        <w:t>أو جماع، و إلاّ ورث میراث رجل</w:t>
      </w:r>
      <w:r>
        <w:rPr>
          <w:rStyle w:val="FootnoteAnchor"/>
          <w:rtl w:val="true"/>
        </w:rPr>
        <w:footnoteReference w:id="2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نصف النصیبین، و ضعّفه ابن إدریس بانحصار أمره فی</w:t>
      </w:r>
    </w:p>
    <w:p>
      <w:pPr>
        <w:pStyle w:val="BookText"/>
        <w:rPr/>
      </w:pPr>
      <w:r>
        <w:rPr>
          <w:rFonts w:ascii="IRNazanin" w:hAnsi="IRNazanin" w:eastAsia="IRNazanin"/>
          <w:color w:val="111111"/>
          <w:sz w:val="28"/>
          <w:sz w:val="28"/>
          <w:szCs w:val="28"/>
          <w:rtl w:val="true"/>
          <w:lang w:bidi="fa-IR"/>
        </w:rPr>
        <w:t>الذکورة أو الأُنوثة، یعنی أ نّه لیس بطبیعة ثالثة حتّی یکون الأمر فیه کذلک</w:t>
      </w:r>
      <w:r>
        <w:rPr>
          <w:rStyle w:val="FootnoteAnchor"/>
          <w:rtl w:val="true"/>
        </w:rPr>
        <w:footnoteReference w:id="2352"/>
      </w:r>
      <w:r>
        <w:rPr>
          <w:rFonts w:ascii="Amiri" w:hAnsi="Amiri" w:eastAsia="Amiri" w:cs="Amiri"/>
          <w:color w:val="111111"/>
          <w:sz w:val="28"/>
          <w:sz w:val="28"/>
          <w:szCs w:val="28"/>
          <w:rtl w:val="true"/>
          <w:lang w:bidi="ar-SA"/>
        </w:rPr>
        <w:t xml:space="preserve">، و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تدفعه الروایات</w:t>
      </w:r>
      <w:r>
        <w:rPr>
          <w:rStyle w:val="FootnoteAnchor"/>
          <w:rtl w:val="true"/>
        </w:rPr>
        <w:footnoteReference w:id="2354"/>
      </w:r>
      <w:r>
        <w:rPr>
          <w:rFonts w:ascii="IRNazanin" w:hAnsi="IRNazanin" w:eastAsia="IRNazanin"/>
          <w:color w:val="111111"/>
          <w:sz w:val="28"/>
          <w:sz w:val="28"/>
          <w:szCs w:val="28"/>
          <w:rtl w:val="true"/>
          <w:lang w:bidi="fa-IR"/>
        </w:rPr>
        <w:t>، و نمنع منافاة ذلک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الآیة لا تدلّ علی الحصر ؛ لأ نّها خرجت مخرج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تقریره طرق، أقربها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الترکة منقسمةً علی تقدیر الذکوریّة مرّة، و علی تقدیر الأُنوثیّة أُخری، ثمّ تضرب إحداهما فی الأُخری أو فی وفقها أو فی الأکثر مع التداخل، ثمّ تضرب الحاصل فی اثنین، ثمّ یعطی کلّ وارث نصف ما حصل له فی المسألتین، فلو خلّف ذکراً و خنثی و أُنثی، فهی من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جامعهم أحد الزوجین، ضربت مخرج نصیبه فیها، ثمّ أُخذت نصیبه، و قسّمت الباقی علی أربعین لکلّ سهم ثلاثة أسهم إن کان زوجاً، و سبعة إن کانت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أبوان و خنثی، ففریضة الذکوریّة ستّة، و فریضة الأُنوثیّة خمسة بالفرض و الردّ، و مضروبهما ثلاثون، ثمّ تضرب فی اثنین تبلغ ستّین، فللأبوین، اثنان و عشرون، و للخنثی، ثمانیة و ثلاثون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أحد الأبوین مع الخنثی، فالفریضتان متوافقتان بالنصف ؛ لأنّ إحداهما ستّة و الأُخری أربعة، فتضرب نصف إحداهما فی الآخر تبلغ اثنی عشر، ثمّ فی اثنین تبلغ أربعة و عشرین، فلأحد الأبوین، خمسة، و للخنثی، تسعة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اجتمع خنثیان مع أحد الأبوین، فکمسألة الخنثی مع الأبوین، ثمّ تصیر إلی مائة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الأُنثی و الخنثی أحد الأبوین، ضربت خمسة مسألة الأُنوثة فی</w:t>
      </w:r>
    </w:p>
    <w:p>
      <w:pPr>
        <w:pStyle w:val="BookText"/>
        <w:rPr/>
      </w:pPr>
      <w:r>
        <w:rPr>
          <w:rFonts w:ascii="IRNazanin" w:hAnsi="IRNazanin" w:eastAsia="IRNazanin"/>
          <w:color w:val="111111"/>
          <w:sz w:val="28"/>
          <w:sz w:val="28"/>
          <w:szCs w:val="28"/>
          <w:rtl w:val="true"/>
          <w:lang w:bidi="fa-IR"/>
        </w:rPr>
        <w:t>ثمانیة عشر المسألة الأُخری تبلغ تسعین، ثمّ تضربها فی اثنین تبلغ مائة و ثمانین، لأحد الأبوین، ثلاثة و ثلاثون ؛ لأنّ له ستّة و ثلاثین تارة، و ثلاثین أُخری، فله نصفهما، و للأُنثی، أحد و ستّون، و للخنثی، ستّة و ثمانون، فقد سقط من سهام الأب نصف الردّ ؛ إذ المردود علی تقدیر أُنوثیّتهما ستّة، هی الفاضلة علی تقدیر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الأبوان أو أحدهما مع الخنثی أو الخناثی و هناک ذکر، لم یزد نصیبهما علی الفرض، و کذا خنثیان و أبوان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الإخوة للأبوین أو للأب خناثی، فکالأولاد، أمّا الإخوة للأُمّ فسواء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الأعمام، کالإخوة للأب، و الأخوال، کالإخوة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الخنثی أباً أو جدّاً أو أُمّاً أو جدّة مع بقاء إشکاله فبعید ؛ إذ ذلک یکشف عن حاله، إلاّ علی ما روی میسرة فی امرأة ولدت و أولدت</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کون الخنثی زوجاً أو زوجة فأبعد ؛ لبطلان تزویجه مادام مشکلاً، سواء تزوّج بذکر أو أُنثی أو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نصف نصیب الزوج، و نصف نصیب الزوجة</w:t>
      </w:r>
      <w:r>
        <w:rPr>
          <w:rStyle w:val="FootnoteAnchor"/>
          <w:rtl w:val="true"/>
        </w:rPr>
        <w:footnoteReference w:id="2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تصوّر إذا تزوّج خنثی بخنثی و حکمنا بصحّة العقد، و هو ضعیف</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لیس له الفرجان إمّا بأن یفقدا، أو یفقد الدبر و له مخرج بین</w:t>
      </w:r>
      <w:r>
        <w:rPr>
          <w:rStyle w:val="FootnoteAnchor"/>
          <w:rtl w:val="true"/>
        </w:rPr>
        <w:footnoteReference w:id="2357"/>
      </w:r>
      <w:r>
        <w:rPr>
          <w:rFonts w:ascii="IRNazanin" w:hAnsi="IRNazanin" w:eastAsia="IRNazanin"/>
          <w:color w:val="111111"/>
          <w:sz w:val="28"/>
          <w:sz w:val="28"/>
          <w:szCs w:val="28"/>
          <w:rtl w:val="true"/>
          <w:lang w:bidi="fa-IR"/>
        </w:rPr>
        <w:t xml:space="preserve">المخرجین یخرج منه الفضلة، أو بأن یکون هناک لحمة رابیة یخرج منها، أو بأن یتقیّأ ما یأکله، </w:t>
      </w:r>
    </w:p>
    <w:p>
      <w:pPr>
        <w:pStyle w:val="BookText"/>
        <w:rPr/>
      </w:pPr>
      <w:r>
        <w:rPr>
          <w:rFonts w:ascii="IRNazanin" w:hAnsi="IRNazanin" w:eastAsia="IRNazanin"/>
          <w:color w:val="111111"/>
          <w:sz w:val="28"/>
          <w:sz w:val="28"/>
          <w:szCs w:val="28"/>
          <w:rtl w:val="true"/>
          <w:lang w:bidi="fa-IR"/>
        </w:rPr>
        <w:t xml:space="preserve">أو بأن یخرجا معاً من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بالقرعة، فیکتب عبداللّه علی سهم، و أمة اللّه علی سهم، و یجعل فی سهام مبهمة، و یقول ما رواه الفضیل بن یسار،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اللّه لا إله إلاّ أنت عالم الغیب و الشهادة</w:t>
      </w:r>
    </w:p>
    <w:p>
      <w:pPr>
        <w:pStyle w:val="BookText"/>
        <w:rPr/>
      </w:pPr>
      <w:r>
        <w:rPr>
          <w:rFonts w:ascii="IRNazanin" w:hAnsi="IRNazanin" w:eastAsia="IRNazanin"/>
          <w:color w:val="111111"/>
          <w:sz w:val="28"/>
          <w:sz w:val="28"/>
          <w:szCs w:val="28"/>
          <w:rtl w:val="true"/>
          <w:lang w:bidi="fa-IR"/>
        </w:rPr>
        <w:t>أنت تحکم بین عبادک فیما کانوا فیه یختلفون، فبیّن لنا أمر هذا المولود کیف یورّث</w:t>
      </w:r>
      <w:r>
        <w:rPr>
          <w:rStyle w:val="FootnoteAnchor"/>
          <w:rtl w:val="true"/>
        </w:rPr>
        <w:footnoteReference w:id="2358"/>
      </w:r>
      <w:r>
        <w:rPr>
          <w:rFonts w:ascii="IRNazanin" w:hAnsi="IRNazanin" w:eastAsia="IRNazanin"/>
          <w:color w:val="111111"/>
          <w:sz w:val="28"/>
          <w:sz w:val="28"/>
          <w:szCs w:val="28"/>
          <w:rtl w:val="true"/>
          <w:lang w:bidi="fa-IR"/>
        </w:rPr>
        <w:t>ما فرضت له فی کتابک</w:t>
      </w:r>
      <w:r>
        <w:rPr>
          <w:rFonts w:eastAsia="IRNazanin" w:cs="IRNazanin"/>
          <w:color w:val="111111"/>
          <w:sz w:val="28"/>
          <w:szCs w:val="28"/>
          <w:rtl w:val="true"/>
          <w:lang w:bidi="fa-IR"/>
        </w:rPr>
        <w:t>»</w:t>
      </w:r>
      <w:r>
        <w:rPr>
          <w:rStyle w:val="FootnoteAnchor"/>
          <w:rtl w:val="true"/>
        </w:rPr>
        <w:footnoteReference w:id="2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تجیل السهام و یورّث علی ما یخرج، 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مرسلة فی الکافی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إلاّ ثقب یخرج منه البول فنحّی بوله عند خروجه فهو ذکر، و إن کان لا ینحّی بوله فهو أُنثی</w:t>
      </w:r>
      <w:r>
        <w:rPr>
          <w:rStyle w:val="FootnoteAnchor"/>
          <w:rtl w:val="true"/>
        </w:rPr>
        <w:footnoteReference w:id="2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ابن الجنید</w:t>
      </w:r>
      <w:r>
        <w:rPr>
          <w:rStyle w:val="FootnoteAnchor"/>
          <w:rtl w:val="true"/>
        </w:rPr>
        <w:footnoteReference w:id="2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الشیخ جواز العمل بها و إن کانت القرعة أحوط</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له رأسان و بدنان علی حَقْو</w:t>
      </w:r>
      <w:r>
        <w:rPr>
          <w:rStyle w:val="FootnoteAnchor"/>
          <w:rtl w:val="true"/>
        </w:rPr>
        <w:footnoteReference w:id="2363"/>
      </w:r>
      <w:r>
        <w:rPr>
          <w:rFonts w:ascii="IRNazanin" w:hAnsi="IRNazanin" w:eastAsia="IRNazanin"/>
          <w:color w:val="111111"/>
          <w:sz w:val="28"/>
          <w:sz w:val="28"/>
          <w:szCs w:val="28"/>
          <w:rtl w:val="true"/>
          <w:lang w:bidi="fa-IR"/>
        </w:rPr>
        <w:t>واحد، یوقظ أحدهما بعد نومهما، فإن انتبها معاً فهما واحد، و إن انتبه أحدهما فهما اثنان، کما قضی به علیّ علیه‌السّلام</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بفارس امرأة لها رأسان و صدران فی حَقْوٍ</w:t>
      </w:r>
      <w:r>
        <w:rPr>
          <w:rStyle w:val="FootnoteAnchor"/>
          <w:rtl w:val="true"/>
        </w:rPr>
        <w:footnoteReference w:id="2365"/>
      </w:r>
      <w:r>
        <w:rPr>
          <w:rFonts w:ascii="IRNazanin" w:hAnsi="IRNazanin" w:eastAsia="IRNazanin"/>
          <w:color w:val="111111"/>
          <w:sz w:val="28"/>
          <w:sz w:val="28"/>
          <w:szCs w:val="28"/>
          <w:rtl w:val="true"/>
          <w:lang w:bidi="fa-IR"/>
        </w:rPr>
        <w:t xml:space="preserve">واحد، </w:t>
      </w:r>
      <w:bookmarkStart w:id="324" w:name="pg13665_219350"/>
    </w:p>
    <w:p>
      <w:pPr>
        <w:pStyle w:val="BookText"/>
        <w:rPr/>
      </w:pPr>
      <w:bookmarkEnd w:id="324"/>
      <w:r>
        <w:rPr>
          <w:rFonts w:ascii="IRNazanin" w:hAnsi="IRNazanin" w:eastAsia="IRNazanin"/>
          <w:color w:val="111111"/>
          <w:sz w:val="28"/>
          <w:sz w:val="28"/>
          <w:szCs w:val="28"/>
          <w:rtl w:val="true"/>
          <w:lang w:bidi="fa-IR"/>
        </w:rPr>
        <w:t>من وجه یتغایران</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071427_3830689328"/>
      <w:bookmarkStart w:id="326" w:name="_Toc108"/>
      <w:bookmarkEnd w:id="325"/>
      <w:r>
        <w:rPr>
          <w:rtl w:val="true"/>
        </w:rPr>
        <w:t xml:space="preserve">درس </w:t>
      </w:r>
      <w:r>
        <w:rPr>
          <w:rtl w:val="true"/>
        </w:rPr>
        <w:t>(</w:t>
      </w:r>
      <w:r>
        <w:rPr/>
        <w:t>195</w:t>
      </w:r>
      <w:r>
        <w:rPr>
          <w:rtl w:val="true"/>
        </w:rPr>
        <w:t>)</w:t>
      </w:r>
      <w:bookmarkEnd w:id="326"/>
    </w:p>
    <w:p>
      <w:pPr>
        <w:pStyle w:val="BookText"/>
        <w:rPr/>
      </w:pPr>
      <w:r>
        <w:rPr>
          <w:rFonts w:ascii="IRNazanin" w:hAnsi="IRNazanin" w:eastAsia="IRNazanin"/>
          <w:color w:val="111111"/>
          <w:sz w:val="28"/>
          <w:sz w:val="28"/>
          <w:szCs w:val="28"/>
          <w:rtl w:val="true"/>
          <w:lang w:bidi="fa-IR"/>
        </w:rPr>
        <w:t>فی میراث المجوس</w:t>
      </w:r>
    </w:p>
    <w:p>
      <w:pPr>
        <w:pStyle w:val="BookText"/>
        <w:rPr/>
      </w:pPr>
      <w:r>
        <w:rPr>
          <w:rFonts w:ascii="IRNazanin" w:hAnsi="IRNazanin" w:eastAsia="IRNazanin"/>
          <w:color w:val="111111"/>
          <w:sz w:val="28"/>
          <w:sz w:val="28"/>
          <w:szCs w:val="28"/>
          <w:rtl w:val="true"/>
          <w:lang w:bidi="fa-IR"/>
        </w:rPr>
        <w:t xml:space="preserve">اُختلف فیه، فقال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یتوارثون بالنسب و السبب الصحیحین دون الفاسدین</w:t>
      </w:r>
      <w:r>
        <w:rPr>
          <w:rStyle w:val="FootnoteAnchor"/>
          <w:rtl w:val="true"/>
        </w:rPr>
        <w:footnoteReference w:id="2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الحلبیّ</w:t>
      </w:r>
      <w:r>
        <w:rPr>
          <w:rStyle w:val="FootnoteAnchor"/>
          <w:rtl w:val="true"/>
        </w:rPr>
        <w:footnoteReference w:id="2368"/>
      </w:r>
      <w:r>
        <w:rPr>
          <w:rFonts w:ascii="IRNazanin" w:hAnsi="IRNazanin" w:eastAsia="IRNazanin"/>
          <w:color w:val="111111"/>
          <w:sz w:val="28"/>
          <w:sz w:val="28"/>
          <w:szCs w:val="28"/>
          <w:rtl w:val="true"/>
          <w:lang w:bidi="fa-IR"/>
        </w:rPr>
        <w:t>و ابن إدریس</w:t>
      </w:r>
      <w:r>
        <w:rPr>
          <w:rStyle w:val="FootnoteAnchor"/>
          <w:rtl w:val="true"/>
        </w:rPr>
        <w:footnoteReference w:id="2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Style w:val="FootnoteAnchor"/>
          <w:rtl w:val="true"/>
        </w:rPr>
        <w:footnoteReference w:id="2370"/>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یتوارثون بالصحیحین و الفاسدین</w:t>
      </w:r>
      <w:r>
        <w:rPr>
          <w:rStyle w:val="FootnoteAnchor"/>
          <w:rtl w:val="true"/>
        </w:rPr>
        <w:footnoteReference w:id="2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الفضل</w:t>
      </w:r>
      <w:r>
        <w:rPr>
          <w:rStyle w:val="FootnoteAnchor"/>
          <w:rtl w:val="true"/>
        </w:rPr>
        <w:footnoteReference w:id="2372"/>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یتوارثون بالنسب الصحیح و الفاسد و بالسبب الصحیح خاصّة</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یشهد للشیخ خبر السکونیّ، عن علیّ علیه‌السّلام أ نّه کان یورّث المجوسیّ إذا تزوّج بأُمّه، و أُخته، و ابنته من جهة أ نّها أُمّه و أ نّها زوجته</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علیه‌السّلام لمن سبّ مجوسیّاً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تزوّج بأُمّه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p>
    <w:p>
      <w:pPr>
        <w:pStyle w:val="BookText"/>
        <w:rPr/>
      </w:pPr>
      <w:r>
        <w:rPr>
          <w:rFonts w:ascii="IRNazanin" w:hAnsi="IRNazanin" w:eastAsia="IRNazanin"/>
          <w:color w:val="111111"/>
          <w:sz w:val="28"/>
          <w:sz w:val="28"/>
          <w:szCs w:val="28"/>
          <w:rtl w:val="true"/>
          <w:lang w:bidi="fa-IR"/>
        </w:rPr>
        <w:t>علمت أنّ ذلک عندهم هو النکاح</w:t>
      </w:r>
      <w:r>
        <w:rPr>
          <w:rFonts w:eastAsia="IRNazanin" w:cs="IRNazanin"/>
          <w:color w:val="111111"/>
          <w:sz w:val="28"/>
          <w:szCs w:val="28"/>
          <w:rtl w:val="true"/>
          <w:lang w:bidi="fa-IR"/>
        </w:rPr>
        <w:t>»</w:t>
      </w:r>
      <w:r>
        <w:rPr>
          <w:rStyle w:val="FootnoteAnchor"/>
          <w:rtl w:val="true"/>
        </w:rPr>
        <w:footnoteReference w:id="2375"/>
      </w:r>
      <w:r>
        <w:rPr>
          <w:rFonts w:ascii="IRNazanin" w:hAnsi="IRNazanin" w:eastAsia="IRNazanin"/>
          <w:color w:val="111111"/>
          <w:sz w:val="28"/>
          <w:sz w:val="28"/>
          <w:szCs w:val="28"/>
          <w:rtl w:val="true"/>
          <w:lang w:bidi="fa-IR"/>
        </w:rPr>
        <w:t>بعد أن زبر</w:t>
      </w:r>
      <w:r>
        <w:rPr>
          <w:rStyle w:val="FootnoteAnchor"/>
          <w:rtl w:val="true"/>
        </w:rPr>
        <w:footnoteReference w:id="2376"/>
      </w:r>
      <w:r>
        <w:rPr>
          <w:rFonts w:ascii="Amiri" w:hAnsi="Amiri" w:eastAsia="Amiri" w:cs="Amiri"/>
          <w:color w:val="111111"/>
          <w:sz w:val="28"/>
          <w:sz w:val="28"/>
          <w:szCs w:val="28"/>
          <w:rtl w:val="true"/>
          <w:lang w:bidi="ar-SA"/>
        </w:rPr>
        <w:t>السابّ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قوم دانوا بشیء یلزمهم حکمه</w:t>
      </w:r>
      <w:r>
        <w:rPr>
          <w:rFonts w:eastAsia="IRNazanin" w:cs="IRNazanin"/>
          <w:color w:val="111111"/>
          <w:sz w:val="28"/>
          <w:szCs w:val="28"/>
          <w:rtl w:val="true"/>
          <w:lang w:bidi="fa-IR"/>
        </w:rPr>
        <w:t>»</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تزوّج بنته فأولدها بنتاً ثمّ مات، فللزوجة نصیب البنت و نصیب الزوجیّة، و للأُخری نصیب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أُخته لأُمّه جدّته لأبیه، أو أُخته لأبیه جدّته لأُمّه،</w:t>
      </w:r>
    </w:p>
    <w:p>
      <w:pPr>
        <w:pStyle w:val="BookText"/>
        <w:rPr/>
      </w:pPr>
      <w:r>
        <w:rPr>
          <w:rFonts w:ascii="IRNazanin" w:hAnsi="IRNazanin" w:eastAsia="IRNazanin"/>
          <w:color w:val="111111"/>
          <w:sz w:val="28"/>
          <w:sz w:val="28"/>
          <w:szCs w:val="28"/>
          <w:rtl w:val="true"/>
          <w:lang w:bidi="fa-IR"/>
        </w:rPr>
        <w:t>ورثت بالأمرین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منع أحد النسبین الآخر، فالإرث بالمانع، کبنت هی أُخت لأُمّ، و عمّة هی أُخت لأب، و عمّة هی بنت عمّة، و أُخت هی 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یرث المسلمون بالسبب الفاسد إجماعاً، سواء کان التحریم مجمعاً علیه، کالأُمّ نسباً أو رضاعاً، أو مختلفاً فیه، کأُمّ المزنیّ بها، أو البنت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اعتقاد الزوج التحریم أو الزوجة أو اعتقاد التحلیل، بل المعتبر باعتقاد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النسب الفاسد للمسلم، کما یتّفق بوط‌ء الشبهة، فحکمه حکم المجوس</w:t>
      </w:r>
      <w:r>
        <w:rPr>
          <w:rStyle w:val="FootnoteAnchor"/>
          <w:rtl w:val="true"/>
        </w:rPr>
        <w:footnoteReference w:id="2378"/>
      </w:r>
      <w:r>
        <w:rPr>
          <w:rFonts w:ascii="IRNazanin" w:hAnsi="IRNazanin" w:eastAsia="IRNazanin"/>
          <w:color w:val="111111"/>
          <w:sz w:val="28"/>
          <w:sz w:val="28"/>
          <w:szCs w:val="28"/>
          <w:rtl w:val="true"/>
          <w:lang w:bidi="fa-IR"/>
        </w:rPr>
        <w:t>فی التوریث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المجوس</w:t>
      </w:r>
      <w:r>
        <w:rPr>
          <w:rStyle w:val="FootnoteAnchor"/>
          <w:rtl w:val="true"/>
        </w:rPr>
        <w:footnoteReference w:id="2379"/>
      </w:r>
      <w:r>
        <w:rPr>
          <w:rFonts w:ascii="IRNazanin" w:hAnsi="IRNazanin" w:eastAsia="IRNazanin"/>
          <w:color w:val="111111"/>
          <w:sz w:val="28"/>
          <w:sz w:val="28"/>
          <w:szCs w:val="28"/>
          <w:rtl w:val="true"/>
          <w:lang w:bidi="fa-IR"/>
        </w:rPr>
        <w:t>من الکفّار، فإنّهم یورّثون، کالمسلمین لو تحاکموا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فروعاً فلنذکر منها ثلاثة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أولد من ابنته ابنتین یرثن ماله بالسویّة، فلو ماتت إحداهما فقد ترکت </w:t>
      </w:r>
      <w:bookmarkStart w:id="327" w:name="pg13665_219352"/>
    </w:p>
    <w:p>
      <w:pPr>
        <w:pStyle w:val="BookText"/>
        <w:rPr/>
      </w:pPr>
      <w:bookmarkEnd w:id="327"/>
      <w:r>
        <w:rPr>
          <w:rFonts w:ascii="IRNazanin" w:hAnsi="IRNazanin" w:eastAsia="IRNazanin"/>
          <w:color w:val="111111"/>
          <w:sz w:val="28"/>
          <w:sz w:val="28"/>
          <w:szCs w:val="28"/>
          <w:rtl w:val="true"/>
          <w:lang w:bidi="fa-IR"/>
        </w:rPr>
        <w:t>أُمّها و أُختها، فالمال لأُمّها، فإن ماتت الأُمّ، ورثتها ابنتاها، فإن ماتت إحداهما فقد</w:t>
      </w:r>
      <w:r>
        <w:rPr>
          <w:rStyle w:val="FootnoteAnchor"/>
          <w:rtl w:val="true"/>
        </w:rPr>
        <w:footnoteReference w:id="2380"/>
      </w:r>
      <w:r>
        <w:rPr>
          <w:rFonts w:ascii="IRNazanin" w:hAnsi="IRNazanin" w:eastAsia="IRNazanin"/>
          <w:color w:val="111111"/>
          <w:sz w:val="28"/>
          <w:sz w:val="28"/>
          <w:szCs w:val="28"/>
          <w:rtl w:val="true"/>
          <w:lang w:bidi="fa-IR"/>
        </w:rPr>
        <w:t>ورثتها الأُخری</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بنته بنتاً، ثمّ أولد البنت الثانیة بنتاً، فالمال بینهنّ بالسویّة، فإن ماتت العلیا ورثتها الوسطی دون السفلی، و إن ماتت الوسطی فللعلیا نصیب الأُمّ، و للسفلی نصیب البنت، و الباقی یردّ أرباعاً، و إن ماتت السفلی ورثتها الوسطی ؛ لأ نّه لا میراث للجدّة و الأُخت مع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بنته</w:t>
      </w:r>
      <w:r>
        <w:rPr>
          <w:rStyle w:val="FootnoteAnchor"/>
          <w:rtl w:val="true"/>
        </w:rPr>
        <w:footnoteReference w:id="2382"/>
      </w:r>
      <w:r>
        <w:rPr>
          <w:rFonts w:ascii="IRNazanin" w:hAnsi="IRNazanin" w:eastAsia="IRNazanin"/>
          <w:color w:val="111111"/>
          <w:sz w:val="28"/>
          <w:sz w:val="28"/>
          <w:szCs w:val="28"/>
          <w:rtl w:val="true"/>
          <w:lang w:bidi="fa-IR"/>
        </w:rPr>
        <w:t>ابنتین، ثمّ تزوّج إحداهما فولدت له بنتاً، ثمّ مات، ورثته</w:t>
      </w:r>
    </w:p>
    <w:p>
      <w:pPr>
        <w:pStyle w:val="BookText"/>
        <w:rPr/>
      </w:pPr>
      <w:r>
        <w:rPr>
          <w:rFonts w:ascii="IRNazanin" w:hAnsi="IRNazanin" w:eastAsia="IRNazanin"/>
          <w:color w:val="111111"/>
          <w:sz w:val="28"/>
          <w:sz w:val="28"/>
          <w:szCs w:val="28"/>
          <w:rtl w:val="true"/>
          <w:lang w:bidi="fa-IR"/>
        </w:rPr>
        <w:t>أرباعاً، فلو ماتت البنت التی أولدها ثانیاً فلبنتها النصف، و لأُمّها السدس، و الباقی یردّ علیهما، و لا شیء لأُختها التی هی جدّة</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071429_3830689328"/>
      <w:bookmarkStart w:id="329" w:name="_Toc109"/>
      <w:bookmarkEnd w:id="328"/>
      <w:r>
        <w:rPr>
          <w:rtl w:val="true"/>
        </w:rPr>
        <w:t xml:space="preserve">درس </w:t>
      </w:r>
      <w:r>
        <w:rPr>
          <w:rtl w:val="true"/>
        </w:rPr>
        <w:t>(</w:t>
      </w:r>
      <w:r>
        <w:rPr/>
        <w:t>196</w:t>
      </w:r>
      <w:r>
        <w:rPr>
          <w:rtl w:val="true"/>
        </w:rPr>
        <w:t>)</w:t>
      </w:r>
      <w:bookmarkEnd w:id="329"/>
    </w:p>
    <w:p>
      <w:pPr>
        <w:pStyle w:val="BookText"/>
        <w:rPr/>
      </w:pPr>
      <w:r>
        <w:rPr>
          <w:rFonts w:ascii="IRNazanin" w:hAnsi="IRNazanin" w:eastAsia="IRNazanin"/>
          <w:color w:val="111111"/>
          <w:sz w:val="28"/>
          <w:sz w:val="28"/>
          <w:szCs w:val="28"/>
          <w:rtl w:val="true"/>
          <w:lang w:bidi="fa-IR"/>
        </w:rPr>
        <w:t>فی الإقرار بوارث أو دین</w:t>
      </w:r>
    </w:p>
    <w:p>
      <w:pPr>
        <w:pStyle w:val="BookText"/>
        <w:rPr/>
      </w:pPr>
      <w:r>
        <w:rPr>
          <w:rFonts w:ascii="IRNazanin" w:hAnsi="IRNazanin" w:eastAsia="IRNazanin"/>
          <w:color w:val="111111"/>
          <w:sz w:val="28"/>
          <w:sz w:val="28"/>
          <w:szCs w:val="28"/>
          <w:rtl w:val="true"/>
          <w:lang w:bidi="fa-IR"/>
        </w:rPr>
        <w:t>لو حمل قوم من بلد الشرک فتعارفوا بنسب ثبت ذلک و إن لم یقیموا بیّنة، و کذا کلّ اثنین تعارفا ما لم یعرفا بنسب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أقرّ الورثة</w:t>
      </w:r>
      <w:r>
        <w:rPr>
          <w:rStyle w:val="FootnoteAnchor"/>
          <w:rtl w:val="true"/>
        </w:rPr>
        <w:footnoteReference w:id="2384"/>
      </w:r>
      <w:r>
        <w:rPr>
          <w:rFonts w:ascii="IRNazanin" w:hAnsi="IRNazanin" w:eastAsia="IRNazanin"/>
          <w:color w:val="111111"/>
          <w:sz w:val="28"/>
          <w:sz w:val="28"/>
          <w:szCs w:val="28"/>
          <w:rtl w:val="true"/>
          <w:lang w:bidi="fa-IR"/>
        </w:rPr>
        <w:t>بمشارک فی المیراث، قاسمهم، و ثبت نسبه إن شهد به عدلان، و إن أقرّ واحد، دفع إلیه ما فضل فی یده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تضرب مسألة الإقرار فی مسألة الإنکار أو فی وفقها، ثمّ تضرب ما للمقرّ من مسألة الإقرار فی مسألة الإنکار، و تضرب ما للمنکر من مسألة </w:t>
      </w:r>
    </w:p>
    <w:p>
      <w:pPr>
        <w:pStyle w:val="BookText"/>
        <w:rPr/>
      </w:pPr>
      <w:r>
        <w:rPr>
          <w:rFonts w:ascii="IRNazanin" w:hAnsi="IRNazanin" w:eastAsia="IRNazanin"/>
          <w:color w:val="111111"/>
          <w:sz w:val="28"/>
          <w:sz w:val="28"/>
          <w:szCs w:val="28"/>
          <w:rtl w:val="true"/>
          <w:lang w:bidi="fa-IR"/>
        </w:rPr>
        <w:t>الإنکار فی مسألة الإقرار، فما کان بینهما فهو الفضل، کما لو أقرّ الابن مع البنات الثلاث بابن و أنکر البنات، فمسألة الإقرار من سبعة، و مسألة الإنکار من خمسة، و مضروبهما خمسة و ثلاثون، فللمقرّ من مسألة الإقرار سهمان فی مسألة الإنکار عشرة، و للمنکر من مسألة الإنکار سهم فی مسألة الإقرار سبعة، فالتفاوت أربعة ؛ لأنّ للابن مثل البنتین فلهما أربعة عشر، فالأربعة للمقرّ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أقرّت البنت، فلها من مسألة الإقرار سهم فی مسألة الإنکار خمسة، فالفاضل سهمان فهما للمقرّ له، و 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ما للمقرّ علی تقدیر الإقرار، و ما له علی تقدیر الإنکار، فالتفاوت یدفعه، کما فی هذه الصورة، فإنّ للابن علی تقدیر إقراره عشرة، و له علی تقدیر إنکاره أربعة عشر، فالتفاوت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تساوی ما له فی حالتی الإقرار و الإنکار، لم یدفع شیئاً، کما لو کان هناک إخوة، ثلاثة لأب، و أخ لأُمّ، فأقرّ الأخ من الأُمّ بأخ منها، فمسألة الإقرار ثمانیة عشر، و مسألة الإنکار کذلک، فیجتزئ بإحداهما، فللمقرّ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کونه منکراً، کان له ثلاثة فلا فضل فی یده، فلو أقرّ بأخوین لأُمّ، فمسألة الإقرار من تسعة و مسألة الإنکار من ثمانیة عشر، فیجتزئ بالأکثر، فله علی تقدیر إقراره سهمان و علی تقدیر إنکاره ثلاثة أسهم، فیفضل فی یده سهم، فیدفعه إلی المقرّ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المقرّ أحد الإخوة للأب بأخ من أُمّ فالمسألة بحالها، فله علی تقدیر إقراره أربعة من ثمانیة عشر، و علی تقدیر إنکاره خمسة، فالفاضل سهم فیدفعه إلی المقرّ 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أقرّ بأخ من أب، فمسألة الإقرار من أربعة و عشرین، و مسألة الإنکار من ثمانیة عشر، و هما متوافقان بالسدس، فتضرب سدس أحدهما فی الآخر و أیّاً </w:t>
      </w:r>
    </w:p>
    <w:p>
      <w:pPr>
        <w:pStyle w:val="BookText"/>
        <w:rPr/>
      </w:pPr>
      <w:r>
        <w:rPr>
          <w:rFonts w:ascii="IRNazanin" w:hAnsi="IRNazanin" w:eastAsia="IRNazanin"/>
          <w:color w:val="111111"/>
          <w:sz w:val="28"/>
          <w:sz w:val="28"/>
          <w:szCs w:val="28"/>
          <w:rtl w:val="true"/>
          <w:lang w:bidi="fa-IR"/>
        </w:rPr>
        <w:t>ما کان بلغ</w:t>
      </w:r>
      <w:r>
        <w:rPr>
          <w:rStyle w:val="FootnoteAnchor"/>
          <w:rtl w:val="true"/>
        </w:rPr>
        <w:footnoteReference w:id="2385"/>
      </w:r>
      <w:r>
        <w:rPr>
          <w:rFonts w:ascii="IRNazanin" w:hAnsi="IRNazanin" w:eastAsia="IRNazanin"/>
          <w:color w:val="111111"/>
          <w:sz w:val="28"/>
          <w:sz w:val="28"/>
          <w:szCs w:val="28"/>
          <w:rtl w:val="true"/>
          <w:lang w:bidi="fa-IR"/>
        </w:rPr>
        <w:t>اثنین و سبعین، فله بتقدیر إقراره خمسة عشر، و بتقدیر إنکاره عشرون، فالفاضل خمسة فهی للمقرّ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المقرّ بالأخ للأب الأخ للأُمّ، لم یغرم له شیئاً ؛ لعدم الفضل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بعض الورثة بدین، لزمه ما یقتضیه التقسیط من الترکة، فلو خلّف ابنین و بنتاً و ألفاً، و أقرّ أحدهما بألف علی المیّت فزائداً، فعلیه أربعمائة، فإن أقرّ</w:t>
      </w:r>
    </w:p>
    <w:p>
      <w:pPr>
        <w:pStyle w:val="BookText"/>
        <w:rPr/>
      </w:pPr>
      <w:r>
        <w:rPr>
          <w:rFonts w:ascii="IRNazanin" w:hAnsi="IRNazanin" w:eastAsia="IRNazanin"/>
          <w:color w:val="111111"/>
          <w:sz w:val="28"/>
          <w:sz w:val="28"/>
          <w:szCs w:val="28"/>
          <w:rtl w:val="true"/>
          <w:lang w:bidi="fa-IR"/>
        </w:rPr>
        <w:t>بخمسمائة، فعلیه مائتان و یفضل فی یده مائتان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الوقائع ما رواه الحکم بن عتیبة من علماء العامّة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بباب أبی جعفر علیه‌السّلام، فجاءت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أبوجعفر لأسأله ؟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فقیه أهل</w:t>
      </w:r>
    </w:p>
    <w:p>
      <w:pPr>
        <w:pStyle w:val="BookText"/>
        <w:rPr/>
      </w:pPr>
      <w:r>
        <w:rPr>
          <w:rFonts w:ascii="IRNazanin" w:hAnsi="IRNazanin" w:eastAsia="IRNazanin"/>
          <w:color w:val="111111"/>
          <w:sz w:val="28"/>
          <w:sz w:val="28"/>
          <w:szCs w:val="28"/>
          <w:rtl w:val="true"/>
          <w:lang w:bidi="fa-IR"/>
        </w:rPr>
        <w:t xml:space="preserve">العراق فاسألیه،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مات و ترک ألف درهم و لی علیه مهر خمسمائة</w:t>
      </w:r>
    </w:p>
    <w:p>
      <w:pPr>
        <w:pStyle w:val="BookText"/>
        <w:rPr/>
      </w:pPr>
      <w:r>
        <w:rPr>
          <w:rFonts w:ascii="IRNazanin" w:hAnsi="IRNazanin" w:eastAsia="IRNazanin"/>
          <w:color w:val="111111"/>
          <w:sz w:val="28"/>
          <w:sz w:val="28"/>
          <w:szCs w:val="28"/>
          <w:rtl w:val="true"/>
          <w:lang w:bidi="fa-IR"/>
        </w:rPr>
        <w:t xml:space="preserve">درهم، فأخذت مهری و أخذت میراثی ممّا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رجل</w:t>
      </w:r>
      <w:r>
        <w:rPr>
          <w:rStyle w:val="FootnoteAnchor"/>
          <w:rtl w:val="true"/>
        </w:rPr>
        <w:footnoteReference w:id="2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علیه بألف درهم، فشهدت له علی زوجی، فقال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w:t>
      </w:r>
      <w:r>
        <w:rPr>
          <w:rStyle w:val="FootnoteAnchor"/>
          <w:rtl w:val="true"/>
        </w:rPr>
        <w:footnoteReference w:id="2387"/>
      </w:r>
      <w:r>
        <w:rPr>
          <w:rFonts w:ascii="IRNazanin" w:hAnsi="IRNazanin" w:eastAsia="IRNazanin"/>
          <w:color w:val="111111"/>
          <w:sz w:val="28"/>
          <w:sz w:val="28"/>
          <w:szCs w:val="28"/>
          <w:rtl w:val="true"/>
          <w:lang w:bidi="fa-IR"/>
        </w:rPr>
        <w:t xml:space="preserve">نحسب إذ خرج أبوجعفر علیه‌السّلام فأخبرناه،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أقرّت بثلثی ما فی یدها، و لا میراث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أحداً أفهم من أبی جعفر علیه‌السّلام</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علی الزوج ألف و خمسمائة، فلها ثلث الترکة، و إنّما جاز إقرارها فی حصّتها فلها ممّا ترک الثلث، و للرجل الثلثان، و یردّ الثلث علی الرجل و لا إرث لها ؛ لاستغراق الدین الترکة</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 xml:space="preserve">. </w:t>
      </w:r>
      <w:bookmarkStart w:id="330" w:name="pg13665_219355"/>
    </w:p>
    <w:p>
      <w:pPr>
        <w:pStyle w:val="BookText"/>
        <w:rPr/>
      </w:pPr>
      <w:bookmarkEnd w:id="330"/>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مبنیّ علی أنّ الإقرار یبنی علی الإشاعة، و أنّ إقراره لا ینفذ فی حقّ الغیر، و الثانی لا نزاع فیه، و أمّا الأوّل فظاهر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الإقرار إنّما یمضی فی قدر ما زاد عن حقّ المقرّ بزعمه، کما لو أقرّ بمن هو مساوٍ له، فإنّه یعطیه ما فضل عن نصیبه و لا یقاسمه، فحینئذٍ یکون قد أقرّت بثلث ما فی یدها أعنی الخمسمائة</w:t>
      </w:r>
      <w:r>
        <w:rPr>
          <w:rStyle w:val="FootnoteAnchor"/>
          <w:rtl w:val="true"/>
        </w:rPr>
        <w:footnoteReference w:id="2390"/>
      </w:r>
      <w:r>
        <w:rPr>
          <w:rFonts w:ascii="IRNazanin" w:hAnsi="IRNazanin" w:eastAsia="IRNazanin"/>
          <w:color w:val="111111"/>
          <w:sz w:val="28"/>
          <w:sz w:val="28"/>
          <w:szCs w:val="28"/>
          <w:rtl w:val="true"/>
          <w:lang w:bidi="fa-IR"/>
        </w:rPr>
        <w:t>لأنّ لها بزعمها و زعمه ثلث الألف الذی هو ثلثا الخمسمائة، فیستقرّ ملکها علیه، و یفضل معها ثلث الخمسمائة، و إذا</w:t>
      </w:r>
      <w:r>
        <w:rPr>
          <w:rStyle w:val="FootnoteAnchor"/>
          <w:rtl w:val="true"/>
        </w:rPr>
        <w:footnoteReference w:id="2391"/>
      </w:r>
      <w:r>
        <w:rPr>
          <w:rFonts w:ascii="IRNazanin" w:hAnsi="IRNazanin" w:eastAsia="IRNazanin"/>
          <w:color w:val="111111"/>
          <w:sz w:val="28"/>
          <w:sz w:val="28"/>
          <w:szCs w:val="28"/>
          <w:rtl w:val="true"/>
          <w:lang w:bidi="fa-IR"/>
        </w:rPr>
        <w:t>کانت أخذت شیئاً بالإرث فهو بأسره مردود علی المقرّ له ؛ لأ نّه بزعمها 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فی التهذیب نقلاً عن 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أقرّت بثلث ما فی یدها</w:t>
      </w:r>
      <w:r>
        <w:rPr>
          <w:rFonts w:eastAsia="IRNazanin" w:cs="IRNazanin"/>
          <w:color w:val="111111"/>
          <w:sz w:val="28"/>
          <w:szCs w:val="28"/>
          <w:rtl w:val="true"/>
          <w:lang w:bidi="fa-IR"/>
        </w:rPr>
        <w:t>»</w:t>
      </w:r>
      <w:r>
        <w:rPr>
          <w:rStyle w:val="FootnoteAnchor"/>
          <w:rtl w:val="true"/>
        </w:rPr>
        <w:footnoteReference w:id="2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Style w:val="FootnoteAnchor"/>
          <w:rtl w:val="true"/>
        </w:rPr>
        <w:footnoteReference w:id="2393"/>
      </w:r>
      <w:r>
        <w:rPr>
          <w:rFonts w:ascii="Amiri" w:hAnsi="Amiri" w:eastAsia="Amiri" w:cs="Amiri"/>
          <w:color w:val="111111"/>
          <w:sz w:val="28"/>
          <w:sz w:val="28"/>
          <w:szCs w:val="28"/>
          <w:rtl w:val="true"/>
          <w:lang w:bidi="ar-SA"/>
        </w:rPr>
        <w:t>بخطّ مصنّفه، و کذا فی</w:t>
      </w:r>
    </w:p>
    <w:p>
      <w:pPr>
        <w:pStyle w:val="BookText"/>
        <w:rPr/>
      </w:pPr>
      <w:r>
        <w:rPr>
          <w:rFonts w:ascii="IRNazanin" w:hAnsi="IRNazanin" w:eastAsia="IRNazanin"/>
          <w:color w:val="111111"/>
          <w:sz w:val="28"/>
          <w:sz w:val="28"/>
          <w:szCs w:val="28"/>
          <w:rtl w:val="true"/>
          <w:lang w:bidi="fa-IR"/>
        </w:rPr>
        <w:t>الاستبصار</w:t>
      </w:r>
      <w:r>
        <w:rPr>
          <w:rStyle w:val="FootnoteAnchor"/>
          <w:rtl w:val="true"/>
        </w:rPr>
        <w:footnoteReference w:id="2394"/>
      </w:r>
      <w:r>
        <w:rPr>
          <w:rFonts w:ascii="IRNazanin" w:hAnsi="IRNazanin" w:eastAsia="IRNazanin"/>
          <w:color w:val="111111"/>
          <w:sz w:val="28"/>
          <w:sz w:val="28"/>
          <w:szCs w:val="28"/>
          <w:rtl w:val="true"/>
          <w:lang w:bidi="fa-IR"/>
        </w:rPr>
        <w:t>، و هذا موافق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الشیخ أیضاً بسند آخر عن غیر الفضل و غیر الحکم متّصل بالفضیل بن یسار،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أقرّت بذهاب ثلث مالها و لا میراث لها، تأخذ المرأة ثلثی</w:t>
      </w:r>
    </w:p>
    <w:p>
      <w:pPr>
        <w:pStyle w:val="BookText"/>
        <w:rPr/>
      </w:pPr>
      <w:r>
        <w:rPr>
          <w:rFonts w:ascii="IRNazanin" w:hAnsi="IRNazanin" w:eastAsia="IRNazanin"/>
          <w:color w:val="111111"/>
          <w:sz w:val="28"/>
          <w:sz w:val="28"/>
          <w:szCs w:val="28"/>
          <w:rtl w:val="true"/>
          <w:lang w:bidi="fa-IR"/>
        </w:rPr>
        <w:t>خمسمائة و تردّ علیه ما بقی</w:t>
      </w:r>
      <w:r>
        <w:rPr>
          <w:rFonts w:eastAsia="IRNazanin" w:cs="IRNazanin"/>
          <w:color w:val="111111"/>
          <w:sz w:val="28"/>
          <w:szCs w:val="28"/>
          <w:rtl w:val="true"/>
          <w:lang w:bidi="fa-IR"/>
        </w:rPr>
        <w:t>»</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071431_3830689328"/>
      <w:bookmarkStart w:id="332" w:name="_Toc110"/>
      <w:bookmarkEnd w:id="331"/>
      <w:r>
        <w:rPr>
          <w:rtl w:val="true"/>
        </w:rPr>
        <w:t xml:space="preserve">درس </w:t>
      </w:r>
      <w:r>
        <w:rPr>
          <w:rtl w:val="true"/>
        </w:rPr>
        <w:t>(</w:t>
      </w:r>
      <w:r>
        <w:rPr/>
        <w:t>197</w:t>
      </w:r>
      <w:r>
        <w:rPr>
          <w:rtl w:val="true"/>
        </w:rPr>
        <w:t>)</w:t>
      </w:r>
      <w:bookmarkEnd w:id="332"/>
    </w:p>
    <w:p>
      <w:pPr>
        <w:pStyle w:val="BookText"/>
        <w:rPr/>
      </w:pPr>
      <w:r>
        <w:rPr>
          <w:rFonts w:ascii="IRNazanin" w:hAnsi="IRNazanin" w:eastAsia="IRNazanin"/>
          <w:color w:val="111111"/>
          <w:sz w:val="28"/>
          <w:sz w:val="28"/>
          <w:szCs w:val="28"/>
          <w:rtl w:val="true"/>
          <w:lang w:bidi="fa-IR"/>
        </w:rPr>
        <w:t>فیه بحثان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2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المناسخات، و یتحقّق بأن یموت إنسان</w:t>
      </w:r>
      <w:r>
        <w:rPr>
          <w:rStyle w:val="FootnoteAnchor"/>
          <w:rtl w:val="true"/>
        </w:rPr>
        <w:footnoteReference w:id="2397"/>
      </w:r>
      <w:r>
        <w:rPr>
          <w:rFonts w:ascii="Amiri" w:hAnsi="Amiri" w:eastAsia="Amiri" w:cs="Amiri"/>
          <w:color w:val="111111"/>
          <w:sz w:val="28"/>
          <w:sz w:val="28"/>
          <w:szCs w:val="28"/>
          <w:rtl w:val="true"/>
          <w:lang w:bidi="ar-SA"/>
        </w:rPr>
        <w:t xml:space="preserve">و لا تقسّم ترکته، ثمّ </w:t>
      </w:r>
    </w:p>
    <w:p>
      <w:pPr>
        <w:pStyle w:val="BookText"/>
        <w:rPr/>
      </w:pPr>
      <w:r>
        <w:rPr>
          <w:rFonts w:ascii="IRNazanin" w:hAnsi="IRNazanin" w:eastAsia="IRNazanin"/>
          <w:color w:val="111111"/>
          <w:sz w:val="28"/>
          <w:sz w:val="28"/>
          <w:szCs w:val="28"/>
          <w:rtl w:val="true"/>
          <w:lang w:bidi="fa-IR"/>
        </w:rPr>
        <w:t>یموت أحد ورّاثه، فإنّه یجب قسمة الفریضتین من أصل واحد لو طلب ذلک، فإن اتّحد الوارث و الاستحقاق، کإخوة ستّة و أخوات ستّ لمیّت، فمات بعده أحد الإخوة، ثمّ إحدی الأخوات، و هکذا حتّی بقی أخ و أُخت، فمال الجمیع بینهما أثلاثاً إن تقرّبوا بالأب، و بالسویّة إن تقرّبوا بالأُمّ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 الوارث و الاستحقاق أو أحدهما، فإن انقسم نصیب المیّت الثانی علی ورثته، صحّت المسألتان من الأُولی، کزوج و أربعة إخوة لأب، ثمّ یموت الزوج و یترک ابناً و بنتین، فتصحّ المسألتان من المسألة الأُولی و هی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تنقسم، تنظر النسبة بین نصیب المیّت الثانی و سهام ورثته، فإن کان فیها وفق، ضربت وفق الفریضة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وفق النصیب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الفریضة الأُولی، مثل أبوین و ابن، ثمّ یموت الابن و یترک ابنین و بنتین، فالفریضة الأُولی ستّة، و نصیب الابن أربعة، و سهام ورثته ستّة توافقها بالنصف، فتضرب ثلاثة فی ستّة تبلغ ثمانیة</w:t>
      </w:r>
    </w:p>
    <w:p>
      <w:pPr>
        <w:pStyle w:val="BookText"/>
        <w:rPr/>
      </w:pPr>
      <w:r>
        <w:rPr>
          <w:rFonts w:ascii="IRNazanin" w:hAnsi="IRNazanin" w:eastAsia="IRNazanin"/>
          <w:color w:val="111111"/>
          <w:sz w:val="28"/>
          <w:sz w:val="28"/>
          <w:szCs w:val="28"/>
          <w:rtl w:val="true"/>
          <w:lang w:bidi="fa-IR"/>
        </w:rPr>
        <w:t>عشر، و إن کان فیها تباین، ضربت الثانیة فی الأُولی، مثل کون ورثة الابن ابنین و بنتاً، فسهامهم خمسة تباین نصیب مورّثهم، فتضرب خمسة فی ستّة تبلغ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أحد ورّاث المیّت الثانی قبل القسمة فالعمل واحد، و کذا لو فرض کثرة 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الترکات، و هو ثمرة الحساب فی الفرائض، فإنّ المسألة قد تصحّ من ألف و الترکة درهم، فلا یتبیّن ما یصیب</w:t>
      </w:r>
      <w:r>
        <w:rPr>
          <w:rStyle w:val="FootnoteAnchor"/>
          <w:rtl w:val="true"/>
        </w:rPr>
        <w:footnoteReference w:id="2398"/>
      </w:r>
      <w:r>
        <w:rPr>
          <w:rFonts w:ascii="Amiri" w:hAnsi="Amiri" w:eastAsia="Amiri" w:cs="Amiri"/>
          <w:color w:val="111111"/>
          <w:sz w:val="28"/>
          <w:sz w:val="28"/>
          <w:szCs w:val="28"/>
          <w:rtl w:val="true"/>
          <w:lang w:bidi="ar-SA"/>
        </w:rPr>
        <w:t>کلّ وارث إلاّ بعمل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الترکة إن کانت عقاراً، فهو مقسوم علی ما صحّت منه المسألة، و إن کانت مکیلة أو موزونة أو مذروعة، احتیج إلی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طرق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2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سهام کلّ وارث من الفریضة، فیؤخذ له من الترکة بتلک النسبة، </w:t>
      </w:r>
    </w:p>
    <w:p>
      <w:pPr>
        <w:pStyle w:val="BookText"/>
        <w:rPr/>
      </w:pPr>
      <w:r>
        <w:rPr>
          <w:rFonts w:ascii="IRNazanin" w:hAnsi="IRNazanin" w:eastAsia="IRNazanin"/>
          <w:color w:val="111111"/>
          <w:sz w:val="28"/>
          <w:sz w:val="28"/>
          <w:szCs w:val="28"/>
          <w:rtl w:val="true"/>
          <w:lang w:bidi="fa-IR"/>
        </w:rPr>
        <w:t>و هذا یقرب إذا کانت النسبة واضحة، مثل زوجة و أبوین و لا حاجب، فالفریضة من اثنی عشر، للزوجة ثلاثة هی ربع الفریضة فتعطی ربع الترکة، و للأُمّ أربعة هی</w:t>
      </w:r>
      <w:r>
        <w:rPr>
          <w:rStyle w:val="FootnoteAnchor"/>
          <w:rtl w:val="true"/>
        </w:rPr>
        <w:footnoteReference w:id="2400"/>
      </w:r>
      <w:r>
        <w:rPr>
          <w:rFonts w:ascii="IRNazanin" w:hAnsi="IRNazanin" w:eastAsia="IRNazanin"/>
          <w:color w:val="111111"/>
          <w:sz w:val="28"/>
          <w:sz w:val="28"/>
          <w:szCs w:val="28"/>
          <w:rtl w:val="true"/>
          <w:lang w:bidi="fa-IR"/>
        </w:rPr>
        <w:t>ثلث الفریضة فتعطی ثلث الترکة، و للأب خمسة هی ربع و سدس فیعطی ربع الترکة و سدسها، و مع ذلک قد لا یسهل استخراج هذه النسبة إلاّ بضرب الترکة، کأن کانت الترکة خمسة دنانیر و الفریضة بحالها، فإنّه یحتاج إلی ضرب الخمسة فی عدد سهام الفریضة فیکون ستّین، فتجعل الخمسة ستّین جزءاً کلّ دینار من ذلک اثنا عشر جزءاً، فللزوجة خمسة عشر جزءاً هی دینار و ربع، و للأُمّ عشرون جزءاً هی دینار و ثلثا دینار، و للأب خمسة و عشرون جزءاً هی دیناران و نصف سدس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تقسّم الترکة علی الفریضة، فما خرج بالقسمة ضربته فی سهام کلّ واحد، فما بلغ فهو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یقرب مع سهولة القسمة، کالفریضة بحالها و الترکة ستّة دنانیر، فإنّها إذا قسّمت علی الفریضة فلکلّ سهم نصف دینار، فتضرب نصف</w:t>
      </w:r>
    </w:p>
    <w:p>
      <w:pPr>
        <w:pStyle w:val="BookText"/>
        <w:rPr/>
      </w:pPr>
      <w:r>
        <w:rPr>
          <w:rFonts w:ascii="IRNazanin" w:hAnsi="IRNazanin" w:eastAsia="IRNazanin"/>
          <w:color w:val="111111"/>
          <w:sz w:val="28"/>
          <w:sz w:val="28"/>
          <w:szCs w:val="28"/>
          <w:rtl w:val="true"/>
          <w:lang w:bidi="fa-IR"/>
        </w:rPr>
        <w:t>دینار فی سهام الزوجة و هی ثلاثة تکون دیناراً و نصفاً، و تضرب نصف دینار فی سهام الأُمّ و هی أربعة تکون دینارین، و تضرب نصف دینار فی سهام الأب و هی خمسة تکون دینارین و 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المستعمل بین الفریضتین</w:t>
      </w:r>
      <w:r>
        <w:rPr>
          <w:rStyle w:val="FootnoteAnchor"/>
          <w:rtl w:val="true"/>
        </w:rPr>
        <w:footnoteReference w:id="2401"/>
      </w:r>
      <w:r>
        <w:rPr>
          <w:rFonts w:ascii="Amiri" w:hAnsi="Amiri" w:eastAsia="Amiri" w:cs="Amiri"/>
          <w:color w:val="111111"/>
          <w:sz w:val="28"/>
          <w:sz w:val="28"/>
          <w:szCs w:val="28"/>
          <w:rtl w:val="true"/>
          <w:lang w:bidi="ar-SA"/>
        </w:rPr>
        <w:t>؛ لشموله النسب المتقاربة و المتباعدة،</w:t>
      </w:r>
    </w:p>
    <w:p>
      <w:pPr>
        <w:pStyle w:val="BookText"/>
        <w:rPr/>
      </w:pPr>
      <w:r>
        <w:rPr>
          <w:rFonts w:ascii="IRNazanin" w:hAnsi="IRNazanin" w:eastAsia="IRNazanin"/>
          <w:color w:val="111111"/>
          <w:sz w:val="28"/>
          <w:sz w:val="28"/>
          <w:szCs w:val="28"/>
          <w:rtl w:val="true"/>
          <w:lang w:bidi="fa-IR"/>
        </w:rPr>
        <w:t xml:space="preserve">و له مثالان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فی الترکة کسر، کاثنی عشر دیناراً، فیؤخذ سهام کلّ وارث من الفریضة و یضرب فی الترکة، فما بلغ قسّم علی أصل الفریضة، فالخارج بالقسمة هو نصیب ذلک الوارث، مثل ثلاث زوجات و أبوین و ابنین و بنت، فالفریضه من أربعة و عشرین، ینکسر نصیب الأولاد علی خمسة، و لا وفق، فتضربها فی الأصل </w:t>
      </w:r>
    </w:p>
    <w:p>
      <w:pPr>
        <w:pStyle w:val="BookText"/>
        <w:rPr/>
      </w:pPr>
      <w:r>
        <w:rPr>
          <w:rFonts w:ascii="IRNazanin" w:hAnsi="IRNazanin" w:eastAsia="IRNazanin"/>
          <w:color w:val="111111"/>
          <w:sz w:val="28"/>
          <w:sz w:val="28"/>
          <w:szCs w:val="28"/>
          <w:rtl w:val="true"/>
          <w:lang w:bidi="fa-IR"/>
        </w:rPr>
        <w:t xml:space="preserve">فتکون مائة و عشرین، فسهام کلّ زوجة خمسة، تضرب فی الترکة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Style w:val="FootnoteAnchor"/>
          <w:rtl w:val="true"/>
        </w:rPr>
        <w:footnoteReference w:id="2402"/>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ستّین دیناراً، تقسّمها علی مائة و عشرین، یخرج نصف دینار و هو</w:t>
      </w:r>
      <w:r>
        <w:rPr>
          <w:rStyle w:val="FootnoteAnchor"/>
          <w:rtl w:val="true"/>
        </w:rPr>
        <w:footnoteReference w:id="2403"/>
      </w:r>
      <w:r>
        <w:rPr>
          <w:rFonts w:ascii="IRNazanin" w:hAnsi="IRNazanin" w:eastAsia="IRNazanin"/>
          <w:color w:val="111111"/>
          <w:sz w:val="28"/>
          <w:sz w:val="28"/>
          <w:szCs w:val="28"/>
          <w:rtl w:val="true"/>
          <w:lang w:bidi="fa-IR"/>
        </w:rPr>
        <w:t>نصیب کلّ زوجة، و سهام کلّ من الأبوین عشرون، فتضربها فی اثنی عشر تکون مائتین و أربعین، تقسّمها علی مائة و عشرین، یخرج دیناران، فهو نصیب کلّ واحد منهما، و سهام کلّ ابن ستّة و عشرون تضربها فی اثنی عشر تکون ثلاثمائة و اثنی عشر دیناراً، تقسّمها علی مائة و عشرین یخرج دیناران و ثلاثة أخماس دینار لکلّ ابن، و للبنت دینار و ثلاثة أعشاره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الترکة کسر، فتبسط من جنس الکسر و تزید علیها الکسر، و تعمل فیه ما عملت فی الصحاح، کأن کانت فی المثال المذکور اثنی عشر و نصفاً، فتجعلها خمسة و عشرین، و لو کان ثلثاً، جعلتها سبعة و ثلاثین،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أمکن القسمة إلی القراریط و الحبّات و الأُرزات، فعل، سواء کان عددها</w:t>
      </w:r>
    </w:p>
    <w:p>
      <w:pPr>
        <w:pStyle w:val="BookText"/>
        <w:rPr/>
      </w:pPr>
      <w:r>
        <w:rPr>
          <w:rFonts w:ascii="IRNazanin" w:hAnsi="IRNazanin" w:eastAsia="IRNazanin"/>
          <w:color w:val="111111"/>
          <w:sz w:val="28"/>
          <w:sz w:val="28"/>
          <w:szCs w:val="28"/>
          <w:rtl w:val="true"/>
          <w:lang w:bidi="fa-IR"/>
        </w:rPr>
        <w:t>منطقاً، کذی الکسر المستقیم، أو أصمّ،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الدینار عشرون قیراطاً، و القیراط ثلاث حبّات، و الحبّة أربع أُرزات و لیس بعد الأُرزة اسم خاصّ</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قسّمت الترکة، جمعت ما حصل بالقسمة، فإن ساوی الترکة، علمت صحّة القسمة، و إلاّ فلا</w:t>
      </w:r>
      <w:r>
        <w:rPr>
          <w:rFonts w:eastAsia="IRNazanin" w:cs="IRNazanin"/>
          <w:color w:val="111111"/>
          <w:sz w:val="28"/>
          <w:szCs w:val="28"/>
          <w:rtl w:val="true"/>
          <w:lang w:bidi="fa-IR"/>
        </w:rPr>
        <w:t xml:space="preserve">. </w:t>
      </w:r>
      <w:bookmarkStart w:id="333" w:name="pg13665_219359"/>
    </w:p>
    <w:p>
      <w:pPr>
        <w:pStyle w:val="Heading2"/>
        <w:numPr>
          <w:ilvl w:val="1"/>
          <w:numId w:val="1"/>
        </w:numPr>
        <w:rPr/>
      </w:pPr>
      <w:bookmarkStart w:id="334" w:name="__RefHeading___Toc2071433_3830689328"/>
      <w:bookmarkStart w:id="335" w:name="_Toc111"/>
      <w:bookmarkEnd w:id="333"/>
      <w:bookmarkEnd w:id="334"/>
      <w:r>
        <w:rPr>
          <w:rtl w:val="true"/>
        </w:rPr>
        <w:t>کتاب الصید</w:t>
      </w:r>
      <w:bookmarkEnd w:id="33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2071435_3830689328"/>
      <w:bookmarkStart w:id="337" w:name="_Toc112"/>
      <w:bookmarkEnd w:id="336"/>
      <w:r>
        <w:rPr>
          <w:rtl w:val="true"/>
        </w:rPr>
        <w:t>اشاره</w:t>
      </w:r>
      <w:bookmarkEnd w:id="33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الصید</w:t>
      </w:r>
    </w:p>
    <w:p>
      <w:pPr>
        <w:pStyle w:val="BookText"/>
        <w:rPr/>
      </w:pPr>
      <w:r>
        <w:rPr>
          <w:rFonts w:ascii="IRNazanin" w:hAnsi="IRNazanin" w:eastAsia="IRNazanin"/>
          <w:color w:val="111111"/>
          <w:sz w:val="28"/>
          <w:sz w:val="28"/>
          <w:szCs w:val="28"/>
          <w:rtl w:val="true"/>
          <w:lang w:bidi="fa-IR"/>
        </w:rPr>
        <w:t xml:space="preserve">یحلّ الاصطیاد بکلّ آلة فیحلّ مع التذکیة، و إن مات بالآلة، حلّ منه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یقتله الکلب المعلَّم دون غیره من جوارح السباع و الطیر، و نقل المرتضی فیه إجماع الأصحاب</w:t>
      </w:r>
      <w:r>
        <w:rPr>
          <w:rStyle w:val="FootnoteAnchor"/>
          <w:rtl w:val="true"/>
        </w:rPr>
        <w:footnoteReference w:id="2404"/>
      </w:r>
      <w:r>
        <w:rPr>
          <w:rFonts w:ascii="IRNazanin" w:hAnsi="IRNazanin" w:eastAsia="IRNazanin"/>
          <w:color w:val="111111"/>
          <w:sz w:val="28"/>
          <w:sz w:val="28"/>
          <w:szCs w:val="28"/>
          <w:rtl w:val="true"/>
          <w:lang w:bidi="fa-IR"/>
        </w:rPr>
        <w:t xml:space="preserve">و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صید ما أشبهه من السباع، کالفهد و النمر و غیرهما</w:t>
      </w:r>
      <w:r>
        <w:rPr>
          <w:rStyle w:val="FootnoteAnchor"/>
          <w:rtl w:val="true"/>
        </w:rPr>
        <w:footnoteReference w:id="2405"/>
      </w:r>
      <w:r>
        <w:rPr>
          <w:rFonts w:ascii="IRNazanin" w:hAnsi="IRNazanin" w:eastAsia="IRNazanin"/>
          <w:color w:val="111111"/>
          <w:sz w:val="28"/>
          <w:sz w:val="28"/>
          <w:szCs w:val="28"/>
          <w:rtl w:val="true"/>
          <w:lang w:bidi="fa-IR"/>
        </w:rPr>
        <w:t>؛ لصحیح</w:t>
      </w:r>
      <w:r>
        <w:rPr>
          <w:rStyle w:val="FootnoteAnchor"/>
          <w:rtl w:val="true"/>
        </w:rPr>
        <w:footnoteReference w:id="2406"/>
      </w:r>
      <w:r>
        <w:rPr>
          <w:rFonts w:ascii="IRNazanin" w:hAnsi="IRNazanin" w:eastAsia="IRNazanin"/>
          <w:color w:val="111111"/>
          <w:sz w:val="28"/>
          <w:sz w:val="28"/>
          <w:szCs w:val="28"/>
          <w:rtl w:val="true"/>
          <w:lang w:bidi="fa-IR"/>
        </w:rPr>
        <w:t>أحمد بن محمّد عن أبی الحسن</w:t>
      </w:r>
      <w:r>
        <w:rPr>
          <w:rStyle w:val="FootnoteAnchor"/>
          <w:rtl w:val="true"/>
        </w:rPr>
        <w:footnoteReference w:id="2407"/>
      </w:r>
      <w:r>
        <w:rPr>
          <w:rFonts w:ascii="IRNazanin" w:hAnsi="IRNazanin" w:eastAsia="IRNazanin"/>
          <w:color w:val="111111"/>
          <w:sz w:val="28"/>
          <w:sz w:val="28"/>
          <w:szCs w:val="28"/>
          <w:rtl w:val="true"/>
          <w:lang w:bidi="fa-IR"/>
        </w:rPr>
        <w:t>، و روایة أبی بصیر عن الصادق علیه‌السّلام</w:t>
      </w:r>
      <w:r>
        <w:rPr>
          <w:rStyle w:val="FootnoteAnchor"/>
          <w:rtl w:val="true"/>
        </w:rPr>
        <w:footnoteReference w:id="2408"/>
      </w:r>
      <w:r>
        <w:rPr>
          <w:rFonts w:ascii="Amiri" w:hAnsi="Amiri" w:eastAsia="Amiri" w:cs="Amiri"/>
          <w:color w:val="111111"/>
          <w:sz w:val="28"/>
          <w:sz w:val="28"/>
          <w:szCs w:val="28"/>
          <w:rtl w:val="true"/>
          <w:lang w:bidi="ar-SA"/>
        </w:rPr>
        <w:t>، لکنّها</w:t>
      </w:r>
      <w:r>
        <w:rPr>
          <w:rStyle w:val="FootnoteAnchor"/>
          <w:rtl w:val="true"/>
        </w:rPr>
        <w:footnoteReference w:id="2409"/>
      </w:r>
      <w:r>
        <w:rPr>
          <w:rFonts w:ascii="IRNazanin" w:hAnsi="IRNazanin" w:eastAsia="IRNazanin"/>
          <w:color w:val="111111"/>
          <w:sz w:val="28"/>
          <w:sz w:val="28"/>
          <w:szCs w:val="28"/>
          <w:rtl w:val="true"/>
          <w:lang w:bidi="fa-IR"/>
        </w:rPr>
        <w:t>فی الفهد، و هی معارضة بأشهر منها</w:t>
      </w:r>
    </w:p>
    <w:p>
      <w:pPr>
        <w:pStyle w:val="BookText"/>
        <w:rPr/>
      </w:pPr>
      <w:r>
        <w:rPr>
          <w:rFonts w:ascii="IRNazanin" w:hAnsi="IRNazanin" w:eastAsia="IRNazanin"/>
          <w:color w:val="111111"/>
          <w:sz w:val="28"/>
          <w:sz w:val="28"/>
          <w:szCs w:val="28"/>
          <w:rtl w:val="true"/>
          <w:lang w:bidi="fa-IR"/>
        </w:rPr>
        <w:t>و أظهر فی الفتوی</w:t>
      </w:r>
      <w:r>
        <w:rPr>
          <w:rStyle w:val="FootnoteAnchor"/>
          <w:rtl w:val="true"/>
        </w:rPr>
        <w:footnoteReference w:id="2410"/>
      </w:r>
      <w:r>
        <w:rPr>
          <w:rFonts w:ascii="IRNazanin" w:hAnsi="IRNazanin" w:eastAsia="IRNazanin"/>
          <w:color w:val="111111"/>
          <w:sz w:val="28"/>
          <w:sz w:val="28"/>
          <w:szCs w:val="28"/>
          <w:rtl w:val="true"/>
          <w:lang w:bidi="fa-IR"/>
        </w:rPr>
        <w:t>، مع حملها علی التقیّة أو الضرورة، قاله الشیخ</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تعلیمه بأن یسترسل إذا أُرسِل، و ینزجر إذا زُجِر، و أن لا یعتاد أکل ما أمسک مراراً یصدق</w:t>
      </w:r>
      <w:r>
        <w:rPr>
          <w:rStyle w:val="FootnoteAnchor"/>
          <w:rtl w:val="true"/>
        </w:rPr>
        <w:footnoteReference w:id="2412"/>
      </w:r>
      <w:r>
        <w:rPr>
          <w:rFonts w:ascii="IRNazanin" w:hAnsi="IRNazanin" w:eastAsia="IRNazanin"/>
          <w:color w:val="111111"/>
          <w:sz w:val="28"/>
          <w:sz w:val="28"/>
          <w:szCs w:val="28"/>
          <w:rtl w:val="true"/>
          <w:lang w:bidi="fa-IR"/>
        </w:rPr>
        <w:t>علیها التعلیم عرفاً، و لا عبرة بندور الأکل، و لا بعدم انزجاره بعد إرساله علی الصید، و لا بشرب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الصدوقان</w:t>
      </w:r>
      <w:r>
        <w:rPr>
          <w:rStyle w:val="FootnoteAnchor"/>
          <w:rtl w:val="true"/>
        </w:rPr>
        <w:footnoteReference w:id="2413"/>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یؤکل صیده و إن أکل</w:t>
      </w:r>
      <w:r>
        <w:rPr>
          <w:rStyle w:val="FootnoteAnchor"/>
          <w:rtl w:val="true"/>
        </w:rPr>
        <w:footnoteReference w:id="2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حمل علی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یشترط فیه تسعة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یموت الصید بجرحه، فلو مات بإتعابه أو غمّه،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یرسله</w:t>
      </w:r>
      <w:r>
        <w:rPr>
          <w:rStyle w:val="FootnoteAnchor"/>
          <w:rtl w:val="true"/>
        </w:rPr>
        <w:footnoteReference w:id="2415"/>
      </w:r>
      <w:r>
        <w:rPr>
          <w:rFonts w:ascii="IRNazanin" w:hAnsi="IRNazanin" w:eastAsia="IRNazanin"/>
          <w:color w:val="111111"/>
          <w:sz w:val="28"/>
          <w:sz w:val="28"/>
          <w:szCs w:val="28"/>
          <w:rtl w:val="true"/>
          <w:lang w:bidi="fa-IR"/>
        </w:rPr>
        <w:t>، فلو استرسل من نفسه، لم یحلّ مقتوله، إلاّ أن یزجره فیقف ثمّ یرسله، و لو زاده إغراءاً،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الإرسال للصید، فلو أرسله لا للصید فصادف صیداً فقتله،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المرسل من أهل التذکیة، و هو المسلم أو حکمه، کالصبیّ الممیّز ذکراً کان أو أُنثی، فلو أرسله الکافر، لم یحلّ و إن کان ذمّیّاً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بصید الیهود و النصاری و ذبائحهم، بخلاف المجوس</w:t>
      </w:r>
      <w:r>
        <w:rPr>
          <w:rStyle w:val="FootnoteAnchor"/>
          <w:rtl w:val="true"/>
        </w:rPr>
        <w:footnoteReference w:id="2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الصدوق أکل ذبیحة الثلاثة إذا سمعت تسمیتهم و فقدت ذبیحة المسلم</w:t>
      </w:r>
      <w:r>
        <w:rPr>
          <w:rStyle w:val="FootnoteAnchor"/>
          <w:rtl w:val="true"/>
        </w:rPr>
        <w:footnoteReference w:id="2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اصطیادهم، و لا تعویل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حلّ اصطیاد المخالف غیر الناصب الخلاف الذی یأتی فی الذبیحة إن‌شاءاللّه تعالی، أمّا الناصب فلا یحلّ مصیده و إن سمّی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یحلّ مصید المجنون، و لا الطفل 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المکفوف فإن تصوّر فیه قصد</w:t>
      </w:r>
      <w:r>
        <w:rPr>
          <w:rStyle w:val="FootnoteAnchor"/>
          <w:rtl w:val="true"/>
        </w:rPr>
        <w:footnoteReference w:id="2418"/>
      </w:r>
      <w:r>
        <w:rPr>
          <w:rFonts w:ascii="Amiri" w:hAnsi="Amiri" w:eastAsia="Amiri" w:cs="Amiri"/>
          <w:color w:val="111111"/>
          <w:sz w:val="28"/>
          <w:sz w:val="28"/>
          <w:szCs w:val="28"/>
          <w:rtl w:val="true"/>
          <w:lang w:bidi="ar-SA"/>
        </w:rPr>
        <w:t>الصید، حلّ و إلاّ فلا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اشترک فی قتله کلبان أحدهما من الأهل و الآخر ممّن</w:t>
      </w:r>
      <w:r>
        <w:rPr>
          <w:rStyle w:val="FootnoteAnchor"/>
          <w:rtl w:val="true"/>
        </w:rPr>
        <w:footnoteReference w:id="2419"/>
      </w:r>
      <w:r>
        <w:rPr>
          <w:rFonts w:ascii="IRNazanin" w:hAnsi="IRNazanin" w:eastAsia="IRNazanin"/>
          <w:color w:val="111111"/>
          <w:sz w:val="28"/>
          <w:sz w:val="28"/>
          <w:szCs w:val="28"/>
          <w:rtl w:val="true"/>
          <w:lang w:bidi="fa-IR"/>
        </w:rPr>
        <w:t>لیس بأهل،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عند الإرسال من المرسل، فلو ترک التسمیة عمداً، حرم، و إن کان ناسیاً،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نسیها فاستدرک عند الإصابة، أجزأ، و لو تعمّدها ثمّ سمّی عندها،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سمّی غیر المرسل،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فی قتله کلبان سمّی مرسل أحدهما دون الآخر، لم یحلّ ما لم یعلم أنّ القاتل ما سمّی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هنا و فی الذبح و النحر ذکر اللّه مع التعظیم، مثل بسم اللّه، و اللّه أکبر،</w:t>
      </w:r>
    </w:p>
    <w:p>
      <w:pPr>
        <w:pStyle w:val="BookText"/>
        <w:rPr/>
      </w:pPr>
      <w:r>
        <w:rPr>
          <w:rFonts w:ascii="IRNazanin" w:hAnsi="IRNazanin" w:eastAsia="IRNazanin"/>
          <w:color w:val="111111"/>
          <w:sz w:val="28"/>
          <w:sz w:val="28"/>
          <w:szCs w:val="28"/>
          <w:rtl w:val="true"/>
          <w:lang w:bidi="fa-IR"/>
        </w:rPr>
        <w:t>و سبحان اللّه، و لا یجزئ</w:t>
      </w:r>
      <w:r>
        <w:rPr>
          <w:rStyle w:val="FootnoteAnchor"/>
          <w:rtl w:val="true"/>
        </w:rPr>
        <w:footnoteReference w:id="2420"/>
      </w:r>
      <w:r>
        <w:rPr>
          <w:rFonts w:ascii="IRNazanin" w:hAnsi="IRNazanin" w:eastAsia="IRNazanin"/>
          <w:color w:val="111111"/>
          <w:sz w:val="28"/>
          <w:sz w:val="28"/>
          <w:szCs w:val="28"/>
          <w:rtl w:val="true"/>
          <w:lang w:bidi="fa-IR"/>
        </w:rPr>
        <w:t>لو اقتصر علی الجلالة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ارحمنی، أو اللهمّ صلّ علی محمّد و آل محمّد،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إجزاء التسمیة بغیر العربیّة نظر، من صدق الذکر، و من تصریح القرآن باسم اللّه، و قطع الفاضل بالإجزاء</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یموت بالجرح، فلو جرحه ثمّ عقره سبع، أو تدهده من جبل، لم یحلّ، إلاّ أن یکون الجرح قاتلاً و لم یبق فیه حیاة 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یغیب عنه و فیه حیاة مستقرّة، فلو غاب، لم یحلّ، سواء کان الکلب واقفاً علیه أم لا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یدرکه المرسل و فیه حیاة مستقرّة، فلو أدرکه کذلک، وجبت </w:t>
      </w:r>
    </w:p>
    <w:p>
      <w:pPr>
        <w:pStyle w:val="BookText"/>
        <w:rPr/>
      </w:pPr>
      <w:r>
        <w:rPr>
          <w:rFonts w:ascii="IRNazanin" w:hAnsi="IRNazanin" w:eastAsia="IRNazanin"/>
          <w:color w:val="111111"/>
          <w:sz w:val="28"/>
          <w:sz w:val="28"/>
          <w:szCs w:val="28"/>
          <w:rtl w:val="true"/>
          <w:lang w:bidi="fa-IR"/>
        </w:rPr>
        <w:t xml:space="preserve">التذکیة إن اتّسع الزمان لذبحه، و لو قصر الزمان عن ذلک ففی حلّه للشیخ قولان، ففی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w:t>
      </w:r>
      <w:r>
        <w:rPr>
          <w:rStyle w:val="FootnoteAnchor"/>
          <w:rtl w:val="true"/>
        </w:rPr>
        <w:footnoteReference w:id="2422"/>
      </w:r>
      <w:r>
        <w:rPr>
          <w:rFonts w:ascii="IRNazanin" w:hAnsi="IRNazanin" w:eastAsia="IRNazanin"/>
          <w:color w:val="111111"/>
          <w:sz w:val="28"/>
          <w:sz w:val="28"/>
          <w:szCs w:val="28"/>
          <w:rtl w:val="true"/>
          <w:lang w:bidi="fa-IR"/>
        </w:rPr>
        <w:t>، و منعه فی الخلاف</w:t>
      </w:r>
      <w:r>
        <w:rPr>
          <w:rStyle w:val="FootnoteAnchor"/>
          <w:rtl w:val="true"/>
        </w:rPr>
        <w:footnoteReference w:id="2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الجنید</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نعنی باستقرار الحیاة إمکان حیاته، و لو نصف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أن تطرف عینه أو ترکض رجله أو یتحرّک ذنبه</w:t>
      </w:r>
      <w:r>
        <w:rPr>
          <w:rStyle w:val="FootnoteAnchor"/>
          <w:rtl w:val="true"/>
        </w:rPr>
        <w:footnoteReference w:id="2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مرویّ</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فقد الآلة عند إدراکه ففی صحیحة جمیل بن درّاج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الکلب حتّی یقتله فیأکل منه</w:t>
      </w:r>
      <w:r>
        <w:rPr>
          <w:rStyle w:val="FootnoteAnchor"/>
          <w:rtl w:val="true"/>
        </w:rPr>
        <w:footnoteReference w:id="2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القدماء</w:t>
      </w:r>
      <w:r>
        <w:rPr>
          <w:rStyle w:val="FootnoteAnchor"/>
          <w:rtl w:val="true"/>
        </w:rPr>
        <w:footnoteReference w:id="2428"/>
      </w:r>
      <w:r>
        <w:rPr>
          <w:rFonts w:ascii="IRNazanin" w:hAnsi="IRNazanin" w:eastAsia="IRNazanin"/>
          <w:color w:val="111111"/>
          <w:sz w:val="28"/>
          <w:sz w:val="28"/>
          <w:szCs w:val="28"/>
          <w:rtl w:val="true"/>
          <w:lang w:bidi="fa-IR"/>
        </w:rPr>
        <w:t>، و أنکرها ابن إدریس</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الصید ممتنعاً، سواء کان وحشیّاً أو إنسیّاً، فلو قتل الکلب غیر الممتنع،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صالت البهائم الإنسیّة أو توحّشت فقتلها الکلب، حلّت مع تعذّر التذکیة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إسلام المعلّم بل إسلام المرسل کافٍ و إن علّمه المجوسیّ، و نقل الشیخ فیه إجماعنا</w:t>
      </w:r>
      <w:r>
        <w:rPr>
          <w:rStyle w:val="FootnoteAnchor"/>
          <w:rtl w:val="true"/>
        </w:rPr>
        <w:footnoteReference w:id="2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 علّمه المجوسیّ</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 xml:space="preserve">. </w:t>
      </w:r>
      <w:bookmarkStart w:id="338" w:name="pg13665_219365"/>
    </w:p>
    <w:p>
      <w:pPr>
        <w:pStyle w:val="BookText"/>
        <w:rPr/>
      </w:pPr>
      <w:bookmarkEnd w:id="338"/>
      <w:r>
        <w:rPr>
          <w:rFonts w:ascii="IRNazanin" w:hAnsi="IRNazanin" w:eastAsia="IRNazanin"/>
          <w:color w:val="111111"/>
          <w:sz w:val="28"/>
          <w:sz w:val="28"/>
          <w:szCs w:val="28"/>
          <w:rtl w:val="true"/>
          <w:lang w:bidi="fa-IR"/>
        </w:rPr>
        <w:t>و یشهد للحلّ صحیحة سلیمان بن خالد</w:t>
      </w:r>
      <w:r>
        <w:rPr>
          <w:rStyle w:val="FootnoteAnchor"/>
          <w:rtl w:val="true"/>
        </w:rPr>
        <w:footnoteReference w:id="2432"/>
      </w:r>
      <w:r>
        <w:rPr>
          <w:rFonts w:ascii="IRNazanin" w:hAnsi="IRNazanin" w:eastAsia="IRNazanin"/>
          <w:color w:val="111111"/>
          <w:sz w:val="28"/>
          <w:sz w:val="28"/>
          <w:szCs w:val="28"/>
          <w:rtl w:val="true"/>
          <w:lang w:bidi="fa-IR"/>
        </w:rPr>
        <w:t>، و للحرمة روایة عبدالرحمان بن</w:t>
      </w:r>
    </w:p>
    <w:p>
      <w:pPr>
        <w:pStyle w:val="BookText"/>
        <w:rPr/>
      </w:pPr>
      <w:r>
        <w:rPr>
          <w:rFonts w:ascii="IRNazanin" w:hAnsi="IRNazanin" w:eastAsia="IRNazanin"/>
          <w:color w:val="111111"/>
          <w:sz w:val="28"/>
          <w:sz w:val="28"/>
          <w:szCs w:val="28"/>
          <w:rtl w:val="true"/>
          <w:lang w:bidi="fa-IR"/>
        </w:rPr>
        <w:t>سیابة</w:t>
      </w:r>
      <w:r>
        <w:rPr>
          <w:rStyle w:val="FootnoteAnchor"/>
          <w:rtl w:val="true"/>
        </w:rPr>
        <w:footnoteReference w:id="2433"/>
      </w:r>
      <w:r>
        <w:rPr>
          <w:rFonts w:ascii="IRNazanin" w:hAnsi="IRNazanin" w:eastAsia="IRNazanin"/>
          <w:color w:val="111111"/>
          <w:sz w:val="28"/>
          <w:sz w:val="28"/>
          <w:szCs w:val="28"/>
          <w:rtl w:val="true"/>
          <w:lang w:bidi="fa-IR"/>
        </w:rPr>
        <w:t xml:space="preserve">، 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و تحمل الروایة علی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أکل ما صاده الکلب الأسود البهیم</w:t>
      </w:r>
      <w:r>
        <w:rPr>
          <w:rStyle w:val="FootnoteAnchor"/>
          <w:rtl w:val="true"/>
        </w:rPr>
        <w:footnoteReference w:id="2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ابن الجنید</w:t>
      </w:r>
      <w:r>
        <w:rPr>
          <w:rStyle w:val="FootnoteAnchor"/>
          <w:rtl w:val="true"/>
        </w:rPr>
        <w:footnoteReference w:id="2435"/>
      </w:r>
      <w:r>
        <w:rPr>
          <w:rFonts w:ascii="IRNazanin" w:hAnsi="IRNazanin" w:eastAsia="IRNazanin"/>
          <w:color w:val="111111"/>
          <w:sz w:val="28"/>
          <w:sz w:val="28"/>
          <w:szCs w:val="28"/>
          <w:rtl w:val="true"/>
          <w:lang w:bidi="fa-IR"/>
        </w:rPr>
        <w:t xml:space="preserve">؛ لما روی عن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یؤکل صیده و أنّ رسول‌اللّه صلّی‌اللّه علیه و آله و سلّم أمر بقتله</w:t>
      </w:r>
      <w:r>
        <w:rPr>
          <w:rStyle w:val="FootnoteAnchor"/>
          <w:rtl w:val="true"/>
        </w:rPr>
        <w:footnoteReference w:id="2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غسل موضع العضّة ؛ جمعاً بین نجاسة الکلب و إطلاق الأمر بالأکل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Style w:val="FootnoteAnchor"/>
          <w:rtl w:val="true"/>
        </w:rPr>
        <w:footnoteReference w:id="2437"/>
      </w:r>
      <w:r>
        <w:rPr>
          <w:rFonts w:ascii="IRNazanin" w:hAnsi="IRNazanin" w:eastAsia="IRNazanin"/>
          <w:color w:val="111111"/>
          <w:sz w:val="28"/>
          <w:sz w:val="28"/>
          <w:szCs w:val="28"/>
          <w:rtl w:val="true"/>
          <w:lang w:bidi="fa-IR"/>
        </w:rPr>
        <w:t>؛ لإطلاق الآیة</w:t>
      </w:r>
      <w:r>
        <w:rPr>
          <w:rStyle w:val="FootnoteAnchor"/>
          <w:rtl w:val="true"/>
        </w:rPr>
        <w:footnoteReference w:id="2438"/>
      </w:r>
      <w:r>
        <w:rPr>
          <w:rFonts w:ascii="IRNazanin" w:hAnsi="IRNazanin" w:eastAsia="IRNazanin"/>
          <w:color w:val="111111"/>
          <w:sz w:val="28"/>
          <w:sz w:val="28"/>
          <w:szCs w:val="28"/>
          <w:rtl w:val="true"/>
          <w:lang w:bidi="fa-IR"/>
        </w:rPr>
        <w:t>من غیر أمر بالغسل</w:t>
      </w:r>
      <w:r>
        <w:rPr>
          <w:rFonts w:eastAsia="IRNazanin" w:cs="IRNazanin"/>
          <w:color w:val="111111"/>
          <w:sz w:val="28"/>
          <w:szCs w:val="28"/>
          <w:rtl w:val="true"/>
          <w:lang w:bidi="fa-IR"/>
        </w:rPr>
        <w:t>.</w:t>
      </w:r>
    </w:p>
    <w:p>
      <w:pPr>
        <w:pStyle w:val="Heading3"/>
        <w:numPr>
          <w:ilvl w:val="2"/>
          <w:numId w:val="1"/>
        </w:numPr>
        <w:rPr/>
      </w:pPr>
      <w:bookmarkStart w:id="339" w:name="__RefHeading___Toc2071437_3830689328"/>
      <w:bookmarkStart w:id="340" w:name="_Toc113"/>
      <w:bookmarkEnd w:id="339"/>
      <w:r>
        <w:rPr>
          <w:rtl w:val="true"/>
        </w:rPr>
        <w:t xml:space="preserve">درس </w:t>
      </w:r>
      <w:r>
        <w:rPr>
          <w:rtl w:val="true"/>
        </w:rPr>
        <w:t>(</w:t>
      </w:r>
      <w:r>
        <w:rPr/>
        <w:t>198</w:t>
      </w:r>
      <w:r>
        <w:rPr>
          <w:rtl w:val="true"/>
        </w:rPr>
        <w:t>)</w:t>
      </w:r>
      <w:bookmarkEnd w:id="34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آلة محدّدة قتل بها الممتنع فإنّه یحلّ</w:t>
      </w:r>
      <w:r>
        <w:rPr>
          <w:rStyle w:val="FootnoteAnchor"/>
          <w:rtl w:val="true"/>
        </w:rPr>
        <w:footnoteReference w:id="2439"/>
      </w:r>
      <w:r>
        <w:rPr>
          <w:rFonts w:ascii="IRNazanin" w:hAnsi="IRNazanin" w:eastAsia="IRNazanin"/>
          <w:color w:val="111111"/>
          <w:sz w:val="28"/>
          <w:sz w:val="28"/>
          <w:szCs w:val="28"/>
          <w:rtl w:val="true"/>
          <w:lang w:bidi="fa-IR"/>
        </w:rPr>
        <w:t>مع التسمیة، کالسهم و السیف و الرمح و المعراض</w:t>
      </w:r>
      <w:r>
        <w:rPr>
          <w:rStyle w:val="FootnoteAnchor"/>
          <w:rtl w:val="true"/>
        </w:rPr>
        <w:footnoteReference w:id="2440"/>
      </w:r>
      <w:r>
        <w:rPr>
          <w:rFonts w:ascii="IRNazanin" w:hAnsi="IRNazanin" w:eastAsia="IRNazanin"/>
          <w:color w:val="111111"/>
          <w:sz w:val="28"/>
          <w:sz w:val="28"/>
          <w:szCs w:val="28"/>
          <w:rtl w:val="true"/>
          <w:lang w:bidi="fa-IR"/>
        </w:rPr>
        <w:t>إذا خرق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السهم المحدّد و إن لم یکن فیه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أصابا معترضین، لم یحلّ، بخلاف ما فیه الحدید، و ظاهر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p>
    <w:p>
      <w:pPr>
        <w:pStyle w:val="BookText"/>
        <w:rPr/>
      </w:pPr>
      <w:r>
        <w:rPr>
          <w:rFonts w:ascii="IRNazanin" w:hAnsi="IRNazanin" w:eastAsia="IRNazanin"/>
          <w:color w:val="111111"/>
          <w:sz w:val="28"/>
          <w:sz w:val="28"/>
          <w:szCs w:val="28"/>
          <w:rtl w:val="true"/>
          <w:lang w:bidi="fa-IR"/>
        </w:rPr>
        <w:t>المصید</w:t>
      </w:r>
      <w:r>
        <w:rPr>
          <w:rStyle w:val="FootnoteAnchor"/>
          <w:rtl w:val="true"/>
        </w:rPr>
        <w:footnoteReference w:id="2441"/>
      </w:r>
      <w:r>
        <w:rPr>
          <w:rFonts w:ascii="IRNazanin" w:hAnsi="IRNazanin" w:eastAsia="IRNazanin"/>
          <w:color w:val="111111"/>
          <w:sz w:val="28"/>
          <w:sz w:val="28"/>
          <w:szCs w:val="28"/>
          <w:rtl w:val="true"/>
          <w:lang w:bidi="fa-IR"/>
        </w:rPr>
        <w:t>بهذه الآلات غیر الکلب ما لم یذکّ</w:t>
      </w:r>
      <w:r>
        <w:rPr>
          <w:rStyle w:val="FootnoteAnchor"/>
          <w:rtl w:val="true"/>
        </w:rPr>
        <w:footnoteReference w:id="2442"/>
      </w:r>
      <w:r>
        <w:rPr>
          <w:rFonts w:ascii="IRNazanin" w:hAnsi="IRNazanin" w:eastAsia="IRNazanin"/>
          <w:color w:val="111111"/>
          <w:sz w:val="28"/>
          <w:sz w:val="28"/>
          <w:szCs w:val="28"/>
          <w:rtl w:val="true"/>
          <w:lang w:bidi="fa-IR"/>
        </w:rPr>
        <w:t>،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یحلّ ما قتله المثقل، کالحجر و البندق و الخشبة غیر المحدّدة، و فی تحریم الرمی بقوس البندق قول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Style w:val="FootnoteAnchor"/>
          <w:rtl w:val="true"/>
        </w:rPr>
        <w:footnoteReference w:id="2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الفاضل بجوازه و إن حرم</w:t>
      </w:r>
    </w:p>
    <w:p>
      <w:pPr>
        <w:pStyle w:val="BookText"/>
        <w:rPr/>
      </w:pPr>
      <w:r>
        <w:rPr>
          <w:rFonts w:ascii="IRNazanin" w:hAnsi="IRNazanin" w:eastAsia="IRNazanin"/>
          <w:color w:val="111111"/>
          <w:sz w:val="28"/>
          <w:sz w:val="28"/>
          <w:szCs w:val="28"/>
          <w:rtl w:val="true"/>
          <w:lang w:bidi="fa-IR"/>
        </w:rPr>
        <w:t>ما قتله</w:t>
      </w:r>
      <w:r>
        <w:rPr>
          <w:rStyle w:val="FootnoteAnchor"/>
          <w:rtl w:val="true"/>
        </w:rPr>
        <w:footnoteReference w:id="2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رمی الصید بما هو أکبر منه</w:t>
      </w:r>
      <w:r>
        <w:rPr>
          <w:rStyle w:val="FootnoteAnchor"/>
          <w:rtl w:val="true"/>
        </w:rPr>
        <w:footnoteReference w:id="2445"/>
      </w:r>
      <w:r>
        <w:rPr>
          <w:rFonts w:ascii="IRNazanin" w:hAnsi="IRNazanin" w:eastAsia="IRNazanin"/>
          <w:color w:val="111111"/>
          <w:sz w:val="28"/>
          <w:sz w:val="28"/>
          <w:szCs w:val="28"/>
          <w:rtl w:val="true"/>
          <w:lang w:bidi="fa-IR"/>
        </w:rPr>
        <w:t>، و الکراهیة</w:t>
      </w:r>
      <w:r>
        <w:rPr>
          <w:rStyle w:val="FootnoteAnchor"/>
          <w:rtl w:val="true"/>
        </w:rPr>
        <w:footnoteReference w:id="2446"/>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شرائط الحلّ به تسعة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الآلة محدّدة تخرق أو فیها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الإصابة بها، فلو وقع السهم من یده فجرح الصید فقتله، لم یحلّ، و لو وقع لانقطاع الوتر بعد القصد،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نصب منجلاً فی شبکة أو سکّیناً فی بئر فقتل</w:t>
      </w:r>
      <w:r>
        <w:rPr>
          <w:rStyle w:val="FootnoteAnchor"/>
          <w:rtl w:val="true"/>
        </w:rPr>
        <w:footnoteReference w:id="2447"/>
      </w:r>
      <w:r>
        <w:rPr>
          <w:rFonts w:ascii="IRNazanin" w:hAnsi="IRNazanin" w:eastAsia="IRNazanin"/>
          <w:color w:val="111111"/>
          <w:sz w:val="28"/>
          <w:sz w:val="28"/>
          <w:szCs w:val="28"/>
          <w:rtl w:val="true"/>
          <w:lang w:bidi="fa-IR"/>
        </w:rPr>
        <w:t>، لم یحلّ ؛ لعدم تحقّق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جنس الصید، فلو قصد الرمی لا للصید فقتل،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قصد خنزیراً فأصاب ظبیاً،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ظنّه خنزیراً فبان ظبیاً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قصد عین</w:t>
      </w:r>
      <w:r>
        <w:rPr>
          <w:rStyle w:val="FootnoteAnchor"/>
          <w:rtl w:val="true"/>
        </w:rPr>
        <w:footnoteReference w:id="2448"/>
      </w:r>
      <w:r>
        <w:rPr>
          <w:rFonts w:ascii="IRNazanin" w:hAnsi="IRNazanin" w:eastAsia="IRNazanin"/>
          <w:color w:val="111111"/>
          <w:sz w:val="28"/>
          <w:sz w:val="28"/>
          <w:szCs w:val="28"/>
          <w:rtl w:val="true"/>
          <w:lang w:bidi="fa-IR"/>
        </w:rPr>
        <w:t>الصید، فلو عیّن فأخطأ فقتل صیداً آخر، حلّ، و لو قصد محلّلاً و محرّماً، حلّ المحلّ، و لو قصد أحد الرامیین دون الآخر فاشترکا،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یحلّ، إلاّ أن یکون القاتل سهم القاصد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حال الإرسال، و لو</w:t>
      </w:r>
      <w:r>
        <w:rPr>
          <w:rStyle w:val="FootnoteAnchor"/>
          <w:rtl w:val="true"/>
        </w:rPr>
        <w:footnoteReference w:id="2449"/>
      </w:r>
      <w:r>
        <w:rPr>
          <w:rFonts w:ascii="IRNazanin" w:hAnsi="IRNazanin" w:eastAsia="IRNazanin"/>
          <w:color w:val="111111"/>
          <w:sz w:val="28"/>
          <w:sz w:val="28"/>
          <w:szCs w:val="28"/>
          <w:rtl w:val="true"/>
          <w:lang w:bidi="fa-IR"/>
        </w:rPr>
        <w:t>سمّی بعده قبل الإصابة، حلّ، و لو ترکها عمداً أو سهواً، فکما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 ما سبق</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کونها من المرسل، فلو سمّی غیره، لم یحلّ، و لو أرسلا فسمّی أحدهما و اشترکا،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المرسل أهلاً للتذکیة، 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 بالجرح، فلو مات بغیره، أو به و بغیره،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یغیب عنه و فیه حیاة مستقرّة، کما مرّ</w:t>
      </w:r>
      <w:r>
        <w:rPr>
          <w:rStyle w:val="FootnoteAnchor"/>
          <w:rtl w:val="true"/>
        </w:rPr>
        <w:footnoteReference w:id="2451"/>
      </w:r>
      <w:r>
        <w:rPr>
          <w:rFonts w:ascii="IRNazanin" w:hAnsi="IRNazanin" w:eastAsia="IRNazanin"/>
          <w:color w:val="111111"/>
          <w:sz w:val="28"/>
          <w:sz w:val="28"/>
          <w:szCs w:val="28"/>
          <w:rtl w:val="true"/>
          <w:lang w:bidi="fa-IR"/>
        </w:rPr>
        <w:t>، و کذا لو وقع من جبل</w:t>
      </w:r>
    </w:p>
    <w:p>
      <w:pPr>
        <w:pStyle w:val="BookText"/>
        <w:rPr/>
      </w:pPr>
      <w:r>
        <w:rPr>
          <w:rFonts w:ascii="IRNazanin" w:hAnsi="IRNazanin" w:eastAsia="IRNazanin"/>
          <w:color w:val="111111"/>
          <w:sz w:val="28"/>
          <w:sz w:val="28"/>
          <w:szCs w:val="28"/>
          <w:rtl w:val="true"/>
          <w:lang w:bidi="fa-IR"/>
        </w:rPr>
        <w:t>أو فی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الصدوقان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إن کان رأسه خارجاً من الماء</w:t>
      </w:r>
      <w:r>
        <w:rPr>
          <w:rStyle w:val="FootnoteAnchor"/>
          <w:rtl w:val="true"/>
        </w:rPr>
        <w:footnoteReference w:id="2452"/>
      </w:r>
      <w:r>
        <w:rPr>
          <w:rFonts w:ascii="IRNazanin" w:hAnsi="IRNazanin" w:eastAsia="IRNazanin"/>
          <w:color w:val="111111"/>
          <w:sz w:val="28"/>
          <w:sz w:val="28"/>
          <w:szCs w:val="28"/>
          <w:rtl w:val="true"/>
          <w:lang w:bidi="fa-IR"/>
        </w:rPr>
        <w:t>، و صوّبه الفاضل</w:t>
      </w:r>
      <w:r>
        <w:rPr>
          <w:rStyle w:val="FootnoteAnchor"/>
          <w:rtl w:val="true"/>
        </w:rPr>
        <w:footnoteReference w:id="2453"/>
      </w:r>
      <w:r>
        <w:rPr>
          <w:rFonts w:ascii="IRNazanin" w:hAnsi="IRNazanin" w:eastAsia="IRNazanin"/>
          <w:color w:val="111111"/>
          <w:sz w:val="28"/>
          <w:sz w:val="28"/>
          <w:szCs w:val="28"/>
          <w:rtl w:val="true"/>
          <w:lang w:bidi="fa-IR"/>
        </w:rPr>
        <w:t>؛ لأ نّه أمارة علی قتله بالسهم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یدرکه و فیه حیاة مستقرّة، فلو أدرکه کذلک، وجبت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الإسراع حال الإصابة بالسهم أو الکلب لیدرک ذکاته، فإن أدرکها، فعل و إلاّ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المقتول و إن کان إنسیّاً، و کذا لو تردّی فی بئر فتعذّر ذبحه أو نحره کفی عقره بما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رمی غیر الممتنع، لم یحلّ إلاّ مع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رماهما، حلّ الممتنع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اتّحاد الرامی، فلو رماه جماعة بالشرائط فقتلوه، حلّ و کان بینهم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عدم مشارکة الریح أو الأرض، فلو أمالته الریح و لولاها لم یصب، أو وقع علی الأرض فوثب فأصاب بوثوبه، حلّ</w:t>
      </w:r>
      <w:r>
        <w:rPr>
          <w:rFonts w:eastAsia="IRNazanin" w:cs="IRNazanin"/>
          <w:color w:val="111111"/>
          <w:sz w:val="28"/>
          <w:szCs w:val="28"/>
          <w:rtl w:val="true"/>
          <w:lang w:bidi="fa-IR"/>
        </w:rPr>
        <w:t xml:space="preserve">. </w:t>
      </w:r>
      <w:bookmarkStart w:id="341" w:name="pg13665_219368"/>
    </w:p>
    <w:p>
      <w:pPr>
        <w:pStyle w:val="BookText"/>
        <w:rPr/>
      </w:pPr>
      <w:bookmarkEnd w:id="341"/>
      <w:r>
        <w:rPr>
          <w:rFonts w:ascii="IRNazanin" w:hAnsi="IRNazanin" w:eastAsia="IRNazanin"/>
          <w:color w:val="111111"/>
          <w:sz w:val="28"/>
          <w:sz w:val="28"/>
          <w:szCs w:val="28"/>
          <w:rtl w:val="true"/>
          <w:lang w:bidi="fa-IR"/>
        </w:rPr>
        <w:t>و لا یضرّ قطعه بنصفین فیحلاّن و إن تحرّک أحدهما، أو تحرّکا، أو لم یتحرّکا، إذا لم یکن فی المتحرّک حیاة مستقرّة، فإن کان فیه حیاة مستقرّة، ذکّی و حرم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التساوی فی الشقّین و عدمه، و فی المبسوط و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تساویا، حلاّ، و إن تفاوتا، حلّ ما فیه الرأس خاصّة إذا کان هو الأکبر</w:t>
      </w:r>
      <w:r>
        <w:rPr>
          <w:rStyle w:val="FootnoteAnchor"/>
          <w:rtl w:val="true"/>
        </w:rPr>
        <w:footnoteReference w:id="2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ما تحرّک من النصفین و یحرم الآخر</w:t>
      </w:r>
      <w:r>
        <w:rPr>
          <w:rStyle w:val="FootnoteAnchor"/>
          <w:rtl w:val="true"/>
        </w:rPr>
        <w:footnoteReference w:id="2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إذا کانا</w:t>
      </w:r>
    </w:p>
    <w:p>
      <w:pPr>
        <w:pStyle w:val="BookText"/>
        <w:rPr/>
      </w:pPr>
      <w:r>
        <w:rPr>
          <w:rFonts w:ascii="IRNazanin" w:hAnsi="IRNazanin" w:eastAsia="IRNazanin"/>
          <w:color w:val="111111"/>
          <w:sz w:val="28"/>
          <w:sz w:val="28"/>
          <w:szCs w:val="28"/>
          <w:rtl w:val="true"/>
          <w:lang w:bidi="fa-IR"/>
        </w:rPr>
        <w:t>سواء و خرج الدم، و یحلّ الأکبر إذا کان معه الرأس، و إن تحرّک أحدهما، حلّ المتحرّک</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تقاطعت الکلاب الصید قبل إدراکه،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توزّع جماعة صیداً بضربهم جمیعاً حلّ، إلاّ أن یعلم أنّ أحدهم أزهق نفسه بعد إثباته و استقرار حیاته</w:t>
      </w:r>
      <w:r>
        <w:rPr>
          <w:rFonts w:eastAsia="IRNazanin" w:cs="IRNazanin"/>
          <w:color w:val="111111"/>
          <w:sz w:val="28"/>
          <w:szCs w:val="28"/>
          <w:rtl w:val="true"/>
          <w:lang w:bidi="fa-IR"/>
        </w:rPr>
        <w:t>.</w:t>
      </w:r>
    </w:p>
    <w:p>
      <w:pPr>
        <w:pStyle w:val="Heading3"/>
        <w:numPr>
          <w:ilvl w:val="2"/>
          <w:numId w:val="1"/>
        </w:numPr>
        <w:rPr/>
      </w:pPr>
      <w:bookmarkStart w:id="342" w:name="__RefHeading___Toc2071439_3830689328"/>
      <w:bookmarkStart w:id="343" w:name="_Toc114"/>
      <w:bookmarkEnd w:id="342"/>
      <w:r>
        <w:rPr>
          <w:rtl w:val="true"/>
        </w:rPr>
        <w:t xml:space="preserve">درس </w:t>
      </w:r>
      <w:r>
        <w:rPr>
          <w:rtl w:val="true"/>
        </w:rPr>
        <w:t>(</w:t>
      </w:r>
      <w:r>
        <w:rPr/>
        <w:t>199</w:t>
      </w:r>
      <w:r>
        <w:rPr>
          <w:rtl w:val="true"/>
        </w:rPr>
        <w:t>)</w:t>
      </w:r>
      <w:bookmarkEnd w:id="343"/>
    </w:p>
    <w:p>
      <w:pPr>
        <w:pStyle w:val="BookText"/>
        <w:rPr/>
      </w:pPr>
      <w:r>
        <w:rPr>
          <w:rFonts w:ascii="IRNazanin" w:hAnsi="IRNazanin" w:eastAsia="IRNazanin"/>
          <w:color w:val="111111"/>
          <w:sz w:val="28"/>
          <w:sz w:val="28"/>
          <w:szCs w:val="28"/>
          <w:rtl w:val="true"/>
          <w:lang w:bidi="fa-IR"/>
        </w:rPr>
        <w:t>یکره صید الطیر و الوحش لیلاً و أخذ الفراخ من أعشاشها، و صید السمک یوم الجمعة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الاصطیاد بالآلة المغصوبة، و لا یحرم المصید، و یملکه الصائد و علیه الأُجرة، سواء کانت الآلة کلباً أو سلاحاً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یملک الصید</w:t>
      </w:r>
      <w:r>
        <w:rPr>
          <w:rStyle w:val="FootnoteAnchor"/>
          <w:rtl w:val="true"/>
        </w:rPr>
        <w:footnoteReference w:id="2457"/>
      </w:r>
      <w:r>
        <w:rPr>
          <w:rFonts w:ascii="IRNazanin" w:hAnsi="IRNazanin" w:eastAsia="IRNazanin"/>
          <w:color w:val="111111"/>
          <w:sz w:val="28"/>
          <w:sz w:val="28"/>
          <w:szCs w:val="28"/>
          <w:rtl w:val="true"/>
          <w:lang w:bidi="fa-IR"/>
        </w:rPr>
        <w:t>بإثباته و إن لم یقبضه، و یقبضه بیده أو بالآلة</w:t>
      </w:r>
      <w:r>
        <w:rPr>
          <w:rStyle w:val="FootnoteAnchor"/>
          <w:rtl w:val="true"/>
        </w:rPr>
        <w:footnoteReference w:id="2458"/>
      </w:r>
      <w:r>
        <w:rPr>
          <w:rFonts w:ascii="IRNazanin" w:hAnsi="IRNazanin" w:eastAsia="IRNazanin"/>
          <w:color w:val="111111"/>
          <w:sz w:val="28"/>
          <w:sz w:val="28"/>
          <w:szCs w:val="28"/>
          <w:rtl w:val="true"/>
          <w:lang w:bidi="fa-IR"/>
        </w:rPr>
        <w:t>کالحبالة و الشبکة، فلو أفلت بعد إثباته أو بعد قبضه بالید أو الآلة فأخذه آخر، لم یملکه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أطلقه من یده و نوی قطع ملکه عنه، لم یخرج عن ملکه،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کما لو رمی الحقیر مهملاً له</w:t>
      </w:r>
      <w:r>
        <w:rPr>
          <w:rStyle w:val="FootnoteAnchor"/>
          <w:rtl w:val="true"/>
        </w:rPr>
        <w:footnoteReference w:id="2459"/>
      </w:r>
      <w:r>
        <w:rPr>
          <w:rFonts w:ascii="IRNazanin" w:hAnsi="IRNazanin" w:eastAsia="IRNazanin"/>
          <w:color w:val="111111"/>
          <w:sz w:val="28"/>
          <w:sz w:val="28"/>
          <w:szCs w:val="28"/>
          <w:rtl w:val="true"/>
          <w:lang w:bidi="fa-IR"/>
        </w:rPr>
        <w:t>، و لمانع أن یمنع خروج الحقیر عن ملکه و إن کان ذلک إباحة لتناول غیره، و فی الصید کذلک إذا تحقّق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یملک الصید بتوحّله فی أرضه أو تعشیشه</w:t>
      </w:r>
      <w:r>
        <w:rPr>
          <w:rStyle w:val="FootnoteAnchor"/>
          <w:rtl w:val="true"/>
        </w:rPr>
        <w:footnoteReference w:id="2460"/>
      </w:r>
      <w:r>
        <w:rPr>
          <w:rFonts w:ascii="IRNazanin" w:hAnsi="IRNazanin" w:eastAsia="IRNazanin"/>
          <w:color w:val="111111"/>
          <w:sz w:val="28"/>
          <w:sz w:val="28"/>
          <w:szCs w:val="28"/>
          <w:rtl w:val="true"/>
          <w:lang w:bidi="fa-IR"/>
        </w:rPr>
        <w:t>فی داره، و لا بوثوب السمکة إلی سفینته و دخول الصید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یصیر أولی به، فلو تخطّی الغیر إلیه، فعل حراماً، و إن أخذه قال الشیخ</w:t>
      </w:r>
      <w:r>
        <w:rPr>
          <w:rStyle w:val="FootnoteAnchor"/>
          <w:rtl w:val="true"/>
        </w:rPr>
        <w:footnoteReference w:id="2461"/>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 الآخذ</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المعتبر فی الآلة بالعادة، فلو اتّخذ موحلة، أو قصد ببناء داره احتباس الصید أو تعشیشه، أو بالسفینة و ثوب السمک ففی التملّک وجهان، من انتفاء الاعتیاد، و کونه فی معناه مع القصد، 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صید علیه أثر الملک، کقصّ الجناح لا یملکه الصائد، و لو امتزج المملوک بغیره، حلّ الاصطیاد مع عدم الحصر ؛ لمشقّة الاجتناب</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ظهر للصید مالک، وجب 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انتقلت الطیور من برج إلی آخر، لم تخرج عن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توحّشت هی أو الظبأ و شبهها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اختلط الحمام المملوک و تعذّر الامتیاز و تداعوه، قضی فیه بما سلف فی القضاء، و لو لم یتداعوه، قضی بالصلح، و لو باعوه من</w:t>
      </w:r>
      <w:r>
        <w:rPr>
          <w:rStyle w:val="FootnoteAnchor"/>
          <w:rtl w:val="true"/>
        </w:rPr>
        <w:footnoteReference w:id="2464"/>
      </w:r>
      <w:r>
        <w:rPr>
          <w:rFonts w:ascii="IRNazanin" w:hAnsi="IRNazanin" w:eastAsia="IRNazanin"/>
          <w:color w:val="111111"/>
          <w:sz w:val="28"/>
          <w:sz w:val="28"/>
          <w:szCs w:val="28"/>
          <w:rtl w:val="true"/>
          <w:lang w:bidi="fa-IR"/>
        </w:rPr>
        <w:t>أجنبیّ و اتّفقوا علی توزیع الثمن، صحّ البیع، و إلاّ 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هنا مسائل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اثنان صیداً فعقراه ثمّ وجد میّتاً، فإن صادفا مذبحه، حلّ، و کذا إن رمیاه معاً، و إن تعاقبا</w:t>
      </w:r>
      <w:r>
        <w:rPr>
          <w:rStyle w:val="FootnoteAnchor"/>
          <w:rtl w:val="true"/>
        </w:rPr>
        <w:footnoteReference w:id="2465"/>
      </w:r>
      <w:r>
        <w:rPr>
          <w:rFonts w:ascii="IRNazanin" w:hAnsi="IRNazanin" w:eastAsia="IRNazanin"/>
          <w:color w:val="111111"/>
          <w:sz w:val="28"/>
          <w:sz w:val="28"/>
          <w:szCs w:val="28"/>
          <w:rtl w:val="true"/>
          <w:lang w:bidi="fa-IR"/>
        </w:rPr>
        <w:t>و لم یصادفا مذبحه، حرم ؛ لجواز قتل الثانی له بعد إثباته، إلاّ أن یعلم أنّ جرح الأوّل منهما صیّره فی حکم المیّت، أو أنّ</w:t>
      </w:r>
      <w:r>
        <w:rPr>
          <w:rStyle w:val="FootnoteAnchor"/>
          <w:rtl w:val="true"/>
        </w:rPr>
        <w:footnoteReference w:id="2466"/>
      </w:r>
      <w:r>
        <w:rPr>
          <w:rFonts w:ascii="IRNazanin" w:hAnsi="IRNazanin" w:eastAsia="IRNazanin"/>
          <w:color w:val="111111"/>
          <w:sz w:val="28"/>
          <w:sz w:val="28"/>
          <w:szCs w:val="28"/>
          <w:rtl w:val="true"/>
          <w:lang w:bidi="fa-IR"/>
        </w:rPr>
        <w:t>جرح الثانی منهما کان قبل الإثبات، فیحلّ، و یکون ملکاً للأوّل فی الصورة الأُولی، و للثانی فی الثانیة، و لا ضمان علی الأوّل فیما أفسده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أثبتا الصید دفعة، فهو لهما، و إن أثبته أحدهما، اختصّ به، و لو جهل المثبت منهما، أُقرع، و یحتمل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ترتّب الجرحان و حصل الإثبات بهما، أو کسر أحدهما جناحه و الآخر رجله، و کان یمتنع بطیرانه و عَدْوه فهو للثانی،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الإثبات إذا صیّره بحیث یسهل تناوله، فلو أصابه فأمکنه التحامل طیراناً أو عَدْواً بحیث لا یقدر علیه إلاّ بالإسراع المفرط، لم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رمی صیداً فأثبته و صیّره فی حکم المیّت ثمّ رماه الثانی، فعلیه أرش ما أفسد</w:t>
      </w:r>
      <w:r>
        <w:rPr>
          <w:rStyle w:val="FootnoteAnchor"/>
          <w:rtl w:val="true"/>
        </w:rPr>
        <w:footnoteReference w:id="2468"/>
      </w:r>
      <w:r>
        <w:rPr>
          <w:rFonts w:ascii="IRNazanin" w:hAnsi="IRNazanin" w:eastAsia="IRNazanin"/>
          <w:color w:val="111111"/>
          <w:sz w:val="28"/>
          <w:sz w:val="28"/>
          <w:szCs w:val="28"/>
          <w:rtl w:val="true"/>
          <w:lang w:bidi="fa-IR"/>
        </w:rPr>
        <w:t>، و لو أثبته الأوّل و بقیت حیاته مستقرّة فذکّاه الثانی فهو للأوّل، و یضمن الثانی أرشه إن فرض نقص، و إن وجأه لا بالذکاة</w:t>
      </w:r>
      <w:r>
        <w:rPr>
          <w:rStyle w:val="FootnoteAnchor"/>
          <w:rtl w:val="true"/>
        </w:rPr>
        <w:footnoteReference w:id="2469"/>
      </w:r>
      <w:r>
        <w:rPr>
          <w:rFonts w:ascii="IRNazanin" w:hAnsi="IRNazanin" w:eastAsia="IRNazanin"/>
          <w:color w:val="111111"/>
          <w:sz w:val="28"/>
          <w:sz w:val="28"/>
          <w:szCs w:val="28"/>
          <w:rtl w:val="true"/>
          <w:lang w:bidi="fa-IR"/>
        </w:rPr>
        <w:t>، حرم و ضمن کمال قیمته حال رمیه، إلاّ أن یکون لمیتته قیمة فیضمن الأرش</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جرحه و لم یوجئه فأدرکه الأوّل و تمکّن من ذکاته، حلّ و علی الجانی الأرش، و إن لم یتمکّن من ذکاته، فهو کما لو وجأه الثانی، و لو تمکّن الأوّل من </w:t>
      </w:r>
      <w:bookmarkStart w:id="344" w:name="pg13665_219371"/>
    </w:p>
    <w:p>
      <w:pPr>
        <w:pStyle w:val="BookText"/>
        <w:rPr/>
      </w:pPr>
      <w:bookmarkEnd w:id="344"/>
      <w:r>
        <w:rPr>
          <w:rFonts w:ascii="IRNazanin" w:hAnsi="IRNazanin" w:eastAsia="IRNazanin"/>
          <w:color w:val="111111"/>
          <w:sz w:val="28"/>
          <w:sz w:val="28"/>
          <w:szCs w:val="28"/>
          <w:rtl w:val="true"/>
          <w:lang w:bidi="fa-IR"/>
        </w:rPr>
        <w:t>ذکاته و ترکه حتّی مات بالجرحین، فعلی الثانی نصف قیمته معیباً بالجرح الأوّل</w:t>
      </w:r>
      <w:r>
        <w:rPr>
          <w:rFonts w:eastAsia="IRNazanin" w:cs="IRNazanin"/>
          <w:color w:val="111111"/>
          <w:sz w:val="28"/>
          <w:szCs w:val="28"/>
          <w:rtl w:val="true"/>
          <w:lang w:bidi="fa-IR"/>
        </w:rPr>
        <w:t>.</w:t>
      </w:r>
    </w:p>
    <w:p>
      <w:pPr>
        <w:pStyle w:val="Heading3"/>
        <w:numPr>
          <w:ilvl w:val="2"/>
          <w:numId w:val="1"/>
        </w:numPr>
        <w:rPr/>
      </w:pPr>
      <w:bookmarkStart w:id="345" w:name="__RefHeading___Toc2071441_3830689328"/>
      <w:bookmarkStart w:id="346" w:name="_Toc115"/>
      <w:bookmarkEnd w:id="345"/>
      <w:r>
        <w:rPr>
          <w:rtl w:val="true"/>
        </w:rPr>
        <w:t xml:space="preserve">درس </w:t>
      </w:r>
      <w:r>
        <w:rPr>
          <w:rtl w:val="true"/>
        </w:rPr>
        <w:t>(</w:t>
      </w:r>
      <w:r>
        <w:rPr/>
        <w:t>200</w:t>
      </w:r>
      <w:r>
        <w:rPr>
          <w:rtl w:val="true"/>
        </w:rPr>
        <w:t>)</w:t>
      </w:r>
      <w:bookmarkEnd w:id="346"/>
    </w:p>
    <w:p>
      <w:pPr>
        <w:pStyle w:val="BookText"/>
        <w:rPr/>
      </w:pPr>
      <w:r>
        <w:rPr>
          <w:rFonts w:ascii="IRNazanin" w:hAnsi="IRNazanin" w:eastAsia="IRNazanin"/>
          <w:color w:val="111111"/>
          <w:sz w:val="28"/>
          <w:sz w:val="28"/>
          <w:szCs w:val="28"/>
          <w:rtl w:val="true"/>
          <w:lang w:bidi="fa-IR"/>
        </w:rPr>
        <w:t xml:space="preserve">لو جنی علی صید مملوک لغیره یساوی عشرة دراهم أو علی دابّته فصارت إلی تسعة، ثمّ جنی آخر فصارت إلی ثمانیة، ثمّ هلک بهما، ففیه سبعة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تساویهما فی الضمان ؛ لتساویهما فی الأرش و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بعدم دخول الأرش فی ضمان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فی الآدمیّ ؛ لأ نّه لا ینقص بدله بإتلاف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خمسة علی الأوّل، و أربعة و نصف علی الثانی ؛ اعتباراً بنصف القیمة یوم الجنایة و بدخول الأرش فی ضمان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بحصر إتلافه فیهما مع عدم کمال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خمسة و نصف علی الأوّل، و أربعة و نصف علی الثانی ؛ بناءاً علی دخول أرش جنایة الثانی فی النفس ؛ لمشارکة</w:t>
      </w:r>
      <w:r>
        <w:rPr>
          <w:rStyle w:val="FootnoteAnchor"/>
          <w:rtl w:val="true"/>
        </w:rPr>
        <w:footnoteReference w:id="2470"/>
      </w:r>
      <w:r>
        <w:rPr>
          <w:rFonts w:ascii="IRNazanin" w:hAnsi="IRNazanin" w:eastAsia="IRNazanin"/>
          <w:color w:val="111111"/>
          <w:sz w:val="28"/>
          <w:sz w:val="28"/>
          <w:szCs w:val="28"/>
          <w:rtl w:val="true"/>
          <w:lang w:bidi="fa-IR"/>
        </w:rPr>
        <w:t>غیره، بخلاف الأوّل، فحینئذٍ إمّا أن یقال بعدم دخول أرش الأوّل ؛ لانفراده بالجنایة، فعلیه درهم مضافاً إلی نصف</w:t>
      </w:r>
    </w:p>
    <w:p>
      <w:pPr>
        <w:pStyle w:val="BookText"/>
        <w:rPr/>
      </w:pPr>
      <w:r>
        <w:rPr>
          <w:rFonts w:ascii="IRNazanin" w:hAnsi="IRNazanin" w:eastAsia="IRNazanin"/>
          <w:color w:val="111111"/>
          <w:sz w:val="28"/>
          <w:sz w:val="28"/>
          <w:szCs w:val="28"/>
          <w:rtl w:val="true"/>
          <w:lang w:bidi="fa-IR"/>
        </w:rPr>
        <w:t>قیمته یوم جنایة الثانی، أو یقال بدخول نصف أرشه ؛ تبعاً لضمان نصف القیمة، و یبقی علیه نصف الأرش، مضافاً إلی ضمان نصف القیمة یوم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إلیه المحقّق</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بانفراد الثانی بإتلاف ما یساوی درهماً، فلم یتشارکا إلاّ فی ثمانیة، فإن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أرش الأوّل، فعلیه خمسة، و إن قلنا بدخول نصفه ؛ تبعاً لضمان النصف، لزم فی الثانی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خمسة و نصف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Style w:val="FootnoteAnchor"/>
          <w:rtl w:val="true"/>
        </w:rPr>
        <w:footnoteReference w:id="2472"/>
      </w:r>
      <w:r>
        <w:rPr>
          <w:rFonts w:ascii="IRNazanin" w:hAnsi="IRNazanin" w:eastAsia="IRNazanin"/>
          <w:color w:val="111111"/>
          <w:sz w:val="28"/>
          <w:sz w:val="28"/>
          <w:szCs w:val="28"/>
          <w:rtl w:val="true"/>
          <w:lang w:bidi="fa-IR"/>
        </w:rPr>
        <w:t xml:space="preserve">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خمسة علی الثانی ؛ بناءاً علی عدم دخول أرشه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بزیادة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ما ذکرناه، و یرجع الأوّل علی الثانی بنصف ؛ لأ نّه جنی علی ما دخل فی ضمانه، و حینئذٍ یأخذ المالک من الثانی أربعة و نصفاً، و إن</w:t>
      </w:r>
      <w:r>
        <w:rPr>
          <w:rStyle w:val="FootnoteAnchor"/>
          <w:rtl w:val="true"/>
        </w:rPr>
        <w:footnoteReference w:id="2473"/>
      </w:r>
      <w:r>
        <w:rPr>
          <w:rFonts w:ascii="IRNazanin" w:hAnsi="IRNazanin" w:eastAsia="IRNazanin"/>
          <w:color w:val="111111"/>
          <w:sz w:val="28"/>
          <w:sz w:val="28"/>
          <w:szCs w:val="28"/>
          <w:rtl w:val="true"/>
          <w:lang w:bidi="fa-IR"/>
        </w:rPr>
        <w:t>أخذ من الثانی خمسة فلیس له علی الأوّل إلاّ خمسة، و هذا کالوجه الأوّل إلاّ فی التراجع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ما ذکرناه و لا تراجع، بل یقسّم العشرة</w:t>
      </w:r>
      <w:r>
        <w:rPr>
          <w:rStyle w:val="FootnoteAnchor"/>
          <w:rtl w:val="true"/>
        </w:rPr>
        <w:footnoteReference w:id="2474"/>
      </w:r>
      <w:r>
        <w:rPr>
          <w:rFonts w:ascii="IRNazanin" w:hAnsi="IRNazanin" w:eastAsia="IRNazanin"/>
          <w:color w:val="111111"/>
          <w:sz w:val="28"/>
          <w:sz w:val="28"/>
          <w:szCs w:val="28"/>
          <w:rtl w:val="true"/>
          <w:lang w:bidi="fa-IR"/>
        </w:rPr>
        <w:t>علی عشرة و نصف، فتضرب ما علی الأوّل، و هو خمسة و نصف فی عشرة یکون خمسة و خمسین، فیأخذ من کلّ عشرة و نصف واحداً، فعلیه خمسة و سُبع و ثلثا سُبع،</w:t>
      </w:r>
    </w:p>
    <w:p>
      <w:pPr>
        <w:pStyle w:val="BookText"/>
        <w:rPr/>
      </w:pPr>
      <w:r>
        <w:rPr>
          <w:rFonts w:ascii="IRNazanin" w:hAnsi="IRNazanin" w:eastAsia="IRNazanin"/>
          <w:color w:val="111111"/>
          <w:sz w:val="28"/>
          <w:sz w:val="28"/>
          <w:szCs w:val="28"/>
          <w:rtl w:val="true"/>
          <w:lang w:bidi="fa-IR"/>
        </w:rPr>
        <w:t>و تضرب ما علی الثانی و هو خمسة فی عشرة یکون خمسین، فعلیه أربعة و خمسة أسباع و ثلث سُبع، و ذلک قیمة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الأوجه الثلاثة مبناها واحد، لکن لمّا وجد فی الوجه الأوّل منها زیادة، و لم یمکن القول بها، وجب إسقاطها إمّا بالتراجع أو بالبسط، و لم أر أحداً عدّ الأوّل</w:t>
      </w:r>
    </w:p>
    <w:p>
      <w:pPr>
        <w:pStyle w:val="BookText"/>
        <w:rPr/>
      </w:pPr>
      <w:r>
        <w:rPr>
          <w:rFonts w:ascii="IRNazanin" w:hAnsi="IRNazanin" w:eastAsia="IRNazanin"/>
          <w:color w:val="111111"/>
          <w:sz w:val="28"/>
          <w:sz w:val="28"/>
          <w:szCs w:val="28"/>
          <w:rtl w:val="true"/>
          <w:lang w:bidi="fa-IR"/>
        </w:rPr>
        <w:t>وجهاً بغیر تراجع و لا بسط غیر المحقّق</w:t>
      </w:r>
      <w:r>
        <w:rPr>
          <w:rStyle w:val="FootnoteAnchor"/>
          <w:rtl w:val="true"/>
        </w:rPr>
        <w:footnoteReference w:id="2475"/>
      </w:r>
      <w:r>
        <w:rPr>
          <w:rFonts w:ascii="IRNazanin" w:hAnsi="IRNazanin" w:eastAsia="IRNazanin"/>
          <w:color w:val="111111"/>
          <w:sz w:val="28"/>
          <w:sz w:val="28"/>
          <w:szCs w:val="28"/>
          <w:rtl w:val="true"/>
          <w:lang w:bidi="fa-IR"/>
        </w:rPr>
        <w:t>، و لعلّه أراد به أحد الأمرین ؛ لظهور بطلانه بدونهما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خمسة و خمسة أجزاء و نصف من تسعة عشر جزءاً من درهم علی الأوّل، و وجوب أربعة دراهم و أربعة أجزاء و نصف من تسعة عشر جزءاً من درهم علی الثانی ؛ بناءاً علی دخول الأرش فیهما، و علی أ نّه یمتنع التضییع علی المالک، و هذا إصلاح الوجه الثانی ؛ لظهور فساده، کما أنّ ذینک الوجهین إصلاح ما قبلهما، و الفائت نصف درهم فوجب بسطه علی قدر الواجب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طریقه أن یفرض</w:t>
      </w:r>
      <w:r>
        <w:rPr>
          <w:rStyle w:val="FootnoteAnchor"/>
          <w:rtl w:val="true"/>
        </w:rPr>
        <w:footnoteReference w:id="2476"/>
      </w:r>
      <w:r>
        <w:rPr>
          <w:rFonts w:ascii="IRNazanin" w:hAnsi="IRNazanin" w:eastAsia="IRNazanin"/>
          <w:color w:val="111111"/>
          <w:sz w:val="28"/>
          <w:sz w:val="28"/>
          <w:szCs w:val="28"/>
          <w:rtl w:val="true"/>
          <w:lang w:bidi="fa-IR"/>
        </w:rPr>
        <w:t>کلّ منهما کأ نّه انفرد بقتله، فیجب علیه کمال قیمته یوم جنایته، فتضمّ إحدی القیمتین إلی الأُخری فتکون تسعة عشر، فعلی الأوّل عشرة من التسعة عشر، و علی الثانی تسعة من التسعة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إیضاحه بضرب العشرة فی تسعة عشر یکون مائة و تسعین، فالمائة علی الأوّل و التسعون علی الثانی، فتأخذ من کلّ تسعة عشر واحداً فیحصل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إحدی الجنایتین من المالک، وجب علی الأجنبیّ ما ذکر، سواء کان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المحقّق فیما إذا کان جنایة الأوّل علی مباح فأثبته و نقّصه درهماً من العشرة أن یلزم الثانی کمال قیمته معیباً ؛ لأنّ الضمان توجّه علیه، بخلاف الأوّل ؛</w:t>
      </w:r>
    </w:p>
    <w:p>
      <w:pPr>
        <w:pStyle w:val="BookText"/>
        <w:rPr/>
      </w:pPr>
      <w:r>
        <w:rPr>
          <w:rFonts w:ascii="IRNazanin" w:hAnsi="IRNazanin" w:eastAsia="IRNazanin"/>
          <w:color w:val="111111"/>
          <w:sz w:val="28"/>
          <w:sz w:val="28"/>
          <w:szCs w:val="28"/>
          <w:rtl w:val="true"/>
          <w:lang w:bidi="fa-IR"/>
        </w:rPr>
        <w:t>لکونه جنی علی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مع إهماله التذکیة جری مجری المشارک بجنایته</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الاحتمال لو صحّ، لم یشترط فیه کون الصید مباحاً، فإنّ جنایة المالک علی ماله غیر مضمونة أیضاً، و قدرة المالک علی التذکیة قد لا یتحقّق، فلا ینتظم هذا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مستقلاًّ، بل بفقد</w:t>
      </w:r>
      <w:r>
        <w:rPr>
          <w:rStyle w:val="FootnoteAnchor"/>
          <w:rtl w:val="true"/>
        </w:rPr>
        <w:footnoteReference w:id="2478"/>
      </w:r>
      <w:r>
        <w:rPr>
          <w:rFonts w:ascii="IRNazanin" w:hAnsi="IRNazanin" w:eastAsia="IRNazanin"/>
          <w:color w:val="111111"/>
          <w:sz w:val="28"/>
          <w:sz w:val="28"/>
          <w:szCs w:val="28"/>
          <w:rtl w:val="true"/>
          <w:lang w:bidi="fa-IR"/>
        </w:rPr>
        <w:t>القدرة علی التذکیة، علی أ نّه یمکن مع القدرة و الإهمال أن لا یجب علی الثانی سوی أرش جنایته ؛ لأنّ المالک متلف ماله بعدم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حرّرنا هذه المسألة فی شرح الإرشاد</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3665_219375"/>
      <w:bookmarkStart w:id="348" w:name="pg13665_219375"/>
      <w:bookmarkEnd w:id="348"/>
    </w:p>
    <w:p>
      <w:pPr>
        <w:pStyle w:val="Heading2"/>
        <w:numPr>
          <w:ilvl w:val="1"/>
          <w:numId w:val="1"/>
        </w:numPr>
        <w:rPr/>
      </w:pPr>
      <w:bookmarkStart w:id="349" w:name="pg13665_219375"/>
      <w:bookmarkStart w:id="350" w:name="__RefHeading___Toc2071443_3830689328"/>
      <w:bookmarkStart w:id="351" w:name="_Toc116"/>
      <w:bookmarkEnd w:id="349"/>
      <w:bookmarkEnd w:id="350"/>
      <w:r>
        <w:rPr>
          <w:rtl w:val="true"/>
        </w:rPr>
        <w:t>کتاب التذکیة</w:t>
      </w:r>
      <w:bookmarkEnd w:id="35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2071445_3830689328"/>
      <w:bookmarkStart w:id="353" w:name="_Toc117"/>
      <w:bookmarkEnd w:id="352"/>
      <w:r>
        <w:rPr>
          <w:rtl w:val="true"/>
        </w:rPr>
        <w:t>اشاره</w:t>
      </w:r>
      <w:bookmarkEnd w:id="35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التذکیة</w:t>
      </w:r>
    </w:p>
    <w:p>
      <w:pPr>
        <w:pStyle w:val="BookText"/>
        <w:rPr/>
      </w:pPr>
      <w:r>
        <w:rPr>
          <w:rFonts w:ascii="Amiri" w:hAnsi="Amiri" w:eastAsia="Amiri" w:cs="Amiri"/>
          <w:color w:val="111111"/>
          <w:sz w:val="28"/>
          <w:sz w:val="28"/>
          <w:szCs w:val="28"/>
          <w:rtl w:val="true"/>
          <w:lang w:bidi="ar-SA"/>
        </w:rPr>
        <w:t xml:space="preserve">و هی تحصل بأُمور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تذکیة الکلب و السلاح، و قد سبقا</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الجنین، و هی ذکاة أُمّه إذا تمّت خلقته، سواء ولجته الروح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 حیّاً، لم یحلّ إلاّ بالتذکیة، و لو ضاق الزمان عنها، فإن لم یکن فیه حیاة</w:t>
      </w:r>
    </w:p>
    <w:p>
      <w:pPr>
        <w:pStyle w:val="BookText"/>
        <w:rPr/>
      </w:pPr>
      <w:r>
        <w:rPr>
          <w:rFonts w:ascii="IRNazanin" w:hAnsi="IRNazanin" w:eastAsia="IRNazanin"/>
          <w:color w:val="111111"/>
          <w:sz w:val="28"/>
          <w:sz w:val="28"/>
          <w:szCs w:val="28"/>
          <w:rtl w:val="true"/>
          <w:lang w:bidi="fa-IR"/>
        </w:rPr>
        <w:t>مستقرّة، حلّ، و إلاّ ففی الحلّ وجهان، من إطلاق الأصحاب وجوب التذکیة إذا خرج حیّاً، و من أ نّه مع قصور الزمان فی حکم غیر مستقرّ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تتمّ خلقته، فهو حرام، و من تمام الخلقة الشعر و الوبر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w:t>
      </w:r>
      <w:r>
        <w:rPr>
          <w:rStyle w:val="FootnoteAnchor"/>
          <w:rtl w:val="true"/>
        </w:rPr>
        <w:footnoteReference w:id="2481"/>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حلّه مع تمام خلقته أن لا تلجه الروح، فإن ولجته، وجبت تذکیته</w:t>
      </w:r>
      <w:r>
        <w:rPr>
          <w:rStyle w:val="FootnoteAnchor"/>
          <w:rtl w:val="true"/>
        </w:rPr>
        <w:footnoteReference w:id="2482"/>
      </w:r>
      <w:r>
        <w:rPr>
          <w:rFonts w:ascii="IRNazanin" w:hAnsi="IRNazanin" w:eastAsia="IRNazanin"/>
          <w:color w:val="111111"/>
          <w:sz w:val="28"/>
          <w:sz w:val="28"/>
          <w:szCs w:val="28"/>
          <w:rtl w:val="true"/>
          <w:lang w:bidi="fa-IR"/>
        </w:rPr>
        <w:t>، و الروایات مطلقة</w:t>
      </w:r>
      <w:r>
        <w:rPr>
          <w:rStyle w:val="FootnoteAnchor"/>
          <w:rtl w:val="true"/>
        </w:rPr>
        <w:footnoteReference w:id="2483"/>
      </w:r>
      <w:r>
        <w:rPr>
          <w:rFonts w:ascii="IRNazanin" w:hAnsi="IRNazanin" w:eastAsia="IRNazanin"/>
          <w:color w:val="111111"/>
          <w:sz w:val="28"/>
          <w:sz w:val="28"/>
          <w:szCs w:val="28"/>
          <w:rtl w:val="true"/>
          <w:lang w:bidi="fa-IR"/>
        </w:rPr>
        <w:t>، و الفرض بعید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السمک، و هی إخراجه من الماء حیّاً، و لا یعتبر فیه التسمیة و لا إسلام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مشاهدة مسلم لإخراجه حیّاً، فلو وجد فی ید کافر، لم یحلّ بدون ذلک و إن أخبر بإخراجه حیّاً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السیّد ابن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تحریم ما أخرجه الکافر مطلقاً</w:t>
      </w:r>
      <w:r>
        <w:rPr>
          <w:rStyle w:val="FootnoteAnchor"/>
          <w:rtl w:val="true"/>
        </w:rPr>
        <w:footnoteReference w:id="2484"/>
      </w:r>
      <w:r>
        <w:rPr>
          <w:rFonts w:ascii="IRNazanin" w:hAnsi="IRNazanin" w:eastAsia="IRNazanin"/>
          <w:color w:val="111111"/>
          <w:sz w:val="28"/>
          <w:sz w:val="28"/>
          <w:szCs w:val="28"/>
          <w:rtl w:val="true"/>
          <w:lang w:bidi="fa-IR"/>
        </w:rPr>
        <w:t>، و هو</w:t>
      </w:r>
    </w:p>
    <w:p>
      <w:pPr>
        <w:pStyle w:val="BookText"/>
        <w:rPr/>
      </w:pPr>
      <w:r>
        <w:rPr>
          <w:rFonts w:ascii="IRNazanin" w:hAnsi="IRNazanin" w:eastAsia="IRNazanin"/>
          <w:color w:val="111111"/>
          <w:sz w:val="28"/>
          <w:sz w:val="28"/>
          <w:szCs w:val="28"/>
          <w:rtl w:val="true"/>
          <w:lang w:bidi="fa-IR"/>
        </w:rPr>
        <w:t xml:space="preserve">ظاهر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Style w:val="FootnoteAnchor"/>
          <w:rtl w:val="true"/>
        </w:rPr>
        <w:footnoteReference w:id="24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 ابن إدریس الإجماع علی عدم اشتراط الإسلام</w:t>
      </w:r>
      <w:r>
        <w:rPr>
          <w:rStyle w:val="FootnoteAnchor"/>
          <w:rtl w:val="true"/>
        </w:rPr>
        <w:footnoteReference w:id="2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کلام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إذا أخذه منه المسلم حیّاً</w:t>
      </w:r>
      <w:r>
        <w:rPr>
          <w:rStyle w:val="FootnoteAnchor"/>
          <w:rtl w:val="true"/>
        </w:rPr>
        <w:footnoteReference w:id="2487"/>
      </w:r>
      <w:r>
        <w:rPr>
          <w:rFonts w:ascii="IRNazanin" w:hAnsi="IRNazanin" w:eastAsia="IRNazanin"/>
          <w:color w:val="111111"/>
          <w:sz w:val="28"/>
          <w:sz w:val="28"/>
          <w:szCs w:val="28"/>
          <w:rtl w:val="true"/>
          <w:lang w:bidi="fa-IR"/>
        </w:rPr>
        <w:t>، و هو یشعر بما قاله ابن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السمک فی الماء،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ضربه بمحدّد أو بمثقل ثمّ أخرجه، فإن کان مستقرّ الحیاة، حلّ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فی الشبکة التی فی الماء،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الحیّ فیها بالمیّت، حلّ الجمیع عند الحسن</w:t>
      </w:r>
      <w:r>
        <w:rPr>
          <w:rStyle w:val="FootnoteAnchor"/>
          <w:rtl w:val="true"/>
        </w:rPr>
        <w:footnoteReference w:id="2488"/>
      </w:r>
      <w:r>
        <w:rPr>
          <w:rFonts w:ascii="IRNazanin" w:hAnsi="IRNazanin" w:eastAsia="IRNazanin"/>
          <w:color w:val="111111"/>
          <w:sz w:val="28"/>
          <w:sz w:val="28"/>
          <w:szCs w:val="28"/>
          <w:rtl w:val="true"/>
          <w:lang w:bidi="fa-IR"/>
        </w:rPr>
        <w:t>و الشیخ</w:t>
      </w:r>
      <w:r>
        <w:rPr>
          <w:rStyle w:val="FootnoteAnchor"/>
          <w:rtl w:val="true"/>
        </w:rPr>
        <w:footnoteReference w:id="2489"/>
      </w:r>
      <w:r>
        <w:rPr>
          <w:rFonts w:ascii="IRNazanin" w:hAnsi="IRNazanin" w:eastAsia="IRNazanin"/>
          <w:color w:val="111111"/>
          <w:sz w:val="28"/>
          <w:sz w:val="28"/>
          <w:szCs w:val="28"/>
          <w:rtl w:val="true"/>
          <w:lang w:bidi="fa-IR"/>
        </w:rPr>
        <w:t>و القاضی</w:t>
      </w:r>
      <w:r>
        <w:rPr>
          <w:rStyle w:val="FootnoteAnchor"/>
          <w:rtl w:val="true"/>
        </w:rPr>
        <w:footnoteReference w:id="2490"/>
      </w:r>
      <w:r>
        <w:rPr>
          <w:rFonts w:ascii="Amiri" w:hAnsi="Amiri" w:eastAsia="Amiri" w:cs="Amiri"/>
          <w:color w:val="111111"/>
          <w:sz w:val="28"/>
          <w:sz w:val="28"/>
          <w:szCs w:val="28"/>
          <w:rtl w:val="true"/>
          <w:lang w:bidi="ar-SA"/>
        </w:rPr>
        <w:t>و المحقّق</w:t>
      </w:r>
      <w:r>
        <w:rPr>
          <w:rStyle w:val="FootnoteAnchor"/>
          <w:rtl w:val="true"/>
        </w:rPr>
        <w:footnoteReference w:id="2491"/>
      </w:r>
      <w:r>
        <w:rPr>
          <w:rFonts w:ascii="IRNazanin" w:hAnsi="IRNazanin" w:eastAsia="IRNazanin"/>
          <w:color w:val="111111"/>
          <w:sz w:val="28"/>
          <w:sz w:val="28"/>
          <w:szCs w:val="28"/>
          <w:rtl w:val="true"/>
          <w:lang w:bidi="fa-IR"/>
        </w:rPr>
        <w:t>؛ لصحیح الأخبار</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 عند ابن حمزة</w:t>
      </w:r>
      <w:r>
        <w:rPr>
          <w:rStyle w:val="FootnoteAnchor"/>
          <w:rtl w:val="true"/>
        </w:rPr>
        <w:footnoteReference w:id="2493"/>
      </w:r>
      <w:r>
        <w:rPr>
          <w:rFonts w:ascii="IRNazanin" w:hAnsi="IRNazanin" w:eastAsia="IRNazanin"/>
          <w:color w:val="111111"/>
          <w:sz w:val="28"/>
          <w:sz w:val="28"/>
          <w:szCs w:val="28"/>
          <w:rtl w:val="true"/>
          <w:lang w:bidi="fa-IR"/>
        </w:rPr>
        <w:t>و ابن إدریس</w:t>
      </w:r>
      <w:r>
        <w:rPr>
          <w:rStyle w:val="FootnoteAnchor"/>
          <w:rtl w:val="true"/>
        </w:rPr>
        <w:footnoteReference w:id="2494"/>
      </w:r>
      <w:r>
        <w:rPr>
          <w:rFonts w:ascii="IRNazanin" w:hAnsi="IRNazanin" w:eastAsia="IRNazanin"/>
          <w:color w:val="111111"/>
          <w:sz w:val="28"/>
          <w:sz w:val="28"/>
          <w:szCs w:val="28"/>
          <w:rtl w:val="true"/>
          <w:lang w:bidi="fa-IR"/>
        </w:rPr>
        <w:t>و الفاضل</w:t>
      </w:r>
      <w:r>
        <w:rPr>
          <w:rStyle w:val="FootnoteAnchor"/>
          <w:rtl w:val="true"/>
        </w:rPr>
        <w:footnoteReference w:id="2495"/>
      </w:r>
      <w:r>
        <w:rPr>
          <w:rFonts w:ascii="IRNazanin" w:hAnsi="IRNazanin" w:eastAsia="IRNazanin"/>
          <w:color w:val="111111"/>
          <w:sz w:val="28"/>
          <w:sz w:val="28"/>
          <w:szCs w:val="28"/>
          <w:rtl w:val="true"/>
          <w:lang w:bidi="fa-IR"/>
        </w:rPr>
        <w:t xml:space="preserve">؛ لوجوب اجتناب المیّت الموقوف علی اجتناب الجمیع، و لإطلاق 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مات </w:t>
      </w:r>
    </w:p>
    <w:p>
      <w:pPr>
        <w:pStyle w:val="BookText"/>
        <w:rPr/>
      </w:pPr>
      <w:r>
        <w:rPr>
          <w:rFonts w:ascii="IRNazanin" w:hAnsi="IRNazanin" w:eastAsia="IRNazanin"/>
          <w:color w:val="111111"/>
          <w:sz w:val="28"/>
          <w:sz w:val="28"/>
          <w:szCs w:val="28"/>
          <w:rtl w:val="true"/>
          <w:lang w:bidi="fa-IR"/>
        </w:rPr>
        <w:t>فی الماء فلا تأکله، فإنّه مات فیما فیه حیاته</w:t>
      </w:r>
      <w:r>
        <w:rPr>
          <w:rFonts w:eastAsia="IRNazanin" w:cs="IRNazanin"/>
          <w:color w:val="111111"/>
          <w:sz w:val="28"/>
          <w:szCs w:val="28"/>
          <w:rtl w:val="true"/>
          <w:lang w:bidi="fa-IR"/>
        </w:rPr>
        <w:t>»</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الأخبار الصحاح التعلیل بأنّ الشبکة و الحظیرة لمّا عملت للاصطیاد</w:t>
      </w:r>
    </w:p>
    <w:p>
      <w:pPr>
        <w:pStyle w:val="BookText"/>
        <w:rPr/>
      </w:pPr>
      <w:r>
        <w:rPr>
          <w:rFonts w:ascii="IRNazanin" w:hAnsi="IRNazanin" w:eastAsia="IRNazanin"/>
          <w:color w:val="111111"/>
          <w:sz w:val="28"/>
          <w:sz w:val="28"/>
          <w:szCs w:val="28"/>
          <w:rtl w:val="true"/>
          <w:lang w:bidi="fa-IR"/>
        </w:rPr>
        <w:t>جری مجری المقبوض بالید</w:t>
      </w:r>
      <w:r>
        <w:rPr>
          <w:rStyle w:val="FootnoteAnchor"/>
          <w:rtl w:val="true"/>
        </w:rPr>
        <w:footnoteReference w:id="2497"/>
      </w:r>
      <w:r>
        <w:rPr>
          <w:rFonts w:ascii="Amiri" w:hAnsi="Amiri" w:eastAsia="Amiri" w:cs="Amiri"/>
          <w:color w:val="111111"/>
          <w:sz w:val="28"/>
          <w:sz w:val="28"/>
          <w:szCs w:val="28"/>
          <w:rtl w:val="true"/>
          <w:lang w:bidi="ar-SA"/>
        </w:rPr>
        <w:t>، و قضیّتها حلّه و لو تمیّز المیّت، و به أفتی الحسن</w:t>
      </w:r>
      <w:r>
        <w:rPr>
          <w:rStyle w:val="FootnoteAnchor"/>
          <w:rtl w:val="true"/>
        </w:rPr>
        <w:footnoteReference w:id="2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حرّموا ما تمیّز میّتاً</w:t>
      </w:r>
      <w:r>
        <w:rPr>
          <w:rStyle w:val="FootnoteAnchor"/>
          <w:rtl w:val="true"/>
        </w:rPr>
        <w:footnoteReference w:id="2499"/>
      </w:r>
      <w:r>
        <w:rPr>
          <w:rFonts w:ascii="IRNazanin" w:hAnsi="IRNazanin" w:eastAsia="IRNazanin"/>
          <w:color w:val="111111"/>
          <w:sz w:val="28"/>
          <w:sz w:val="28"/>
          <w:szCs w:val="28"/>
          <w:rtl w:val="true"/>
          <w:lang w:bidi="fa-IR"/>
        </w:rPr>
        <w:t>جمعاً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فی ید مسلم سمک میّت، حلّ أکله وإن لم یخبر بحاله، عدلاً کان أو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وثب السمک إلی الجدد، أو نضب عنه الماء، أو نبذه إلی الساحل فأخذه بیده أو آلته حیّاً، حلّ، و إن أدرکه بنظره حیّاً و لم یقبضه،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عاد السمک بعد إخراجه حیّاً إلی الماء فمات فیه،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منه قطعة بعد خروجه، فهی حلال و إن عاد الباقی إلی الماء، سواء مات فیه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یباح أکله حیّاً ؛ لصدق الذکاة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یباح أکله حتّی یموت، کباقی ما یذکّی</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الجراد، و هی بأخذه حیّاً بالید أو بالآلة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فیه التسمیة، و لا إسلام الآخذ إذا شاهده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زهرة هنا کقوله فی السمک</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أحرقه بالنار قبل أخذه،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مات فی الصحراء أو فی الماء </w:t>
      </w:r>
      <w:bookmarkStart w:id="354" w:name="pg13665_219380"/>
    </w:p>
    <w:p>
      <w:pPr>
        <w:pStyle w:val="BookText"/>
        <w:rPr/>
      </w:pPr>
      <w:bookmarkEnd w:id="354"/>
      <w:r>
        <w:rPr>
          <w:rFonts w:ascii="IRNazanin" w:hAnsi="IRNazanin" w:eastAsia="IRNazanin"/>
          <w:color w:val="111111"/>
          <w:sz w:val="28"/>
          <w:sz w:val="28"/>
          <w:szCs w:val="28"/>
          <w:rtl w:val="true"/>
          <w:lang w:bidi="fa-IR"/>
        </w:rPr>
        <w:t>قبل أخذه و إن أدرکه بنظره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یباح أکله حیّاً و بما فیه، و إنّما یحلّ منه ما استقلّ بالطیران دون الدبی</w:t>
      </w:r>
      <w:r>
        <w:rPr>
          <w:rFonts w:eastAsia="IRNazanin" w:cs="IRNazanin"/>
          <w:color w:val="111111"/>
          <w:sz w:val="28"/>
          <w:szCs w:val="28"/>
          <w:rtl w:val="true"/>
          <w:lang w:bidi="fa-IR"/>
        </w:rPr>
        <w:t>.</w:t>
      </w:r>
    </w:p>
    <w:p>
      <w:pPr>
        <w:pStyle w:val="Heading3"/>
        <w:numPr>
          <w:ilvl w:val="2"/>
          <w:numId w:val="1"/>
        </w:numPr>
        <w:rPr/>
      </w:pPr>
      <w:bookmarkStart w:id="355" w:name="__RefHeading___Toc2071447_3830689328"/>
      <w:bookmarkStart w:id="356" w:name="_Toc118"/>
      <w:bookmarkEnd w:id="355"/>
      <w:r>
        <w:rPr>
          <w:rtl w:val="true"/>
        </w:rPr>
        <w:t xml:space="preserve">درس </w:t>
      </w:r>
      <w:r>
        <w:rPr>
          <w:rtl w:val="true"/>
        </w:rPr>
        <w:t>(</w:t>
      </w:r>
      <w:r>
        <w:rPr/>
        <w:t>201</w:t>
      </w:r>
      <w:r>
        <w:rPr>
          <w:rtl w:val="true"/>
        </w:rPr>
        <w:t>)</w:t>
      </w:r>
      <w:bookmarkEnd w:id="356"/>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التذکیة بالذبح، و یشترط فیها أُمور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الحیوان ممّا تقع علیه الذکاة، سواء أکل لحمه أم لا، بمعنی أ نّه یکون بعد الذبح طاهراً، فیقع علی المأکول اللحم، فیفید حلّ أکله و طهارته و طهارة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السباع، کالأسد و النمر و الفهد و الثعلب، فیفید طهارة لحمها و 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الاحتیاج إلی دبغه فی استعماله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وقوع الذکاة علیها، کالدبّ و القرد و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تقع علی الحشرات، کالفأرة</w:t>
      </w:r>
      <w:r>
        <w:rPr>
          <w:rStyle w:val="FootnoteAnchor"/>
          <w:rtl w:val="true"/>
        </w:rPr>
        <w:footnoteReference w:id="2502"/>
      </w:r>
      <w:r>
        <w:rPr>
          <w:rFonts w:ascii="IRNazanin" w:hAnsi="IRNazanin" w:eastAsia="IRNazanin"/>
          <w:color w:val="111111"/>
          <w:sz w:val="28"/>
          <w:sz w:val="28"/>
          <w:szCs w:val="28"/>
          <w:rtl w:val="true"/>
          <w:lang w:bidi="fa-IR"/>
        </w:rPr>
        <w:t>و ابن عرس و الضبّ علی قول</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علی الکلب و الخنزیر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الآدمیّ و إن کان کافراً إجماعاً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أهلیّة الذابح بالإسلام أو حکمه، فلا تحلّ ذبیحة الوثنیّ سمعت تسمیته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الذمّیّ قولان، أقربهما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و هو اختیار المعظم</w:t>
      </w:r>
      <w:r>
        <w:rPr>
          <w:rStyle w:val="FootnoteAnchor"/>
          <w:rtl w:val="true"/>
        </w:rPr>
        <w:footnoteReference w:id="2504"/>
      </w:r>
      <w:r>
        <w:rPr>
          <w:rFonts w:ascii="IRNazanin" w:hAnsi="IRNazanin" w:eastAsia="IRNazanin"/>
          <w:color w:val="111111"/>
          <w:sz w:val="28"/>
          <w:sz w:val="28"/>
          <w:szCs w:val="28"/>
          <w:rtl w:val="true"/>
          <w:lang w:bidi="fa-IR"/>
        </w:rPr>
        <w:t>، و قد تقدّم خلاف الصدوق و الحسن</w:t>
      </w:r>
      <w:r>
        <w:rPr>
          <w:rStyle w:val="FootnoteAnchor"/>
          <w:rtl w:val="true"/>
        </w:rPr>
        <w:footnoteReference w:id="2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و جعل التجنّب </w:t>
      </w:r>
    </w:p>
    <w:p>
      <w:pPr>
        <w:pStyle w:val="BookText"/>
        <w:rPr/>
      </w:pPr>
      <w:r>
        <w:rPr>
          <w:rFonts w:ascii="IRNazanin" w:hAnsi="IRNazanin" w:eastAsia="IRNazanin"/>
          <w:color w:val="111111"/>
          <w:sz w:val="28"/>
          <w:sz w:val="28"/>
          <w:szCs w:val="28"/>
          <w:rtl w:val="true"/>
          <w:lang w:bidi="fa-IR"/>
        </w:rPr>
        <w:t>أحوط</w:t>
      </w:r>
      <w:r>
        <w:rPr>
          <w:rStyle w:val="FootnoteAnchor"/>
          <w:rtl w:val="true"/>
        </w:rPr>
        <w:footnoteReference w:id="2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بالحلّ أخبار صحاح معارضة بمثلها، و تحمل علی التقیّة أو الضرورة</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تحرم ذبیحة الناصبیّ</w:t>
      </w:r>
      <w:r>
        <w:rPr>
          <w:rStyle w:val="FootnoteAnchor"/>
          <w:rtl w:val="true"/>
        </w:rPr>
        <w:footnoteReference w:id="2508"/>
      </w:r>
      <w:r>
        <w:rPr>
          <w:rFonts w:ascii="IRNazanin" w:hAnsi="IRNazanin" w:eastAsia="IRNazanin"/>
          <w:color w:val="111111"/>
          <w:sz w:val="28"/>
          <w:sz w:val="28"/>
          <w:szCs w:val="28"/>
          <w:rtl w:val="true"/>
          <w:lang w:bidi="fa-IR"/>
        </w:rPr>
        <w:t>و الخارجیّ دون غیره علی الأصحّ ؛ لقول</w:t>
      </w:r>
    </w:p>
    <w:p>
      <w:pPr>
        <w:pStyle w:val="BookText"/>
        <w:rPr/>
      </w:pP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بکلمة الإسلام و صام و صلّی فذبیحته لکم حلال إذا ذکر اسم اللّه علیه</w:t>
      </w:r>
      <w:r>
        <w:rPr>
          <w:rFonts w:eastAsia="IRNazanin" w:cs="IRNazanin"/>
          <w:color w:val="111111"/>
          <w:sz w:val="28"/>
          <w:szCs w:val="28"/>
          <w:rtl w:val="true"/>
          <w:lang w:bidi="fa-IR"/>
        </w:rPr>
        <w:t>»</w:t>
      </w:r>
      <w:r>
        <w:rPr>
          <w:rStyle w:val="FootnoteAnchor"/>
          <w:rtl w:val="true"/>
        </w:rPr>
        <w:footnoteReference w:id="2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منه تحریم ما لم یذکر اسم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یشترط مع الذکر اعتقاد الوجوب ؟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شرطه الفاضل</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قصر ابن إدریس الحلّ علی المؤمن و المستضعف الذی لا منّا و لا من مخالفینا</w:t>
      </w:r>
      <w:r>
        <w:rPr>
          <w:rStyle w:val="FootnoteAnchor"/>
          <w:rtl w:val="true"/>
        </w:rPr>
        <w:footnoteReference w:id="2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الحلبیّ من ذبیحة جاحد النصّ</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 ابن البرّاج من ذبیحة غیر أهل الحقّ</w:t>
      </w:r>
      <w:r>
        <w:rPr>
          <w:rStyle w:val="FootnoteAnchor"/>
          <w:rtl w:val="true"/>
        </w:rPr>
        <w:footnoteReference w:id="2513"/>
      </w:r>
      <w:r>
        <w:rPr>
          <w:rFonts w:ascii="IRNazanin" w:hAnsi="IRNazanin" w:eastAsia="IRNazanin"/>
          <w:color w:val="111111"/>
          <w:sz w:val="28"/>
          <w:sz w:val="28"/>
          <w:szCs w:val="28"/>
          <w:rtl w:val="true"/>
          <w:lang w:bidi="fa-IR"/>
        </w:rPr>
        <w:t>؛ لقول أبی الحسن علیه‌السّلام</w:t>
      </w:r>
    </w:p>
    <w:p>
      <w:pPr>
        <w:pStyle w:val="BookText"/>
        <w:rPr/>
      </w:pPr>
      <w:r>
        <w:rPr>
          <w:rFonts w:ascii="IRNazanin" w:hAnsi="IRNazanin" w:eastAsia="IRNazanin"/>
          <w:color w:val="111111"/>
          <w:sz w:val="28"/>
          <w:sz w:val="28"/>
          <w:szCs w:val="28"/>
          <w:rtl w:val="true"/>
          <w:lang w:bidi="fa-IR"/>
        </w:rPr>
        <w:t xml:space="preserve">لزکریّا ابن 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أنهاک عن ذبیحة کلّ مَن کان علی خلاف الذی أنت علیه و أصحابک، إلاّ فی وقت الضرورة إلیه</w:t>
      </w:r>
      <w:r>
        <w:rPr>
          <w:rFonts w:eastAsia="IRNazanin" w:cs="IRNazanin"/>
          <w:color w:val="111111"/>
          <w:sz w:val="28"/>
          <w:szCs w:val="28"/>
          <w:rtl w:val="true"/>
          <w:lang w:bidi="fa-IR"/>
        </w:rPr>
        <w:t>»</w:t>
      </w:r>
      <w:r>
        <w:rPr>
          <w:rStyle w:val="FootnoteAnchor"/>
          <w:rtl w:val="true"/>
        </w:rPr>
        <w:footnoteReference w:id="2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الکراهیة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تحلّ ذبیحة المجنون حال المباشرة، و لا السکران، و لا الصبیّ غیر الممیّز، و تحلّ ذبیحة الممیّز، و المرأة، و الخصیّ، و الخنثی، و الجنب، و الحائض، و الأغلف، </w:t>
      </w:r>
    </w:p>
    <w:p>
      <w:pPr>
        <w:pStyle w:val="BookText"/>
        <w:rPr/>
      </w:pPr>
      <w:r>
        <w:rPr>
          <w:rFonts w:ascii="IRNazanin" w:hAnsi="IRNazanin" w:eastAsia="IRNazanin"/>
          <w:color w:val="111111"/>
          <w:sz w:val="28"/>
          <w:sz w:val="28"/>
          <w:szCs w:val="28"/>
          <w:rtl w:val="true"/>
          <w:lang w:bidi="fa-IR"/>
        </w:rPr>
        <w:t>و الأخرس، و الأعمی إذا سدّد ؛ لما روی عنهما علیهماالسّلام</w:t>
      </w:r>
      <w:r>
        <w:rPr>
          <w:rStyle w:val="FootnoteAnchor"/>
          <w:rtl w:val="true"/>
        </w:rPr>
        <w:footnoteReference w:id="2515"/>
      </w:r>
      <w:r>
        <w:rPr>
          <w:rFonts w:ascii="IRNazanin" w:hAnsi="IRNazanin" w:eastAsia="IRNazanin"/>
          <w:color w:val="111111"/>
          <w:sz w:val="28"/>
          <w:sz w:val="28"/>
          <w:szCs w:val="28"/>
          <w:rtl w:val="true"/>
          <w:lang w:bidi="fa-IR"/>
        </w:rPr>
        <w:t>، و ولد الزنا علی الأقرب، و ما یذبحه المسلم لکنائس أهل</w:t>
      </w:r>
      <w:r>
        <w:rPr>
          <w:rStyle w:val="FootnoteAnchor"/>
          <w:rtl w:val="true"/>
        </w:rPr>
        <w:footnoteReference w:id="2516"/>
      </w:r>
      <w:r>
        <w:rPr>
          <w:rFonts w:ascii="IRNazanin" w:hAnsi="IRNazanin" w:eastAsia="IRNazanin"/>
          <w:color w:val="111111"/>
          <w:sz w:val="28"/>
          <w:sz w:val="28"/>
          <w:szCs w:val="28"/>
          <w:rtl w:val="true"/>
          <w:lang w:bidi="fa-IR"/>
        </w:rPr>
        <w:t>الذمّة و أعیادهم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اشترک فی الذبح الأهل و غیره،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الأعضاء بالحدید مع القدرة، فلو فری بغیره عند الضرورة، حلّ، کاللیطة</w:t>
      </w:r>
      <w:r>
        <w:rPr>
          <w:rStyle w:val="FootnoteAnchor"/>
          <w:rtl w:val="true"/>
        </w:rPr>
        <w:footnoteReference w:id="2517"/>
      </w:r>
      <w:r>
        <w:rPr>
          <w:rFonts w:ascii="Amiri" w:hAnsi="Amiri" w:eastAsia="Amiri" w:cs="Amiri"/>
          <w:color w:val="111111"/>
          <w:sz w:val="28"/>
          <w:sz w:val="28"/>
          <w:szCs w:val="28"/>
          <w:rtl w:val="true"/>
          <w:lang w:bidi="ar-SA"/>
        </w:rPr>
        <w:t>و المَروة</w:t>
      </w:r>
      <w:r>
        <w:rPr>
          <w:rStyle w:val="FootnoteAnchor"/>
          <w:rtl w:val="true"/>
        </w:rPr>
        <w:footnoteReference w:id="2518"/>
      </w:r>
      <w:r>
        <w:rPr>
          <w:rFonts w:ascii="IRNazanin" w:hAnsi="IRNazanin" w:eastAsia="IRNazanin"/>
          <w:color w:val="111111"/>
          <w:sz w:val="28"/>
          <w:sz w:val="28"/>
          <w:szCs w:val="28"/>
          <w:rtl w:val="true"/>
          <w:lang w:bidi="fa-IR"/>
        </w:rPr>
        <w:t>و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عدم ذلک، جاز بالسنّ و الظفر علی الأقرب،</w:t>
      </w:r>
    </w:p>
    <w:p>
      <w:pPr>
        <w:pStyle w:val="BookText"/>
        <w:rPr/>
      </w:pPr>
      <w:r>
        <w:rPr>
          <w:rFonts w:ascii="IRNazanin" w:hAnsi="IRNazanin" w:eastAsia="IRNazanin"/>
          <w:color w:val="111111"/>
          <w:sz w:val="28"/>
          <w:sz w:val="28"/>
          <w:szCs w:val="28"/>
          <w:rtl w:val="true"/>
          <w:lang w:bidi="fa-IR"/>
        </w:rPr>
        <w:t>متّصلین کانا أو منفصلین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الشیخ منهما فی المبسوط و الخلاف و إن کانا منفصلین ؛ مستدلاًّ بالإجماع</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أراد به</w:t>
      </w:r>
      <w:r>
        <w:rPr>
          <w:rStyle w:val="FootnoteAnchor"/>
          <w:rtl w:val="true"/>
        </w:rPr>
        <w:footnoteReference w:id="2520"/>
      </w:r>
      <w:r>
        <w:rPr>
          <w:rFonts w:ascii="IRNazanin" w:hAnsi="IRNazanin" w:eastAsia="IRNazanin"/>
          <w:color w:val="111111"/>
          <w:sz w:val="28"/>
          <w:sz w:val="28"/>
          <w:szCs w:val="28"/>
          <w:rtl w:val="true"/>
          <w:lang w:bidi="fa-IR"/>
        </w:rPr>
        <w:t>مع الاختیار ؛ لأ نّه جوّز مثل ذلک فی التهذیب عند الضرورة</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الأعضاء الأربعة فی المذبوحة، و هی المریٔمجری الطعام و الشراب، و الحلقوم مجری النفس، و الودجان و هما العرقان المحیطان بالحلقوم، فلو قطع البعض، لم یحلّ و إن بقی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الشیخ فی الخلاف یظهر منه الاجتزاء بقطع الحلقوم</w:t>
      </w:r>
      <w:r>
        <w:rPr>
          <w:rStyle w:val="FootnoteAnchor"/>
          <w:rtl w:val="true"/>
        </w:rPr>
        <w:footnoteReference w:id="2522"/>
      </w:r>
      <w:r>
        <w:rPr>
          <w:rFonts w:ascii="IRNazanin" w:hAnsi="IRNazanin" w:eastAsia="IRNazanin"/>
          <w:color w:val="111111"/>
          <w:sz w:val="28"/>
          <w:sz w:val="28"/>
          <w:szCs w:val="28"/>
          <w:rtl w:val="true"/>
          <w:lang w:bidi="fa-IR"/>
        </w:rPr>
        <w:t>، و مال إلیه الفاضل بعض المیل</w:t>
      </w:r>
      <w:r>
        <w:rPr>
          <w:rStyle w:val="FootnoteAnchor"/>
          <w:rtl w:val="true"/>
        </w:rPr>
        <w:footnoteReference w:id="2523"/>
      </w:r>
      <w:r>
        <w:rPr>
          <w:rFonts w:ascii="IRNazanin" w:hAnsi="IRNazanin" w:eastAsia="IRNazanin"/>
          <w:color w:val="111111"/>
          <w:sz w:val="28"/>
          <w:sz w:val="28"/>
          <w:szCs w:val="28"/>
          <w:rtl w:val="true"/>
          <w:lang w:bidi="fa-IR"/>
        </w:rPr>
        <w:t xml:space="preserve">؛ لصحیحة زید الشحّام، </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الحلقوم و جری الدم فلا بأس</w:t>
      </w:r>
      <w:r>
        <w:rPr>
          <w:rFonts w:eastAsia="IRNazanin" w:cs="IRNazanin"/>
          <w:color w:val="111111"/>
          <w:sz w:val="28"/>
          <w:szCs w:val="28"/>
          <w:rtl w:val="true"/>
          <w:lang w:bidi="fa-IR"/>
        </w:rPr>
        <w:t>»</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لکنّها فی سیاق الضرورة المجوّزة للذبح بغیر الحدید، و هی معارضة بحسنة عبدالرحمان بن الحجّاج، عن الکاظم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فری الأوداج فلا بأس</w:t>
      </w:r>
      <w:r>
        <w:rPr>
          <w:rFonts w:eastAsia="IRNazanin" w:cs="IRNazanin"/>
          <w:color w:val="111111"/>
          <w:sz w:val="28"/>
          <w:szCs w:val="28"/>
          <w:rtl w:val="true"/>
          <w:lang w:bidi="fa-IR"/>
        </w:rPr>
        <w:t>»</w:t>
      </w:r>
      <w:r>
        <w:rPr>
          <w:rStyle w:val="FootnoteAnchor"/>
          <w:rtl w:val="true"/>
        </w:rPr>
        <w:footnoteReference w:id="2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أیضاً عند عدم 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الإبل و ذبح ما عداها، فلو ذبح الإبل أو نحر ما عداها مختاراً،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محلّ النحر و هدة</w:t>
      </w:r>
      <w:r>
        <w:rPr>
          <w:rStyle w:val="FootnoteAnchor"/>
          <w:rtl w:val="true"/>
        </w:rPr>
        <w:footnoteReference w:id="2526"/>
      </w:r>
      <w:r>
        <w:rPr>
          <w:rFonts w:ascii="Amiri" w:hAnsi="Amiri" w:eastAsia="Amiri" w:cs="Amiri"/>
          <w:color w:val="111111"/>
          <w:sz w:val="28"/>
          <w:sz w:val="28"/>
          <w:szCs w:val="28"/>
          <w:rtl w:val="true"/>
          <w:lang w:bidi="ar-SA"/>
        </w:rPr>
        <w:t>اللَبَّة</w:t>
      </w:r>
      <w:r>
        <w:rPr>
          <w:rStyle w:val="FootnoteAnchor"/>
          <w:rtl w:val="true"/>
        </w:rPr>
        <w:footnoteReference w:id="2527"/>
      </w:r>
      <w:r>
        <w:rPr>
          <w:rFonts w:ascii="IRNazanin" w:hAnsi="IRNazanin" w:eastAsia="IRNazanin"/>
          <w:color w:val="111111"/>
          <w:sz w:val="28"/>
          <w:sz w:val="28"/>
          <w:szCs w:val="28"/>
          <w:rtl w:val="true"/>
          <w:lang w:bidi="fa-IR"/>
        </w:rPr>
        <w:t>، و الذبح فی الحلق تحت اللحیین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استدرک الذبح بعد النحر أو العکس، حلّ</w:t>
      </w:r>
      <w:r>
        <w:rPr>
          <w:rStyle w:val="FootnoteAnchor"/>
          <w:rtl w:val="true"/>
        </w:rPr>
        <w:footnoteReference w:id="2528"/>
      </w:r>
      <w:r>
        <w:rPr>
          <w:rFonts w:ascii="IRNazanin" w:hAnsi="IRNazanin" w:eastAsia="IRNazanin"/>
          <w:color w:val="111111"/>
          <w:sz w:val="28"/>
          <w:sz w:val="28"/>
          <w:szCs w:val="28"/>
          <w:rtl w:val="true"/>
          <w:lang w:bidi="fa-IR"/>
        </w:rPr>
        <w:t>، و یشکل بعدم استقرار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القبلة بالذبح و النحر مع الإمکان، فلو ترکه عمداً،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ناسیاً أو مضطرّاً أو لم یعلم الجهة،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استقبال المذبوح و المنحور لا الفاعل فی ظاهر کلام الأصحاب</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عند النحر و الذبح، کما سلف</w:t>
      </w:r>
      <w:r>
        <w:rPr>
          <w:rStyle w:val="FootnoteAnchor"/>
          <w:rtl w:val="true"/>
        </w:rPr>
        <w:footnoteReference w:id="2530"/>
      </w:r>
      <w:r>
        <w:rPr>
          <w:rFonts w:ascii="IRNazanin" w:hAnsi="IRNazanin" w:eastAsia="IRNazanin"/>
          <w:color w:val="111111"/>
          <w:sz w:val="28"/>
          <w:sz w:val="28"/>
          <w:szCs w:val="28"/>
          <w:rtl w:val="true"/>
          <w:lang w:bidi="fa-IR"/>
        </w:rPr>
        <w:t>، فلو ترکها عمداً فهو میتة إذا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معتقداً لوجوبها، و فی غیر المعتقد نظر، و ظاهر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 xml:space="preserve">. </w:t>
      </w:r>
      <w:bookmarkStart w:id="357" w:name="pg13665_219384"/>
    </w:p>
    <w:p>
      <w:pPr>
        <w:pStyle w:val="BookText"/>
        <w:rPr/>
      </w:pPr>
      <w:bookmarkEnd w:id="357"/>
      <w:r>
        <w:rPr>
          <w:rFonts w:ascii="IRNazanin" w:hAnsi="IRNazanin" w:eastAsia="IRNazanin"/>
          <w:color w:val="111111"/>
          <w:sz w:val="28"/>
          <w:sz w:val="28"/>
          <w:szCs w:val="28"/>
          <w:rtl w:val="true"/>
          <w:lang w:bidi="fa-IR"/>
        </w:rPr>
        <w:t>و لکنّه یشکل بحکمهم بحلّ ذبیحة المخالف علی الإطلاق ما لم یکن ناصباً</w:t>
      </w:r>
      <w:r>
        <w:rPr>
          <w:rStyle w:val="FootnoteAnchor"/>
          <w:rtl w:val="true"/>
        </w:rPr>
        <w:footnoteReference w:id="2532"/>
      </w:r>
      <w:r>
        <w:rPr>
          <w:rFonts w:ascii="IRNazanin" w:hAnsi="IRNazanin" w:eastAsia="IRNazanin"/>
          <w:color w:val="111111"/>
          <w:sz w:val="28"/>
          <w:sz w:val="28"/>
          <w:szCs w:val="28"/>
          <w:rtl w:val="true"/>
          <w:lang w:bidi="fa-IR"/>
        </w:rPr>
        <w:t>، و لا ریب أنّ بعضهم لا یعتقد وجوبها، و تُحلّ</w:t>
      </w:r>
      <w:r>
        <w:rPr>
          <w:rStyle w:val="FootnoteAnchor"/>
          <w:rtl w:val="true"/>
        </w:rPr>
        <w:footnoteReference w:id="2533"/>
      </w:r>
      <w:r>
        <w:rPr>
          <w:rFonts w:ascii="IRNazanin" w:hAnsi="IRNazanin" w:eastAsia="IRNazanin"/>
          <w:color w:val="111111"/>
          <w:sz w:val="28"/>
          <w:sz w:val="28"/>
          <w:szCs w:val="28"/>
          <w:rtl w:val="true"/>
          <w:lang w:bidi="fa-IR"/>
        </w:rPr>
        <w:t>الذبیحة و إن ترکها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سمّی غیر المعتقد للوجوب،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و یحتمل عدمه ؛ لأ نّه کغیر القاصد للتسمیة، و من ثمّ لم تحلّ ذبیحة المجنون، و السکران، و غیر الممیّز ؛ لعدم تحقّق القصد إلی التسمیة أو إلی قطع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و محمّد،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رسول‌اللّه، بکسر الدال، و لو رفعه، حلّت</w:t>
      </w:r>
      <w:r>
        <w:rPr>
          <w:rFonts w:eastAsia="IRNazanin" w:cs="IRNazanin"/>
          <w:color w:val="111111"/>
          <w:sz w:val="28"/>
          <w:szCs w:val="28"/>
          <w:rtl w:val="true"/>
          <w:lang w:bidi="fa-IR"/>
        </w:rPr>
        <w:t>.</w:t>
      </w:r>
    </w:p>
    <w:p>
      <w:pPr>
        <w:pStyle w:val="Heading3"/>
        <w:numPr>
          <w:ilvl w:val="2"/>
          <w:numId w:val="1"/>
        </w:numPr>
        <w:rPr/>
      </w:pPr>
      <w:bookmarkStart w:id="358" w:name="__RefHeading___Toc2071449_3830689328"/>
      <w:bookmarkStart w:id="359" w:name="_Toc119"/>
      <w:bookmarkEnd w:id="358"/>
      <w:r>
        <w:rPr>
          <w:rtl w:val="true"/>
        </w:rPr>
        <w:t xml:space="preserve">درس </w:t>
      </w:r>
      <w:r>
        <w:rPr>
          <w:rtl w:val="true"/>
        </w:rPr>
        <w:t>(</w:t>
      </w:r>
      <w:r>
        <w:rPr/>
        <w:t>202</w:t>
      </w:r>
      <w:r>
        <w:rPr>
          <w:rtl w:val="true"/>
        </w:rPr>
        <w:t>)</w:t>
      </w:r>
      <w:bookmarkEnd w:id="359"/>
    </w:p>
    <w:p>
      <w:pPr>
        <w:pStyle w:val="BookText"/>
        <w:rPr/>
      </w:pPr>
      <w:r>
        <w:rPr>
          <w:rFonts w:ascii="IRNazanin" w:hAnsi="IRNazanin" w:eastAsia="IRNazanin"/>
          <w:color w:val="111111"/>
          <w:sz w:val="28"/>
          <w:sz w:val="28"/>
          <w:szCs w:val="28"/>
          <w:rtl w:val="true"/>
          <w:lang w:bidi="fa-IR"/>
        </w:rPr>
        <w:t xml:space="preserve">و 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متابعة الذبح حتّی یقطع الأعضاء، فلو قطع البعض و أرسله ثمّ تمّمه، فإن کان فی الحیاة استقرار أو قصر الزمان، حلّ، و إلاّ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 لأنّ الأوّل</w:t>
      </w:r>
    </w:p>
    <w:p>
      <w:pPr>
        <w:pStyle w:val="BookText"/>
        <w:rPr/>
      </w:pPr>
      <w:r>
        <w:rPr>
          <w:rFonts w:ascii="IRNazanin" w:hAnsi="IRNazanin" w:eastAsia="IRNazanin"/>
          <w:color w:val="111111"/>
          <w:sz w:val="28"/>
          <w:sz w:val="28"/>
          <w:szCs w:val="28"/>
          <w:rtl w:val="true"/>
          <w:lang w:bidi="fa-IR"/>
        </w:rPr>
        <w:t>غیر محلّل، و الثانی یجری مجری ذبح المیّت، و وجه الحلّ استناد التوجیه إلی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یستند موته إلی الذکاة، فلو شرع فی الذبح فانتزع آخر حشوته معاً، فمیتة، و کذا کلّ فعل لا تستقرّ معه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بعد الذبح أو النحر، أو خروج الدم المعتدل، لا المتثاقل، فلو انتفیا، حرم ؛ لصحیحة محمّد الحلبیّ،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تحرّک الذنب</w:t>
      </w:r>
    </w:p>
    <w:p>
      <w:pPr>
        <w:pStyle w:val="BookText"/>
        <w:rPr/>
      </w:pPr>
      <w:r>
        <w:rPr>
          <w:rFonts w:ascii="IRNazanin" w:hAnsi="IRNazanin" w:eastAsia="IRNazanin"/>
          <w:color w:val="111111"/>
          <w:sz w:val="28"/>
          <w:sz w:val="28"/>
          <w:szCs w:val="28"/>
          <w:rtl w:val="true"/>
          <w:lang w:bidi="fa-IR"/>
        </w:rPr>
        <w:t>أو الطرف أو الأُذن فهو ذکیّ</w:t>
      </w:r>
      <w:r>
        <w:rPr>
          <w:rFonts w:eastAsia="IRNazanin" w:cs="IRNazanin"/>
          <w:color w:val="111111"/>
          <w:sz w:val="28"/>
          <w:szCs w:val="28"/>
          <w:rtl w:val="true"/>
          <w:lang w:bidi="fa-IR"/>
        </w:rPr>
        <w:t>»</w:t>
      </w:r>
      <w:r>
        <w:rPr>
          <w:rStyle w:val="FootnoteAnchor"/>
          <w:rtl w:val="true"/>
        </w:rPr>
        <w:footnoteReference w:id="2534"/>
      </w:r>
    </w:p>
    <w:p>
      <w:pPr>
        <w:pStyle w:val="BookText"/>
        <w:rPr/>
      </w:pPr>
      <w:r>
        <w:rPr>
          <w:rFonts w:ascii="IRNazanin" w:hAnsi="IRNazanin" w:eastAsia="IRNazanin"/>
          <w:color w:val="111111"/>
          <w:sz w:val="28"/>
          <w:sz w:val="28"/>
          <w:szCs w:val="28"/>
          <w:rtl w:val="true"/>
          <w:lang w:bidi="fa-IR"/>
        </w:rPr>
        <w:t xml:space="preserve">أبواب الذبائح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الحسین بن مسلم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الدم معتدلاً، فکلوا، و إن </w:t>
      </w:r>
    </w:p>
    <w:p>
      <w:pPr>
        <w:pStyle w:val="BookText"/>
        <w:rPr/>
      </w:pPr>
      <w:r>
        <w:rPr>
          <w:rFonts w:ascii="IRNazanin" w:hAnsi="IRNazanin" w:eastAsia="IRNazanin"/>
          <w:color w:val="111111"/>
          <w:sz w:val="28"/>
          <w:sz w:val="28"/>
          <w:szCs w:val="28"/>
          <w:rtl w:val="true"/>
          <w:lang w:bidi="fa-IR"/>
        </w:rPr>
        <w:t>خرج متثاقلاً، فلا</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اعتبر جماعة من الأصحاب الحرکة و خروج الدم</w:t>
      </w:r>
      <w:r>
        <w:rPr>
          <w:rStyle w:val="FootnoteAnchor"/>
          <w:rtl w:val="true"/>
        </w:rPr>
        <w:footnoteReference w:id="2536"/>
      </w:r>
      <w:r>
        <w:rPr>
          <w:rFonts w:ascii="IRNazanin" w:hAnsi="IRNazanin" w:eastAsia="IRNazanin"/>
          <w:color w:val="111111"/>
          <w:sz w:val="28"/>
          <w:sz w:val="28"/>
          <w:szCs w:val="28"/>
          <w:rtl w:val="true"/>
          <w:lang w:bidi="fa-IR"/>
        </w:rPr>
        <w:t>، و اعتبر الصدوق الحرکة وحدها</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ذبح المشرف علی الموت، کالنطیحة، و الموقوذة، و المتردّیة، و أکیل السبع، و ما ذبح من قفاه، اُعتبر فی حلّه استقرار الحیاة، فلو علم موته قطعاً فی الحال، حرم</w:t>
      </w:r>
    </w:p>
    <w:p>
      <w:pPr>
        <w:pStyle w:val="BookText"/>
        <w:rPr/>
      </w:pPr>
      <w:r>
        <w:rPr>
          <w:rFonts w:ascii="Amiri" w:hAnsi="Amiri" w:eastAsia="Amiri" w:cs="Amiri"/>
          <w:color w:val="111111"/>
          <w:sz w:val="28"/>
          <w:sz w:val="28"/>
          <w:szCs w:val="28"/>
          <w:rtl w:val="true"/>
          <w:lang w:bidi="ar-SA"/>
        </w:rPr>
        <w:t>عند جماعة</w:t>
      </w:r>
      <w:r>
        <w:rPr>
          <w:rStyle w:val="FootnoteAnchor"/>
          <w:rtl w:val="true"/>
        </w:rPr>
        <w:footnoteReference w:id="2538"/>
      </w:r>
      <w:r>
        <w:rPr>
          <w:rFonts w:ascii="IRNazanin" w:hAnsi="IRNazanin" w:eastAsia="IRNazanin"/>
          <w:color w:val="111111"/>
          <w:sz w:val="28"/>
          <w:sz w:val="28"/>
          <w:szCs w:val="28"/>
          <w:rtl w:val="true"/>
          <w:lang w:bidi="fa-IR"/>
        </w:rPr>
        <w:t>، و لو علم بقاء الحیاة، فهو حلال، و لو اشتبه، اُعتبر بالحرکة أو خروج الدم</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الأخبار</w:t>
      </w:r>
      <w:r>
        <w:rPr>
          <w:rStyle w:val="FootnoteAnchor"/>
          <w:rtl w:val="true"/>
        </w:rPr>
        <w:footnoteReference w:id="2540"/>
      </w:r>
      <w:r>
        <w:rPr>
          <w:rFonts w:ascii="IRNazanin" w:hAnsi="IRNazanin" w:eastAsia="IRNazanin"/>
          <w:color w:val="111111"/>
          <w:sz w:val="28"/>
          <w:sz w:val="28"/>
          <w:szCs w:val="28"/>
          <w:rtl w:val="true"/>
          <w:lang w:bidi="fa-IR"/>
        </w:rPr>
        <w:t xml:space="preserve">و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الدم و الحرکة أو أحدهما کافٍ و لو لم یکن فیه حیاة مستقرّة</w:t>
      </w:r>
      <w:r>
        <w:rPr>
          <w:rStyle w:val="FootnoteAnchor"/>
          <w:rtl w:val="true"/>
        </w:rPr>
        <w:footnoteReference w:id="2541"/>
      </w:r>
      <w:r>
        <w:rPr>
          <w:rFonts w:ascii="IRNazanin" w:hAnsi="IRNazanin" w:eastAsia="IRNazanin"/>
          <w:color w:val="111111"/>
          <w:sz w:val="28"/>
          <w:sz w:val="28"/>
          <w:szCs w:val="28"/>
          <w:rtl w:val="true"/>
          <w:lang w:bidi="fa-IR"/>
        </w:rPr>
        <w:t>، و الآیة، فیها</w:t>
      </w:r>
      <w:r>
        <w:rPr>
          <w:rStyle w:val="FootnoteAnchor"/>
          <w:rtl w:val="true"/>
        </w:rPr>
        <w:footnoteReference w:id="2542"/>
      </w:r>
      <w:r>
        <w:rPr>
          <w:rFonts w:ascii="Amiri" w:hAnsi="Amiri" w:eastAsia="Amiri" w:cs="Amiri"/>
          <w:color w:val="111111"/>
          <w:sz w:val="28"/>
          <w:sz w:val="28"/>
          <w:szCs w:val="28"/>
          <w:rtl w:val="true"/>
          <w:lang w:bidi="ar-SA"/>
        </w:rPr>
        <w:t xml:space="preserve">إیماء إلیه، و 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صحیحة زرارة، عن الباقر علیه‌السّلام فی تفسیرها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أدرکت شیئاً منها </w:t>
      </w:r>
    </w:p>
    <w:p>
      <w:pPr>
        <w:pStyle w:val="BookText"/>
        <w:rPr/>
      </w:pPr>
      <w:r>
        <w:rPr>
          <w:rFonts w:ascii="IRNazanin" w:hAnsi="IRNazanin" w:eastAsia="IRNazanin"/>
          <w:color w:val="111111"/>
          <w:sz w:val="28"/>
          <w:sz w:val="28"/>
          <w:szCs w:val="28"/>
          <w:rtl w:val="true"/>
          <w:lang w:bidi="fa-IR"/>
        </w:rPr>
        <w:t>و عین</w:t>
      </w:r>
      <w:r>
        <w:rPr>
          <w:rStyle w:val="FootnoteAnchor"/>
          <w:rtl w:val="true"/>
        </w:rPr>
        <w:footnoteReference w:id="2544"/>
      </w:r>
      <w:r>
        <w:rPr>
          <w:rFonts w:ascii="Amiri" w:hAnsi="Amiri" w:eastAsia="Amiri" w:cs="Amiri"/>
          <w:color w:val="111111"/>
          <w:sz w:val="28"/>
          <w:sz w:val="28"/>
          <w:szCs w:val="28"/>
          <w:rtl w:val="true"/>
          <w:lang w:bidi="ar-SA"/>
        </w:rPr>
        <w:t>تطرف أو قائمة</w:t>
      </w:r>
      <w:r>
        <w:rPr>
          <w:rStyle w:val="FootnoteAnchor"/>
          <w:rtl w:val="true"/>
        </w:rPr>
        <w:footnoteReference w:id="2545"/>
      </w:r>
      <w:r>
        <w:rPr>
          <w:rFonts w:ascii="IRNazanin" w:hAnsi="IRNazanin" w:eastAsia="IRNazanin"/>
          <w:color w:val="111111"/>
          <w:sz w:val="28"/>
          <w:sz w:val="28"/>
          <w:szCs w:val="28"/>
          <w:rtl w:val="true"/>
          <w:lang w:bidi="fa-IR"/>
        </w:rPr>
        <w:t>ترکض أو ذنب یمصع</w:t>
      </w:r>
      <w:r>
        <w:rPr>
          <w:rStyle w:val="FootnoteAnchor"/>
          <w:rtl w:val="true"/>
        </w:rPr>
        <w:footnoteReference w:id="2546"/>
      </w:r>
      <w:r>
        <w:rPr>
          <w:rFonts w:ascii="IRNazanin" w:hAnsi="IRNazanin" w:eastAsia="IRNazanin"/>
          <w:color w:val="111111"/>
          <w:sz w:val="28"/>
          <w:sz w:val="28"/>
          <w:szCs w:val="28"/>
          <w:rtl w:val="true"/>
          <w:lang w:bidi="fa-IR"/>
        </w:rPr>
        <w:t>فقد أدرکت ذکاته فکله</w:t>
      </w:r>
      <w:r>
        <w:rPr>
          <w:rFonts w:eastAsia="IRNazanin" w:cs="IRNazanin"/>
          <w:color w:val="111111"/>
          <w:sz w:val="28"/>
          <w:szCs w:val="28"/>
          <w:rtl w:val="true"/>
          <w:lang w:bidi="fa-IR"/>
        </w:rPr>
        <w:t>»</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أبان بن تغلب،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حیاة شاة و رأیتها تطرف عینها أو تحرّک أُذنیها أو تمصع بذنبها فاذبحها فإنّها لک</w:t>
      </w:r>
      <w:r>
        <w:rPr>
          <w:rFonts w:eastAsia="IRNazanin" w:cs="IRNazanin"/>
          <w:color w:val="111111"/>
          <w:sz w:val="28"/>
          <w:szCs w:val="28"/>
          <w:rtl w:val="true"/>
          <w:lang w:bidi="fa-IR"/>
        </w:rPr>
        <w:t>»</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الشیخ یحیی أنّ اعتبار استقرار الحیاة لیس من المذهب</w:t>
      </w:r>
      <w:r>
        <w:rPr>
          <w:rStyle w:val="FootnoteAnchor"/>
          <w:rtl w:val="true"/>
        </w:rPr>
        <w:footnoteReference w:id="2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فی الغنم ربط یدیه و رجل و إطلاق الأُخری، و الإمساک علی صوفه أو شعره حتّی یبرد، و فی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یدیه و رجلیه و إطلاق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w:t>
      </w:r>
    </w:p>
    <w:p>
      <w:pPr>
        <w:pStyle w:val="BookText"/>
        <w:rPr/>
      </w:pPr>
      <w:r>
        <w:rPr>
          <w:rFonts w:ascii="IRNazanin" w:hAnsi="IRNazanin" w:eastAsia="IRNazanin"/>
          <w:color w:val="111111"/>
          <w:sz w:val="28"/>
          <w:sz w:val="28"/>
          <w:szCs w:val="28"/>
          <w:rtl w:val="true"/>
          <w:lang w:bidi="fa-IR"/>
        </w:rPr>
        <w:t>رجلیه و ربط أخفافه إلی آباطه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الإسراع فی الذبح و تحدید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الاشتراک فیه معاً أو علی التعاقب ما لم یطل الفصل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إبانة الرأس عمداً، و قطع النخاع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موتها، و هو الخیط الأبیض وسط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ممتدّاً من الرقبة إلی عجب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و سکون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أصله، و کسر الرقبة ؛ لتوخّی الموت، و لا یحرم المذبوح بذلک، خلافاً للنهایة</w:t>
      </w:r>
      <w:r>
        <w:rPr>
          <w:rStyle w:val="FootnoteAnchor"/>
          <w:rtl w:val="true"/>
        </w:rPr>
        <w:footnoteReference w:id="2550"/>
      </w:r>
      <w:r>
        <w:rPr>
          <w:rFonts w:ascii="IRNazanin" w:hAnsi="IRNazanin" w:eastAsia="IRNazanin"/>
          <w:color w:val="111111"/>
          <w:sz w:val="28"/>
          <w:sz w:val="28"/>
          <w:szCs w:val="28"/>
          <w:rtl w:val="true"/>
          <w:lang w:bidi="fa-IR"/>
        </w:rPr>
        <w:t>، و ابن زهرة فی قطع الرأس و النخع</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سبقت السکّین فأبانت الرأس، أو فعل ذلک ناسیاً، فلا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سلخها قبل بردها، و حرّمها به الشیخ</w:t>
      </w:r>
      <w:r>
        <w:rPr>
          <w:rStyle w:val="FootnoteAnchor"/>
          <w:rtl w:val="true"/>
        </w:rPr>
        <w:footnoteReference w:id="2552"/>
      </w:r>
      <w:r>
        <w:rPr>
          <w:rFonts w:ascii="IRNazanin" w:hAnsi="IRNazanin" w:eastAsia="IRNazanin"/>
          <w:color w:val="111111"/>
          <w:sz w:val="28"/>
          <w:sz w:val="28"/>
          <w:szCs w:val="28"/>
          <w:rtl w:val="true"/>
          <w:lang w:bidi="fa-IR"/>
        </w:rPr>
        <w:t>و أتباعه</w:t>
      </w:r>
      <w:r>
        <w:rPr>
          <w:rStyle w:val="FootnoteAnchor"/>
          <w:rtl w:val="true"/>
        </w:rPr>
        <w:footnoteReference w:id="2553"/>
      </w:r>
      <w:r>
        <w:rPr>
          <w:rFonts w:ascii="IRNazanin" w:hAnsi="IRNazanin" w:eastAsia="IRNazanin"/>
          <w:color w:val="111111"/>
          <w:sz w:val="28"/>
          <w:sz w:val="28"/>
          <w:szCs w:val="28"/>
          <w:rtl w:val="true"/>
          <w:lang w:bidi="fa-IR"/>
        </w:rPr>
        <w:t>، و أنکره ابن إدریس</w:t>
      </w:r>
      <w:r>
        <w:rPr>
          <w:rStyle w:val="FootnoteAnchor"/>
          <w:rtl w:val="true"/>
        </w:rPr>
        <w:footnoteReference w:id="2554"/>
      </w:r>
      <w:r>
        <w:rPr>
          <w:rFonts w:ascii="IRNazanin" w:hAnsi="IRNazanin" w:eastAsia="IRNazanin"/>
          <w:color w:val="111111"/>
          <w:sz w:val="28"/>
          <w:sz w:val="28"/>
          <w:szCs w:val="28"/>
          <w:rtl w:val="true"/>
          <w:lang w:bidi="fa-IR"/>
        </w:rPr>
        <w:t>، و الروایة به عن الرضا علیه‌السّلام مقطوعة</w:t>
      </w:r>
      <w:r>
        <w:rPr>
          <w:rStyle w:val="FootnoteAnchor"/>
          <w:rtl w:val="true"/>
        </w:rPr>
        <w:footnoteReference w:id="2555"/>
      </w:r>
      <w:r>
        <w:rPr>
          <w:rFonts w:ascii="IRNazanin" w:hAnsi="IRNazanin" w:eastAsia="IRNazanin"/>
          <w:color w:val="111111"/>
          <w:sz w:val="28"/>
          <w:sz w:val="28"/>
          <w:szCs w:val="28"/>
          <w:rtl w:val="true"/>
          <w:lang w:bidi="fa-IR"/>
        </w:rPr>
        <w:t>، و تحمل علی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سلخها قطع شیء منها، و کرّههما المحقّق</w:t>
      </w:r>
      <w:r>
        <w:rPr>
          <w:rStyle w:val="FootnoteAnchor"/>
          <w:rtl w:val="true"/>
        </w:rPr>
        <w:footnoteReference w:id="2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منها شیء قبل بردها، فهو میتة</w:t>
      </w:r>
      <w:r>
        <w:rPr>
          <w:rStyle w:val="FootnoteAnchor"/>
          <w:rtl w:val="true"/>
        </w:rPr>
        <w:footnoteReference w:id="2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قلب السکّین فیذبح إلی فوق</w:t>
      </w:r>
      <w:r>
        <w:rPr>
          <w:rStyle w:val="FootnoteAnchor"/>
          <w:rtl w:val="true"/>
        </w:rPr>
        <w:footnoteReference w:id="2558"/>
      </w:r>
      <w:r>
        <w:rPr>
          <w:rFonts w:ascii="IRNazanin" w:hAnsi="IRNazanin" w:eastAsia="IRNazanin"/>
          <w:color w:val="111111"/>
          <w:sz w:val="28"/>
          <w:sz w:val="28"/>
          <w:szCs w:val="28"/>
          <w:rtl w:val="true"/>
          <w:lang w:bidi="fa-IR"/>
        </w:rPr>
        <w:t xml:space="preserve">؛ لروایة حمران بن أعین،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تقلب السکّین لتدخلها تحت الحلقوم و تقطعه إلی فوق</w:t>
      </w:r>
      <w:r>
        <w:rPr>
          <w:rFonts w:eastAsia="IRNazanin" w:cs="IRNazanin"/>
          <w:color w:val="111111"/>
          <w:sz w:val="28"/>
          <w:szCs w:val="28"/>
          <w:rtl w:val="true"/>
          <w:lang w:bidi="fa-IR"/>
        </w:rPr>
        <w:t>»</w:t>
      </w:r>
      <w:r>
        <w:rPr>
          <w:rStyle w:val="FootnoteAnchor"/>
          <w:rtl w:val="true"/>
        </w:rPr>
        <w:footnoteReference w:id="2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w:t>
      </w:r>
      <w:r>
        <w:rPr>
          <w:rStyle w:val="FootnoteAnchor"/>
          <w:rtl w:val="true"/>
        </w:rPr>
        <w:footnoteReference w:id="2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کرّهه المحقّق</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ذبح شیء من الحیوان صبراً</w:t>
      </w:r>
      <w:r>
        <w:rPr>
          <w:rStyle w:val="FootnoteAnchor"/>
          <w:rtl w:val="true"/>
        </w:rPr>
        <w:footnoteReference w:id="2562"/>
      </w:r>
      <w:r>
        <w:rPr>
          <w:rFonts w:ascii="IRNazanin" w:hAnsi="IRNazanin" w:eastAsia="IRNazanin"/>
          <w:color w:val="111111"/>
          <w:sz w:val="28"/>
          <w:sz w:val="28"/>
          <w:szCs w:val="28"/>
          <w:rtl w:val="true"/>
          <w:lang w:bidi="fa-IR"/>
        </w:rPr>
        <w:t xml:space="preserve">، و هو أن یذبحه و حیوان آخر ینظر إلیه ؛ لروایة غیاث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علیه‌السّلام کان </w:t>
      </w:r>
    </w:p>
    <w:p>
      <w:pPr>
        <w:pStyle w:val="BookText"/>
        <w:rPr/>
      </w:pPr>
      <w:r>
        <w:rPr>
          <w:rFonts w:ascii="IRNazanin" w:hAnsi="IRNazanin" w:eastAsia="IRNazanin"/>
          <w:color w:val="111111"/>
          <w:sz w:val="28"/>
          <w:sz w:val="28"/>
          <w:szCs w:val="28"/>
          <w:rtl w:val="true"/>
          <w:lang w:bidi="fa-IR"/>
        </w:rPr>
        <w:t>لا یذبح الشاة عند الشاة و لا الجزور عند الجزور</w:t>
      </w:r>
      <w:r>
        <w:rPr>
          <w:rFonts w:eastAsia="IRNazanin" w:cs="IRNazanin"/>
          <w:color w:val="111111"/>
          <w:sz w:val="28"/>
          <w:szCs w:val="28"/>
          <w:rtl w:val="true"/>
          <w:lang w:bidi="fa-IR"/>
        </w:rPr>
        <w:t>»</w:t>
      </w:r>
      <w:r>
        <w:rPr>
          <w:rStyle w:val="FootnoteAnchor"/>
          <w:rtl w:val="true"/>
        </w:rPr>
        <w:footnoteReference w:id="2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الذباحة لیلاً إلاّ لضرورة، و یوم الجمعة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أفلت الحیوان قبل تمام التذکیة و تعذّر إمساکه کالطیر، جاز رمیه بالسلاح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یحلّ أکل ما یباع فی سوق الإسلام من اللحم و إن جهلت</w:t>
      </w:r>
      <w:r>
        <w:rPr>
          <w:rStyle w:val="FootnoteAnchor"/>
          <w:rtl w:val="true"/>
        </w:rPr>
        <w:footnoteReference w:id="2564"/>
      </w:r>
      <w:r>
        <w:rPr>
          <w:rFonts w:ascii="IRNazanin" w:hAnsi="IRNazanin" w:eastAsia="IRNazanin"/>
          <w:color w:val="111111"/>
          <w:sz w:val="28"/>
          <w:sz w:val="28"/>
          <w:szCs w:val="28"/>
          <w:rtl w:val="true"/>
          <w:lang w:bidi="fa-IR"/>
        </w:rPr>
        <w:t>حاله، و لا یجب السؤال، بل و لا یستحبّ و إن کان البائع غیر معتقد للحقّ، و لو علم منه استحلال ذبائح الکتابیّین علی الأصحّ</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ذبیحة مطروحة، لم یحلّ تناولها، إلاّ مع العلم بأنّ مباشرها أهلّ أو قرینة الحال</w:t>
      </w:r>
      <w:r>
        <w:rPr>
          <w:rFonts w:eastAsia="IRNazanin" w:cs="IRNazanin"/>
          <w:color w:val="111111"/>
          <w:sz w:val="28"/>
          <w:szCs w:val="28"/>
          <w:rtl w:val="true"/>
          <w:lang w:bidi="fa-IR"/>
        </w:rPr>
        <w:t xml:space="preserve">. </w:t>
      </w:r>
      <w:bookmarkStart w:id="360" w:name="pg13665_219389"/>
    </w:p>
    <w:p>
      <w:pPr>
        <w:pStyle w:val="Heading2"/>
        <w:numPr>
          <w:ilvl w:val="1"/>
          <w:numId w:val="1"/>
        </w:numPr>
        <w:rPr/>
      </w:pPr>
      <w:bookmarkStart w:id="361" w:name="__RefHeading___Toc2071451_3830689328"/>
      <w:bookmarkStart w:id="362" w:name="_Toc120"/>
      <w:bookmarkEnd w:id="360"/>
      <w:bookmarkEnd w:id="361"/>
      <w:r>
        <w:rPr>
          <w:rtl w:val="true"/>
        </w:rPr>
        <w:t>الفهارس العامّة</w:t>
      </w:r>
      <w:bookmarkEnd w:id="362"/>
    </w:p>
    <w:p>
      <w:pPr>
        <w:pStyle w:val="Heading3"/>
        <w:numPr>
          <w:ilvl w:val="2"/>
          <w:numId w:val="1"/>
        </w:numPr>
        <w:rPr/>
      </w:pPr>
      <w:bookmarkStart w:id="363" w:name="__RefHeading___Toc2071453_3830689328"/>
      <w:bookmarkStart w:id="364" w:name="_Toc121"/>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فهرس الآیات</w:t>
      </w:r>
    </w:p>
    <w:p>
      <w:pPr>
        <w:pStyle w:val="BookText"/>
        <w:rPr/>
      </w:pPr>
      <w:r>
        <w:rPr>
          <w:rFonts w:ascii="IRNazanin" w:hAnsi="IRNazanin" w:eastAsia="IRNazanin"/>
          <w:color w:val="111111"/>
          <w:sz w:val="28"/>
          <w:sz w:val="28"/>
          <w:szCs w:val="28"/>
          <w:rtl w:val="true"/>
          <w:lang w:bidi="fa-IR"/>
        </w:rPr>
        <w:t>فهرس الأدعیة</w:t>
      </w:r>
    </w:p>
    <w:p>
      <w:pPr>
        <w:pStyle w:val="BookText"/>
        <w:rPr/>
      </w:pPr>
      <w:r>
        <w:rPr>
          <w:rFonts w:ascii="IRNazanin" w:hAnsi="IRNazanin" w:eastAsia="IRNazanin"/>
          <w:color w:val="111111"/>
          <w:sz w:val="28"/>
          <w:sz w:val="28"/>
          <w:szCs w:val="28"/>
          <w:rtl w:val="true"/>
          <w:lang w:bidi="fa-IR"/>
        </w:rPr>
        <w:t>فهرس الأحادیث</w:t>
      </w:r>
    </w:p>
    <w:p>
      <w:pPr>
        <w:pStyle w:val="BookText"/>
        <w:rPr/>
      </w:pPr>
      <w:r>
        <w:rPr>
          <w:rFonts w:ascii="IRNazanin" w:hAnsi="IRNazanin" w:eastAsia="IRNazanin"/>
          <w:color w:val="111111"/>
          <w:sz w:val="28"/>
          <w:sz w:val="28"/>
          <w:szCs w:val="28"/>
          <w:rtl w:val="true"/>
          <w:lang w:bidi="fa-IR"/>
        </w:rPr>
        <w:t>فهرس الأماکن والبلدان</w:t>
      </w:r>
    </w:p>
    <w:p>
      <w:pPr>
        <w:pStyle w:val="BookText"/>
        <w:rPr/>
      </w:pPr>
      <w:r>
        <w:rPr>
          <w:rFonts w:ascii="IRNazanin" w:hAnsi="IRNazanin" w:eastAsia="IRNazanin"/>
          <w:color w:val="111111"/>
          <w:sz w:val="28"/>
          <w:sz w:val="28"/>
          <w:szCs w:val="28"/>
          <w:rtl w:val="true"/>
          <w:lang w:bidi="fa-IR"/>
        </w:rPr>
        <w:t>فهرس القبائل والطوائف والفرق</w:t>
      </w:r>
    </w:p>
    <w:p>
      <w:pPr>
        <w:pStyle w:val="BookText"/>
        <w:rPr/>
      </w:pPr>
      <w:r>
        <w:rPr>
          <w:rFonts w:ascii="IRNazanin" w:hAnsi="IRNazanin" w:eastAsia="IRNazanin"/>
          <w:color w:val="111111"/>
          <w:sz w:val="28"/>
          <w:sz w:val="28"/>
          <w:szCs w:val="28"/>
          <w:rtl w:val="true"/>
          <w:lang w:bidi="fa-IR"/>
        </w:rPr>
        <w:t>فهرس الکتب المذکورة فی المتن</w:t>
      </w:r>
    </w:p>
    <w:p>
      <w:pPr>
        <w:pStyle w:val="BookText"/>
        <w:rPr/>
      </w:pPr>
      <w:r>
        <w:rPr>
          <w:rFonts w:ascii="IRNazanin" w:hAnsi="IRNazanin" w:eastAsia="IRNazanin"/>
          <w:color w:val="111111"/>
          <w:sz w:val="28"/>
          <w:sz w:val="28"/>
          <w:szCs w:val="28"/>
          <w:rtl w:val="true"/>
          <w:lang w:bidi="fa-IR"/>
        </w:rPr>
        <w:t>فهرس أسماء المعصومین علیهم السلام</w:t>
      </w:r>
    </w:p>
    <w:p>
      <w:pPr>
        <w:pStyle w:val="BookText"/>
        <w:rPr/>
      </w:pPr>
      <w:r>
        <w:rPr>
          <w:rFonts w:ascii="IRNazanin" w:hAnsi="IRNazanin" w:eastAsia="IRNazanin"/>
          <w:color w:val="111111"/>
          <w:sz w:val="28"/>
          <w:sz w:val="28"/>
          <w:szCs w:val="28"/>
          <w:rtl w:val="true"/>
          <w:lang w:bidi="fa-IR"/>
        </w:rPr>
        <w:t>فهرس الأعلام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3665_219391"/>
      <w:bookmarkStart w:id="366" w:name="pg13665_219391"/>
      <w:bookmarkEnd w:id="366"/>
    </w:p>
    <w:p>
      <w:pPr>
        <w:pStyle w:val="Heading3"/>
        <w:numPr>
          <w:ilvl w:val="2"/>
          <w:numId w:val="1"/>
        </w:numPr>
        <w:rPr/>
      </w:pPr>
      <w:bookmarkStart w:id="367" w:name="pg13665_219391"/>
      <w:bookmarkStart w:id="368" w:name="__RefHeading___Toc2071455_3830689328"/>
      <w:bookmarkStart w:id="369" w:name="_Toc122"/>
      <w:bookmarkEnd w:id="367"/>
      <w:bookmarkEnd w:id="368"/>
      <w:r>
        <w:rPr>
          <w:rtl w:val="true"/>
        </w:rPr>
        <w:t>فهرس الآیات</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یَهْدِی إِلَی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فَتَحْرِیرُ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فَقاتِلُوا الَّتِی تَبْغِی حَتَّی تَفِی‌ءَ إِلَی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فَنَظِرَةٌ إِلَی مَیسَرَةٍ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 وَصِیَّةٍ یُوصَی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صَاحِبْهُمَا فِی الدُّنْیَا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 لاَ یَأْبَ الشُّهَدَاءُ إذَا 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 مَنْ لَمْ یَطْعَمْهُ فَإِنَّهُ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یَهَبُ لِمَنْ یَشَاءُ إِنَاثاً وَ یَهَبُ لِمَنْ یَشَاءُ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370" w:name="pg13665_219393"/>
    </w:p>
    <w:p>
      <w:pPr>
        <w:pStyle w:val="Heading3"/>
        <w:numPr>
          <w:ilvl w:val="2"/>
          <w:numId w:val="1"/>
        </w:numPr>
        <w:rPr/>
      </w:pPr>
      <w:bookmarkStart w:id="371" w:name="__RefHeading___Toc2071457_3830689328"/>
      <w:bookmarkStart w:id="372" w:name="_Toc123"/>
      <w:bookmarkEnd w:id="370"/>
      <w:bookmarkEnd w:id="371"/>
      <w:r>
        <w:rPr>
          <w:rtl w:val="true"/>
        </w:rPr>
        <w:t>فهرس االأدعیة</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غربته و صل وحدته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اللهمّ ارحمنی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اللهمّ إنّا نسألک بک و بحقّ حبیبک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اللهمّ أنت اللّه لا إله إلاّ أنت عالم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اللهمّ مُنزِل الکتاب سریع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واللّه 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بسم‌اللّه‌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صریخ المکروبین یا مجیب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373" w:name="pg13665_219394"/>
    </w:p>
    <w:p>
      <w:pPr>
        <w:pStyle w:val="Heading3"/>
        <w:numPr>
          <w:ilvl w:val="2"/>
          <w:numId w:val="1"/>
        </w:numPr>
        <w:rPr/>
      </w:pPr>
      <w:bookmarkStart w:id="374" w:name="__RefHeading___Toc2071459_3830689328"/>
      <w:bookmarkStart w:id="375" w:name="_Toc124"/>
      <w:bookmarkEnd w:id="373"/>
      <w:bookmarkEnd w:id="374"/>
      <w:r>
        <w:rPr>
          <w:rtl w:val="true"/>
        </w:rPr>
        <w:t>فهرس الأحادیث</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شیعتی أنّ زیارتی تعدل عند اللّه ألف حجّة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أبلغ مَن‌تری من موالینا السلام و أوصهم بتقوی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أبوعبداللّه المقدّم و هذا أجمع و أعظم أجراً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احضر یوم الغدیر عند أمیرالمؤمنین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أخبرنی أبی أ نّه مَن سلّم علیه و عَلَیّ ثلاثة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إذا أقرّبه الأب ورثه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إذا تحرّک الذَّنَب أو الطَّرف أو الأُذُن فهو ذکیّ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إذا خرج الدم معتدلاً فکُلوا و إن خرج متثاقلاً فلا</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إذا زرت جانب النجف فزر عظام آدم و بدن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إذا شککت فی حیاة شاة و رأیتها تطرف</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إذا فری الأوداج فلا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إذا قطع الحلقوم و جری الدم فلا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إذا کان ظاهره مأموناً جازت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إرث الزوجین من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استشعروا الخشیة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أعطه لمن أوصی له و إن کان یهودیّاً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أفضل المجالس ما استقبل به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من الحجّ و أفضلها فی رجب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أقرّت بثلثی ما فی یدها و لا میراث لها</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أقرّت بذهاب ثلث مالها و لا میراث لها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أما علمت أنّ ذلک عندهم هو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امضوا فی أحکامهم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إن أدرکت شیئاً منها و عین تطرف</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إنّ اللّه تصدّق علیکم عند وفاتکم بثلث أموالکم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إنّ اللّه نجّی بغداد لمکان قبره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إنّ أمیرالمؤمنین علیه السّلام أمر مَن نذر إتیان 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انتقاص فی الإیمان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إنّ رسول‌اللّه صلّی‌اللّه علیه و آله دفع میراث مولی حمزة إلی ابنته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إن شئتم آجروه و إن شئتم فاستعملوه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جاریة دبّرت و هی حبلی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إن علم به فهو مدبّر و إلاّ فهو 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إنّ علیّاً علیه السّلام قضی بذلک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إنّ علیّاً علیه السّلام قضی للداخل مع یمینه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إنّ علیّاً علیه السّلام کان لا یذبح الشاة عند الشاة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إنّ علیّاً علیه السّلام کتب صورة الیمین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إنّ کلّ قوم دانوا بشیء یلزمه حکمه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إنّ لکلّ إمام عهداً فی عنق أولیائهم و شیعتهم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إنّ له 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إنّ الملائکة تصلّی علی المتقلّد سیفه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إن أوصی به کلّه فهو جائز له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إنّ ولده ممالیک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یتزوّج المملوکة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إنّها أفضل من الحجّ و أفضلها رجب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إنّی أنهاک عن ذبیحة کلّ مَن کان علی خلاف الذی أنت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مننت علی أهل البصرة کما منّ رسول‌اللّه صلّی‌اللّه علیه و آله علی أهل مکّة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أوصی بإخراج ولده جعفر من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أیّام زیارته لا تعدّ من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أیّما ثلاثة مؤمنین اجتمعوا عند أخٍ لهم یأمنون بوائقه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بیعها فی ثمنها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تجزئتهم ثلاثة 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تربته شفاء من کلّ داء و هی الدواء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ترثه أُمّه و إخوته منها أو عصبتها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تعتق من الثلث و تعطی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تفرّج الغمّ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تقدیمها علی الولد إذا مات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تمحّص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تهادوا تحابّوا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 أب الأب أولی من ابن ابن الابن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جنایتها فی حقوق الناس علی سیّدها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حدّ الروضة من مسجد رسول‌اللّه‌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مسجد رسول‌اللّه صلّی‌اللّه علیه و آله إلی الأساطین یمین المنبر إلی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علی الغنیّ زیارته فی السنة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حوّاء خلقت من ضلع آدم الأیسر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من الکبائر لا کفّارة فیهنّ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الدرع و الکتب و الرحل و الراحلة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بفارس امرأة لها رأسان و صدران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و أرجح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زیارة أبی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الإمام الرضا علیه السّلام أفضل أم زیارة الحسین‌علیه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زیارة علیّ علیه السّلام تعدل حجّتین و عمرتین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رجب مغفرة للذنب البتّة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کلّ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بعشرین حجّة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مع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السائبة یرثه أقرب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السقط لا یرث و لا یورث</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الفریضة عنده تعدل حجّة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العتق الواجب لا ولاء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علیها خدمته خمسین سنة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زیارة الحسین علیه السّلام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فی الکیس بین جماعة فیدّعیه أحدهم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فِ للّه بنذرک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فقد أقرّت بثلث ما فی یدها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فوق کلّ برٍّ برّ حتّی یقتل الرجل فی سبیل‌اللّه‌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بسرّ مَن رأی أمان لأهل الجانبین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قد خرجت من ملکه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قطع الإسلام أرحام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یورث المجوسیّ إذا تزوّج بأُمّه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کفّارة الاغتیاب الاستغفار للمغتاب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کفّارة الضحک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کفّارة عمل السلطان قضاء حوائج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المجلس قراءة سبحان ربّک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رکعة بألف حجّة و ألف عمرة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کلّ العتق یجوز فیه المولود إلاّ فی کفّارة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کمن زار رسول‌اللّه 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زار واحداً منکم؟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 أخیه الثلثان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للأُمّ السدس و لکلالة الأب الثلثان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لأ نّه یرضی إذا أُعطی و یسخط إذا منع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لا بأس بشقّ الجیب علی القریب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لا تباع فی دین غیر ثمن رقبتها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تجوز إلاّ فی الشیء الیسیر إذا رأیت منه صلاحاً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لا تقبّل ید أحد إلاّ من أُرید به رسول‌اللّه صلّی‌اللّه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لا تقلب السکّین لتدخلها تحت الحلقوم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لا جزیة علی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لا عتق إلاّ فیما یملک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لا یحلّ منع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لا یصبر علی لأواء المدینة و شدّتها أحد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لا یرث أخواله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لا یردّه فی الرقّ حتّی یمضی له ثلاث سنین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لا یکون الردّ علی زوج و لا زوجة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لا یؤکل صیده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لو أخرج کنیفاً أو ظلّة أو حفر بئراً فی غیر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لو أُهدی إلیّ کراع لقبلت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خلّف عمّاً و ابن أخ اقتسما المال نصفین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دبّر فی صحّة و سلامة فلا سبیل للدیّان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لو شهد بالقتل أُخذ بأوّل قوله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لها الثلث و الباقی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له بزیارته أجر عتق ألف نسمة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له بکلّ درهم أنفقه عشرة آلاف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له ما للرجال و لها ما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لیس لخلقه أن یقسموا إلاّ به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لیس للورثة استخدامها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لیس للّه شریک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لیس للنساء عفو و لا قود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لیس لها تأخیر النجم بعد حلّه شهراً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لیلة القدر مغفرة للذنب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أخرجه البحر فهو لأهله و بالغوص فهو لمخرجه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ما خفقت رایة علی رأس امرئ مؤمن فی سبیل اللّه فطعمته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ما سمع واعیتنا أهل البیت أحد فلم یجبها إلاّ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ما مات فی الماء فلا تأکله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ما یذبحه المسلم لکنائس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المال للخال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المال للخالة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المدینة خیر لهم لو کانوا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ملک العتیق ماله إذا علم به السیّد و إلاّ فله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من أتاه وزاره و صلّی عنده رکعتین، کتب له حجّة مبرورة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أتی علیه حول و لم یأت قبره، نقص من عمره حول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أتی قبر أخیه المؤمن من أیّ ناحیة فوضع یده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 أتی قبره عارفاً بحقّه، غفر اللّه له ما تقدّم من ذنبه و ما تأخّر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من أتی مکّة حاجّاً و لم یزرنی إلی المدینة، جفوته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 بعد عنه و صعد علی سطحه ثمّ رفع رأسه إلی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 خرج من مکّة أو المدینة أو مسجد الکوفة أو الحائر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من دان بدین قوم لزمه حکمه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من دان بکلمة الإسلام و صام و صلّی، فذبیحته لکم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من زار أخاه فی اللّه جلّ و عزّ قال اللّه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زرت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من زار أخاه للّه وکّل اللّه به سبعین ألف ملک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من زار أمیرالمؤمنین علیه السّلام عارفاً بحقّه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 زار جعفراً و أباه، لم یشتک عینه و لم یصبه سقم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 زار قبر أبی ببغداد، کمن زار قبر رسول‌اللّه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 زار قبر ولدی علیّ، کان عنداللّه کسبعین حجّة مبرورة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من زار قبری بعد موتی، کان کمن هاجر إلیّ فی حیاتی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من زارنی حیّاً أو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حقّاً علیّ أن أستنقذه یوم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من زارنی علی بعد داری و مزاری، أتیته یوم القیامة فی ثلاثة مواطن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 زارنی، غفرت له ذنوبه و لم یمت فقیراً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 فجر بزوجة أبیه، لم یورث من میراث أبیه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من کان حالفاً، فلیحلف باللّه أو لیذر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من کان نصرانیّاً، فأسلم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من لم یقدر أن یزورنا، فلیزر صالحی إخوانه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 ملک ذا رحم، فهو حرّ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میراثه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شعبان یصافحه مائتا ألف نبیّ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الحسن بن علیّ الوشّاء الرضا علیه السّلام عن 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مثل زیارة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شققت عن قلبه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هو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هو مملوکه إن شاء باعه و إن شاء أعتقه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هی للإخوان أفضل من الصدقة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هی للذی أوصی له بها إلاّ أن یکون صاحبها متّهماً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خمسین قسامة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 لتؤخذ من قبره إلی سبعین ذراعاً علی الأفضل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الوقوف علی حسب ما یقفها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الولاء لحمة کلحمة النسب لا یباع و لا یوهب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الولاء للمتبرّع بالعتق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ولدت و أولدت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ولد الحرّ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ولد المحلّلة 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من زارنی حیّاً أو میّتاً أو زار أباک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یتبرّع به علی فقراء بلد المیّت و ضعفاء جیرانه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یجب علی الإمام أن یحبس فسّاق العلماء و جهّال الأطبّاء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یجعل میراثه فی بیت مال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یحلّ إن کان رأسه خارجاً من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یدع الکلب حتّی یقتله فیأکل منه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یرث الجدّ مع بنات البنت السدس</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یرضی إذا أُعطی و یسخط إذا منع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یطعم عشرة مساکین لکلّ مسکین مدّ و یستغفراللّه‌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یفکّ إلاّ أن یقصر المال عن جزء من ثلاثین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یقرع لتعیین الحرّ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یقضی مال الکتابة من الأصل و یرث</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مالک و أنت حرّ لرضا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ینتظر عاماً أو عامین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یورث ما فرضت له فی کتابک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376" w:name="pg13665_219404"/>
    </w:p>
    <w:p>
      <w:pPr>
        <w:pStyle w:val="Heading3"/>
        <w:numPr>
          <w:ilvl w:val="2"/>
          <w:numId w:val="1"/>
        </w:numPr>
        <w:rPr/>
      </w:pPr>
      <w:bookmarkStart w:id="377" w:name="__RefHeading___Toc2071461_3830689328"/>
      <w:bookmarkStart w:id="378" w:name="_Toc125"/>
      <w:bookmarkEnd w:id="376"/>
      <w:bookmarkEnd w:id="377"/>
      <w:r>
        <w:rPr>
          <w:rtl w:val="true"/>
        </w:rPr>
        <w:t>فهرس الأماکن و البلدان</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أُسطوانة أبی لبابة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أُسطوانة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الأبواء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أرض 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أرض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أیلة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جبرئیل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البقیع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بیت نار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البیعة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بیوت 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تیماء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الجمرة الوسطی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حجرة النبیّ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حرّة لیلی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حرّة واقم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الدهلیز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الدیلم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الحلیفة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النبیّ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السرداب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سرّ مَن رأی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سوق 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شعب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صفّین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عبّادان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الغریّ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إبراهیم بن رسول‌اللّه صلّی‌اللّه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قبر أمیرالمؤمنین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قبر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قبر رسول‌اللّه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قبر النبیّ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قبور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قبور 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قبور الصالحین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کنائس أهل الذمّة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الکنیسة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المحراب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المساجد الشریفة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المساجد و المشاهد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مسجد 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مسجد الأقصی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المسجد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مسجد رسول‌اللّه صلّی‌اللّه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مسجد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مسجد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مسجد فضیخ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مسجد المدینة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مسجد النبیّ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المشاهد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مشربة أُمّ 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المعرّس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مقام النبیّ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المقبرة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منبر رسول‌اللّه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وعیر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79" w:name="pg13665_219407"/>
    </w:p>
    <w:p>
      <w:pPr>
        <w:pStyle w:val="Heading3"/>
        <w:numPr>
          <w:ilvl w:val="2"/>
          <w:numId w:val="1"/>
        </w:numPr>
        <w:rPr/>
      </w:pPr>
      <w:bookmarkStart w:id="380" w:name="__RefHeading___Toc2071463_3830689328"/>
      <w:bookmarkStart w:id="381" w:name="_Toc126"/>
      <w:bookmarkEnd w:id="379"/>
      <w:bookmarkEnd w:id="380"/>
      <w:r>
        <w:rPr>
          <w:rtl w:val="true"/>
        </w:rPr>
        <w:t>فهرس القبائل و الطوائف و الفرق</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محمّد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الأُدباء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أهل الأدیان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أهل أیلة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أهل البدع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أهل 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أهل التذکیة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أهل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أهل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أهل الصوامع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أهل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أهل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أهل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أهل مکّة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أهل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البغاة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بنوآدم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بنو المصطلق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بنو النضیر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الجاهلیّة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الحشویّة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دین محمّد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ذرّیّة رسول‌اللّه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ذرّیّة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الذمّیّ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الزیدیّة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شهداء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شهداء بدر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الصلحاء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الصوفیّة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علماء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العلویّة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الغلات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الفضلاء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القدماء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الکتابیّ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الکفّار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المبتدعة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المجاهدون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المتأخّرون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المتفقّهة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المجتهدون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المحاربون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المحدّثون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المخالف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المشرکون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المفسّرون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نصاری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النصرانیّ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الوثنیّ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ولاة رسول‌اللّه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الهاشمیّ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الهاشمیّة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382" w:name="pg13665_219410"/>
    </w:p>
    <w:p>
      <w:pPr>
        <w:pStyle w:val="Heading3"/>
        <w:numPr>
          <w:ilvl w:val="2"/>
          <w:numId w:val="1"/>
        </w:numPr>
        <w:rPr/>
      </w:pPr>
      <w:bookmarkStart w:id="383" w:name="__RefHeading___Toc2071465_3830689328"/>
      <w:bookmarkStart w:id="384" w:name="_Toc127"/>
      <w:bookmarkEnd w:id="382"/>
      <w:bookmarkEnd w:id="383"/>
      <w:r>
        <w:rPr>
          <w:rtl w:val="true"/>
        </w:rPr>
        <w:t>فهرس الکتب المذکورة فی المتن</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الإنجیل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التذکرة للعلاّمة الحلّیّ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التهذیب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الحائریّات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الذکری للشهید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لعلیّ 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لابن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الإرشاد للشهید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الفاخر فی الفقه للصابونیّ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القواعد للشهید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أبی الحسن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کتابَی الفروع المراد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فی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و 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المختلف للعلاّمة الحلّیّ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المقنعة للشیخ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النهایة و نکتها للمحقّق الحلّیّ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النهایة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الوسیلة لابن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385" w:name="pg13665_219412"/>
    </w:p>
    <w:p>
      <w:pPr>
        <w:pStyle w:val="Heading3"/>
        <w:numPr>
          <w:ilvl w:val="2"/>
          <w:numId w:val="1"/>
        </w:numPr>
        <w:rPr/>
      </w:pPr>
      <w:bookmarkStart w:id="386" w:name="__RefHeading___Toc2071467_3830689328"/>
      <w:bookmarkStart w:id="387" w:name="_Toc128"/>
      <w:bookmarkEnd w:id="385"/>
      <w:bookmarkEnd w:id="386"/>
      <w:r>
        <w:rPr>
          <w:rtl w:val="true"/>
        </w:rPr>
        <w:t>فهرس أسماء المعصومین علیهم السّلام</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إبراهیم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أبوإبراهیم موسی بن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أبوجعفر محمّد بن علیّ الباقر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أبوجعفر محمّد بن علیّ الجواد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أبوالحسن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أبوالحسن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أبوالحسن علیّ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أبوالحسن علیّ بن محمّد الجواد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أبوالحسن علیّ بن موسی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أبوالحسن الکاظم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أبوعبداللّه جعفر بن محمّد 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أبوعلیّ موسی بن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أبوالقاسم محمّد بن الإمام أبی محمّد 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أبوالقاسم محمّد بن عبداللّه صلّی‌اللّه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أبومحمّد الحسن بن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أبومحمّد الحسن بن علیّ العسکریّ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أبومحمّد زین العابدین علیّ بن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إسحاق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أُمّ الحسن و الحسین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صاحب الزمان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الحسن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رسول‌اللّه صلّی‌اللّه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زکریّا علیه‌السّلام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علیّ بن الحسین زین العابدین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علیّ بن موسی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بنت رسول‌اللّه صلّی‌اللّه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الفقیه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صلّی‌اللّه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المهدیّ علیه‌السّلام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صلّی‌اللّه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نوح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388" w:name="pg13665_219415"/>
    </w:p>
    <w:p>
      <w:pPr>
        <w:pStyle w:val="Heading3"/>
        <w:numPr>
          <w:ilvl w:val="2"/>
          <w:numId w:val="1"/>
        </w:numPr>
        <w:rPr/>
      </w:pPr>
      <w:bookmarkStart w:id="389" w:name="__RefHeading___Toc2071469_3830689328"/>
      <w:bookmarkStart w:id="390" w:name="_Toc129"/>
      <w:bookmarkEnd w:id="388"/>
      <w:bookmarkEnd w:id="389"/>
      <w:r>
        <w:rPr>
          <w:rtl w:val="true"/>
        </w:rPr>
        <w:t>فهرس أعلام الکتاب</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إبراهیم بن رسول‌اللّه صلّی‌اللّه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ابن أبی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ابن أبی لیلی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ابن أبی یعفور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ابن أُذینة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ابنا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ابن الجنید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ابن مارد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ابن نوبخت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ابن یقطین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أبوالأحوص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أبوإبراهیم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أبوبصیر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أبوبکر الحضرمیّ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أبوثور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أبوجمیلة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أبوحمزة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أبوالصباح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أبوالعبّاس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أبوعبیدة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أبوعلیّ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أبوهاشم الجعفریّ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أبوولاّد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أحمد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أُمّ البنین أُمّ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أُمّ البنین بنت حزام بن خالد بن ربیعة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أُمّ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أُمّ فروة ابنة القاسم الفقیه بن محمّد النجیب ابن أبی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برید بن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بشیر بن عبدالمنذر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جعفر ولد علیّ بن السریّ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جعفر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الجعفیّ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أبی ضرار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حزام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الحسن بن علیّ 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الحسین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الحسین بن نعیم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حفص بن البختریّ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الحکم بن عتیبة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الحلبیّان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الحلّیّون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حمیدة البربریّة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الحمیریّ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سفیان الهذلیّ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خالد بن نافع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خیثمة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الخیزران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الحصین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الراوندیّ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ربعیّ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زید بن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زین الدین محمّد القاسم البرزهیّ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زهرة بن کلاب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سدید الدین محمود الحمصیّ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سلیمان البصریّ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سلیمان بن محرز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سهیل بن أبی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الشامیّان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شاه زنان بنت شیرویة بن کسری بن أبرویز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شریح القاضی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شریک بن عبداللّه القاضی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الشعیریّ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الشیخ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الشیخان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الصدوقان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صقیل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صیقل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ضریس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عبدالمطلّب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العبّاس بن علیّ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عبداللّه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عبداللّه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عبداللّه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عبدالرحمان بن سیابة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عبیداللّه الحلبیّ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العلاء بن سیابة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علیّ بن الحسین الأکبر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علیّ بن السریّ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علیّ بن السوید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عمادالدین بن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عیسی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عیسی بن عطیّة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الفاضلان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الصادق علیه‌السّلام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البرّاج</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قطب‌الدین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الکیدریّ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لیلی بنت أبی مسعود بن مرّة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ماریة القبطیّة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ماعز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مالک بن أعین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المتوکّل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محمّد 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محمّد الحلبیّ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المدلجیّ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مرّة بن مسعود الثقفیّ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مریم بنت زید العلویّة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معمّر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معین الدین سالم المصریّ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میسرة بن شریح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هارون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الهاشمیّ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الهمدانیّ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یحیی المازنیّ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یزدجرد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391" w:name="pg13665_219422"/>
    </w:p>
    <w:p>
      <w:pPr>
        <w:pStyle w:val="Heading3"/>
        <w:numPr>
          <w:ilvl w:val="2"/>
          <w:numId w:val="1"/>
        </w:numPr>
        <w:rPr/>
      </w:pPr>
      <w:bookmarkStart w:id="392" w:name="__RefHeading___Toc2071471_3830689328"/>
      <w:bookmarkStart w:id="393" w:name="_Toc130"/>
      <w:bookmarkEnd w:id="391"/>
      <w:bookmarkEnd w:id="392"/>
      <w:r>
        <w:rPr>
          <w:rtl w:val="true"/>
        </w:rPr>
        <w:t>فهرس الموضوعات</w:t>
      </w:r>
      <w:bookmarkEnd w:id="393"/>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استحباب زیارة النبیّ صلّی‌اللّه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لو ترک الناس زیارته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ثواب زیارة النبیّ و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استحباب زیارة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استحباب زیارة الأئمّة الاثنی عشر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استحباب زیارة آدم و نوح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ثواب زیارة الإمام الزکیّ أبی محمّد الحسن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ثواب زیارة الإمام الشهید أبی عبداللّه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ثواب زیارة الإمام أبی محمّد زین العابدین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ثواب زیارة الإمام أبی جعفر محمّد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ثواب زیارة الإمام أبی عبداللّه جعفر بن محمّد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ثواب زیارة الإمام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ثواب زیارة 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ثواب زیارة الإمام الجواد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ثواب زیارة الإمام الهادی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ثواب زیارة الإمام أبی محمّد الحسن بن علیّ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ثواب زیارة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استحباب زیارة منتجبی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استحباب زیارة الإخوان 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توجّه الحاجّ إلی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إذا أتی الحاجّ إلی المعرّس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أتی الحاجّ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یستحبّ للزائر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استحباب المجاورة بالمدینة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حدّ حرم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المشاهد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آداب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ما یستحبّ بعد زیارة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الاستشفاء بالتربة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استصحاب التربة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طبخت التربة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کتاب الجهاد</w:t>
      </w:r>
    </w:p>
    <w:p>
      <w:pPr>
        <w:pStyle w:val="BookText"/>
        <w:rPr/>
      </w:pPr>
      <w:r>
        <w:rPr>
          <w:rFonts w:ascii="IRNazanin" w:hAnsi="IRNazanin" w:eastAsia="IRNazanin"/>
          <w:color w:val="111111"/>
          <w:sz w:val="28"/>
          <w:sz w:val="28"/>
          <w:szCs w:val="28"/>
          <w:rtl w:val="true"/>
          <w:lang w:bidi="fa-IR"/>
        </w:rPr>
        <w:t>فضل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 یجب علیه الجهاد و المرابطة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مَن نذر المرابطة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أقسام المجاهدین و قتالهم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القتال فی أشهر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ما یکفّ عن قتالهم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الدعاء عند التقاء الصفّین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القتال عند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أنواع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لو نکل المحارب عن قرنه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الجزیة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شرائط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لو کانت دار جاره سرداباً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تقریر نصاری تغلب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الهجرة مِن بلاد الشرک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مواراة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اشتبه المسلم و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الغنائم المنقولة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لو وجد فی الغنیمة أموال للمسلمین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ما لا ینقل من 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حکم الأُساری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لواحق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إخراج الشیوخ مادام فیهم قتال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إذا هاجرت امرأة منهم إلینا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لو خیف استرجاع الکفّار الغنیمة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لو سبی الطفل منفرداً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استیطان الحجاز للذمّیّ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کراهة بدأة الذمّیّ بالسلام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لو أسلم الذمّیّ بعد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لو باع الذمّیّ أرضه المجعول علیها الجزیة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بیع المصحف للکافر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قتال البغاة علی الإمام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کیفیّة قتال البغاة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سبی نساء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لو استعان البغاة بنسائهم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لو قاتل الذمّیّ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سابّ النبیّ صلّی‌اللّه علیه و آله و الأئمّة علیهم‌السّلام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مانع الزکاة مستحلاًّ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کتاب الحسبة</w:t>
      </w:r>
    </w:p>
    <w:p>
      <w:pPr>
        <w:pStyle w:val="BookText"/>
        <w:rPr/>
      </w:pPr>
      <w:r>
        <w:rPr>
          <w:rFonts w:ascii="IRNazanin" w:hAnsi="IRNazanin" w:eastAsia="IRNazanin"/>
          <w:color w:val="111111"/>
          <w:sz w:val="28"/>
          <w:sz w:val="28"/>
          <w:szCs w:val="28"/>
          <w:rtl w:val="true"/>
          <w:lang w:bidi="fa-IR"/>
        </w:rPr>
        <w:t>شرائط الأمر بالمعروف و 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القضاء من قبل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یجوز له إقامة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لو ولّی من قبل الجائر کرهاً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کتاب المرتدّ</w:t>
      </w:r>
    </w:p>
    <w:p>
      <w:pPr>
        <w:pStyle w:val="BookText"/>
        <w:rPr/>
      </w:pPr>
      <w:r>
        <w:rPr>
          <w:rFonts w:ascii="IRNazanin" w:hAnsi="IRNazanin" w:eastAsia="IRNazanin"/>
          <w:color w:val="111111"/>
          <w:sz w:val="28"/>
          <w:sz w:val="28"/>
          <w:szCs w:val="28"/>
          <w:rtl w:val="true"/>
          <w:lang w:bidi="fa-IR"/>
        </w:rPr>
        <w:t>تعریف المرتدّ و 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ما یثبت به 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أحکام المرتدّ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لو قتل المرتدّ مسلماً أو مرتدّاً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توبة الزندیق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المرتدّ و ماله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المرتدّ و 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ما یتلفه المرتدّ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کتاب المحارب</w:t>
      </w:r>
    </w:p>
    <w:p>
      <w:pPr>
        <w:pStyle w:val="BookText"/>
        <w:rPr/>
      </w:pPr>
      <w:r>
        <w:rPr>
          <w:rFonts w:ascii="IRNazanin" w:hAnsi="IRNazanin" w:eastAsia="IRNazanin"/>
          <w:color w:val="111111"/>
          <w:sz w:val="28"/>
          <w:sz w:val="28"/>
          <w:szCs w:val="28"/>
          <w:rtl w:val="true"/>
          <w:lang w:bidi="fa-IR"/>
        </w:rPr>
        <w:t>تعریف المحارب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الدفاع عن النفس و الحریم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الدفاع عن بضع الزّوجة و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ما تثبت به المحاربة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لو تاب قبل القدرة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لو أدّب زوجته أو ولده فماتا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الختان و عذرة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کتاب القضاء</w:t>
      </w:r>
    </w:p>
    <w:p>
      <w:pPr>
        <w:pStyle w:val="BookText"/>
        <w:rPr/>
      </w:pPr>
      <w:r>
        <w:rPr>
          <w:rFonts w:ascii="IRNazanin" w:hAnsi="IRNazanin" w:eastAsia="IRNazanin"/>
          <w:color w:val="111111"/>
          <w:sz w:val="28"/>
          <w:sz w:val="28"/>
          <w:szCs w:val="28"/>
          <w:rtl w:val="true"/>
          <w:lang w:bidi="fa-IR"/>
        </w:rPr>
        <w:t>تعریف القضاء و 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أقسام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لو خاف القاضی علی نفسه الخیانة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تعدّد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قضاء الفقیه فی زمن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یثبت به ولایة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قضاء التحکیم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انعزال القاضی و أسبابه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ارتزاق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لو أخذ القاضی الجعل من المتحاکمین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لو قال المدّعی علی المعزول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بشهادة فاسقین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لو حاسب الصارف الأُمناء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لو عادت ولایة القاضی بعد زوالها و سماع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لو حضر الإمام فی بقعة و تحوکم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هل یجوز تولیة المفضول مع وجود الأفضل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قضاء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الوالی من قبل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قضاء الإمام و غیره بعلمه فی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منع قضاء القاضی بعلمه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الاستزکاء مع جهل القاضی بالشهود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لو ارتاب القاضی بعد التزکیة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هل یتغیّر الشیء عمّا هو علیه بحکم الحاکم لمن علمه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کتاب الدعوی و توابعها</w:t>
      </w:r>
    </w:p>
    <w:p>
      <w:pPr>
        <w:pStyle w:val="BookText"/>
        <w:rPr/>
      </w:pPr>
      <w:r>
        <w:rPr>
          <w:rFonts w:ascii="IRNazanin" w:hAnsi="IRNazanin" w:eastAsia="IRNazanin"/>
          <w:color w:val="111111"/>
          <w:sz w:val="28"/>
          <w:sz w:val="28"/>
          <w:szCs w:val="28"/>
          <w:rtl w:val="true"/>
          <w:lang w:bidi="fa-IR"/>
        </w:rPr>
        <w:t>المدّعی و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لو ادّعی علی مورّثه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لو ادّعی فسق الحاکم أو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انتزاع العین قهراً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المقاصّة و 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مَن ادّعی ما لا یَدَ لأحد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لو انکسرت 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جواب الدعوی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لو أنکر الغریم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لو امتنع المدّعی عن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ردّ الیمین علی المدّعی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لو کانت الدعوی علی غائب أو میّت أو غیر مکلّف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القضاء علی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کتاب قاضٍ إلی قاضٍ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الشاهد و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لو ادّعی استیلاد أمة فی ید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لو أقام شاهداً علی خلعها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لو أقام الحاضر أو الکامل شاهدین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لو أقام بعض الورثة شاهداً بالوقف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تقابل الدعوی فی الأملاک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لو تداعیا عیناً متشبّثین و لا 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سماع بیّنة الداخل للتسجیل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لو شهدت بیّنة الخارج بالملک و بیّنة الداخل بالشراء من الخارج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لو تشبّثا فادّعی أحدهما الکلّ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لو تشبّث مدّعی الکلّ و النصف و الثلث و لا 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لو جامعهم مدّعی الثلثین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تشبّث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العقود</w:t>
      </w:r>
    </w:p>
    <w:p>
      <w:pPr>
        <w:pStyle w:val="BookText"/>
        <w:rPr/>
      </w:pPr>
      <w:r>
        <w:rPr>
          <w:rFonts w:ascii="IRNazanin" w:hAnsi="IRNazanin" w:eastAsia="IRNazanin"/>
          <w:color w:val="111111"/>
          <w:sz w:val="28"/>
          <w:sz w:val="28"/>
          <w:szCs w:val="28"/>
          <w:rtl w:val="true"/>
          <w:lang w:bidi="fa-IR"/>
        </w:rPr>
        <w:t>لو ادّعیا الشراء من المتشبّث و إقباض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لو ادّعی کلّ من البائع و المشتری أ نّه اشتراها من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لو ادّعی عبد العتق، و ادّعی آخر شراءَه من السیّد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لو ادّعی صاحب الدار إجارة بیت بعشرة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الاختلاف فی الإرث و شبهه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لو ماتت امرأة و ولدها، فادّعی الزوج سبق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لو مات مسلم عن ولدین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لو ادّعی أجنبیّ شراء العین من المورّث أو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لو ادّعی عیناً فی ید أجنبیّ له و لشریکه فی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لو علّق عتق عبده بقتله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لو شهد أجنبیّان بالوصیّة بعتق سالم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یلحق الولد بأبوین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لو تداعی الزوجان متاع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لو ادّعی أبوالمیّتة إعارتها بعض متاعها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لو التمس الخصم حبس خصمه بعد إقامة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هل یجب علی الغریم دفع الوثیقة إلی المدیون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لو التمس أحد الذمّیّین حکم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کتاب القسمة</w:t>
      </w:r>
    </w:p>
    <w:p>
      <w:pPr>
        <w:pStyle w:val="BookText"/>
        <w:rPr/>
      </w:pPr>
      <w:r>
        <w:rPr>
          <w:rFonts w:ascii="IRNazanin" w:hAnsi="IRNazanin" w:eastAsia="IRNazanin"/>
          <w:color w:val="111111"/>
          <w:sz w:val="28"/>
          <w:sz w:val="28"/>
          <w:szCs w:val="28"/>
          <w:rtl w:val="true"/>
          <w:lang w:bidi="fa-IR"/>
        </w:rPr>
        <w:t>صفات القاسم و أحکام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لو طلب أحدهم قسمة الأعیان المتساویة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لو تضرّر أحد الشریکین دون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قسمة الأرض و إن کان فیها زرع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قسمة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ادّعی الشریک الغلط فی القسمة أو فی التقویم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ظهر فی المقسوم استحقاق جزء مشاع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هل یجبر الولیّ علی القسمة فی مواضع الإجبار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ascii="Amiri" w:hAnsi="Amiri" w:eastAsia="Amiri" w:cs="Amiri"/>
          <w:color w:val="111111"/>
          <w:sz w:val="28"/>
          <w:sz w:val="28"/>
          <w:szCs w:val="28"/>
          <w:rtl w:val="true"/>
          <w:lang w:bidi="ar-SA"/>
        </w:rPr>
        <w:t>وجوب تحمّل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الأُمور التی تعتبر فی أهلیّة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العدالة و تعریفها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شرائط أهلیّة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أسباب التهمة فی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هل یملک الحاکم سماع شهادة هؤلاء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ما لا یکون من أسباب التهمة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اجتماع شرائط الشهادة حال الأداء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الضابط فی تحمّل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موافقة الشهادة للدعوی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انقسام الحقوق بالنسبة إلی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حکم شهادة النساء مع الرجال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الشهادة علی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مراتب تحمّل الشهادة علی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رجوع الشاهدان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کتاب النذر و العهد</w:t>
      </w:r>
    </w:p>
    <w:p>
      <w:pPr>
        <w:pStyle w:val="BookText"/>
        <w:rPr/>
      </w:pPr>
      <w:r>
        <w:rPr>
          <w:rFonts w:ascii="IRNazanin" w:hAnsi="IRNazanin" w:eastAsia="IRNazanin"/>
          <w:color w:val="111111"/>
          <w:sz w:val="28"/>
          <w:sz w:val="28"/>
          <w:szCs w:val="28"/>
          <w:rtl w:val="true"/>
          <w:lang w:bidi="fa-IR"/>
        </w:rPr>
        <w:t>النذر و 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هل یشترط نیّة القربة للصیغة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الممتنع عقلاً أو 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نذر الحجّ لعامه فصدّ أو أُحصر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لو نذر صلاة مشروعة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لو نذر صلاة و أطلق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لو نذر الوضوء أو الغسل المندوب أو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لو نذر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لو نذر اتیان مسجد معیّن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لو نذر المشی إلی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لو نذر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لو نذر أن یهدی عبداً أو أمة أو دابّة إلی بیت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نذر زیارة النبیّ و الأئمّة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لو نذر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لو عیّن شاة فنمت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لو نذر الصدقة بما یملک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لو نذر صرف زکاة أو خمس علی معیّن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لو نذر الصدقة من ماله بشیء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لو نذر صوم یوم قدومه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لو وجب علیه صوم متتابع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لو نذر عتق 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متعلّق العهد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کتاب الیمین</w:t>
      </w:r>
    </w:p>
    <w:p>
      <w:pPr>
        <w:pStyle w:val="BookText"/>
        <w:rPr/>
      </w:pPr>
      <w:r>
        <w:rPr>
          <w:rFonts w:ascii="IRNazanin" w:hAnsi="IRNazanin" w:eastAsia="IRNazanin"/>
          <w:color w:val="111111"/>
          <w:sz w:val="28"/>
          <w:sz w:val="28"/>
          <w:szCs w:val="28"/>
          <w:rtl w:val="true"/>
          <w:lang w:bidi="fa-IR"/>
        </w:rPr>
        <w:t>الیمین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لو أُکره علی یمین الغموس</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الاستثناء بمشیئة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شروط الحالف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فی متعلّق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قاعدة الیمین عند 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لو تعارض عموم اللفظ و خصوص السبب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لو اتّحد مدلول اللفظ أو تعدّد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الإضافة و الإشارة فی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الصفة فی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الشرط فی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الجمع بین شیئین أو أکثر بواو 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لو أضاف الفعل إلی معیّن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الحنث و بیان معانی بعض الألفاظ و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کتاب الکفّارات</w:t>
      </w:r>
    </w:p>
    <w:p>
      <w:pPr>
        <w:pStyle w:val="BookText"/>
        <w:rPr/>
      </w:pPr>
      <w:r>
        <w:rPr>
          <w:rFonts w:ascii="IRNazanin" w:hAnsi="IRNazanin" w:eastAsia="IRNazanin"/>
          <w:color w:val="111111"/>
          <w:sz w:val="28"/>
          <w:sz w:val="28"/>
          <w:szCs w:val="28"/>
          <w:rtl w:val="true"/>
          <w:lang w:bidi="fa-IR"/>
        </w:rPr>
        <w:t>أقسام الکفّارات و 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لو تزوّج فی العدّة أو بذات البعل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من ضرب مملوکه فوق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کفّارة الاغتیاب و المجلس و الضحک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کفّارة العتق و 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ما یعتبر فی صحّة عتق الرقبة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انتقل فرض المکفّر إلی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إذا انتقل فرض المکفّر إلی الإطعام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إذا انتقل فرض المکفّر إلی الکسوة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کفایة مسمّی الکسوة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جواز التفرقة بین المساکین فی جنس الطعام و الکسوة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العبد فی جمیع 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العتق</w:t>
      </w:r>
    </w:p>
    <w:p>
      <w:pPr>
        <w:pStyle w:val="BookText"/>
        <w:rPr/>
      </w:pPr>
      <w:r>
        <w:rPr>
          <w:rFonts w:ascii="IRNazanin" w:hAnsi="IRNazanin" w:eastAsia="IRNazanin"/>
          <w:color w:val="111111"/>
          <w:sz w:val="28"/>
          <w:sz w:val="28"/>
          <w:szCs w:val="28"/>
          <w:rtl w:val="true"/>
          <w:lang w:bidi="fa-IR"/>
        </w:rPr>
        <w:t>فضل العتق و أحکام الرقیق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اللقیط فی دار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استقرار ملکیّة الرجل علی کلّ أحدٍ سوی العمودین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العبارة الصریحة فی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المعتق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لو أجاز المالک عتق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لو عدل المعتق عمّن عینّه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لو أعتق المریض عبیده المستغرقة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اشتری أمة بکراً و تزوّجها و جعل عتقها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هل تعتبر قیمة الموصی بعتقه عند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لو نقصت قیمته عند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أعتق عبده و زوّجه مشروطاً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هل یشترط قبول العتیق شرط الخدمة و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نذر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لو علّق العتق بالنذر و شبهه علی فعل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عتق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أوصی بعتق عبیده المستغرقین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لو أوصی بعتق عبده و قیمته ضعف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لو دبّر ثلاثة أو أوصی بعتقهم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لو جمع بین العتق و غیره فی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لو استغرق الدَّین الترکة فأعتق الوارث عبداً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لو کان للمعتق مال غائب تنجّز عتق ثلث 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خواصّ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أوصی بعتق نصیبه و نصیب شریکه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لو أعتق بعض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لو ادّعی الشریک صنعة تزید بها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لو وکّل شریکه فی عتق نصیبه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إذا کلّف العبد السعی لإعسار المباشر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اشتراک الأب و الابن فی الولاء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هل یثبت الولاء و الإرث للکافر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لو مات عتیق الکافر و هو حیٌّ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کتاب أُمّ الولد</w:t>
      </w:r>
    </w:p>
    <w:p>
      <w:pPr>
        <w:pStyle w:val="BookText"/>
        <w:rPr/>
      </w:pPr>
      <w:r>
        <w:rPr>
          <w:rFonts w:ascii="Amiri" w:hAnsi="Amiri" w:eastAsia="Amiri" w:cs="Amiri"/>
          <w:color w:val="111111"/>
          <w:sz w:val="28"/>
          <w:sz w:val="28"/>
          <w:szCs w:val="28"/>
          <w:rtl w:val="true"/>
          <w:lang w:bidi="ar-SA"/>
        </w:rPr>
        <w:t>أُمّ الولد و أحکامها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لو جنت علی جماعة و لمّا یضمن السیّد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کتاب المدبّر</w:t>
      </w:r>
    </w:p>
    <w:p>
      <w:pPr>
        <w:pStyle w:val="BookText"/>
        <w:rPr/>
      </w:pPr>
      <w:r>
        <w:rPr>
          <w:rFonts w:ascii="IRNazanin" w:hAnsi="IRNazanin" w:eastAsia="IRNazanin"/>
          <w:color w:val="111111"/>
          <w:sz w:val="28"/>
          <w:sz w:val="28"/>
          <w:szCs w:val="28"/>
          <w:rtl w:val="true"/>
          <w:lang w:bidi="fa-IR"/>
        </w:rPr>
        <w:t>تعریف المدبّر و صیغة التدبیر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لو علّق التدبیر بشرط</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تدبیر المفلّس و المدیون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لو عاد إلیه بعد خروجه عن ملکه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هل یمنع التدبیر شیئاً من التصرّفات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حکم أولاد المدبّر من أمته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لو علّق التدبیر بوفاة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کتاب المکاتب</w:t>
      </w:r>
    </w:p>
    <w:p>
      <w:pPr>
        <w:pStyle w:val="BookText"/>
        <w:rPr/>
      </w:pPr>
      <w:r>
        <w:rPr>
          <w:rFonts w:ascii="IRNazanin" w:hAnsi="IRNazanin" w:eastAsia="IRNazanin"/>
          <w:color w:val="111111"/>
          <w:sz w:val="28"/>
          <w:sz w:val="28"/>
          <w:szCs w:val="28"/>
          <w:rtl w:val="true"/>
          <w:lang w:bidi="fa-IR"/>
        </w:rPr>
        <w:t>المکاتبة و 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صیغة المکاتبة و شروطها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المکاتبة إلی مطلقة و مشروطة و حکمهما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الاختلاف فی لزوم عقد المکاتبة و جوازه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تصرّفات المکاتب مع اشتراط الغبطة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لو عقد حیث لا غبطة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تزویج المکاتبة و وطؤها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لو تنازع المولی و المکاتبة فی تقدّم الولد علی الکتابة و تأخّره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للمکاتب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لو جنّ المولی أو المکاتب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جنایة المکاتب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اللواحق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هل یجوز للسیّد معاملة المکاتب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لو کاتب اثنان عبداً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هل یدخل الحمل فی مکاتبة الأُمّ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لو قال السیّد للمکاتب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بقدر ما تؤدّی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لو ورثت المرأة زوجها المکاتب</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لو أسلم مکاتب الذمّیّ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عتق المکاتب بالعوارض</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تعریف الوقف و صیغته و 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هذا للمسجد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نسلهم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لو انقطع فی أوّله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وقف علی ابنیه ثمّ علی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وقف علی أولاده و شرط أن تکون غلّته العام الأوّل لزید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لو وقف علی ولده و المساکین و انقرضوا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الإقباض فی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اشتراط إخراج الوقف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اشتراط تعلّق الوقف بعین معیّنة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اشتراط وجود الموقوف علیه زمان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شرط الواقف</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ما یشترط فی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الوقف علی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معنی الشیعة و الزیدیّة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معنی الجیران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معنی العشیرة و العترة و القوم و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 علی الفقراء و المستحقّین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لو وقف علی الأقرب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وقف المسلم علی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لو وقف علی خادم البیعة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الوقف علی المرتدّ و الحربیّ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لو شرط فی الوقف ترتیباً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لو وقف علی الفقهاء و المتفقهّة و الصوفیّة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لو وقف علی الشبّان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لو وقف علی مصلحة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لو وقف علی أُمّهات أولاده فی حیاته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لو شرط المدرسة لطائفة معیّنة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لو وقف علی مستحقّی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 فی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أعتق الموقوف علیه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لو أعتق الشریک حصّته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نفقة الموقوف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لو خرب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تغییر شرط الواقف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ولد الموقوفة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لو وطئت 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لو شرط رقّیّة ولد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لو ظهر فی الإجارة غبن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العمری و توابعها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شرطیّة الإیجاب و 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السکنی و حکمها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کتاب الهبة</w:t>
      </w:r>
    </w:p>
    <w:p>
      <w:pPr>
        <w:pStyle w:val="BookText"/>
        <w:rPr/>
      </w:pPr>
      <w:r>
        <w:rPr>
          <w:rFonts w:ascii="IRNazanin" w:hAnsi="IRNazanin" w:eastAsia="IRNazanin"/>
          <w:color w:val="111111"/>
          <w:sz w:val="28"/>
          <w:sz w:val="28"/>
          <w:szCs w:val="28"/>
          <w:rtl w:val="true"/>
          <w:lang w:bidi="fa-IR"/>
        </w:rPr>
        <w:t>تعریف الهبة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ما یشترط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هبة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هبة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الرجوع فی الهبة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الهبة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لو باع الواهب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القبض فی الهبة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لو وهب ابنته البالغ فی حضانته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قبض المشاع</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إذن الواهب فی القبض</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لو أقرّ الواهب بالهبة و الإقباض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لو رجع الواهب بعد نقص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رجع بعد إجارة العین أو إعارتها أو رهنها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هبة 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کتاب الوصیّة</w:t>
      </w:r>
    </w:p>
    <w:p>
      <w:pPr>
        <w:pStyle w:val="BookText"/>
        <w:rPr/>
      </w:pPr>
      <w:r>
        <w:rPr>
          <w:rFonts w:ascii="IRNazanin" w:hAnsi="IRNazanin" w:eastAsia="IRNazanin"/>
          <w:color w:val="111111"/>
          <w:sz w:val="28"/>
          <w:sz w:val="28"/>
          <w:szCs w:val="28"/>
          <w:rtl w:val="true"/>
          <w:lang w:bidi="fa-IR"/>
        </w:rPr>
        <w:t>تعریف الوصیّة لغة و شرعاً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حکم الإیجاب و القبول فی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لو مات الموصی له قبل 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لو ردّ الوصیّة فی حیاة الموصی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لو لم یخلّف الموصی له وارثاً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الوصیّة علی کلّ مَن علیه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ما یعتبر فی الموصی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ما یعتبر فی الموصی به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إجازة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إقلال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یعتبر فی الموصی له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یشترط تعیین الموصی له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لو أوصی لموالیه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لو أوصی للفقراء بربع و للمساکین بخمس</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الوصیّة للعلماء و القبیلة و الأرامل و القرابة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لو أوصی لجارحه بعد الجرح</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الوصیّة للوارث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لو أوصی بعتق نسمة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عنّی عبدی بعدی فهو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أوصی بثلثه 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بملک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الوصیّة بالمجهول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لو عیّن الموصی أبواباً فنسی الوصیّ باباً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دخول جفن السیف و حلیته فی الوصیّة به، و دخول ما فی السفینة فی الوصیّة بها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لو أوصی بجزء مشاع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له بعبد من عبیده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لو أوصی له بمثل نصیب ابنه أو أحد ورثته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نصیب الابن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لو أوصی له بضعف نصیب ولده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لو أوصی بنصیب وارث</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لو أوصی بنصیب مَن لا نصیب له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الرجوع فی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لو أوصی له بمائة، ثمّ أوصی له بمائة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لو أوصی له بدار فانهدمت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کتاب الوصایة</w:t>
      </w:r>
    </w:p>
    <w:p>
      <w:pPr>
        <w:pStyle w:val="BookText"/>
        <w:rPr/>
      </w:pPr>
      <w:r>
        <w:rPr>
          <w:rFonts w:ascii="IRNazanin" w:hAnsi="IRNazanin" w:eastAsia="IRNazanin"/>
          <w:color w:val="111111"/>
          <w:sz w:val="28"/>
          <w:sz w:val="28"/>
          <w:szCs w:val="28"/>
          <w:rtl w:val="true"/>
          <w:lang w:bidi="fa-IR"/>
        </w:rPr>
        <w:t>تعریف الوصایة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شروط الوصیّ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ما لا یشترط فی الوصیّ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لو أوصی إلی زید ثمّ أوصی إلی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 و الردّ فی الوصایة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ضمان الوصیّ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ولایة الوصیّ علی تزویج الطفل أو الطفلة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مَن مات و لا ولیّ لأولاده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لو فقد الحاکم أو تعذّر مراجعته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 فی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المیراث</w:t>
      </w:r>
    </w:p>
    <w:p>
      <w:pPr>
        <w:pStyle w:val="BookText"/>
        <w:rPr/>
      </w:pPr>
      <w:r>
        <w:rPr>
          <w:rFonts w:ascii="IRNazanin" w:hAnsi="IRNazanin" w:eastAsia="IRNazanin"/>
          <w:color w:val="111111"/>
          <w:sz w:val="28"/>
          <w:sz w:val="28"/>
          <w:szCs w:val="28"/>
          <w:rtl w:val="true"/>
          <w:lang w:bidi="fa-IR"/>
        </w:rPr>
        <w:t>تعریف 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أقسام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کلّ ما خلّف المیّت ذا 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الترتیب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لو اجتمع للوارث نسبان أو سببان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القرابات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هل یجوز تقدیم الأبعد علی الأقرب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الفروض المعیّنة فی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 السهم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أحدها الرقّ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التبرّیّ عند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الشکّ فی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الدین المستغرق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اقتران موت المتوارثین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عشرها،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 عشرها، بُعد الدرجة مع وجود الأقرب</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شرائط الحجب مع وجود الأب</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لو خلّف بنتاً و أبوین و حاجباً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عشرها، منع یتعلّق بالزوجین و هو من وجوه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لو کان لها ولد ولدٍ</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لو کان أحد الزوجین مباشراً للعقد و باشر الفضولیّ عن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لو طلّق الأسیر مع أمارات إتلافه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عشرها، منع المستهلّ من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خامس عشرها، اشتباه الحرّ الوارث بالعبد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سادس عشرها، قدر 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لو تعدّد ولد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لو تعدّدت أجناس 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لو خلّف دیناً مستغرقاً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لو أوصی المیّت بصرف الحبوة فی جهة مباحة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لو قصر نصیب کلّ وارث عن قدر الحبوة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سابع عشرها، الکفن و مؤونة التجهیز</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ثامن عشرها،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تاسع عشرها، کون العین موقوفة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العشرون، کون العبد جانیاً عمداً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الآباء و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الإخوة و الأجداد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الأجداد و الجدّات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الأعمام و الأخوال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الخنثی و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بوارث أو دَین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المناسخات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قسمة الترکات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کتاب الصید</w:t>
      </w:r>
    </w:p>
    <w:p>
      <w:pPr>
        <w:pStyle w:val="BookText"/>
        <w:rPr/>
      </w:pPr>
      <w:r>
        <w:rPr>
          <w:rFonts w:ascii="IRNazanin" w:hAnsi="IRNazanin" w:eastAsia="IRNazanin"/>
          <w:color w:val="111111"/>
          <w:sz w:val="28"/>
          <w:sz w:val="28"/>
          <w:szCs w:val="28"/>
          <w:rtl w:val="true"/>
          <w:lang w:bidi="fa-IR"/>
        </w:rPr>
        <w:t>الاصطیاد و ما یقتله کلب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شرائط حلّیّة صید کلب المعلَّم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التسمیة فی قتل الممتنع بالآلة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شرائط حلّ الصید بالآلة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الطیر و الوحش لیلاً</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الاصطیاد بالآلة المغصوبة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لو أطلق الصید من یده و نوی قطع ملکه عنه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هل یملک الصید بتوحّله فی أرضه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لو ظهر للصید مالک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لو اختلط الحمام المملوک و تعذّر الامتیاز</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لو رمی اثنان صیداً فعقراه ثمّ وُجد میّتاً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لو أثبتا الصید دفعة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رمی صیداً فأثبته ثمّ رماه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جنی علی صید مملوک لغیره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لو کانت إحدی الجنایتین من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کتاب التذکیة</w:t>
      </w:r>
    </w:p>
    <w:p>
      <w:pPr>
        <w:pStyle w:val="BookText"/>
        <w:rPr/>
      </w:pPr>
      <w:r>
        <w:rPr>
          <w:rFonts w:ascii="IRNazanin" w:hAnsi="IRNazanin" w:eastAsia="IRNazanin"/>
          <w:color w:val="111111"/>
          <w:sz w:val="28"/>
          <w:sz w:val="28"/>
          <w:szCs w:val="28"/>
          <w:rtl w:val="true"/>
          <w:lang w:bidi="fa-IR"/>
        </w:rPr>
        <w:t>ما تحصل به التذکیة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لو مات السمک فی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لو مات فی الشبکة التی فی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لو اشتبه الحیّ فیها بالمیّت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إذا وُجد فی ید مسلم سمک حیّ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لو وثب السمک إلی الجدد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ذکاة 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التذکیة بالذبح و 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شرائط 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لو ذبح المشرف علی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إبانة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سلخ الذبیحة قبل بردها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ذبح الحیوان صبراً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الذباحة لیلاً</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أکل ما یباع فی سوق الإسلام من 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وجد ذبیحة مطروحة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فی الموضعین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مفترضاً، و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إل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المفید 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الأصغر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الریاحیّ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فیهما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برویز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الجدول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الفقیه و الوسائل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 عمرة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ألقابه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الصامت،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 کلّ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إخواننا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وضع،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أکثر النسخ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خاصّتی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إلی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استزادوه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 کما فی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فینزل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بالنبیّ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صلوات‌اللّه و سلامه علیهما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ضیق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تمثّل، 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یمثّل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للمدینة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أکثر النسخ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جدیدة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فبالیسری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إعطاؤهم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مرشدی ضالّی الغرباء،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مرشدین ضالّ الغرباء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یدخل المسجد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لجاز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ولده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الفاخر فی الفقه لأبی الفضل محمّد بن أحمد بن إبراهیم بن سلیمان الجعفیّ الکوفیّ الزیدیّ المستبصر العائد إلی القول بالإمامة، المعروف فی کتب الرجال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الفضل الصابونیّ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بین الفقهاء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عنه ابن قولویه، و حکی الشهید أقواله کثیراً، و قال صاحب المقابس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بسیفه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اقتطاع الشیء من أصله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للمرابطة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نقله ابن الجنید کلّه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مخصّص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سواء فی حضور الإمام أو غیبته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بحاجة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یوم الأحزاب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دعوة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الصالح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لکن بمضمونه فی کتاب 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خلّوا بینهم و بین الماء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المبارز،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أقلّ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أعجمیّاً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یتجاهروا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أکثر النسخ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کما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الجنید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الصبیان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السقوط، 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السقوط، کما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11508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رضخت له رضخاً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أعطیته شیئاً لیس بالکثیر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یشارک الجیش سریّته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أسلموا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التزویج،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کأبی الصلاح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داود فی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أ نّه فرّق بین جاریة و ولدها، فنهاه النبیّ صلّی‌اللّه علیه و آله عن ذلک و ردّ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أحمد فی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أیّوب أ نّه سمع رسول‌اللّه صلّی‌اللّه علیه و آله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فرّق بین والدة و ولدها، فرّق اللّه بینه و بین الأحبّة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أوردهما الشیخ فی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الطعام، و 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الطعام للبیع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سکون الیاء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المعروف فیما بین مصر 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حمراء، موضع قریب من بادیة الحجاز یخرج منها إلی الشام علی طریق البلقاء و هی حاضرة 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قوله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التمصیر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بإسلام أهلها علیها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عسکر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استأجرها من الذمّیّ مسلم أو 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یقرب منه ما رواه الصدوق عن علیّ علیه‌السّلام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 الحسین</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قوله علیه‌السّلام بهذا اللفظ و بمضمونه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 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الأُصول فی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القطع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رقّه،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لنیابته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المرتدّ و هو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إیقاعه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فی الجواهر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أعثر علی القول بالثالثة بالخصوص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قریبه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بدفع،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المرتدّة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إسلامه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امرأة،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کانت امرأة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علیّ أ نّه أمر یوم الجمل فنودی أن لا یتبع مُدبر، و لا یقتل أسیر، و لا یذفّف علی 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تذفیف الجریح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الإجهاز علیه و تحریر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ابن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أقعص ابنا عفراء أباجهل أی قتلاه قتلاً سریعاً، و ذفّف علیه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تدریجاً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فرماه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فیکاتب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حیناً،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حجّته،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تقیّده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فیلزم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ینتقض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بسقوط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یرزق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للمنفعة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الاستحلاف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یَهْدِی إِلَی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یضمن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أکثر النسخ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مصلحةٍ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أکثر النسخ، و فی إل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المجنون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اللقطة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أکثر النسخ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التغیّر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الکراهیة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یجترئ</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أکثر النسخ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طریق العامّة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حضور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تغییره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کالمستوفر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استوفز فی قَعدَتِه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منتصباً غیر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فیجوز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استطاع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لططت حقّه، إذا جحدته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اشتدّ فی الأمر و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بقید المشیئة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یحکم بعلمه فی جمیع الأحکام، و هو مذهب الأکثر،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الشیخ فی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المتداعین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کان بیّنةٍ،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نّها کانت بیّنته، ح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نّها کان ببیّنته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انتفع، ح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تقع،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ببذله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الشیخ علی الکراهیة،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دارهم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نسب إلیهما و لکنّ الموجود فی الکافی و السرائر خلافه، کما فی 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مختار المفید و سلاّر و أبو الصلاح،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فأنکره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أقام شاهداً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أیّام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لغنائه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بحثان،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تولیته،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تولیة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بتجویز</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أقام له شاهداً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أقام شاهداً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الکراهة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العتاق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ینسحب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التابعة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تغایر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یحلف مع شاهده و استنقذه من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استبعده المحقّق فیالشرائع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بعید ؛ لأ نّه لا یدّعی مالاً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یلتقیان،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یلتقتان،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ملتفتان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أمته،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أقسماها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یتقدّم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فالقرعة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عبارات النسخ فیه متفاوتة، و ما أثبتناه من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الشیخ فی البیع فی مسألة العبد الذی ید أحدهما علیه،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لکنّه قال فی کتاب الدعاوی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ادّعیا ملکاً مطلقاً و ید أحدهما علیه، کانت بیّنته أولی، و کذلک إذا أضافاه إلی سبب، و إن ادّعی الملک مطلقاً و الخارج أضافه إلی سبب، کانت بیّنة الخارج أولی، و به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فللمستوعب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للمستوعب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المستوعب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للمستوعب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فللمستوعب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یقارعان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یقارع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للمستوعب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فاتح 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یتنازع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یبطل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المتبایعین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یقوّم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أکثر النسخ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ادّعی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بنسبة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أسقطتا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أنکره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فیتحقّق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ادّعی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ادّعی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أخذ ضامن منه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یتتبّع الآثار و یعرفها، و یعرف شَبَه الرجل بأخیه و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المُحْبَسین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علیّ بن بابویه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لقول ابنه محمّد بن علیّ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یستحبّ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المزرعة التی لیس علیها بناءٌ و لا فیها شجر، و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القاسمون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متعیّناً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یلتزم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أیضاً صحیحة، 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الغبطة فی الشرکة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 بعض متأخّری علمائنا عن الشیخ فی المبسوط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یحضرنی الآن قول الشیخ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نحن لم نعثر علی ما نسب إلیه من المنع، بل مذهبه جواز القسمة بمجرّد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یستحلّ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اعترف غیر واحد بعدم معرفة القائل به و إن نسب إلی الشیخ فی النهایة، و لکنّه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بالوصیّة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لمثلهم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توعّد اللّه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التبیان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صغائر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یخطئ</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الملاهی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آلات الملاهی، جمعهُ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 و فلوس، قال المُطَرِّزی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یتّخذ</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شراب یتّخذ من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ثمر النخل، قال 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 من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 و نبات بُسْر،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نبیذ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نبیذ الشعیر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البُقّیری مثال السُمّیْهی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لعبةٌ للصبیان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الجنید،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یعرضوا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هؤلاء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تدفع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لفسقهم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أکثر النسخ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فیشهد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علیّ بن بابویه، و یلاحظ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ابنه محمّد بن علیّ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زهرة فی 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الطرابلسیّ و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غیر صحیح ؛ لأنّ الطرابلسیّ لا یقول بعدم شهادة الأجیر، بل قال بقبولها، و الحلبیّ هو أحد الشامیّین القائلین بعدم قبول شهادته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السیّد المرتضی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الشیخ،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الحکم، و قال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بالحکم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استنده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یخاف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قوله الآخر فی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علیّ بن بابویه، و یلاحظ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ابنه محمّد بن علیّ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بانتفاء،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الحکم بشهادة الواحد مع یمین المدّعی فی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رسالة علیّ بن بابویه، لا توجد لدینا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الولادة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بامرأتین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فخر المحقّقین فی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یبطل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الفاضل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ولده فخر المحقّقین فی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غرّما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یدخل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یحتسب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 نّه تعالی عالم بکلّ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الملکوت فی شرح الیاقوت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تلخیص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مسألة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لنصیر الدین الطوسیّ، کتاب الأربعین فی أُصول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لفخرالدین الرازیّ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جزراً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نسبه إلی المبسوط و لکن لم نعثر علیه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الرکعة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قلنا،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جعلنا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المبسوط و لکن نقله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المبسوط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المبسوط و لکن لم نعثر علیه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یتعیّن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عبارات النسخ فیه مضطربة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کالدین أو الهبة لمنذور فحینئذٍ تصحّ الهبة و یتخیّر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کالدین أو الهبة لمنذور، فحینئذٍ تصحّ الهبة و یتخیّر بین الإبراء و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کالدین أو الهبة، فحینئذٍ تصحّ الهبة و یتخیّر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کالدین المنذور، فحینئذٍ تصحّ الهبة و یتخیّر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کالدین المنذور، فحینئذٍ یصحّ الهبة و یتخیّر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المطالبة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إجزاء تأخّر،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إجراء تأخذ،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إجزاء تآخذ،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إجراء تآخذ</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نذر أن یخرج شیئاً من ماله فی سبیل‌اللّه أو سبیل الخیر أو سبیل الثواب، تصدّق به، أو صرفه فی حجّ أو 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إعطاء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قدوم زید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قیّد فی النذر التتابع، وجب علیه التتابع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إلی بعض الأصحاب، 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نذر صوم سنة معیّنة، وجب صومها أجمع إلاّ العیدین و أیّام التشریق إن کان بمنی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بعض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تجاوز النصف جاز البناء و لو فرّق، و هو تحکّم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مراده من بعض الأصحاب الشیخ، کما صرّح به فی الجواهر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بعض الأصحاب و هو الشیخ فی المبسوط فیما حکی عنه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تحکّم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ح</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أجزئه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نسبه الشهید، و العلاّمة فی المختلف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لکن لم نعثر علیه فی المبسوط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قیّدها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متعیّن،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یشرط</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لو خفض و نوی القسم من دون النطق بحرف القسم انعقد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أسماءاً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أکثر النسخ، و فی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فی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 لشانیک و هی مطابقة لما فی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بل أشانئک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بل 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 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 لشانئک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به و بمجرّد القول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کلّمت،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بالتصریح</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للنصّ</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المناشدة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مل،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کانت کاذبة،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کاذباً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سفر، مکان أو فی السفر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لضرورة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لدفع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منعه ابن إدریس، و الصواب ما أثبتناه،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جواز دخول الاستثناء إلاّ فی الیمین، و قال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بدخول الاستثناء فی الطلاق و العتق و النذر و الإقرار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جهل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المولی، و مقتضی السیاق، الولیّ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سیملکه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للموصوف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و هو أنّ الکلام یتناول القرآن هو الذی أسند إلی الشهید فی 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مذهب الأکثر و منهم المصنّف و ابن إدریس و العلاّمة فی المختلف و ولده و الشهید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الشیئین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یؤتدم به مائعاً کان أو جامداً و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کتب، و یسکّن للتخفیف فیعامل معاملة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أکل فیه برّ، مل، ح 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أکله فیه، برّ، و فی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أکله فی الناطف و برّ،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فی الناطف و أکله، برّ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لروایة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 المطرّزیّ عن الفارسیّ أ نّه الصاع یجمع أیضاً علی آصع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لتعیینه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بمرض</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التبدّل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ح</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مکاتبته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بملکه،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مثال،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مشار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روایة عن مالک، و به قال الشافعیّ علی القول الذی یجیز له التکفیر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لتعذّر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بقطع التتابع و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قطعه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المتتابعة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تجدید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خبزهما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تعویلاً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تؤدّی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 غیر مستحقّ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المساکین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الجوامع الفقهیّة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معنی الجملة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العتق، و هو قول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تنفیذ</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صیغته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فذاک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یقبل، و قال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یقبل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تطاولت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التکسّب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و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قولهما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امتنع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یملک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شرطنا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شرائطه،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شروط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التعلیق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یأخذ ضریبة العشر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الشیخ</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نصفین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الخارج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کانت قیمته أقلّ من ذلک بطلت الوصیّة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إماء</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 نّه حرّ، و قال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 نّه رقّ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ورّاثه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فی الموضعین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بنینا،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یحتسب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للآیة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لتشوّق،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یسوق</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البشری و الملاذ</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السیّد المرتضی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فینعتق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نشترط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استظهر العلاّمة عنه المنع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 ابن الجنید یقتضی المنع</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ولاء المعتق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لصحیحی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 بعارض،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الوط‌ء العارض،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 لعارض</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ککونه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انفرد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لتقدّم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إدریس،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قول أبی ثور فی المغنی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التدبیر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تدبیراً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أکثر النسخ</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عدلان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بموت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لخروجه عن ملکه،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لخروج ملکه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الحجر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تنزیلها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أبوابالتدبیر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القاضی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القول بأنّ البیع یبطل التدبیر، و هو قول الحلّیّین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یأذن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فخر المحقّقین فی 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التلفّظ، و قال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اعتبار التلفّظ</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العجز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تملیکه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فضمن علی صاحبه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یختار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تأخیر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ینتظر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سنتان، و ما أثبتناه من المصدر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ابن الجنید، و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فصّل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لیست فیه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قول المفید بهذا التفصیل، و الموجود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التدبیر و المکاتبة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مات و له مال و ولد، ورثوا منه بحساب الحرّیّة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المکاتب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العبد المکاتب، و ترک مالاً و ولداً و ذا رحمٍ قریب أو بعید، کان لولده و قریبه من ترکته بحساب ما عتق منه، و الباقی لسیّده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بهذا التفصیل الشیخ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مکاتب المشروط علیه و خلّف ترکةً، فإن کان فیها وفاء لما علیه، وفی منها ما علیه و کان الباقی لورثته، و إن لم یکن فیها وفاء، کان ما خلّفه لمولاه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إجبار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للزمخشریّ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فینعتق</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کالبیع</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المرقوق</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یعتق</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کحکم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الرقبة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نجم وسطان کالقدر و الأجل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تقویم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لینتفی</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فیعتق</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قتله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القصاص و لیس للمولی منعه، و لم نعثر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له القصاص، و هو قول الشیخ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کما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لجماعة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بالتصرّف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لیتذکّر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فخر المحقّقین فی 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فیفسخ</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البرص</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تشبّهه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و به قال الشیخان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الجواز، و به قال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استقرّ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تمکّن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شرط</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وقفه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النسل،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انقراض النسل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الحبیس</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انقرض</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أرباع</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سنته و عن یومه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تسلیط</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سیشترطونه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الأُصول فی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للنوبختیّ</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علیه‌السّلام،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زید رحمه‌اللّه، و ما أثبتناه من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بقرابته إلی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و 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أربعین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و إن لم نعرف قائله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المنع مطلقاً،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تملّکه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التزویق</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بأهلیه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فساده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بشبهةٍ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أعمرتک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السکنی</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یأذن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بالضمّ مصدر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نَحَلْتُه من العطیّة، أنْحَلهُ نحلاً، و النُحلی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علی فُعلی</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فخر المحقّقین فی 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لقول النبیّ</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هدایا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للإخوان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الکبیر بهامش المغنی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بتفاوت یسیر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الدعوی</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تملّک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للموصی</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بما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الجنید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أسراء</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 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 الصید، و الماشیة، و الزرع، و الحائط</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الجِرْو، و الجُرْو، و الجَرْو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الکلب و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 مل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کالولد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بأشیاء</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فی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العتق،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قوله فی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بالموجود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باع الدابّة هل تبطل الوصیّة أو یعطی للبائع ؟ یحتمل قویّاً ملکه، و یحتمل رجوعه إلی الموصی، و کذا لو تلفت</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أثبتناه من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804</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یتخیّر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البعول</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زواج</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تصحّ للأجنبیّ</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الوصیّة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المهذّب، و الجواهر، و شرح جمل العلم، و لکن نقله العلاّمة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صغیر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الوصیّة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ثلثین،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ثلثی</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الروایة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و أ نّه هو الوصیّ و السائل عن هذه المسألة و عدّ الخبر فی الصحیح، و الموجود فی الکافی و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إنّما هو راوٍ عن عبدالرحمان بن سیابة، و به تکون الروایة موثّقة حیث عدّه فی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الثقات، إلاّ أنّ الشیخ فی الاستبصار رواه عن عبداللّه بن سنان، و لعلّه نقل عن الاستبصار و لم یراجع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الحدائق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الشهید فی الدروس قد تبع العلاّمة فی هذا المقام ؛ وثوقاً بکلامه فی المختلف و اعتماداً علی ما فی الاستبصار، و لم یراجع الکتابین الآخرین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الوصیّة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المبسوط و الخلاف علی ما یستفاد من بعض نسخ الدروس،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الحائریّة 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القاضی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الورّاث</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إفاقته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فتملک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مقوّماً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مختار الأکثر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یکفی</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القول مع أ نّه اُدّعی علیه الإجماع، قال فی 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اعلم أنّ اشتراطها عند الوفاة ثابت بالإجماع، و أمّا الخلاف ففی اشتراطها حال الوصیّة، و الحقّ عندی اشتراطها من حین الوفاة مدّة بقائها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لأحدهم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أنهاهما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دعا رجل ابنه إلی قبول وصیّته، فلیس له أن یأبی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المختلف</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القاضی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من أخبارنا أنّ له أُجرة المثل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یستعفف</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 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یشعر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شغل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الوصایة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تعدّدن</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أمثلة ثمانیة، و فی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فههنا أمثلة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یرث</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الأعمام و الأخوال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الولد،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للزوجات</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کلالة الأُمّ</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ثلث مع ثلثین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لسمیّه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القاعدة،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القاعدة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الجوامع الفقهیّة لابن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المورّث</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نصرانیّ</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الفقه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یتبدّلوا، 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یتکلّفوا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 و ما أشبهه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صرّح الفاضل بالتوارث</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 نّه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و ما أشبهه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فقد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کحکم،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کحکم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المغترق، و فی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المغرق</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یغترق</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لا فرق فی الموت بین کونه حتف الأنف أم بسبب، إلاّ أن یکون السبب الغرق و الهدم، فإنّ فیهما یتوارث الغرقی و المهدوم علیهم إذا کان بینهم نسب أو سبب</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لوارثه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بالتوارث</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فیشترط</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لأحدهم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یُفرض</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فیصیر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الوارث،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ورثته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نفرض</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لجدّه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ینتقل</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بالموت</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یرث</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بهذا اللفظ، و بهذا المضمون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کنزل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30453</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و ما أشبهه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إسناد</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یتحقّق</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البنات، و ما فی المتن مطابق للمصدر</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المورّث</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المجوسیّ</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لعیبها</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تخیّر،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یختر</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اشتبه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المتیقّنة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نقله عنه فی 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نعثر علیه فی السرائر</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منع</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و المهدوم علیهم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فاسد الرأی</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من شرط اختصاص الولد الأکبر بالحباء عند ابنی حمزة و إدریس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یکون</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مغترقاً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لیحبی بها،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لیتخیّر بها،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لیتخیّر</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غیر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للابنین</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الکلمة فی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ذکوراً و إناثاً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قول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 الأجداد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المقنع، و الموجود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ترک جدّاً من قبل الأب، و جدّاً من قبل الأُمّ، فللجدّ من قبل الأب الثلثان و للجدّ من قبل الأُمّ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قول ابن زهرة فی 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المتقدّمین، و فی المتأخّرین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 مل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الکلمة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مل و ح</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فیما إذا کان الوارث ابن العمّ للأبوین، و العمّ للأب خاصّة، فإنّه یمنع العمّ للأب و إن کان العمّ أقرب منه، و هی مسألة إجماعیّة منصوصة خرج بذلک عن حکم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یمنع الأبعد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الکلمة فی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 أن یکون لعمّ الأُمّ و عمّتها ثلثا الثلث بالسویّة، و ثلثه لخالها و خالتها بالسویّة فتصحّ من أربعة و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الاحتمال ذکره المحقّق الطوسیّ فی الرسالة المسمّاة بالطبقات</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بقرابته إلی فلان 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و 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و الإمامة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و الإمامة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الجریرة و الإمامة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المحکّی عنه فی کتاب الإعلام</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الجانب</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نسب و لکنّ الروایة التی تکون فی مورد امرأة ولدت و أولدت هی روایة محمّد بن قیس، لا روایة 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کیف یورّث</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و هو 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حَقْوٍ</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الکلینیّ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الکلینیّ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أبی عقیل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المجوس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المجوس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زَبَرَهُ زَبْراً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 نَهَرَهُ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المجوس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المجوسیّ</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المجوسیّ</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هذا الفرع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أولد ابنته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الصدوق هذه الفروع الثلاثة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استناد إلی الفضل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إقرار بعض الورثة بدین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خمسمائة،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المائة</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نصیب،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الفرضین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أکثر النسخ</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لصحیحة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کلیهما</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لیصدق</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للصید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مل و 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یجتزئ</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الجنید، 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البهیم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المُصْمَت الذی لم یخالط لونه لون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الأمر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المِعْراض، مثل المفتاح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لا ریش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الشیخ فی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الکراهة</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رسالة أبیه إلیه،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المصید</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بآلته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فی إیضاح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بعض الأصحاب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الشیخ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نعثر علیه فیه</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 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بعشیشه</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 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تعاقباه</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بالتذکیة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بمشارکة</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نصف</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 و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نفرض</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یفید،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یفقد،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مل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الإرشاد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فی 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نکت النهایة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کالفأر</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فی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فی أکثر النسخ</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القَصَب و القناة، و کلّ شیء کانت له صلابة و متانة، و القطعة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أبْیَضٌ 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الوَهْدَ و 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و المکان المنخفض، کأ نّه 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لبّة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نحره، قال الفارابیّ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ناصبیّاً</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یحلّل</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زهرة فی 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المعتدل</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الآیة</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عینه</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قائمته</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الحرکة و الضرب، و حدیث عبید بن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مَصَعَت بذنبها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حرّکته و ضربت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قوله هذا، و الموجود فی جامع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ذبح أو نحر فخرج الدم ینتحب أو تحرّک بعض أعضائه، حلّ، و إن لم یحصلا، لم یحلّ و إن خرج الدم متثاقلاً و لا حرکة، لم یحلّ</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زهرة فی الغنیة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فی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112178</Words>
  <Characters>408677</Characters>
  <CharactersWithSpaces>516001</CharactersWithSpaces>
  <Paragraphs>7877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2026-08-24T10:39:41Z</dcterms:created>
  <dc:creator>ghaemiyeh.com</dc:creator>
  <dc:description/>
  <dc:language>en-US</dc:language>
  <cp:lastModifiedBy/>
  <dcterms:modified xsi:type="dcterms:W3CDTF">2026-08-24T14:10:30Z</dcterms:modified>
  <cp:revision>1</cp:revision>
  <dc:subject/>
  <dc:title>الدروس الشرعیه فی فقه الامامیه جلد 2</dc:title>
</cp:coreProperties>
</file>

<file path=docProps/custom.xml><?xml version="1.0" encoding="utf-8"?>
<Properties xmlns="http://schemas.openxmlformats.org/officeDocument/2006/custom-properties" xmlns:vt="http://schemas.openxmlformats.org/officeDocument/2006/docPropsVTypes"/>
</file>