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78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4914_1934241801">
            <w:r>
              <w:rPr>
                <w:webHidden/>
                <w:rStyle w:val="IndexLink"/>
                <w:rtl w:val="true"/>
              </w:rPr>
              <w:t>مشخصات کتاب</w:t>
            </w:r>
            <w:r>
              <w:rPr>
                <w:rStyle w:val="IndexLink"/>
                <w:rtl w:val="true"/>
              </w:rPr>
              <w:tab/>
            </w:r>
            <w:r>
              <w:rPr>
                <w:rStyle w:val="IndexLink"/>
              </w:rPr>
              <w:t>39</w:t>
            </w:r>
          </w:hyperlink>
        </w:p>
        <w:p>
          <w:pPr>
            <w:pStyle w:val="Contents2"/>
            <w:tabs>
              <w:tab w:val="clear" w:pos="8743"/>
              <w:tab w:val="right" w:pos="9026" w:leader="dot"/>
            </w:tabs>
            <w:rPr/>
          </w:pPr>
          <w:hyperlink w:anchor="__RefHeading___Toc604916_1934241801">
            <w:r>
              <w:rPr>
                <w:webHidden/>
                <w:rStyle w:val="IndexLink"/>
                <w:rtl w:val="true"/>
              </w:rPr>
              <w:t xml:space="preserve">ترجمه بحارالانوار جلد </w:t>
            </w:r>
            <w:r>
              <w:rPr>
                <w:rStyle w:val="IndexLink"/>
              </w:rPr>
              <w:t>78</w:t>
            </w:r>
            <w:r>
              <w:rPr>
                <w:rStyle w:val="IndexLink"/>
                <w:rtl w:val="true"/>
              </w:rPr>
              <w:t xml:space="preserve">: </w:t>
            </w:r>
            <w:r>
              <w:rPr>
                <w:rStyle w:val="IndexLink"/>
                <w:rtl w:val="true"/>
              </w:rPr>
              <w:t xml:space="preserve">کتاب طهارت </w:t>
            </w:r>
            <w:r>
              <w:rPr>
                <w:rStyle w:val="IndexLink"/>
                <w:rtl w:val="true"/>
              </w:rPr>
              <w:t xml:space="preserve">- </w:t>
            </w:r>
            <w:r>
              <w:rPr>
                <w:rStyle w:val="IndexLink"/>
              </w:rPr>
              <w:t>2</w:t>
            </w:r>
            <w:r>
              <w:rPr>
                <w:rStyle w:val="IndexLink"/>
                <w:rtl w:val="true"/>
              </w:rPr>
              <w:tab/>
            </w:r>
            <w:r>
              <w:rPr>
                <w:rStyle w:val="IndexLink"/>
              </w:rPr>
              <w:t>40</w:t>
            </w:r>
          </w:hyperlink>
        </w:p>
        <w:p>
          <w:pPr>
            <w:pStyle w:val="Contents2"/>
            <w:tabs>
              <w:tab w:val="clear" w:pos="8743"/>
              <w:tab w:val="right" w:pos="9026" w:leader="dot"/>
            </w:tabs>
            <w:rPr/>
          </w:pPr>
          <w:hyperlink w:anchor="__RefHeading___Toc604918_1934241801">
            <w:r>
              <w:rPr>
                <w:webHidden/>
                <w:rStyle w:val="IndexLink"/>
                <w:rtl w:val="true"/>
              </w:rPr>
              <w:t xml:space="preserve">تتمة كتاب الطهارة </w:t>
            </w:r>
            <w:r>
              <w:rPr>
                <w:rStyle w:val="IndexLink"/>
                <w:rtl w:val="true"/>
              </w:rPr>
              <w:t xml:space="preserve">/ </w:t>
            </w:r>
            <w:r>
              <w:rPr>
                <w:rStyle w:val="IndexLink"/>
                <w:rtl w:val="true"/>
              </w:rPr>
              <w:t xml:space="preserve">کتاب طهارت </w:t>
            </w:r>
            <w:r>
              <w:rPr>
                <w:rStyle w:val="IndexLink"/>
                <w:rtl w:val="true"/>
              </w:rPr>
              <w:t xml:space="preserve">- </w:t>
            </w:r>
            <w:r>
              <w:rPr>
                <w:rStyle w:val="IndexLink"/>
              </w:rPr>
              <w:t>2</w:t>
            </w:r>
            <w:r>
              <w:rPr>
                <w:rStyle w:val="IndexLink"/>
                <w:rtl w:val="true"/>
              </w:rPr>
              <w:tab/>
            </w:r>
            <w:r>
              <w:rPr>
                <w:rStyle w:val="IndexLink"/>
              </w:rPr>
              <w:t>40</w:t>
            </w:r>
          </w:hyperlink>
        </w:p>
        <w:p>
          <w:pPr>
            <w:pStyle w:val="Contents2"/>
            <w:tabs>
              <w:tab w:val="clear" w:pos="8743"/>
              <w:tab w:val="right" w:pos="9026" w:leader="dot"/>
            </w:tabs>
            <w:rPr/>
          </w:pPr>
          <w:hyperlink w:anchor="__RefHeading___Toc604920_1934241801">
            <w:r>
              <w:rPr>
                <w:webHidden/>
                <w:rStyle w:val="IndexLink"/>
                <w:rtl w:val="true"/>
              </w:rPr>
              <w:t xml:space="preserve">أبواب الأغسال و أحكامها </w:t>
            </w:r>
            <w:r>
              <w:rPr>
                <w:rStyle w:val="IndexLink"/>
                <w:rtl w:val="true"/>
              </w:rPr>
              <w:t xml:space="preserve">/ </w:t>
            </w:r>
            <w:r>
              <w:rPr>
                <w:rStyle w:val="IndexLink"/>
                <w:rtl w:val="true"/>
              </w:rPr>
              <w:t>ابواب غسل و احکام آن</w:t>
            </w:r>
            <w:r>
              <w:rPr>
                <w:rStyle w:val="IndexLink"/>
                <w:rtl w:val="true"/>
              </w:rPr>
              <w:tab/>
            </w:r>
            <w:r>
              <w:rPr>
                <w:rStyle w:val="IndexLink"/>
              </w:rPr>
              <w:t>40</w:t>
            </w:r>
          </w:hyperlink>
        </w:p>
        <w:p>
          <w:pPr>
            <w:pStyle w:val="Contents3"/>
            <w:tabs>
              <w:tab w:val="clear" w:pos="8459"/>
              <w:tab w:val="right" w:pos="9026" w:leader="dot"/>
            </w:tabs>
            <w:rPr/>
          </w:pPr>
          <w:hyperlink w:anchor="__RefHeading___Toc604922_1934241801">
            <w:r>
              <w:rPr>
                <w:webHidden/>
                <w:rStyle w:val="IndexLink"/>
                <w:rtl w:val="true"/>
              </w:rPr>
              <w:t xml:space="preserve">باب </w:t>
            </w:r>
            <w:r>
              <w:rPr>
                <w:rStyle w:val="IndexLink"/>
              </w:rPr>
              <w:t>1</w:t>
            </w:r>
            <w:r>
              <w:rPr>
                <w:rStyle w:val="IndexLink"/>
                <w:rtl w:val="true"/>
              </w:rPr>
              <w:t xml:space="preserve"> </w:t>
            </w:r>
            <w:r>
              <w:rPr>
                <w:rStyle w:val="IndexLink"/>
                <w:rtl w:val="true"/>
              </w:rPr>
              <w:t>علل الأغسال و ثوابها و أقسامها و واجبها و مندوبها و جوامع أحكامها</w:t>
            </w:r>
            <w:r>
              <w:rPr>
                <w:rStyle w:val="IndexLink"/>
                <w:rtl w:val="true"/>
              </w:rPr>
              <w:tab/>
            </w:r>
            <w:r>
              <w:rPr>
                <w:rStyle w:val="IndexLink"/>
              </w:rPr>
              <w:t>40</w:t>
            </w:r>
          </w:hyperlink>
        </w:p>
        <w:p>
          <w:pPr>
            <w:pStyle w:val="Contents4"/>
            <w:tabs>
              <w:tab w:val="clear" w:pos="8176"/>
              <w:tab w:val="right" w:pos="9026" w:leader="dot"/>
            </w:tabs>
            <w:rPr/>
          </w:pPr>
          <w:hyperlink w:anchor="__RefHeading___Toc604924_1934241801">
            <w:r>
              <w:rPr>
                <w:webHidden/>
                <w:rStyle w:val="IndexLink"/>
                <w:rtl w:val="true"/>
              </w:rPr>
              <w:t>روايات</w:t>
            </w:r>
            <w:r>
              <w:rPr>
                <w:rStyle w:val="IndexLink"/>
                <w:rtl w:val="true"/>
              </w:rPr>
              <w:tab/>
            </w:r>
            <w:r>
              <w:rPr>
                <w:rStyle w:val="IndexLink"/>
              </w:rPr>
              <w:t>40</w:t>
            </w:r>
          </w:hyperlink>
        </w:p>
        <w:p>
          <w:pPr>
            <w:pStyle w:val="Contents5"/>
            <w:tabs>
              <w:tab w:val="clear" w:pos="7892"/>
              <w:tab w:val="right" w:pos="9026" w:leader="dot"/>
            </w:tabs>
            <w:rPr/>
          </w:pPr>
          <w:hyperlink w:anchor="__RefHeading___Toc604926_1934241801">
            <w:r>
              <w:rPr>
                <w:webHidden/>
                <w:rStyle w:val="IndexLink"/>
                <w:rtl w:val="true"/>
              </w:rPr>
              <w:t>«</w:t>
            </w:r>
            <w:r>
              <w:rPr>
                <w:rStyle w:val="IndexLink"/>
              </w:rPr>
              <w:t>1</w:t>
            </w:r>
            <w:r>
              <w:rPr>
                <w:rStyle w:val="IndexLink"/>
                <w:rtl w:val="true"/>
              </w:rPr>
              <w:t>»</w:t>
              <w:tab/>
            </w:r>
            <w:r>
              <w:rPr>
                <w:rStyle w:val="IndexLink"/>
              </w:rPr>
              <w:t>40</w:t>
            </w:r>
          </w:hyperlink>
        </w:p>
        <w:p>
          <w:pPr>
            <w:pStyle w:val="Contents3"/>
            <w:tabs>
              <w:tab w:val="clear" w:pos="8459"/>
              <w:tab w:val="right" w:pos="9026" w:leader="dot"/>
            </w:tabs>
            <w:rPr/>
          </w:pPr>
          <w:hyperlink w:anchor="__RefHeading___Toc604928_1934241801">
            <w:r>
              <w:rPr>
                <w:webHidden/>
                <w:rStyle w:val="IndexLink"/>
                <w:rtl w:val="true"/>
              </w:rPr>
              <w:t xml:space="preserve">باب اوّل </w:t>
            </w:r>
            <w:r>
              <w:rPr>
                <w:rStyle w:val="IndexLink"/>
                <w:rtl w:val="true"/>
              </w:rPr>
              <w:t xml:space="preserve">: </w:t>
            </w:r>
            <w:r>
              <w:rPr>
                <w:rStyle w:val="IndexLink"/>
                <w:rtl w:val="true"/>
              </w:rPr>
              <w:t>علل غسل ها، ثواب و اقسام آن ها، غسل های واجب و مستحبّ و مجموعه احکام مربوط به آن ها</w:t>
            </w:r>
            <w:r>
              <w:rPr>
                <w:rStyle w:val="IndexLink"/>
                <w:rtl w:val="true"/>
              </w:rPr>
              <w:tab/>
            </w:r>
            <w:r>
              <w:rPr>
                <w:rStyle w:val="IndexLink"/>
              </w:rPr>
              <w:t>41</w:t>
            </w:r>
          </w:hyperlink>
        </w:p>
        <w:p>
          <w:pPr>
            <w:pStyle w:val="Contents4"/>
            <w:tabs>
              <w:tab w:val="clear" w:pos="8176"/>
              <w:tab w:val="right" w:pos="9026" w:leader="dot"/>
            </w:tabs>
            <w:rPr/>
          </w:pPr>
          <w:hyperlink w:anchor="__RefHeading___Toc604930_1934241801">
            <w:r>
              <w:rPr>
                <w:webHidden/>
                <w:rStyle w:val="IndexLink"/>
                <w:rtl w:val="true"/>
              </w:rPr>
              <w:t>روایات</w:t>
            </w:r>
            <w:r>
              <w:rPr>
                <w:rStyle w:val="IndexLink"/>
                <w:rtl w:val="true"/>
              </w:rPr>
              <w:tab/>
            </w:r>
            <w:r>
              <w:rPr>
                <w:rStyle w:val="IndexLink"/>
              </w:rPr>
              <w:t>41</w:t>
            </w:r>
          </w:hyperlink>
        </w:p>
        <w:p>
          <w:pPr>
            <w:pStyle w:val="Contents5"/>
            <w:tabs>
              <w:tab w:val="clear" w:pos="7892"/>
              <w:tab w:val="right" w:pos="9026" w:leader="dot"/>
            </w:tabs>
            <w:rPr/>
          </w:pPr>
          <w:hyperlink w:anchor="__RefHeading___Toc604932_1934241801">
            <w:r>
              <w:rPr>
                <w:webHidden/>
                <w:rStyle w:val="IndexLink"/>
                <w:rtl w:val="true"/>
              </w:rPr>
              <w:t xml:space="preserve">روایت </w:t>
            </w:r>
            <w:r>
              <w:rPr>
                <w:rStyle w:val="IndexLink"/>
              </w:rPr>
              <w:t>1</w:t>
            </w:r>
            <w:r>
              <w:rPr>
                <w:rStyle w:val="IndexLink"/>
                <w:rtl w:val="true"/>
              </w:rPr>
              <w:tab/>
            </w:r>
            <w:r>
              <w:rPr>
                <w:rStyle w:val="IndexLink"/>
              </w:rPr>
              <w:t>41</w:t>
            </w:r>
          </w:hyperlink>
        </w:p>
        <w:p>
          <w:pPr>
            <w:pStyle w:val="Contents5"/>
            <w:tabs>
              <w:tab w:val="clear" w:pos="7892"/>
              <w:tab w:val="right" w:pos="9026" w:leader="dot"/>
            </w:tabs>
            <w:rPr/>
          </w:pPr>
          <w:hyperlink w:anchor="__RefHeading___Toc604934_1934241801">
            <w:r>
              <w:rPr>
                <w:webHidden/>
                <w:rStyle w:val="IndexLink"/>
                <w:rtl w:val="true"/>
              </w:rPr>
              <w:t>بيان</w:t>
            </w:r>
            <w:r>
              <w:rPr>
                <w:rStyle w:val="IndexLink"/>
                <w:rtl w:val="true"/>
              </w:rPr>
              <w:tab/>
            </w:r>
            <w:r>
              <w:rPr>
                <w:rStyle w:val="IndexLink"/>
              </w:rPr>
              <w:t>42</w:t>
            </w:r>
          </w:hyperlink>
        </w:p>
        <w:p>
          <w:pPr>
            <w:pStyle w:val="Contents5"/>
            <w:tabs>
              <w:tab w:val="clear" w:pos="7892"/>
              <w:tab w:val="right" w:pos="9026" w:leader="dot"/>
            </w:tabs>
            <w:rPr/>
          </w:pPr>
          <w:hyperlink w:anchor="__RefHeading___Toc604936_1934241801">
            <w:r>
              <w:rPr>
                <w:webHidden/>
                <w:rStyle w:val="IndexLink"/>
                <w:rtl w:val="true"/>
              </w:rPr>
              <w:t>«</w:t>
            </w:r>
            <w:r>
              <w:rPr>
                <w:rStyle w:val="IndexLink"/>
              </w:rPr>
              <w:t>2</w:t>
            </w:r>
            <w:r>
              <w:rPr>
                <w:rStyle w:val="IndexLink"/>
                <w:rtl w:val="true"/>
              </w:rPr>
              <w:t>»</w:t>
              <w:tab/>
            </w:r>
            <w:r>
              <w:rPr>
                <w:rStyle w:val="IndexLink"/>
              </w:rPr>
              <w:t>42</w:t>
            </w:r>
          </w:hyperlink>
        </w:p>
        <w:p>
          <w:pPr>
            <w:pStyle w:val="Contents5"/>
            <w:tabs>
              <w:tab w:val="clear" w:pos="7892"/>
              <w:tab w:val="right" w:pos="9026" w:leader="dot"/>
            </w:tabs>
            <w:rPr/>
          </w:pPr>
          <w:hyperlink w:anchor="__RefHeading___Toc604938_1934241801">
            <w:r>
              <w:rPr>
                <w:webHidden/>
                <w:rStyle w:val="IndexLink"/>
                <w:rtl w:val="true"/>
              </w:rPr>
              <w:t>بيان</w:t>
            </w:r>
            <w:r>
              <w:rPr>
                <w:rStyle w:val="IndexLink"/>
                <w:rtl w:val="true"/>
              </w:rPr>
              <w:tab/>
            </w:r>
            <w:r>
              <w:rPr>
                <w:rStyle w:val="IndexLink"/>
              </w:rPr>
              <w:t>42</w:t>
            </w:r>
          </w:hyperlink>
        </w:p>
        <w:p>
          <w:pPr>
            <w:pStyle w:val="Contents5"/>
            <w:tabs>
              <w:tab w:val="clear" w:pos="7892"/>
              <w:tab w:val="right" w:pos="9026" w:leader="dot"/>
            </w:tabs>
            <w:rPr/>
          </w:pPr>
          <w:hyperlink w:anchor="__RefHeading___Toc604940_1934241801">
            <w:r>
              <w:rPr>
                <w:webHidden/>
                <w:rStyle w:val="IndexLink"/>
                <w:rtl w:val="true"/>
              </w:rPr>
              <w:t>توضیح</w:t>
            </w:r>
            <w:r>
              <w:rPr>
                <w:rStyle w:val="IndexLink"/>
                <w:rtl w:val="true"/>
              </w:rPr>
              <w:tab/>
            </w:r>
            <w:r>
              <w:rPr>
                <w:rStyle w:val="IndexLink"/>
              </w:rPr>
              <w:t>42</w:t>
            </w:r>
          </w:hyperlink>
        </w:p>
        <w:p>
          <w:pPr>
            <w:pStyle w:val="Contents5"/>
            <w:tabs>
              <w:tab w:val="clear" w:pos="7892"/>
              <w:tab w:val="right" w:pos="9026" w:leader="dot"/>
            </w:tabs>
            <w:rPr/>
          </w:pPr>
          <w:hyperlink w:anchor="__RefHeading___Toc604942_1934241801">
            <w:r>
              <w:rPr>
                <w:webHidden/>
                <w:rStyle w:val="IndexLink"/>
                <w:rtl w:val="true"/>
              </w:rPr>
              <w:t xml:space="preserve">روایت </w:t>
            </w:r>
            <w:r>
              <w:rPr>
                <w:rStyle w:val="IndexLink"/>
              </w:rPr>
              <w:t>2</w:t>
            </w:r>
            <w:r>
              <w:rPr>
                <w:rStyle w:val="IndexLink"/>
                <w:rtl w:val="true"/>
              </w:rPr>
              <w:tab/>
            </w:r>
            <w:r>
              <w:rPr>
                <w:rStyle w:val="IndexLink"/>
              </w:rPr>
              <w:t>43</w:t>
            </w:r>
          </w:hyperlink>
        </w:p>
        <w:p>
          <w:pPr>
            <w:pStyle w:val="Contents5"/>
            <w:tabs>
              <w:tab w:val="clear" w:pos="7892"/>
              <w:tab w:val="right" w:pos="9026" w:leader="dot"/>
            </w:tabs>
            <w:rPr/>
          </w:pPr>
          <w:hyperlink w:anchor="__RefHeading___Toc604944_1934241801">
            <w:r>
              <w:rPr>
                <w:webHidden/>
                <w:rStyle w:val="IndexLink"/>
                <w:rtl w:val="true"/>
              </w:rPr>
              <w:t>توضیح</w:t>
            </w:r>
            <w:r>
              <w:rPr>
                <w:rStyle w:val="IndexLink"/>
                <w:rtl w:val="true"/>
              </w:rPr>
              <w:tab/>
            </w:r>
            <w:r>
              <w:rPr>
                <w:rStyle w:val="IndexLink"/>
              </w:rPr>
              <w:t>43</w:t>
            </w:r>
          </w:hyperlink>
        </w:p>
        <w:p>
          <w:pPr>
            <w:pStyle w:val="Contents5"/>
            <w:tabs>
              <w:tab w:val="clear" w:pos="7892"/>
              <w:tab w:val="right" w:pos="9026" w:leader="dot"/>
            </w:tabs>
            <w:rPr/>
          </w:pPr>
          <w:hyperlink w:anchor="__RefHeading___Toc604946_1934241801">
            <w:r>
              <w:rPr>
                <w:webHidden/>
                <w:rStyle w:val="IndexLink"/>
                <w:rtl w:val="true"/>
              </w:rPr>
              <w:t>«</w:t>
            </w:r>
            <w:r>
              <w:rPr>
                <w:rStyle w:val="IndexLink"/>
              </w:rPr>
              <w:t>3</w:t>
            </w:r>
            <w:r>
              <w:rPr>
                <w:rStyle w:val="IndexLink"/>
                <w:rtl w:val="true"/>
              </w:rPr>
              <w:t>»</w:t>
              <w:tab/>
            </w:r>
            <w:r>
              <w:rPr>
                <w:rStyle w:val="IndexLink"/>
              </w:rPr>
              <w:t>44</w:t>
            </w:r>
          </w:hyperlink>
        </w:p>
        <w:p>
          <w:pPr>
            <w:pStyle w:val="Contents5"/>
            <w:tabs>
              <w:tab w:val="clear" w:pos="7892"/>
              <w:tab w:val="right" w:pos="9026" w:leader="dot"/>
            </w:tabs>
            <w:rPr/>
          </w:pPr>
          <w:hyperlink w:anchor="__RefHeading___Toc604948_1934241801">
            <w:r>
              <w:rPr>
                <w:webHidden/>
                <w:rStyle w:val="IndexLink"/>
                <w:rtl w:val="true"/>
              </w:rPr>
              <w:t>بيان</w:t>
            </w:r>
            <w:r>
              <w:rPr>
                <w:rStyle w:val="IndexLink"/>
                <w:rtl w:val="true"/>
              </w:rPr>
              <w:tab/>
            </w:r>
            <w:r>
              <w:rPr>
                <w:rStyle w:val="IndexLink"/>
              </w:rPr>
              <w:t>44</w:t>
            </w:r>
          </w:hyperlink>
        </w:p>
        <w:p>
          <w:pPr>
            <w:pStyle w:val="Contents5"/>
            <w:tabs>
              <w:tab w:val="clear" w:pos="7892"/>
              <w:tab w:val="right" w:pos="9026" w:leader="dot"/>
            </w:tabs>
            <w:rPr/>
          </w:pPr>
          <w:hyperlink w:anchor="__RefHeading___Toc604950_1934241801">
            <w:r>
              <w:rPr>
                <w:webHidden/>
                <w:rStyle w:val="IndexLink"/>
                <w:rtl w:val="true"/>
              </w:rPr>
              <w:t xml:space="preserve">روایت </w:t>
            </w:r>
            <w:r>
              <w:rPr>
                <w:rStyle w:val="IndexLink"/>
              </w:rPr>
              <w:t>3</w:t>
            </w:r>
            <w:r>
              <w:rPr>
                <w:rStyle w:val="IndexLink"/>
                <w:rtl w:val="true"/>
              </w:rPr>
              <w:tab/>
            </w:r>
            <w:r>
              <w:rPr>
                <w:rStyle w:val="IndexLink"/>
              </w:rPr>
              <w:t>44</w:t>
            </w:r>
          </w:hyperlink>
        </w:p>
        <w:p>
          <w:pPr>
            <w:pStyle w:val="Contents5"/>
            <w:tabs>
              <w:tab w:val="clear" w:pos="7892"/>
              <w:tab w:val="right" w:pos="9026" w:leader="dot"/>
            </w:tabs>
            <w:rPr/>
          </w:pPr>
          <w:hyperlink w:anchor="__RefHeading___Toc604952_1934241801">
            <w:r>
              <w:rPr>
                <w:webHidden/>
                <w:rStyle w:val="IndexLink"/>
                <w:rtl w:val="true"/>
              </w:rPr>
              <w:t>توضیح</w:t>
            </w:r>
            <w:r>
              <w:rPr>
                <w:rStyle w:val="IndexLink"/>
                <w:rtl w:val="true"/>
              </w:rPr>
              <w:tab/>
            </w:r>
            <w:r>
              <w:rPr>
                <w:rStyle w:val="IndexLink"/>
              </w:rPr>
              <w:t>45</w:t>
            </w:r>
          </w:hyperlink>
        </w:p>
        <w:p>
          <w:pPr>
            <w:pStyle w:val="Contents5"/>
            <w:tabs>
              <w:tab w:val="clear" w:pos="7892"/>
              <w:tab w:val="right" w:pos="9026" w:leader="dot"/>
            </w:tabs>
            <w:rPr/>
          </w:pPr>
          <w:hyperlink w:anchor="__RefHeading___Toc604954_1934241801">
            <w:r>
              <w:rPr>
                <w:webHidden/>
                <w:rStyle w:val="IndexLink"/>
                <w:rtl w:val="true"/>
              </w:rPr>
              <w:t>«</w:t>
            </w:r>
            <w:r>
              <w:rPr>
                <w:rStyle w:val="IndexLink"/>
              </w:rPr>
              <w:t>4</w:t>
            </w:r>
            <w:r>
              <w:rPr>
                <w:rStyle w:val="IndexLink"/>
                <w:rtl w:val="true"/>
              </w:rPr>
              <w:t>»</w:t>
              <w:tab/>
            </w:r>
            <w:r>
              <w:rPr>
                <w:rStyle w:val="IndexLink"/>
              </w:rPr>
              <w:t>46</w:t>
            </w:r>
          </w:hyperlink>
        </w:p>
        <w:p>
          <w:pPr>
            <w:pStyle w:val="Contents5"/>
            <w:tabs>
              <w:tab w:val="clear" w:pos="7892"/>
              <w:tab w:val="right" w:pos="9026" w:leader="dot"/>
            </w:tabs>
            <w:rPr/>
          </w:pPr>
          <w:hyperlink w:anchor="__RefHeading___Toc604956_1934241801">
            <w:r>
              <w:rPr>
                <w:webHidden/>
                <w:rStyle w:val="IndexLink"/>
                <w:rtl w:val="true"/>
              </w:rPr>
              <w:t>بيان</w:t>
            </w:r>
            <w:r>
              <w:rPr>
                <w:rStyle w:val="IndexLink"/>
                <w:rtl w:val="true"/>
              </w:rPr>
              <w:tab/>
            </w:r>
            <w:r>
              <w:rPr>
                <w:rStyle w:val="IndexLink"/>
              </w:rPr>
              <w:t>46</w:t>
            </w:r>
          </w:hyperlink>
        </w:p>
        <w:p>
          <w:pPr>
            <w:pStyle w:val="Contents5"/>
            <w:tabs>
              <w:tab w:val="clear" w:pos="7892"/>
              <w:tab w:val="right" w:pos="9026" w:leader="dot"/>
            </w:tabs>
            <w:rPr/>
          </w:pPr>
          <w:hyperlink w:anchor="__RefHeading___Toc604958_1934241801">
            <w:r>
              <w:rPr>
                <w:webHidden/>
                <w:rStyle w:val="IndexLink"/>
                <w:rtl w:val="true"/>
              </w:rPr>
              <w:t xml:space="preserve">روایت </w:t>
            </w:r>
            <w:r>
              <w:rPr>
                <w:rStyle w:val="IndexLink"/>
              </w:rPr>
              <w:t>4</w:t>
            </w:r>
            <w:r>
              <w:rPr>
                <w:rStyle w:val="IndexLink"/>
                <w:rtl w:val="true"/>
              </w:rPr>
              <w:tab/>
            </w:r>
            <w:r>
              <w:rPr>
                <w:rStyle w:val="IndexLink"/>
              </w:rPr>
              <w:t>46</w:t>
            </w:r>
          </w:hyperlink>
        </w:p>
        <w:p>
          <w:pPr>
            <w:pStyle w:val="Contents5"/>
            <w:tabs>
              <w:tab w:val="clear" w:pos="7892"/>
              <w:tab w:val="right" w:pos="9026" w:leader="dot"/>
            </w:tabs>
            <w:rPr/>
          </w:pPr>
          <w:hyperlink w:anchor="__RefHeading___Toc604960_1934241801">
            <w:r>
              <w:rPr>
                <w:webHidden/>
                <w:rStyle w:val="IndexLink"/>
                <w:rtl w:val="true"/>
              </w:rPr>
              <w:t>توضیح</w:t>
            </w:r>
            <w:r>
              <w:rPr>
                <w:rStyle w:val="IndexLink"/>
                <w:rtl w:val="true"/>
              </w:rPr>
              <w:tab/>
            </w:r>
            <w:r>
              <w:rPr>
                <w:rStyle w:val="IndexLink"/>
              </w:rPr>
              <w:t>47</w:t>
            </w:r>
          </w:hyperlink>
        </w:p>
        <w:p>
          <w:pPr>
            <w:pStyle w:val="Contents5"/>
            <w:tabs>
              <w:tab w:val="clear" w:pos="7892"/>
              <w:tab w:val="right" w:pos="9026" w:leader="dot"/>
            </w:tabs>
            <w:rPr/>
          </w:pPr>
          <w:hyperlink w:anchor="__RefHeading___Toc604962_1934241801">
            <w:r>
              <w:rPr>
                <w:webHidden/>
                <w:rStyle w:val="IndexLink"/>
                <w:rtl w:val="true"/>
              </w:rPr>
              <w:t>«</w:t>
            </w:r>
            <w:r>
              <w:rPr>
                <w:rStyle w:val="IndexLink"/>
              </w:rPr>
              <w:t>5</w:t>
            </w:r>
            <w:r>
              <w:rPr>
                <w:rStyle w:val="IndexLink"/>
                <w:rtl w:val="true"/>
              </w:rPr>
              <w:t>»</w:t>
              <w:tab/>
            </w:r>
            <w:r>
              <w:rPr>
                <w:rStyle w:val="IndexLink"/>
              </w:rPr>
              <w:t>48</w:t>
            </w:r>
          </w:hyperlink>
        </w:p>
        <w:p>
          <w:pPr>
            <w:pStyle w:val="Contents5"/>
            <w:tabs>
              <w:tab w:val="clear" w:pos="7892"/>
              <w:tab w:val="right" w:pos="9026" w:leader="dot"/>
            </w:tabs>
            <w:rPr/>
          </w:pPr>
          <w:hyperlink w:anchor="__RefHeading___Toc604964_1934241801">
            <w:r>
              <w:rPr>
                <w:webHidden/>
                <w:rStyle w:val="IndexLink"/>
                <w:rtl w:val="true"/>
              </w:rPr>
              <w:t>بيان</w:t>
            </w:r>
            <w:r>
              <w:rPr>
                <w:rStyle w:val="IndexLink"/>
                <w:rtl w:val="true"/>
              </w:rPr>
              <w:tab/>
            </w:r>
            <w:r>
              <w:rPr>
                <w:rStyle w:val="IndexLink"/>
              </w:rPr>
              <w:t>48</w:t>
            </w:r>
          </w:hyperlink>
        </w:p>
        <w:p>
          <w:pPr>
            <w:pStyle w:val="Contents5"/>
            <w:tabs>
              <w:tab w:val="clear" w:pos="7892"/>
              <w:tab w:val="right" w:pos="9026" w:leader="dot"/>
            </w:tabs>
            <w:rPr/>
          </w:pPr>
          <w:hyperlink w:anchor="__RefHeading___Toc604966_1934241801">
            <w:r>
              <w:rPr>
                <w:webHidden/>
                <w:rStyle w:val="IndexLink"/>
                <w:rtl w:val="true"/>
              </w:rPr>
              <w:t>«</w:t>
            </w:r>
            <w:r>
              <w:rPr>
                <w:rStyle w:val="IndexLink"/>
              </w:rPr>
              <w:t>6</w:t>
            </w:r>
            <w:r>
              <w:rPr>
                <w:rStyle w:val="IndexLink"/>
                <w:rtl w:val="true"/>
              </w:rPr>
              <w:t>»</w:t>
              <w:tab/>
            </w:r>
            <w:r>
              <w:rPr>
                <w:rStyle w:val="IndexLink"/>
              </w:rPr>
              <w:t>48</w:t>
            </w:r>
          </w:hyperlink>
        </w:p>
        <w:p>
          <w:pPr>
            <w:pStyle w:val="Contents5"/>
            <w:tabs>
              <w:tab w:val="clear" w:pos="7892"/>
              <w:tab w:val="right" w:pos="9026" w:leader="dot"/>
            </w:tabs>
            <w:rPr/>
          </w:pPr>
          <w:hyperlink w:anchor="__RefHeading___Toc604968_1934241801">
            <w:r>
              <w:rPr>
                <w:webHidden/>
                <w:rStyle w:val="IndexLink"/>
                <w:rtl w:val="true"/>
              </w:rPr>
              <w:t xml:space="preserve">روایت </w:t>
            </w:r>
            <w:r>
              <w:rPr>
                <w:rStyle w:val="IndexLink"/>
              </w:rPr>
              <w:t>5</w:t>
            </w:r>
            <w:r>
              <w:rPr>
                <w:rStyle w:val="IndexLink"/>
                <w:rtl w:val="true"/>
              </w:rPr>
              <w:tab/>
            </w:r>
            <w:r>
              <w:rPr>
                <w:rStyle w:val="IndexLink"/>
              </w:rPr>
              <w:t>48</w:t>
            </w:r>
          </w:hyperlink>
        </w:p>
        <w:p>
          <w:pPr>
            <w:pStyle w:val="Contents5"/>
            <w:tabs>
              <w:tab w:val="clear" w:pos="7892"/>
              <w:tab w:val="right" w:pos="9026" w:leader="dot"/>
            </w:tabs>
            <w:rPr/>
          </w:pPr>
          <w:hyperlink w:anchor="__RefHeading___Toc604970_1934241801">
            <w:r>
              <w:rPr>
                <w:webHidden/>
                <w:rStyle w:val="IndexLink"/>
                <w:rtl w:val="true"/>
              </w:rPr>
              <w:t>توضیح</w:t>
            </w:r>
            <w:r>
              <w:rPr>
                <w:rStyle w:val="IndexLink"/>
                <w:rtl w:val="true"/>
              </w:rPr>
              <w:tab/>
            </w:r>
            <w:r>
              <w:rPr>
                <w:rStyle w:val="IndexLink"/>
              </w:rPr>
              <w:t>48</w:t>
            </w:r>
          </w:hyperlink>
        </w:p>
        <w:p>
          <w:pPr>
            <w:pStyle w:val="Contents5"/>
            <w:tabs>
              <w:tab w:val="clear" w:pos="7892"/>
              <w:tab w:val="right" w:pos="9026" w:leader="dot"/>
            </w:tabs>
            <w:rPr/>
          </w:pPr>
          <w:hyperlink w:anchor="__RefHeading___Toc604972_1934241801">
            <w:r>
              <w:rPr>
                <w:webHidden/>
                <w:rStyle w:val="IndexLink"/>
                <w:rtl w:val="true"/>
              </w:rPr>
              <w:t xml:space="preserve">روایت </w:t>
            </w:r>
            <w:r>
              <w:rPr>
                <w:rStyle w:val="IndexLink"/>
              </w:rPr>
              <w:t>6</w:t>
            </w:r>
            <w:r>
              <w:rPr>
                <w:rStyle w:val="IndexLink"/>
                <w:rtl w:val="true"/>
              </w:rPr>
              <w:tab/>
            </w:r>
            <w:r>
              <w:rPr>
                <w:rStyle w:val="IndexLink"/>
              </w:rPr>
              <w:t>49</w:t>
            </w:r>
          </w:hyperlink>
        </w:p>
        <w:p>
          <w:pPr>
            <w:pStyle w:val="Contents5"/>
            <w:tabs>
              <w:tab w:val="clear" w:pos="7892"/>
              <w:tab w:val="right" w:pos="9026" w:leader="dot"/>
            </w:tabs>
            <w:rPr/>
          </w:pPr>
          <w:hyperlink w:anchor="__RefHeading___Toc604974_1934241801">
            <w:r>
              <w:rPr>
                <w:webHidden/>
                <w:rStyle w:val="IndexLink"/>
                <w:rtl w:val="true"/>
              </w:rPr>
              <w:t>توضيح</w:t>
            </w:r>
            <w:r>
              <w:rPr>
                <w:rStyle w:val="IndexLink"/>
                <w:rtl w:val="true"/>
              </w:rPr>
              <w:tab/>
            </w:r>
            <w:r>
              <w:rPr>
                <w:rStyle w:val="IndexLink"/>
              </w:rPr>
              <w:t>50</w:t>
            </w:r>
          </w:hyperlink>
        </w:p>
        <w:p>
          <w:pPr>
            <w:pStyle w:val="Contents5"/>
            <w:tabs>
              <w:tab w:val="clear" w:pos="7892"/>
              <w:tab w:val="right" w:pos="9026" w:leader="dot"/>
            </w:tabs>
            <w:rPr/>
          </w:pPr>
          <w:hyperlink w:anchor="__RefHeading___Toc604976_1934241801">
            <w:r>
              <w:rPr>
                <w:webHidden/>
                <w:rStyle w:val="IndexLink"/>
                <w:rtl w:val="true"/>
              </w:rPr>
              <w:t>توضیح</w:t>
            </w:r>
            <w:r>
              <w:rPr>
                <w:rStyle w:val="IndexLink"/>
                <w:rtl w:val="true"/>
              </w:rPr>
              <w:tab/>
            </w:r>
            <w:r>
              <w:rPr>
                <w:rStyle w:val="IndexLink"/>
              </w:rPr>
              <w:t>50</w:t>
            </w:r>
          </w:hyperlink>
        </w:p>
        <w:p>
          <w:pPr>
            <w:pStyle w:val="Contents5"/>
            <w:tabs>
              <w:tab w:val="clear" w:pos="7892"/>
              <w:tab w:val="right" w:pos="9026" w:leader="dot"/>
            </w:tabs>
            <w:rPr/>
          </w:pPr>
          <w:hyperlink w:anchor="__RefHeading___Toc604978_1934241801">
            <w:r>
              <w:rPr>
                <w:webHidden/>
                <w:rStyle w:val="IndexLink"/>
                <w:rtl w:val="true"/>
              </w:rPr>
              <w:t>«</w:t>
            </w:r>
            <w:r>
              <w:rPr>
                <w:rStyle w:val="IndexLink"/>
              </w:rPr>
              <w:t>7</w:t>
            </w:r>
            <w:r>
              <w:rPr>
                <w:rStyle w:val="IndexLink"/>
                <w:rtl w:val="true"/>
              </w:rPr>
              <w:t>»</w:t>
              <w:tab/>
            </w:r>
            <w:r>
              <w:rPr>
                <w:rStyle w:val="IndexLink"/>
              </w:rPr>
              <w:t>52</w:t>
            </w:r>
          </w:hyperlink>
        </w:p>
        <w:p>
          <w:pPr>
            <w:pStyle w:val="Contents5"/>
            <w:tabs>
              <w:tab w:val="clear" w:pos="7892"/>
              <w:tab w:val="right" w:pos="9026" w:leader="dot"/>
            </w:tabs>
            <w:rPr/>
          </w:pPr>
          <w:hyperlink w:anchor="__RefHeading___Toc604980_1934241801">
            <w:r>
              <w:rPr>
                <w:webHidden/>
                <w:rStyle w:val="IndexLink"/>
                <w:rtl w:val="true"/>
              </w:rPr>
              <w:t>«</w:t>
            </w:r>
            <w:r>
              <w:rPr>
                <w:rStyle w:val="IndexLink"/>
              </w:rPr>
              <w:t>8</w:t>
            </w:r>
            <w:r>
              <w:rPr>
                <w:rStyle w:val="IndexLink"/>
                <w:rtl w:val="true"/>
              </w:rPr>
              <w:t>»</w:t>
              <w:tab/>
            </w:r>
            <w:r>
              <w:rPr>
                <w:rStyle w:val="IndexLink"/>
              </w:rPr>
              <w:t>52</w:t>
            </w:r>
          </w:hyperlink>
        </w:p>
        <w:p>
          <w:pPr>
            <w:pStyle w:val="Contents5"/>
            <w:tabs>
              <w:tab w:val="clear" w:pos="7892"/>
              <w:tab w:val="right" w:pos="9026" w:leader="dot"/>
            </w:tabs>
            <w:rPr/>
          </w:pPr>
          <w:hyperlink w:anchor="__RefHeading___Toc604982_1934241801">
            <w:r>
              <w:rPr>
                <w:webHidden/>
                <w:rStyle w:val="IndexLink"/>
                <w:rtl w:val="true"/>
              </w:rPr>
              <w:t xml:space="preserve">روایت </w:t>
            </w:r>
            <w:r>
              <w:rPr>
                <w:rStyle w:val="IndexLink"/>
              </w:rPr>
              <w:t>7</w:t>
            </w:r>
            <w:r>
              <w:rPr>
                <w:rStyle w:val="IndexLink"/>
                <w:rtl w:val="true"/>
              </w:rPr>
              <w:tab/>
            </w:r>
            <w:r>
              <w:rPr>
                <w:rStyle w:val="IndexLink"/>
              </w:rPr>
              <w:t>53</w:t>
            </w:r>
          </w:hyperlink>
        </w:p>
        <w:p>
          <w:pPr>
            <w:pStyle w:val="Contents5"/>
            <w:tabs>
              <w:tab w:val="clear" w:pos="7892"/>
              <w:tab w:val="right" w:pos="9026" w:leader="dot"/>
            </w:tabs>
            <w:rPr/>
          </w:pPr>
          <w:hyperlink w:anchor="__RefHeading___Toc604984_1934241801">
            <w:r>
              <w:rPr>
                <w:webHidden/>
                <w:rStyle w:val="IndexLink"/>
                <w:rtl w:val="true"/>
              </w:rPr>
              <w:t xml:space="preserve">روایت </w:t>
            </w:r>
            <w:r>
              <w:rPr>
                <w:rStyle w:val="IndexLink"/>
              </w:rPr>
              <w:t>8</w:t>
            </w:r>
            <w:r>
              <w:rPr>
                <w:rStyle w:val="IndexLink"/>
                <w:rtl w:val="true"/>
              </w:rPr>
              <w:tab/>
            </w:r>
            <w:r>
              <w:rPr>
                <w:rStyle w:val="IndexLink"/>
              </w:rPr>
              <w:t>53</w:t>
            </w:r>
          </w:hyperlink>
        </w:p>
        <w:p>
          <w:pPr>
            <w:pStyle w:val="Contents5"/>
            <w:tabs>
              <w:tab w:val="clear" w:pos="7892"/>
              <w:tab w:val="right" w:pos="9026" w:leader="dot"/>
            </w:tabs>
            <w:rPr/>
          </w:pPr>
          <w:hyperlink w:anchor="__RefHeading___Toc604986_1934241801">
            <w:r>
              <w:rPr>
                <w:webHidden/>
                <w:rStyle w:val="IndexLink"/>
                <w:rtl w:val="true"/>
              </w:rPr>
              <w:t>بيان</w:t>
            </w:r>
            <w:r>
              <w:rPr>
                <w:rStyle w:val="IndexLink"/>
                <w:rtl w:val="true"/>
              </w:rPr>
              <w:tab/>
            </w:r>
            <w:r>
              <w:rPr>
                <w:rStyle w:val="IndexLink"/>
              </w:rPr>
              <w:t>54</w:t>
            </w:r>
          </w:hyperlink>
        </w:p>
        <w:p>
          <w:pPr>
            <w:pStyle w:val="Contents5"/>
            <w:tabs>
              <w:tab w:val="clear" w:pos="7892"/>
              <w:tab w:val="right" w:pos="9026" w:leader="dot"/>
            </w:tabs>
            <w:rPr/>
          </w:pPr>
          <w:hyperlink w:anchor="__RefHeading___Toc604988_1934241801">
            <w:r>
              <w:rPr>
                <w:webHidden/>
                <w:rStyle w:val="IndexLink"/>
                <w:rtl w:val="true"/>
              </w:rPr>
              <w:t>«</w:t>
            </w:r>
            <w:r>
              <w:rPr>
                <w:rStyle w:val="IndexLink"/>
              </w:rPr>
              <w:t>9</w:t>
            </w:r>
            <w:r>
              <w:rPr>
                <w:rStyle w:val="IndexLink"/>
                <w:rtl w:val="true"/>
              </w:rPr>
              <w:t>»</w:t>
              <w:tab/>
            </w:r>
            <w:r>
              <w:rPr>
                <w:rStyle w:val="IndexLink"/>
              </w:rPr>
              <w:t>54</w:t>
            </w:r>
          </w:hyperlink>
        </w:p>
        <w:p>
          <w:pPr>
            <w:pStyle w:val="Contents5"/>
            <w:tabs>
              <w:tab w:val="clear" w:pos="7892"/>
              <w:tab w:val="right" w:pos="9026" w:leader="dot"/>
            </w:tabs>
            <w:rPr/>
          </w:pPr>
          <w:hyperlink w:anchor="__RefHeading___Toc604990_1934241801">
            <w:r>
              <w:rPr>
                <w:webHidden/>
                <w:rStyle w:val="IndexLink"/>
                <w:rtl w:val="true"/>
              </w:rPr>
              <w:t>توضیح</w:t>
            </w:r>
            <w:r>
              <w:rPr>
                <w:rStyle w:val="IndexLink"/>
                <w:rtl w:val="true"/>
              </w:rPr>
              <w:tab/>
            </w:r>
            <w:r>
              <w:rPr>
                <w:rStyle w:val="IndexLink"/>
              </w:rPr>
              <w:t>55</w:t>
            </w:r>
          </w:hyperlink>
        </w:p>
        <w:p>
          <w:pPr>
            <w:pStyle w:val="Contents5"/>
            <w:tabs>
              <w:tab w:val="clear" w:pos="7892"/>
              <w:tab w:val="right" w:pos="9026" w:leader="dot"/>
            </w:tabs>
            <w:rPr/>
          </w:pPr>
          <w:hyperlink w:anchor="__RefHeading___Toc604992_1934241801">
            <w:r>
              <w:rPr>
                <w:webHidden/>
                <w:rStyle w:val="IndexLink"/>
                <w:rtl w:val="true"/>
              </w:rPr>
              <w:t xml:space="preserve">روایت </w:t>
            </w:r>
            <w:r>
              <w:rPr>
                <w:rStyle w:val="IndexLink"/>
              </w:rPr>
              <w:t>9</w:t>
            </w:r>
            <w:r>
              <w:rPr>
                <w:rStyle w:val="IndexLink"/>
                <w:rtl w:val="true"/>
              </w:rPr>
              <w:tab/>
            </w:r>
            <w:r>
              <w:rPr>
                <w:rStyle w:val="IndexLink"/>
              </w:rPr>
              <w:t>55</w:t>
            </w:r>
          </w:hyperlink>
        </w:p>
        <w:p>
          <w:pPr>
            <w:pStyle w:val="Contents5"/>
            <w:tabs>
              <w:tab w:val="clear" w:pos="7892"/>
              <w:tab w:val="right" w:pos="9026" w:leader="dot"/>
            </w:tabs>
            <w:rPr/>
          </w:pPr>
          <w:hyperlink w:anchor="__RefHeading___Toc604994_1934241801">
            <w:r>
              <w:rPr>
                <w:webHidden/>
                <w:rStyle w:val="IndexLink"/>
                <w:rtl w:val="true"/>
              </w:rPr>
              <w:t>بيان</w:t>
            </w:r>
            <w:r>
              <w:rPr>
                <w:rStyle w:val="IndexLink"/>
                <w:rtl w:val="true"/>
              </w:rPr>
              <w:tab/>
            </w:r>
            <w:r>
              <w:rPr>
                <w:rStyle w:val="IndexLink"/>
              </w:rPr>
              <w:t>56</w:t>
            </w:r>
          </w:hyperlink>
        </w:p>
        <w:p>
          <w:pPr>
            <w:pStyle w:val="Contents5"/>
            <w:tabs>
              <w:tab w:val="clear" w:pos="7892"/>
              <w:tab w:val="right" w:pos="9026" w:leader="dot"/>
            </w:tabs>
            <w:rPr/>
          </w:pPr>
          <w:hyperlink w:anchor="__RefHeading___Toc604996_1934241801">
            <w:r>
              <w:rPr>
                <w:webHidden/>
                <w:rStyle w:val="IndexLink"/>
                <w:rtl w:val="true"/>
              </w:rPr>
              <w:t>«</w:t>
            </w:r>
            <w:r>
              <w:rPr>
                <w:rStyle w:val="IndexLink"/>
              </w:rPr>
              <w:t>10</w:t>
            </w:r>
            <w:r>
              <w:rPr>
                <w:rStyle w:val="IndexLink"/>
                <w:rtl w:val="true"/>
              </w:rPr>
              <w:t>»</w:t>
              <w:tab/>
            </w:r>
            <w:r>
              <w:rPr>
                <w:rStyle w:val="IndexLink"/>
              </w:rPr>
              <w:t>56</w:t>
            </w:r>
          </w:hyperlink>
        </w:p>
        <w:p>
          <w:pPr>
            <w:pStyle w:val="Contents5"/>
            <w:tabs>
              <w:tab w:val="clear" w:pos="7892"/>
              <w:tab w:val="right" w:pos="9026" w:leader="dot"/>
            </w:tabs>
            <w:rPr/>
          </w:pPr>
          <w:hyperlink w:anchor="__RefHeading___Toc604998_1934241801">
            <w:r>
              <w:rPr>
                <w:webHidden/>
                <w:rStyle w:val="IndexLink"/>
                <w:rtl w:val="true"/>
              </w:rPr>
              <w:t>بيان</w:t>
            </w:r>
            <w:r>
              <w:rPr>
                <w:rStyle w:val="IndexLink"/>
                <w:rtl w:val="true"/>
              </w:rPr>
              <w:tab/>
            </w:r>
            <w:r>
              <w:rPr>
                <w:rStyle w:val="IndexLink"/>
              </w:rPr>
              <w:t>56</w:t>
            </w:r>
          </w:hyperlink>
        </w:p>
        <w:p>
          <w:pPr>
            <w:pStyle w:val="Contents5"/>
            <w:tabs>
              <w:tab w:val="clear" w:pos="7892"/>
              <w:tab w:val="right" w:pos="9026" w:leader="dot"/>
            </w:tabs>
            <w:rPr/>
          </w:pPr>
          <w:hyperlink w:anchor="__RefHeading___Toc605000_1934241801">
            <w:r>
              <w:rPr>
                <w:webHidden/>
                <w:rStyle w:val="IndexLink"/>
                <w:rtl w:val="true"/>
              </w:rPr>
              <w:t>توضیح</w:t>
            </w:r>
            <w:r>
              <w:rPr>
                <w:rStyle w:val="IndexLink"/>
                <w:rtl w:val="true"/>
              </w:rPr>
              <w:tab/>
            </w:r>
            <w:r>
              <w:rPr>
                <w:rStyle w:val="IndexLink"/>
              </w:rPr>
              <w:t>56</w:t>
            </w:r>
          </w:hyperlink>
        </w:p>
        <w:p>
          <w:pPr>
            <w:pStyle w:val="Contents5"/>
            <w:tabs>
              <w:tab w:val="clear" w:pos="7892"/>
              <w:tab w:val="right" w:pos="9026" w:leader="dot"/>
            </w:tabs>
            <w:rPr/>
          </w:pPr>
          <w:hyperlink w:anchor="__RefHeading___Toc605002_1934241801">
            <w:r>
              <w:rPr>
                <w:webHidden/>
                <w:rStyle w:val="IndexLink"/>
                <w:rtl w:val="true"/>
              </w:rPr>
              <w:t xml:space="preserve">روایت </w:t>
            </w:r>
            <w:r>
              <w:rPr>
                <w:rStyle w:val="IndexLink"/>
              </w:rPr>
              <w:t>10</w:t>
            </w:r>
            <w:r>
              <w:rPr>
                <w:rStyle w:val="IndexLink"/>
                <w:rtl w:val="true"/>
              </w:rPr>
              <w:tab/>
            </w:r>
            <w:r>
              <w:rPr>
                <w:rStyle w:val="IndexLink"/>
              </w:rPr>
              <w:t>57</w:t>
            </w:r>
          </w:hyperlink>
        </w:p>
        <w:p>
          <w:pPr>
            <w:pStyle w:val="Contents5"/>
            <w:tabs>
              <w:tab w:val="clear" w:pos="7892"/>
              <w:tab w:val="right" w:pos="9026" w:leader="dot"/>
            </w:tabs>
            <w:rPr/>
          </w:pPr>
          <w:hyperlink w:anchor="__RefHeading___Toc605004_1934241801">
            <w:r>
              <w:rPr>
                <w:webHidden/>
                <w:rStyle w:val="IndexLink"/>
                <w:rtl w:val="true"/>
              </w:rPr>
              <w:t>توضیح</w:t>
            </w:r>
            <w:r>
              <w:rPr>
                <w:rStyle w:val="IndexLink"/>
                <w:rtl w:val="true"/>
              </w:rPr>
              <w:tab/>
            </w:r>
            <w:r>
              <w:rPr>
                <w:rStyle w:val="IndexLink"/>
              </w:rPr>
              <w:t>57</w:t>
            </w:r>
          </w:hyperlink>
        </w:p>
        <w:p>
          <w:pPr>
            <w:pStyle w:val="Contents5"/>
            <w:tabs>
              <w:tab w:val="clear" w:pos="7892"/>
              <w:tab w:val="right" w:pos="9026" w:leader="dot"/>
            </w:tabs>
            <w:rPr/>
          </w:pPr>
          <w:hyperlink w:anchor="__RefHeading___Toc605006_1934241801">
            <w:r>
              <w:rPr>
                <w:webHidden/>
                <w:rStyle w:val="IndexLink"/>
                <w:rtl w:val="true"/>
              </w:rPr>
              <w:t>«</w:t>
            </w:r>
            <w:r>
              <w:rPr>
                <w:rStyle w:val="IndexLink"/>
              </w:rPr>
              <w:t>11</w:t>
            </w:r>
            <w:r>
              <w:rPr>
                <w:rStyle w:val="IndexLink"/>
                <w:rtl w:val="true"/>
              </w:rPr>
              <w:t>»</w:t>
              <w:tab/>
            </w:r>
            <w:r>
              <w:rPr>
                <w:rStyle w:val="IndexLink"/>
              </w:rPr>
              <w:t>58</w:t>
            </w:r>
          </w:hyperlink>
        </w:p>
        <w:p>
          <w:pPr>
            <w:pStyle w:val="Contents5"/>
            <w:tabs>
              <w:tab w:val="clear" w:pos="7892"/>
              <w:tab w:val="right" w:pos="9026" w:leader="dot"/>
            </w:tabs>
            <w:rPr/>
          </w:pPr>
          <w:hyperlink w:anchor="__RefHeading___Toc605008_1934241801">
            <w:r>
              <w:rPr>
                <w:webHidden/>
                <w:rStyle w:val="IndexLink"/>
                <w:rtl w:val="true"/>
              </w:rPr>
              <w:t>بيان</w:t>
            </w:r>
            <w:r>
              <w:rPr>
                <w:rStyle w:val="IndexLink"/>
                <w:rtl w:val="true"/>
              </w:rPr>
              <w:tab/>
            </w:r>
            <w:r>
              <w:rPr>
                <w:rStyle w:val="IndexLink"/>
              </w:rPr>
              <w:t>58</w:t>
            </w:r>
          </w:hyperlink>
        </w:p>
        <w:p>
          <w:pPr>
            <w:pStyle w:val="Contents5"/>
            <w:tabs>
              <w:tab w:val="clear" w:pos="7892"/>
              <w:tab w:val="right" w:pos="9026" w:leader="dot"/>
            </w:tabs>
            <w:rPr/>
          </w:pPr>
          <w:hyperlink w:anchor="__RefHeading___Toc605010_1934241801">
            <w:r>
              <w:rPr>
                <w:webHidden/>
                <w:rStyle w:val="IndexLink"/>
                <w:rtl w:val="true"/>
              </w:rPr>
              <w:t>«</w:t>
            </w:r>
            <w:r>
              <w:rPr>
                <w:rStyle w:val="IndexLink"/>
              </w:rPr>
              <w:t>12</w:t>
            </w:r>
            <w:r>
              <w:rPr>
                <w:rStyle w:val="IndexLink"/>
                <w:rtl w:val="true"/>
              </w:rPr>
              <w:t>»</w:t>
              <w:tab/>
            </w:r>
            <w:r>
              <w:rPr>
                <w:rStyle w:val="IndexLink"/>
              </w:rPr>
              <w:t>58</w:t>
            </w:r>
          </w:hyperlink>
        </w:p>
        <w:p>
          <w:pPr>
            <w:pStyle w:val="Contents5"/>
            <w:tabs>
              <w:tab w:val="clear" w:pos="7892"/>
              <w:tab w:val="right" w:pos="9026" w:leader="dot"/>
            </w:tabs>
            <w:rPr/>
          </w:pPr>
          <w:hyperlink w:anchor="__RefHeading___Toc605012_1934241801">
            <w:r>
              <w:rPr>
                <w:webHidden/>
                <w:rStyle w:val="IndexLink"/>
                <w:rtl w:val="true"/>
              </w:rPr>
              <w:t>«</w:t>
            </w:r>
            <w:r>
              <w:rPr>
                <w:rStyle w:val="IndexLink"/>
              </w:rPr>
              <w:t>13</w:t>
            </w:r>
            <w:r>
              <w:rPr>
                <w:rStyle w:val="IndexLink"/>
                <w:rtl w:val="true"/>
              </w:rPr>
              <w:t>»</w:t>
              <w:tab/>
            </w:r>
            <w:r>
              <w:rPr>
                <w:rStyle w:val="IndexLink"/>
              </w:rPr>
              <w:t>58</w:t>
            </w:r>
          </w:hyperlink>
        </w:p>
        <w:p>
          <w:pPr>
            <w:pStyle w:val="Contents5"/>
            <w:tabs>
              <w:tab w:val="clear" w:pos="7892"/>
              <w:tab w:val="right" w:pos="9026" w:leader="dot"/>
            </w:tabs>
            <w:rPr/>
          </w:pPr>
          <w:hyperlink w:anchor="__RefHeading___Toc605014_1934241801">
            <w:r>
              <w:rPr>
                <w:webHidden/>
                <w:rStyle w:val="IndexLink"/>
                <w:rtl w:val="true"/>
              </w:rPr>
              <w:t xml:space="preserve">روایت </w:t>
            </w:r>
            <w:r>
              <w:rPr>
                <w:rStyle w:val="IndexLink"/>
              </w:rPr>
              <w:t>11</w:t>
            </w:r>
            <w:r>
              <w:rPr>
                <w:rStyle w:val="IndexLink"/>
                <w:rtl w:val="true"/>
              </w:rPr>
              <w:tab/>
            </w:r>
            <w:r>
              <w:rPr>
                <w:rStyle w:val="IndexLink"/>
              </w:rPr>
              <w:t>58</w:t>
            </w:r>
          </w:hyperlink>
        </w:p>
        <w:p>
          <w:pPr>
            <w:pStyle w:val="Contents5"/>
            <w:tabs>
              <w:tab w:val="clear" w:pos="7892"/>
              <w:tab w:val="right" w:pos="9026" w:leader="dot"/>
            </w:tabs>
            <w:rPr/>
          </w:pPr>
          <w:hyperlink w:anchor="__RefHeading___Toc605016_1934241801">
            <w:r>
              <w:rPr>
                <w:webHidden/>
                <w:rStyle w:val="IndexLink"/>
                <w:rtl w:val="true"/>
              </w:rPr>
              <w:t>توضیح</w:t>
            </w:r>
            <w:r>
              <w:rPr>
                <w:rStyle w:val="IndexLink"/>
                <w:rtl w:val="true"/>
              </w:rPr>
              <w:tab/>
            </w:r>
            <w:r>
              <w:rPr>
                <w:rStyle w:val="IndexLink"/>
              </w:rPr>
              <w:t>58</w:t>
            </w:r>
          </w:hyperlink>
        </w:p>
        <w:p>
          <w:pPr>
            <w:pStyle w:val="Contents5"/>
            <w:tabs>
              <w:tab w:val="clear" w:pos="7892"/>
              <w:tab w:val="right" w:pos="9026" w:leader="dot"/>
            </w:tabs>
            <w:rPr/>
          </w:pPr>
          <w:hyperlink w:anchor="__RefHeading___Toc605018_1934241801">
            <w:r>
              <w:rPr>
                <w:webHidden/>
                <w:rStyle w:val="IndexLink"/>
                <w:rtl w:val="true"/>
              </w:rPr>
              <w:t xml:space="preserve">روایت </w:t>
            </w:r>
            <w:r>
              <w:rPr>
                <w:rStyle w:val="IndexLink"/>
              </w:rPr>
              <w:t>12</w:t>
            </w:r>
            <w:r>
              <w:rPr>
                <w:rStyle w:val="IndexLink"/>
                <w:rtl w:val="true"/>
              </w:rPr>
              <w:tab/>
            </w:r>
            <w:r>
              <w:rPr>
                <w:rStyle w:val="IndexLink"/>
              </w:rPr>
              <w:t>59</w:t>
            </w:r>
          </w:hyperlink>
        </w:p>
        <w:p>
          <w:pPr>
            <w:pStyle w:val="Contents5"/>
            <w:tabs>
              <w:tab w:val="clear" w:pos="7892"/>
              <w:tab w:val="right" w:pos="9026" w:leader="dot"/>
            </w:tabs>
            <w:rPr/>
          </w:pPr>
          <w:hyperlink w:anchor="__RefHeading___Toc605020_1934241801">
            <w:r>
              <w:rPr>
                <w:webHidden/>
                <w:rStyle w:val="IndexLink"/>
                <w:rtl w:val="true"/>
              </w:rPr>
              <w:t xml:space="preserve">روایت </w:t>
            </w:r>
            <w:r>
              <w:rPr>
                <w:rStyle w:val="IndexLink"/>
              </w:rPr>
              <w:t>13</w:t>
            </w:r>
            <w:r>
              <w:rPr>
                <w:rStyle w:val="IndexLink"/>
                <w:rtl w:val="true"/>
              </w:rPr>
              <w:tab/>
            </w:r>
            <w:r>
              <w:rPr>
                <w:rStyle w:val="IndexLink"/>
              </w:rPr>
              <w:t>59</w:t>
            </w:r>
          </w:hyperlink>
        </w:p>
        <w:p>
          <w:pPr>
            <w:pStyle w:val="Contents5"/>
            <w:tabs>
              <w:tab w:val="clear" w:pos="7892"/>
              <w:tab w:val="right" w:pos="9026" w:leader="dot"/>
            </w:tabs>
            <w:rPr/>
          </w:pPr>
          <w:hyperlink w:anchor="__RefHeading___Toc605022_1934241801">
            <w:r>
              <w:rPr>
                <w:webHidden/>
                <w:rStyle w:val="IndexLink"/>
                <w:rtl w:val="true"/>
              </w:rPr>
              <w:t>بيان</w:t>
            </w:r>
            <w:r>
              <w:rPr>
                <w:rStyle w:val="IndexLink"/>
                <w:rtl w:val="true"/>
              </w:rPr>
              <w:tab/>
            </w:r>
            <w:r>
              <w:rPr>
                <w:rStyle w:val="IndexLink"/>
              </w:rPr>
              <w:t>60</w:t>
            </w:r>
          </w:hyperlink>
        </w:p>
        <w:p>
          <w:pPr>
            <w:pStyle w:val="Contents5"/>
            <w:tabs>
              <w:tab w:val="clear" w:pos="7892"/>
              <w:tab w:val="right" w:pos="9026" w:leader="dot"/>
            </w:tabs>
            <w:rPr/>
          </w:pPr>
          <w:hyperlink w:anchor="__RefHeading___Toc605024_1934241801">
            <w:r>
              <w:rPr>
                <w:webHidden/>
                <w:rStyle w:val="IndexLink"/>
                <w:rtl w:val="true"/>
              </w:rPr>
              <w:t>«</w:t>
            </w:r>
            <w:r>
              <w:rPr>
                <w:rStyle w:val="IndexLink"/>
              </w:rPr>
              <w:t>14</w:t>
            </w:r>
            <w:r>
              <w:rPr>
                <w:rStyle w:val="IndexLink"/>
                <w:rtl w:val="true"/>
              </w:rPr>
              <w:t>»</w:t>
              <w:tab/>
            </w:r>
            <w:r>
              <w:rPr>
                <w:rStyle w:val="IndexLink"/>
              </w:rPr>
              <w:t>60</w:t>
            </w:r>
          </w:hyperlink>
        </w:p>
        <w:p>
          <w:pPr>
            <w:pStyle w:val="Contents5"/>
            <w:tabs>
              <w:tab w:val="clear" w:pos="7892"/>
              <w:tab w:val="right" w:pos="9026" w:leader="dot"/>
            </w:tabs>
            <w:rPr/>
          </w:pPr>
          <w:hyperlink w:anchor="__RefHeading___Toc605026_1934241801">
            <w:r>
              <w:rPr>
                <w:webHidden/>
                <w:rStyle w:val="IndexLink"/>
                <w:rtl w:val="true"/>
              </w:rPr>
              <w:t>«</w:t>
            </w:r>
            <w:r>
              <w:rPr>
                <w:rStyle w:val="IndexLink"/>
              </w:rPr>
              <w:t>15</w:t>
            </w:r>
            <w:r>
              <w:rPr>
                <w:rStyle w:val="IndexLink"/>
                <w:rtl w:val="true"/>
              </w:rPr>
              <w:t>»</w:t>
              <w:tab/>
            </w:r>
            <w:r>
              <w:rPr>
                <w:rStyle w:val="IndexLink"/>
              </w:rPr>
              <w:t>60</w:t>
            </w:r>
          </w:hyperlink>
        </w:p>
        <w:p>
          <w:pPr>
            <w:pStyle w:val="Contents5"/>
            <w:tabs>
              <w:tab w:val="clear" w:pos="7892"/>
              <w:tab w:val="right" w:pos="9026" w:leader="dot"/>
            </w:tabs>
            <w:rPr/>
          </w:pPr>
          <w:hyperlink w:anchor="__RefHeading___Toc605028_1934241801">
            <w:r>
              <w:rPr>
                <w:webHidden/>
                <w:rStyle w:val="IndexLink"/>
                <w:rtl w:val="true"/>
              </w:rPr>
              <w:t>توضیح</w:t>
            </w:r>
            <w:r>
              <w:rPr>
                <w:rStyle w:val="IndexLink"/>
                <w:rtl w:val="true"/>
              </w:rPr>
              <w:tab/>
            </w:r>
            <w:r>
              <w:rPr>
                <w:rStyle w:val="IndexLink"/>
              </w:rPr>
              <w:t>60</w:t>
            </w:r>
          </w:hyperlink>
        </w:p>
        <w:p>
          <w:pPr>
            <w:pStyle w:val="Contents5"/>
            <w:tabs>
              <w:tab w:val="clear" w:pos="7892"/>
              <w:tab w:val="right" w:pos="9026" w:leader="dot"/>
            </w:tabs>
            <w:rPr/>
          </w:pPr>
          <w:hyperlink w:anchor="__RefHeading___Toc605030_1934241801">
            <w:r>
              <w:rPr>
                <w:webHidden/>
                <w:rStyle w:val="IndexLink"/>
                <w:rtl w:val="true"/>
              </w:rPr>
              <w:t xml:space="preserve">روایت </w:t>
            </w:r>
            <w:r>
              <w:rPr>
                <w:rStyle w:val="IndexLink"/>
              </w:rPr>
              <w:t>14</w:t>
            </w:r>
            <w:r>
              <w:rPr>
                <w:rStyle w:val="IndexLink"/>
                <w:rtl w:val="true"/>
              </w:rPr>
              <w:tab/>
            </w:r>
            <w:r>
              <w:rPr>
                <w:rStyle w:val="IndexLink"/>
              </w:rPr>
              <w:t>60</w:t>
            </w:r>
          </w:hyperlink>
        </w:p>
        <w:p>
          <w:pPr>
            <w:pStyle w:val="Contents5"/>
            <w:tabs>
              <w:tab w:val="clear" w:pos="7892"/>
              <w:tab w:val="right" w:pos="9026" w:leader="dot"/>
            </w:tabs>
            <w:rPr/>
          </w:pPr>
          <w:hyperlink w:anchor="__RefHeading___Toc605032_1934241801">
            <w:r>
              <w:rPr>
                <w:webHidden/>
                <w:rStyle w:val="IndexLink"/>
                <w:rtl w:val="true"/>
              </w:rPr>
              <w:t xml:space="preserve">روایت </w:t>
            </w:r>
            <w:r>
              <w:rPr>
                <w:rStyle w:val="IndexLink"/>
              </w:rPr>
              <w:t>15</w:t>
            </w:r>
            <w:r>
              <w:rPr>
                <w:rStyle w:val="IndexLink"/>
                <w:rtl w:val="true"/>
              </w:rPr>
              <w:tab/>
            </w:r>
            <w:r>
              <w:rPr>
                <w:rStyle w:val="IndexLink"/>
              </w:rPr>
              <w:t>61</w:t>
            </w:r>
          </w:hyperlink>
        </w:p>
        <w:p>
          <w:pPr>
            <w:pStyle w:val="Contents5"/>
            <w:tabs>
              <w:tab w:val="clear" w:pos="7892"/>
              <w:tab w:val="right" w:pos="9026" w:leader="dot"/>
            </w:tabs>
            <w:rPr/>
          </w:pPr>
          <w:hyperlink w:anchor="__RefHeading___Toc605034_1934241801">
            <w:r>
              <w:rPr>
                <w:webHidden/>
                <w:rStyle w:val="IndexLink"/>
                <w:rtl w:val="true"/>
              </w:rPr>
              <w:t>بيان</w:t>
            </w:r>
            <w:r>
              <w:rPr>
                <w:rStyle w:val="IndexLink"/>
                <w:rtl w:val="true"/>
              </w:rPr>
              <w:tab/>
            </w:r>
            <w:r>
              <w:rPr>
                <w:rStyle w:val="IndexLink"/>
              </w:rPr>
              <w:t>62</w:t>
            </w:r>
          </w:hyperlink>
        </w:p>
        <w:p>
          <w:pPr>
            <w:pStyle w:val="Contents5"/>
            <w:tabs>
              <w:tab w:val="clear" w:pos="7892"/>
              <w:tab w:val="right" w:pos="9026" w:leader="dot"/>
            </w:tabs>
            <w:rPr/>
          </w:pPr>
          <w:hyperlink w:anchor="__RefHeading___Toc605036_1934241801">
            <w:r>
              <w:rPr>
                <w:webHidden/>
                <w:rStyle w:val="IndexLink"/>
                <w:rtl w:val="true"/>
              </w:rPr>
              <w:t>«</w:t>
            </w:r>
            <w:r>
              <w:rPr>
                <w:rStyle w:val="IndexLink"/>
              </w:rPr>
              <w:t>16</w:t>
            </w:r>
            <w:r>
              <w:rPr>
                <w:rStyle w:val="IndexLink"/>
                <w:rtl w:val="true"/>
              </w:rPr>
              <w:t>»</w:t>
              <w:tab/>
            </w:r>
            <w:r>
              <w:rPr>
                <w:rStyle w:val="IndexLink"/>
              </w:rPr>
              <w:t>62</w:t>
            </w:r>
          </w:hyperlink>
        </w:p>
        <w:p>
          <w:pPr>
            <w:pStyle w:val="Contents5"/>
            <w:tabs>
              <w:tab w:val="clear" w:pos="7892"/>
              <w:tab w:val="right" w:pos="9026" w:leader="dot"/>
            </w:tabs>
            <w:rPr/>
          </w:pPr>
          <w:hyperlink w:anchor="__RefHeading___Toc605038_1934241801">
            <w:r>
              <w:rPr>
                <w:webHidden/>
                <w:rStyle w:val="IndexLink"/>
                <w:rtl w:val="true"/>
              </w:rPr>
              <w:t>توضیح</w:t>
            </w:r>
            <w:r>
              <w:rPr>
                <w:rStyle w:val="IndexLink"/>
                <w:rtl w:val="true"/>
              </w:rPr>
              <w:tab/>
            </w:r>
            <w:r>
              <w:rPr>
                <w:rStyle w:val="IndexLink"/>
              </w:rPr>
              <w:t>62</w:t>
            </w:r>
          </w:hyperlink>
        </w:p>
        <w:p>
          <w:pPr>
            <w:pStyle w:val="Contents5"/>
            <w:tabs>
              <w:tab w:val="clear" w:pos="7892"/>
              <w:tab w:val="right" w:pos="9026" w:leader="dot"/>
            </w:tabs>
            <w:rPr/>
          </w:pPr>
          <w:hyperlink w:anchor="__RefHeading___Toc605040_1934241801">
            <w:r>
              <w:rPr>
                <w:webHidden/>
                <w:rStyle w:val="IndexLink"/>
                <w:rtl w:val="true"/>
              </w:rPr>
              <w:t xml:space="preserve">روایت </w:t>
            </w:r>
            <w:r>
              <w:rPr>
                <w:rStyle w:val="IndexLink"/>
              </w:rPr>
              <w:t>16</w:t>
            </w:r>
            <w:r>
              <w:rPr>
                <w:rStyle w:val="IndexLink"/>
                <w:rtl w:val="true"/>
              </w:rPr>
              <w:tab/>
            </w:r>
            <w:r>
              <w:rPr>
                <w:rStyle w:val="IndexLink"/>
              </w:rPr>
              <w:t>63</w:t>
            </w:r>
          </w:hyperlink>
        </w:p>
        <w:p>
          <w:pPr>
            <w:pStyle w:val="Contents5"/>
            <w:tabs>
              <w:tab w:val="clear" w:pos="7892"/>
              <w:tab w:val="right" w:pos="9026" w:leader="dot"/>
            </w:tabs>
            <w:rPr/>
          </w:pPr>
          <w:hyperlink w:anchor="__RefHeading___Toc605042_1934241801">
            <w:r>
              <w:rPr>
                <w:webHidden/>
                <w:rStyle w:val="IndexLink"/>
                <w:rtl w:val="true"/>
              </w:rPr>
              <w:t>بيان</w:t>
            </w:r>
            <w:r>
              <w:rPr>
                <w:rStyle w:val="IndexLink"/>
                <w:rtl w:val="true"/>
              </w:rPr>
              <w:tab/>
            </w:r>
            <w:r>
              <w:rPr>
                <w:rStyle w:val="IndexLink"/>
              </w:rPr>
              <w:t>66</w:t>
            </w:r>
          </w:hyperlink>
        </w:p>
        <w:p>
          <w:pPr>
            <w:pStyle w:val="Contents5"/>
            <w:tabs>
              <w:tab w:val="clear" w:pos="7892"/>
              <w:tab w:val="right" w:pos="9026" w:leader="dot"/>
            </w:tabs>
            <w:rPr/>
          </w:pPr>
          <w:hyperlink w:anchor="__RefHeading___Toc605044_1934241801">
            <w:r>
              <w:rPr>
                <w:webHidden/>
                <w:rStyle w:val="IndexLink"/>
                <w:rtl w:val="true"/>
              </w:rPr>
              <w:t>«</w:t>
            </w:r>
            <w:r>
              <w:rPr>
                <w:rStyle w:val="IndexLink"/>
              </w:rPr>
              <w:t>17</w:t>
            </w:r>
            <w:r>
              <w:rPr>
                <w:rStyle w:val="IndexLink"/>
                <w:rtl w:val="true"/>
              </w:rPr>
              <w:t>»</w:t>
              <w:tab/>
            </w:r>
            <w:r>
              <w:rPr>
                <w:rStyle w:val="IndexLink"/>
              </w:rPr>
              <w:t>66</w:t>
            </w:r>
          </w:hyperlink>
        </w:p>
        <w:p>
          <w:pPr>
            <w:pStyle w:val="Contents5"/>
            <w:tabs>
              <w:tab w:val="clear" w:pos="7892"/>
              <w:tab w:val="right" w:pos="9026" w:leader="dot"/>
            </w:tabs>
            <w:rPr/>
          </w:pPr>
          <w:hyperlink w:anchor="__RefHeading___Toc605046_1934241801">
            <w:r>
              <w:rPr>
                <w:webHidden/>
                <w:rStyle w:val="IndexLink"/>
                <w:rtl w:val="true"/>
              </w:rPr>
              <w:t>«</w:t>
            </w:r>
            <w:r>
              <w:rPr>
                <w:rStyle w:val="IndexLink"/>
              </w:rPr>
              <w:t>18</w:t>
            </w:r>
            <w:r>
              <w:rPr>
                <w:rStyle w:val="IndexLink"/>
                <w:rtl w:val="true"/>
              </w:rPr>
              <w:t>»</w:t>
              <w:tab/>
            </w:r>
            <w:r>
              <w:rPr>
                <w:rStyle w:val="IndexLink"/>
              </w:rPr>
              <w:t>66</w:t>
            </w:r>
          </w:hyperlink>
        </w:p>
        <w:p>
          <w:pPr>
            <w:pStyle w:val="Contents5"/>
            <w:tabs>
              <w:tab w:val="clear" w:pos="7892"/>
              <w:tab w:val="right" w:pos="9026" w:leader="dot"/>
            </w:tabs>
            <w:rPr/>
          </w:pPr>
          <w:hyperlink w:anchor="__RefHeading___Toc605048_1934241801">
            <w:r>
              <w:rPr>
                <w:webHidden/>
                <w:rStyle w:val="IndexLink"/>
                <w:rtl w:val="true"/>
              </w:rPr>
              <w:t>«</w:t>
            </w:r>
            <w:r>
              <w:rPr>
                <w:rStyle w:val="IndexLink"/>
              </w:rPr>
              <w:t>19</w:t>
            </w:r>
            <w:r>
              <w:rPr>
                <w:rStyle w:val="IndexLink"/>
                <w:rtl w:val="true"/>
              </w:rPr>
              <w:t>»</w:t>
              <w:tab/>
            </w:r>
            <w:r>
              <w:rPr>
                <w:rStyle w:val="IndexLink"/>
              </w:rPr>
              <w:t>66</w:t>
            </w:r>
          </w:hyperlink>
        </w:p>
        <w:p>
          <w:pPr>
            <w:pStyle w:val="Contents5"/>
            <w:tabs>
              <w:tab w:val="clear" w:pos="7892"/>
              <w:tab w:val="right" w:pos="9026" w:leader="dot"/>
            </w:tabs>
            <w:rPr/>
          </w:pPr>
          <w:hyperlink w:anchor="__RefHeading___Toc605050_1934241801">
            <w:r>
              <w:rPr>
                <w:webHidden/>
                <w:rStyle w:val="IndexLink"/>
                <w:rtl w:val="true"/>
              </w:rPr>
              <w:t>توضیح</w:t>
            </w:r>
            <w:r>
              <w:rPr>
                <w:rStyle w:val="IndexLink"/>
                <w:rtl w:val="true"/>
              </w:rPr>
              <w:tab/>
            </w:r>
            <w:r>
              <w:rPr>
                <w:rStyle w:val="IndexLink"/>
              </w:rPr>
              <w:t>66</w:t>
            </w:r>
          </w:hyperlink>
        </w:p>
        <w:p>
          <w:pPr>
            <w:pStyle w:val="Contents5"/>
            <w:tabs>
              <w:tab w:val="clear" w:pos="7892"/>
              <w:tab w:val="right" w:pos="9026" w:leader="dot"/>
            </w:tabs>
            <w:rPr/>
          </w:pPr>
          <w:hyperlink w:anchor="__RefHeading___Toc605052_1934241801">
            <w:r>
              <w:rPr>
                <w:webHidden/>
                <w:rStyle w:val="IndexLink"/>
                <w:rtl w:val="true"/>
              </w:rPr>
              <w:t xml:space="preserve">روایت </w:t>
            </w:r>
            <w:r>
              <w:rPr>
                <w:rStyle w:val="IndexLink"/>
              </w:rPr>
              <w:t>17</w:t>
            </w:r>
            <w:r>
              <w:rPr>
                <w:rStyle w:val="IndexLink"/>
                <w:rtl w:val="true"/>
              </w:rPr>
              <w:tab/>
            </w:r>
            <w:r>
              <w:rPr>
                <w:rStyle w:val="IndexLink"/>
              </w:rPr>
              <w:t>67</w:t>
            </w:r>
          </w:hyperlink>
        </w:p>
        <w:p>
          <w:pPr>
            <w:pStyle w:val="Contents5"/>
            <w:tabs>
              <w:tab w:val="clear" w:pos="7892"/>
              <w:tab w:val="right" w:pos="9026" w:leader="dot"/>
            </w:tabs>
            <w:rPr/>
          </w:pPr>
          <w:hyperlink w:anchor="__RefHeading___Toc605054_1934241801">
            <w:r>
              <w:rPr>
                <w:webHidden/>
                <w:rStyle w:val="IndexLink"/>
                <w:rtl w:val="true"/>
              </w:rPr>
              <w:t xml:space="preserve">روایت </w:t>
            </w:r>
            <w:r>
              <w:rPr>
                <w:rStyle w:val="IndexLink"/>
              </w:rPr>
              <w:t>18</w:t>
            </w:r>
            <w:r>
              <w:rPr>
                <w:rStyle w:val="IndexLink"/>
                <w:rtl w:val="true"/>
              </w:rPr>
              <w:tab/>
            </w:r>
            <w:r>
              <w:rPr>
                <w:rStyle w:val="IndexLink"/>
              </w:rPr>
              <w:t>67</w:t>
            </w:r>
          </w:hyperlink>
        </w:p>
        <w:p>
          <w:pPr>
            <w:pStyle w:val="Contents5"/>
            <w:tabs>
              <w:tab w:val="clear" w:pos="7892"/>
              <w:tab w:val="right" w:pos="9026" w:leader="dot"/>
            </w:tabs>
            <w:rPr/>
          </w:pPr>
          <w:hyperlink w:anchor="__RefHeading___Toc605056_1934241801">
            <w:r>
              <w:rPr>
                <w:webHidden/>
                <w:rStyle w:val="IndexLink"/>
                <w:rtl w:val="true"/>
              </w:rPr>
              <w:t xml:space="preserve">روایت </w:t>
            </w:r>
            <w:r>
              <w:rPr>
                <w:rStyle w:val="IndexLink"/>
              </w:rPr>
              <w:t>19</w:t>
            </w:r>
            <w:r>
              <w:rPr>
                <w:rStyle w:val="IndexLink"/>
                <w:rtl w:val="true"/>
              </w:rPr>
              <w:tab/>
            </w:r>
            <w:r>
              <w:rPr>
                <w:rStyle w:val="IndexLink"/>
              </w:rPr>
              <w:t>67</w:t>
            </w:r>
          </w:hyperlink>
        </w:p>
        <w:p>
          <w:pPr>
            <w:pStyle w:val="Contents5"/>
            <w:tabs>
              <w:tab w:val="clear" w:pos="7892"/>
              <w:tab w:val="right" w:pos="9026" w:leader="dot"/>
            </w:tabs>
            <w:rPr/>
          </w:pPr>
          <w:hyperlink w:anchor="__RefHeading___Toc605058_1934241801">
            <w:r>
              <w:rPr>
                <w:webHidden/>
                <w:rStyle w:val="IndexLink"/>
                <w:rtl w:val="true"/>
              </w:rPr>
              <w:t>بيان</w:t>
            </w:r>
            <w:r>
              <w:rPr>
                <w:rStyle w:val="IndexLink"/>
                <w:rtl w:val="true"/>
              </w:rPr>
              <w:tab/>
            </w:r>
            <w:r>
              <w:rPr>
                <w:rStyle w:val="IndexLink"/>
              </w:rPr>
              <w:t>68</w:t>
            </w:r>
          </w:hyperlink>
        </w:p>
        <w:p>
          <w:pPr>
            <w:pStyle w:val="Contents5"/>
            <w:tabs>
              <w:tab w:val="clear" w:pos="7892"/>
              <w:tab w:val="right" w:pos="9026" w:leader="dot"/>
            </w:tabs>
            <w:rPr/>
          </w:pPr>
          <w:hyperlink w:anchor="__RefHeading___Toc605060_1934241801">
            <w:r>
              <w:rPr>
                <w:webHidden/>
                <w:rStyle w:val="IndexLink"/>
                <w:rtl w:val="true"/>
              </w:rPr>
              <w:t>«</w:t>
            </w:r>
            <w:r>
              <w:rPr>
                <w:rStyle w:val="IndexLink"/>
              </w:rPr>
              <w:t>20</w:t>
            </w:r>
            <w:r>
              <w:rPr>
                <w:rStyle w:val="IndexLink"/>
                <w:rtl w:val="true"/>
              </w:rPr>
              <w:t>»</w:t>
              <w:tab/>
            </w:r>
            <w:r>
              <w:rPr>
                <w:rStyle w:val="IndexLink"/>
              </w:rPr>
              <w:t>68</w:t>
            </w:r>
          </w:hyperlink>
        </w:p>
        <w:p>
          <w:pPr>
            <w:pStyle w:val="Contents5"/>
            <w:tabs>
              <w:tab w:val="clear" w:pos="7892"/>
              <w:tab w:val="right" w:pos="9026" w:leader="dot"/>
            </w:tabs>
            <w:rPr/>
          </w:pPr>
          <w:hyperlink w:anchor="__RefHeading___Toc605062_1934241801">
            <w:r>
              <w:rPr>
                <w:webHidden/>
                <w:rStyle w:val="IndexLink"/>
                <w:rtl w:val="true"/>
              </w:rPr>
              <w:t>بيان</w:t>
            </w:r>
            <w:r>
              <w:rPr>
                <w:rStyle w:val="IndexLink"/>
                <w:rtl w:val="true"/>
              </w:rPr>
              <w:tab/>
            </w:r>
            <w:r>
              <w:rPr>
                <w:rStyle w:val="IndexLink"/>
              </w:rPr>
              <w:t>68</w:t>
            </w:r>
          </w:hyperlink>
        </w:p>
        <w:p>
          <w:pPr>
            <w:pStyle w:val="Contents5"/>
            <w:tabs>
              <w:tab w:val="clear" w:pos="7892"/>
              <w:tab w:val="right" w:pos="9026" w:leader="dot"/>
            </w:tabs>
            <w:rPr/>
          </w:pPr>
          <w:hyperlink w:anchor="__RefHeading___Toc605064_1934241801">
            <w:r>
              <w:rPr>
                <w:webHidden/>
                <w:rStyle w:val="IndexLink"/>
                <w:rtl w:val="true"/>
              </w:rPr>
              <w:t>«</w:t>
            </w:r>
            <w:r>
              <w:rPr>
                <w:rStyle w:val="IndexLink"/>
              </w:rPr>
              <w:t>21</w:t>
            </w:r>
            <w:r>
              <w:rPr>
                <w:rStyle w:val="IndexLink"/>
                <w:rtl w:val="true"/>
              </w:rPr>
              <w:t>»</w:t>
              <w:tab/>
            </w:r>
            <w:r>
              <w:rPr>
                <w:rStyle w:val="IndexLink"/>
              </w:rPr>
              <w:t>68</w:t>
            </w:r>
          </w:hyperlink>
        </w:p>
        <w:p>
          <w:pPr>
            <w:pStyle w:val="Contents5"/>
            <w:tabs>
              <w:tab w:val="clear" w:pos="7892"/>
              <w:tab w:val="right" w:pos="9026" w:leader="dot"/>
            </w:tabs>
            <w:rPr/>
          </w:pPr>
          <w:hyperlink w:anchor="__RefHeading___Toc605066_1934241801">
            <w:r>
              <w:rPr>
                <w:webHidden/>
                <w:rStyle w:val="IndexLink"/>
                <w:rtl w:val="true"/>
              </w:rPr>
              <w:t>توضیح</w:t>
            </w:r>
            <w:r>
              <w:rPr>
                <w:rStyle w:val="IndexLink"/>
                <w:rtl w:val="true"/>
              </w:rPr>
              <w:tab/>
            </w:r>
            <w:r>
              <w:rPr>
                <w:rStyle w:val="IndexLink"/>
              </w:rPr>
              <w:t>68</w:t>
            </w:r>
          </w:hyperlink>
        </w:p>
        <w:p>
          <w:pPr>
            <w:pStyle w:val="Contents5"/>
            <w:tabs>
              <w:tab w:val="clear" w:pos="7892"/>
              <w:tab w:val="right" w:pos="9026" w:leader="dot"/>
            </w:tabs>
            <w:rPr/>
          </w:pPr>
          <w:hyperlink w:anchor="__RefHeading___Toc605068_1934241801">
            <w:r>
              <w:rPr>
                <w:webHidden/>
                <w:rStyle w:val="IndexLink"/>
                <w:rtl w:val="true"/>
              </w:rPr>
              <w:t xml:space="preserve">روایت </w:t>
            </w:r>
            <w:r>
              <w:rPr>
                <w:rStyle w:val="IndexLink"/>
              </w:rPr>
              <w:t>20</w:t>
            </w:r>
            <w:r>
              <w:rPr>
                <w:rStyle w:val="IndexLink"/>
                <w:rtl w:val="true"/>
              </w:rPr>
              <w:tab/>
            </w:r>
            <w:r>
              <w:rPr>
                <w:rStyle w:val="IndexLink"/>
              </w:rPr>
              <w:t>68</w:t>
            </w:r>
          </w:hyperlink>
        </w:p>
        <w:p>
          <w:pPr>
            <w:pStyle w:val="Contents5"/>
            <w:tabs>
              <w:tab w:val="clear" w:pos="7892"/>
              <w:tab w:val="right" w:pos="9026" w:leader="dot"/>
            </w:tabs>
            <w:rPr/>
          </w:pPr>
          <w:hyperlink w:anchor="__RefHeading___Toc605070_1934241801">
            <w:r>
              <w:rPr>
                <w:webHidden/>
                <w:rStyle w:val="IndexLink"/>
                <w:rtl w:val="true"/>
              </w:rPr>
              <w:t>توضیح</w:t>
            </w:r>
            <w:r>
              <w:rPr>
                <w:rStyle w:val="IndexLink"/>
                <w:rtl w:val="true"/>
              </w:rPr>
              <w:tab/>
            </w:r>
            <w:r>
              <w:rPr>
                <w:rStyle w:val="IndexLink"/>
              </w:rPr>
              <w:t>69</w:t>
            </w:r>
          </w:hyperlink>
        </w:p>
        <w:p>
          <w:pPr>
            <w:pStyle w:val="Contents5"/>
            <w:tabs>
              <w:tab w:val="clear" w:pos="7892"/>
              <w:tab w:val="right" w:pos="9026" w:leader="dot"/>
            </w:tabs>
            <w:rPr/>
          </w:pPr>
          <w:hyperlink w:anchor="__RefHeading___Toc605072_1934241801">
            <w:r>
              <w:rPr>
                <w:webHidden/>
                <w:rStyle w:val="IndexLink"/>
                <w:rtl w:val="true"/>
              </w:rPr>
              <w:t xml:space="preserve">روایت </w:t>
            </w:r>
            <w:r>
              <w:rPr>
                <w:rStyle w:val="IndexLink"/>
              </w:rPr>
              <w:t>21</w:t>
            </w:r>
            <w:r>
              <w:rPr>
                <w:rStyle w:val="IndexLink"/>
                <w:rtl w:val="true"/>
              </w:rPr>
              <w:tab/>
            </w:r>
            <w:r>
              <w:rPr>
                <w:rStyle w:val="IndexLink"/>
              </w:rPr>
              <w:t>69</w:t>
            </w:r>
          </w:hyperlink>
        </w:p>
        <w:p>
          <w:pPr>
            <w:pStyle w:val="Contents5"/>
            <w:tabs>
              <w:tab w:val="clear" w:pos="7892"/>
              <w:tab w:val="right" w:pos="9026" w:leader="dot"/>
            </w:tabs>
            <w:rPr/>
          </w:pPr>
          <w:hyperlink w:anchor="__RefHeading___Toc605074_1934241801">
            <w:r>
              <w:rPr>
                <w:webHidden/>
                <w:rStyle w:val="IndexLink"/>
                <w:rtl w:val="true"/>
              </w:rPr>
              <w:t>بيان</w:t>
            </w:r>
            <w:r>
              <w:rPr>
                <w:rStyle w:val="IndexLink"/>
                <w:rtl w:val="true"/>
              </w:rPr>
              <w:tab/>
            </w:r>
            <w:r>
              <w:rPr>
                <w:rStyle w:val="IndexLink"/>
              </w:rPr>
              <w:t>70</w:t>
            </w:r>
          </w:hyperlink>
        </w:p>
        <w:p>
          <w:pPr>
            <w:pStyle w:val="Contents5"/>
            <w:tabs>
              <w:tab w:val="clear" w:pos="7892"/>
              <w:tab w:val="right" w:pos="9026" w:leader="dot"/>
            </w:tabs>
            <w:rPr/>
          </w:pPr>
          <w:hyperlink w:anchor="__RefHeading___Toc605076_1934241801">
            <w:r>
              <w:rPr>
                <w:webHidden/>
                <w:rStyle w:val="IndexLink"/>
                <w:rtl w:val="true"/>
              </w:rPr>
              <w:t>«</w:t>
            </w:r>
            <w:r>
              <w:rPr>
                <w:rStyle w:val="IndexLink"/>
              </w:rPr>
              <w:t>22</w:t>
            </w:r>
            <w:r>
              <w:rPr>
                <w:rStyle w:val="IndexLink"/>
                <w:rtl w:val="true"/>
              </w:rPr>
              <w:t>»</w:t>
              <w:tab/>
            </w:r>
            <w:r>
              <w:rPr>
                <w:rStyle w:val="IndexLink"/>
              </w:rPr>
              <w:t>70</w:t>
            </w:r>
          </w:hyperlink>
        </w:p>
        <w:p>
          <w:pPr>
            <w:pStyle w:val="Contents5"/>
            <w:tabs>
              <w:tab w:val="clear" w:pos="7892"/>
              <w:tab w:val="right" w:pos="9026" w:leader="dot"/>
            </w:tabs>
            <w:rPr/>
          </w:pPr>
          <w:hyperlink w:anchor="__RefHeading___Toc605078_1934241801">
            <w:r>
              <w:rPr>
                <w:webHidden/>
                <w:rStyle w:val="IndexLink"/>
                <w:rtl w:val="true"/>
              </w:rPr>
              <w:t>بيان</w:t>
            </w:r>
            <w:r>
              <w:rPr>
                <w:rStyle w:val="IndexLink"/>
                <w:rtl w:val="true"/>
              </w:rPr>
              <w:tab/>
            </w:r>
            <w:r>
              <w:rPr>
                <w:rStyle w:val="IndexLink"/>
              </w:rPr>
              <w:t>70</w:t>
            </w:r>
          </w:hyperlink>
        </w:p>
        <w:p>
          <w:pPr>
            <w:pStyle w:val="Contents5"/>
            <w:tabs>
              <w:tab w:val="clear" w:pos="7892"/>
              <w:tab w:val="right" w:pos="9026" w:leader="dot"/>
            </w:tabs>
            <w:rPr/>
          </w:pPr>
          <w:hyperlink w:anchor="__RefHeading___Toc605080_1934241801">
            <w:r>
              <w:rPr>
                <w:webHidden/>
                <w:rStyle w:val="IndexLink"/>
                <w:rtl w:val="true"/>
              </w:rPr>
              <w:t>«</w:t>
            </w:r>
            <w:r>
              <w:rPr>
                <w:rStyle w:val="IndexLink"/>
              </w:rPr>
              <w:t>23</w:t>
            </w:r>
            <w:r>
              <w:rPr>
                <w:rStyle w:val="IndexLink"/>
                <w:rtl w:val="true"/>
              </w:rPr>
              <w:t>»</w:t>
              <w:tab/>
            </w:r>
            <w:r>
              <w:rPr>
                <w:rStyle w:val="IndexLink"/>
              </w:rPr>
              <w:t>70</w:t>
            </w:r>
          </w:hyperlink>
        </w:p>
        <w:p>
          <w:pPr>
            <w:pStyle w:val="Contents5"/>
            <w:tabs>
              <w:tab w:val="clear" w:pos="7892"/>
              <w:tab w:val="right" w:pos="9026" w:leader="dot"/>
            </w:tabs>
            <w:rPr/>
          </w:pPr>
          <w:hyperlink w:anchor="__RefHeading___Toc605082_1934241801">
            <w:r>
              <w:rPr>
                <w:webHidden/>
                <w:rStyle w:val="IndexLink"/>
                <w:rtl w:val="true"/>
              </w:rPr>
              <w:t>توضیح</w:t>
            </w:r>
            <w:r>
              <w:rPr>
                <w:rStyle w:val="IndexLink"/>
                <w:rtl w:val="true"/>
              </w:rPr>
              <w:tab/>
            </w:r>
            <w:r>
              <w:rPr>
                <w:rStyle w:val="IndexLink"/>
              </w:rPr>
              <w:t>70</w:t>
            </w:r>
          </w:hyperlink>
        </w:p>
        <w:p>
          <w:pPr>
            <w:pStyle w:val="Contents5"/>
            <w:tabs>
              <w:tab w:val="clear" w:pos="7892"/>
              <w:tab w:val="right" w:pos="9026" w:leader="dot"/>
            </w:tabs>
            <w:rPr/>
          </w:pPr>
          <w:hyperlink w:anchor="__RefHeading___Toc605084_1934241801">
            <w:r>
              <w:rPr>
                <w:webHidden/>
                <w:rStyle w:val="IndexLink"/>
                <w:rtl w:val="true"/>
              </w:rPr>
              <w:t xml:space="preserve">روایت </w:t>
            </w:r>
            <w:r>
              <w:rPr>
                <w:rStyle w:val="IndexLink"/>
              </w:rPr>
              <w:t>22</w:t>
            </w:r>
            <w:r>
              <w:rPr>
                <w:rStyle w:val="IndexLink"/>
                <w:rtl w:val="true"/>
              </w:rPr>
              <w:tab/>
            </w:r>
            <w:r>
              <w:rPr>
                <w:rStyle w:val="IndexLink"/>
              </w:rPr>
              <w:t>70</w:t>
            </w:r>
          </w:hyperlink>
        </w:p>
        <w:p>
          <w:pPr>
            <w:pStyle w:val="Contents5"/>
            <w:tabs>
              <w:tab w:val="clear" w:pos="7892"/>
              <w:tab w:val="right" w:pos="9026" w:leader="dot"/>
            </w:tabs>
            <w:rPr/>
          </w:pPr>
          <w:hyperlink w:anchor="__RefHeading___Toc605086_1934241801">
            <w:r>
              <w:rPr>
                <w:webHidden/>
                <w:rStyle w:val="IndexLink"/>
                <w:rtl w:val="true"/>
              </w:rPr>
              <w:t>توضیح</w:t>
            </w:r>
            <w:r>
              <w:rPr>
                <w:rStyle w:val="IndexLink"/>
                <w:rtl w:val="true"/>
              </w:rPr>
              <w:tab/>
            </w:r>
            <w:r>
              <w:rPr>
                <w:rStyle w:val="IndexLink"/>
              </w:rPr>
              <w:t>71</w:t>
            </w:r>
          </w:hyperlink>
        </w:p>
        <w:p>
          <w:pPr>
            <w:pStyle w:val="Contents5"/>
            <w:tabs>
              <w:tab w:val="clear" w:pos="7892"/>
              <w:tab w:val="right" w:pos="9026" w:leader="dot"/>
            </w:tabs>
            <w:rPr/>
          </w:pPr>
          <w:hyperlink w:anchor="__RefHeading___Toc605088_1934241801">
            <w:r>
              <w:rPr>
                <w:webHidden/>
                <w:rStyle w:val="IndexLink"/>
                <w:rtl w:val="true"/>
              </w:rPr>
              <w:t xml:space="preserve">روایت </w:t>
            </w:r>
            <w:r>
              <w:rPr>
                <w:rStyle w:val="IndexLink"/>
              </w:rPr>
              <w:t>23</w:t>
            </w:r>
            <w:r>
              <w:rPr>
                <w:rStyle w:val="IndexLink"/>
                <w:rtl w:val="true"/>
              </w:rPr>
              <w:tab/>
            </w:r>
            <w:r>
              <w:rPr>
                <w:rStyle w:val="IndexLink"/>
              </w:rPr>
              <w:t>71</w:t>
            </w:r>
          </w:hyperlink>
        </w:p>
        <w:p>
          <w:pPr>
            <w:pStyle w:val="Contents5"/>
            <w:tabs>
              <w:tab w:val="clear" w:pos="7892"/>
              <w:tab w:val="right" w:pos="9026" w:leader="dot"/>
            </w:tabs>
            <w:rPr/>
          </w:pPr>
          <w:hyperlink w:anchor="__RefHeading___Toc605090_1934241801">
            <w:r>
              <w:rPr>
                <w:webHidden/>
                <w:rStyle w:val="IndexLink"/>
                <w:rtl w:val="true"/>
              </w:rPr>
              <w:t>«</w:t>
            </w:r>
            <w:r>
              <w:rPr>
                <w:rStyle w:val="IndexLink"/>
              </w:rPr>
              <w:t>24</w:t>
            </w:r>
            <w:r>
              <w:rPr>
                <w:rStyle w:val="IndexLink"/>
                <w:rtl w:val="true"/>
              </w:rPr>
              <w:t>»</w:t>
              <w:tab/>
            </w:r>
            <w:r>
              <w:rPr>
                <w:rStyle w:val="IndexLink"/>
              </w:rPr>
              <w:t>72</w:t>
            </w:r>
          </w:hyperlink>
        </w:p>
        <w:p>
          <w:pPr>
            <w:pStyle w:val="Contents5"/>
            <w:tabs>
              <w:tab w:val="clear" w:pos="7892"/>
              <w:tab w:val="right" w:pos="9026" w:leader="dot"/>
            </w:tabs>
            <w:rPr/>
          </w:pPr>
          <w:hyperlink w:anchor="__RefHeading___Toc605092_1934241801">
            <w:r>
              <w:rPr>
                <w:webHidden/>
                <w:rStyle w:val="IndexLink"/>
                <w:rtl w:val="true"/>
              </w:rPr>
              <w:t xml:space="preserve">روایت </w:t>
            </w:r>
            <w:r>
              <w:rPr>
                <w:rStyle w:val="IndexLink"/>
              </w:rPr>
              <w:t>24</w:t>
            </w:r>
            <w:r>
              <w:rPr>
                <w:rStyle w:val="IndexLink"/>
                <w:rtl w:val="true"/>
              </w:rPr>
              <w:tab/>
            </w:r>
            <w:r>
              <w:rPr>
                <w:rStyle w:val="IndexLink"/>
              </w:rPr>
              <w:t>72</w:t>
            </w:r>
          </w:hyperlink>
        </w:p>
        <w:p>
          <w:pPr>
            <w:pStyle w:val="Contents5"/>
            <w:tabs>
              <w:tab w:val="clear" w:pos="7892"/>
              <w:tab w:val="right" w:pos="9026" w:leader="dot"/>
            </w:tabs>
            <w:rPr/>
          </w:pPr>
          <w:hyperlink w:anchor="__RefHeading___Toc605094_1934241801">
            <w:r>
              <w:rPr>
                <w:webHidden/>
                <w:rStyle w:val="IndexLink"/>
                <w:rtl w:val="true"/>
              </w:rPr>
              <w:t>بيان</w:t>
            </w:r>
            <w:r>
              <w:rPr>
                <w:rStyle w:val="IndexLink"/>
                <w:rtl w:val="true"/>
              </w:rPr>
              <w:tab/>
            </w:r>
            <w:r>
              <w:rPr>
                <w:rStyle w:val="IndexLink"/>
              </w:rPr>
              <w:t>74</w:t>
            </w:r>
          </w:hyperlink>
        </w:p>
        <w:p>
          <w:pPr>
            <w:pStyle w:val="Contents5"/>
            <w:tabs>
              <w:tab w:val="clear" w:pos="7892"/>
              <w:tab w:val="right" w:pos="9026" w:leader="dot"/>
            </w:tabs>
            <w:rPr/>
          </w:pPr>
          <w:hyperlink w:anchor="__RefHeading___Toc605096_1934241801">
            <w:r>
              <w:rPr>
                <w:webHidden/>
                <w:rStyle w:val="IndexLink"/>
                <w:rtl w:val="true"/>
              </w:rPr>
              <w:t>«</w:t>
            </w:r>
            <w:r>
              <w:rPr>
                <w:rStyle w:val="IndexLink"/>
              </w:rPr>
              <w:t>25</w:t>
            </w:r>
            <w:r>
              <w:rPr>
                <w:rStyle w:val="IndexLink"/>
                <w:rtl w:val="true"/>
              </w:rPr>
              <w:t>»</w:t>
              <w:tab/>
            </w:r>
            <w:r>
              <w:rPr>
                <w:rStyle w:val="IndexLink"/>
              </w:rPr>
              <w:t>74</w:t>
            </w:r>
          </w:hyperlink>
        </w:p>
        <w:p>
          <w:pPr>
            <w:pStyle w:val="Contents5"/>
            <w:tabs>
              <w:tab w:val="clear" w:pos="7892"/>
              <w:tab w:val="right" w:pos="9026" w:leader="dot"/>
            </w:tabs>
            <w:rPr/>
          </w:pPr>
          <w:hyperlink w:anchor="__RefHeading___Toc605098_1934241801">
            <w:r>
              <w:rPr>
                <w:webHidden/>
                <w:rStyle w:val="IndexLink"/>
                <w:rtl w:val="true"/>
              </w:rPr>
              <w:t>توضیح</w:t>
            </w:r>
            <w:r>
              <w:rPr>
                <w:rStyle w:val="IndexLink"/>
                <w:rtl w:val="true"/>
              </w:rPr>
              <w:tab/>
            </w:r>
            <w:r>
              <w:rPr>
                <w:rStyle w:val="IndexLink"/>
              </w:rPr>
              <w:t>75</w:t>
            </w:r>
          </w:hyperlink>
        </w:p>
        <w:p>
          <w:pPr>
            <w:pStyle w:val="Contents5"/>
            <w:tabs>
              <w:tab w:val="clear" w:pos="7892"/>
              <w:tab w:val="right" w:pos="9026" w:leader="dot"/>
            </w:tabs>
            <w:rPr/>
          </w:pPr>
          <w:hyperlink w:anchor="__RefHeading___Toc605100_1934241801">
            <w:r>
              <w:rPr>
                <w:webHidden/>
                <w:rStyle w:val="IndexLink"/>
                <w:rtl w:val="true"/>
              </w:rPr>
              <w:t xml:space="preserve">روایت </w:t>
            </w:r>
            <w:r>
              <w:rPr>
                <w:rStyle w:val="IndexLink"/>
              </w:rPr>
              <w:t>25</w:t>
            </w:r>
            <w:r>
              <w:rPr>
                <w:rStyle w:val="IndexLink"/>
                <w:rtl w:val="true"/>
              </w:rPr>
              <w:tab/>
            </w:r>
            <w:r>
              <w:rPr>
                <w:rStyle w:val="IndexLink"/>
              </w:rPr>
              <w:t>75</w:t>
            </w:r>
          </w:hyperlink>
        </w:p>
        <w:p>
          <w:pPr>
            <w:pStyle w:val="Contents5"/>
            <w:tabs>
              <w:tab w:val="clear" w:pos="7892"/>
              <w:tab w:val="right" w:pos="9026" w:leader="dot"/>
            </w:tabs>
            <w:rPr/>
          </w:pPr>
          <w:hyperlink w:anchor="__RefHeading___Toc605102_1934241801">
            <w:r>
              <w:rPr>
                <w:webHidden/>
                <w:rStyle w:val="IndexLink"/>
                <w:rtl w:val="true"/>
              </w:rPr>
              <w:t>بيان</w:t>
            </w:r>
            <w:r>
              <w:rPr>
                <w:rStyle w:val="IndexLink"/>
                <w:rtl w:val="true"/>
              </w:rPr>
              <w:tab/>
            </w:r>
            <w:r>
              <w:rPr>
                <w:rStyle w:val="IndexLink"/>
              </w:rPr>
              <w:t>80</w:t>
            </w:r>
          </w:hyperlink>
        </w:p>
        <w:p>
          <w:pPr>
            <w:pStyle w:val="Contents5"/>
            <w:tabs>
              <w:tab w:val="clear" w:pos="7892"/>
              <w:tab w:val="right" w:pos="9026" w:leader="dot"/>
            </w:tabs>
            <w:rPr/>
          </w:pPr>
          <w:hyperlink w:anchor="__RefHeading___Toc605104_1934241801">
            <w:r>
              <w:rPr>
                <w:webHidden/>
                <w:rStyle w:val="IndexLink"/>
                <w:rtl w:val="true"/>
              </w:rPr>
              <w:t>«</w:t>
            </w:r>
            <w:r>
              <w:rPr>
                <w:rStyle w:val="IndexLink"/>
              </w:rPr>
              <w:t>26</w:t>
            </w:r>
            <w:r>
              <w:rPr>
                <w:rStyle w:val="IndexLink"/>
                <w:rtl w:val="true"/>
              </w:rPr>
              <w:t>»</w:t>
              <w:tab/>
            </w:r>
            <w:r>
              <w:rPr>
                <w:rStyle w:val="IndexLink"/>
              </w:rPr>
              <w:t>80</w:t>
            </w:r>
          </w:hyperlink>
        </w:p>
        <w:p>
          <w:pPr>
            <w:pStyle w:val="Contents5"/>
            <w:tabs>
              <w:tab w:val="clear" w:pos="7892"/>
              <w:tab w:val="right" w:pos="9026" w:leader="dot"/>
            </w:tabs>
            <w:rPr/>
          </w:pPr>
          <w:hyperlink w:anchor="__RefHeading___Toc605106_1934241801">
            <w:r>
              <w:rPr>
                <w:webHidden/>
                <w:rStyle w:val="IndexLink"/>
                <w:rtl w:val="true"/>
              </w:rPr>
              <w:t>بيان</w:t>
            </w:r>
            <w:r>
              <w:rPr>
                <w:rStyle w:val="IndexLink"/>
                <w:rtl w:val="true"/>
              </w:rPr>
              <w:tab/>
            </w:r>
            <w:r>
              <w:rPr>
                <w:rStyle w:val="IndexLink"/>
              </w:rPr>
              <w:t>80</w:t>
            </w:r>
          </w:hyperlink>
        </w:p>
        <w:p>
          <w:pPr>
            <w:pStyle w:val="Contents5"/>
            <w:tabs>
              <w:tab w:val="clear" w:pos="7892"/>
              <w:tab w:val="right" w:pos="9026" w:leader="dot"/>
            </w:tabs>
            <w:rPr/>
          </w:pPr>
          <w:hyperlink w:anchor="__RefHeading___Toc605108_1934241801">
            <w:r>
              <w:rPr>
                <w:webHidden/>
                <w:rStyle w:val="IndexLink"/>
                <w:rtl w:val="true"/>
              </w:rPr>
              <w:t>«</w:t>
            </w:r>
            <w:r>
              <w:rPr>
                <w:rStyle w:val="IndexLink"/>
              </w:rPr>
              <w:t>27</w:t>
            </w:r>
            <w:r>
              <w:rPr>
                <w:rStyle w:val="IndexLink"/>
                <w:rtl w:val="true"/>
              </w:rPr>
              <w:t>»</w:t>
              <w:tab/>
            </w:r>
            <w:r>
              <w:rPr>
                <w:rStyle w:val="IndexLink"/>
              </w:rPr>
              <w:t>80</w:t>
            </w:r>
          </w:hyperlink>
        </w:p>
        <w:p>
          <w:pPr>
            <w:pStyle w:val="Contents5"/>
            <w:tabs>
              <w:tab w:val="clear" w:pos="7892"/>
              <w:tab w:val="right" w:pos="9026" w:leader="dot"/>
            </w:tabs>
            <w:rPr/>
          </w:pPr>
          <w:hyperlink w:anchor="__RefHeading___Toc605110_1934241801">
            <w:r>
              <w:rPr>
                <w:webHidden/>
                <w:rStyle w:val="IndexLink"/>
                <w:rtl w:val="true"/>
              </w:rPr>
              <w:t>«</w:t>
            </w:r>
            <w:r>
              <w:rPr>
                <w:rStyle w:val="IndexLink"/>
              </w:rPr>
              <w:t>28</w:t>
            </w:r>
            <w:r>
              <w:rPr>
                <w:rStyle w:val="IndexLink"/>
                <w:rtl w:val="true"/>
              </w:rPr>
              <w:t>»</w:t>
              <w:tab/>
            </w:r>
            <w:r>
              <w:rPr>
                <w:rStyle w:val="IndexLink"/>
              </w:rPr>
              <w:t>80</w:t>
            </w:r>
          </w:hyperlink>
        </w:p>
        <w:p>
          <w:pPr>
            <w:pStyle w:val="Contents5"/>
            <w:tabs>
              <w:tab w:val="clear" w:pos="7892"/>
              <w:tab w:val="right" w:pos="9026" w:leader="dot"/>
            </w:tabs>
            <w:rPr/>
          </w:pPr>
          <w:hyperlink w:anchor="__RefHeading___Toc605112_1934241801">
            <w:r>
              <w:rPr>
                <w:webHidden/>
                <w:rStyle w:val="IndexLink"/>
                <w:rtl w:val="true"/>
              </w:rPr>
              <w:t>توضیح</w:t>
            </w:r>
            <w:r>
              <w:rPr>
                <w:rStyle w:val="IndexLink"/>
                <w:rtl w:val="true"/>
              </w:rPr>
              <w:tab/>
            </w:r>
            <w:r>
              <w:rPr>
                <w:rStyle w:val="IndexLink"/>
              </w:rPr>
              <w:t>80</w:t>
            </w:r>
          </w:hyperlink>
        </w:p>
        <w:p>
          <w:pPr>
            <w:pStyle w:val="Contents5"/>
            <w:tabs>
              <w:tab w:val="clear" w:pos="7892"/>
              <w:tab w:val="right" w:pos="9026" w:leader="dot"/>
            </w:tabs>
            <w:rPr/>
          </w:pPr>
          <w:hyperlink w:anchor="__RefHeading___Toc605114_1934241801">
            <w:r>
              <w:rPr>
                <w:webHidden/>
                <w:rStyle w:val="IndexLink"/>
                <w:rtl w:val="true"/>
              </w:rPr>
              <w:t xml:space="preserve">روایت </w:t>
            </w:r>
            <w:r>
              <w:rPr>
                <w:rStyle w:val="IndexLink"/>
              </w:rPr>
              <w:t>26</w:t>
            </w:r>
            <w:r>
              <w:rPr>
                <w:rStyle w:val="IndexLink"/>
                <w:rtl w:val="true"/>
              </w:rPr>
              <w:tab/>
            </w:r>
            <w:r>
              <w:rPr>
                <w:rStyle w:val="IndexLink"/>
              </w:rPr>
              <w:t>80</w:t>
            </w:r>
          </w:hyperlink>
        </w:p>
        <w:p>
          <w:pPr>
            <w:pStyle w:val="Contents5"/>
            <w:tabs>
              <w:tab w:val="clear" w:pos="7892"/>
              <w:tab w:val="right" w:pos="9026" w:leader="dot"/>
            </w:tabs>
            <w:rPr/>
          </w:pPr>
          <w:hyperlink w:anchor="__RefHeading___Toc605116_1934241801">
            <w:r>
              <w:rPr>
                <w:webHidden/>
                <w:rStyle w:val="IndexLink"/>
                <w:rtl w:val="true"/>
              </w:rPr>
              <w:t>توضیح</w:t>
            </w:r>
            <w:r>
              <w:rPr>
                <w:rStyle w:val="IndexLink"/>
                <w:rtl w:val="true"/>
              </w:rPr>
              <w:tab/>
            </w:r>
            <w:r>
              <w:rPr>
                <w:rStyle w:val="IndexLink"/>
              </w:rPr>
              <w:t>81</w:t>
            </w:r>
          </w:hyperlink>
        </w:p>
        <w:p>
          <w:pPr>
            <w:pStyle w:val="Contents5"/>
            <w:tabs>
              <w:tab w:val="clear" w:pos="7892"/>
              <w:tab w:val="right" w:pos="9026" w:leader="dot"/>
            </w:tabs>
            <w:rPr/>
          </w:pPr>
          <w:hyperlink w:anchor="__RefHeading___Toc605118_1934241801">
            <w:r>
              <w:rPr>
                <w:webHidden/>
                <w:rStyle w:val="IndexLink"/>
                <w:rtl w:val="true"/>
              </w:rPr>
              <w:t xml:space="preserve">روایت </w:t>
            </w:r>
            <w:r>
              <w:rPr>
                <w:rStyle w:val="IndexLink"/>
              </w:rPr>
              <w:t>27</w:t>
            </w:r>
            <w:r>
              <w:rPr>
                <w:rStyle w:val="IndexLink"/>
                <w:rtl w:val="true"/>
              </w:rPr>
              <w:tab/>
            </w:r>
            <w:r>
              <w:rPr>
                <w:rStyle w:val="IndexLink"/>
              </w:rPr>
              <w:t>81</w:t>
            </w:r>
          </w:hyperlink>
        </w:p>
        <w:p>
          <w:pPr>
            <w:pStyle w:val="Contents5"/>
            <w:tabs>
              <w:tab w:val="clear" w:pos="7892"/>
              <w:tab w:val="right" w:pos="9026" w:leader="dot"/>
            </w:tabs>
            <w:rPr/>
          </w:pPr>
          <w:hyperlink w:anchor="__RefHeading___Toc605120_1934241801">
            <w:r>
              <w:rPr>
                <w:webHidden/>
                <w:rStyle w:val="IndexLink"/>
                <w:rtl w:val="true"/>
              </w:rPr>
              <w:t xml:space="preserve">روایت </w:t>
            </w:r>
            <w:r>
              <w:rPr>
                <w:rStyle w:val="IndexLink"/>
              </w:rPr>
              <w:t>28</w:t>
            </w:r>
            <w:r>
              <w:rPr>
                <w:rStyle w:val="IndexLink"/>
                <w:rtl w:val="true"/>
              </w:rPr>
              <w:tab/>
            </w:r>
            <w:r>
              <w:rPr>
                <w:rStyle w:val="IndexLink"/>
              </w:rPr>
              <w:t>81</w:t>
            </w:r>
          </w:hyperlink>
        </w:p>
        <w:p>
          <w:pPr>
            <w:pStyle w:val="Contents5"/>
            <w:tabs>
              <w:tab w:val="clear" w:pos="7892"/>
              <w:tab w:val="right" w:pos="9026" w:leader="dot"/>
            </w:tabs>
            <w:rPr/>
          </w:pPr>
          <w:hyperlink w:anchor="__RefHeading___Toc605122_1934241801">
            <w:r>
              <w:rPr>
                <w:webHidden/>
                <w:rStyle w:val="IndexLink"/>
                <w:rtl w:val="true"/>
              </w:rPr>
              <w:t>«</w:t>
            </w:r>
            <w:r>
              <w:rPr>
                <w:rStyle w:val="IndexLink"/>
              </w:rPr>
              <w:t>29</w:t>
            </w:r>
            <w:r>
              <w:rPr>
                <w:rStyle w:val="IndexLink"/>
                <w:rtl w:val="true"/>
              </w:rPr>
              <w:t>»</w:t>
              <w:tab/>
            </w:r>
            <w:r>
              <w:rPr>
                <w:rStyle w:val="IndexLink"/>
              </w:rPr>
              <w:t>82</w:t>
            </w:r>
          </w:hyperlink>
        </w:p>
        <w:p>
          <w:pPr>
            <w:pStyle w:val="Contents5"/>
            <w:tabs>
              <w:tab w:val="clear" w:pos="7892"/>
              <w:tab w:val="right" w:pos="9026" w:leader="dot"/>
            </w:tabs>
            <w:rPr/>
          </w:pPr>
          <w:hyperlink w:anchor="__RefHeading___Toc605124_1934241801">
            <w:r>
              <w:rPr>
                <w:webHidden/>
                <w:rStyle w:val="IndexLink"/>
                <w:rtl w:val="true"/>
              </w:rPr>
              <w:t>«</w:t>
            </w:r>
            <w:r>
              <w:rPr>
                <w:rStyle w:val="IndexLink"/>
              </w:rPr>
              <w:t>30</w:t>
            </w:r>
            <w:r>
              <w:rPr>
                <w:rStyle w:val="IndexLink"/>
                <w:rtl w:val="true"/>
              </w:rPr>
              <w:t>»</w:t>
              <w:tab/>
            </w:r>
            <w:r>
              <w:rPr>
                <w:rStyle w:val="IndexLink"/>
              </w:rPr>
              <w:t>82</w:t>
            </w:r>
          </w:hyperlink>
        </w:p>
        <w:p>
          <w:pPr>
            <w:pStyle w:val="Contents5"/>
            <w:tabs>
              <w:tab w:val="clear" w:pos="7892"/>
              <w:tab w:val="right" w:pos="9026" w:leader="dot"/>
            </w:tabs>
            <w:rPr/>
          </w:pPr>
          <w:hyperlink w:anchor="__RefHeading___Toc605126_1934241801">
            <w:r>
              <w:rPr>
                <w:webHidden/>
                <w:rStyle w:val="IndexLink"/>
                <w:rtl w:val="true"/>
              </w:rPr>
              <w:t xml:space="preserve">روایت </w:t>
            </w:r>
            <w:r>
              <w:rPr>
                <w:rStyle w:val="IndexLink"/>
              </w:rPr>
              <w:t>29</w:t>
            </w:r>
            <w:r>
              <w:rPr>
                <w:rStyle w:val="IndexLink"/>
                <w:rtl w:val="true"/>
              </w:rPr>
              <w:tab/>
            </w:r>
            <w:r>
              <w:rPr>
                <w:rStyle w:val="IndexLink"/>
              </w:rPr>
              <w:t>83</w:t>
            </w:r>
          </w:hyperlink>
        </w:p>
        <w:p>
          <w:pPr>
            <w:pStyle w:val="Contents5"/>
            <w:tabs>
              <w:tab w:val="clear" w:pos="7892"/>
              <w:tab w:val="right" w:pos="9026" w:leader="dot"/>
            </w:tabs>
            <w:rPr/>
          </w:pPr>
          <w:hyperlink w:anchor="__RefHeading___Toc605128_1934241801">
            <w:r>
              <w:rPr>
                <w:webHidden/>
                <w:rStyle w:val="IndexLink"/>
                <w:rtl w:val="true"/>
              </w:rPr>
              <w:t xml:space="preserve">روایت </w:t>
            </w:r>
            <w:r>
              <w:rPr>
                <w:rStyle w:val="IndexLink"/>
              </w:rPr>
              <w:t>30</w:t>
            </w:r>
            <w:r>
              <w:rPr>
                <w:rStyle w:val="IndexLink"/>
                <w:rtl w:val="true"/>
              </w:rPr>
              <w:tab/>
            </w:r>
            <w:r>
              <w:rPr>
                <w:rStyle w:val="IndexLink"/>
              </w:rPr>
              <w:t>83</w:t>
            </w:r>
          </w:hyperlink>
        </w:p>
        <w:p>
          <w:pPr>
            <w:pStyle w:val="Contents5"/>
            <w:tabs>
              <w:tab w:val="clear" w:pos="7892"/>
              <w:tab w:val="right" w:pos="9026" w:leader="dot"/>
            </w:tabs>
            <w:rPr/>
          </w:pPr>
          <w:hyperlink w:anchor="__RefHeading___Toc605130_1934241801">
            <w:r>
              <w:rPr>
                <w:webHidden/>
                <w:rStyle w:val="IndexLink"/>
                <w:rtl w:val="true"/>
              </w:rPr>
              <w:t>«</w:t>
            </w:r>
            <w:r>
              <w:rPr>
                <w:rStyle w:val="IndexLink"/>
              </w:rPr>
              <w:t>31</w:t>
            </w:r>
            <w:r>
              <w:rPr>
                <w:rStyle w:val="IndexLink"/>
                <w:rtl w:val="true"/>
              </w:rPr>
              <w:t>»</w:t>
              <w:tab/>
            </w:r>
            <w:r>
              <w:rPr>
                <w:rStyle w:val="IndexLink"/>
              </w:rPr>
              <w:t>84</w:t>
            </w:r>
          </w:hyperlink>
        </w:p>
        <w:p>
          <w:pPr>
            <w:pStyle w:val="Contents5"/>
            <w:tabs>
              <w:tab w:val="clear" w:pos="7892"/>
              <w:tab w:val="right" w:pos="9026" w:leader="dot"/>
            </w:tabs>
            <w:rPr/>
          </w:pPr>
          <w:hyperlink w:anchor="__RefHeading___Toc605132_1934241801">
            <w:r>
              <w:rPr>
                <w:webHidden/>
                <w:rStyle w:val="IndexLink"/>
                <w:rtl w:val="true"/>
              </w:rPr>
              <w:t>بيان</w:t>
            </w:r>
            <w:r>
              <w:rPr>
                <w:rStyle w:val="IndexLink"/>
                <w:rtl w:val="true"/>
              </w:rPr>
              <w:tab/>
            </w:r>
            <w:r>
              <w:rPr>
                <w:rStyle w:val="IndexLink"/>
              </w:rPr>
              <w:t>84</w:t>
            </w:r>
          </w:hyperlink>
        </w:p>
        <w:p>
          <w:pPr>
            <w:pStyle w:val="Contents5"/>
            <w:tabs>
              <w:tab w:val="clear" w:pos="7892"/>
              <w:tab w:val="right" w:pos="9026" w:leader="dot"/>
            </w:tabs>
            <w:rPr/>
          </w:pPr>
          <w:hyperlink w:anchor="__RefHeading___Toc605134_1934241801">
            <w:r>
              <w:rPr>
                <w:webHidden/>
                <w:rStyle w:val="IndexLink"/>
                <w:rtl w:val="true"/>
              </w:rPr>
              <w:t xml:space="preserve">روایت </w:t>
            </w:r>
            <w:r>
              <w:rPr>
                <w:rStyle w:val="IndexLink"/>
              </w:rPr>
              <w:t>31</w:t>
            </w:r>
            <w:r>
              <w:rPr>
                <w:rStyle w:val="IndexLink"/>
                <w:rtl w:val="true"/>
              </w:rPr>
              <w:tab/>
            </w:r>
            <w:r>
              <w:rPr>
                <w:rStyle w:val="IndexLink"/>
              </w:rPr>
              <w:t>84</w:t>
            </w:r>
          </w:hyperlink>
        </w:p>
        <w:p>
          <w:pPr>
            <w:pStyle w:val="Contents5"/>
            <w:tabs>
              <w:tab w:val="clear" w:pos="7892"/>
              <w:tab w:val="right" w:pos="9026" w:leader="dot"/>
            </w:tabs>
            <w:rPr/>
          </w:pPr>
          <w:hyperlink w:anchor="__RefHeading___Toc605136_1934241801">
            <w:r>
              <w:rPr>
                <w:webHidden/>
                <w:rStyle w:val="IndexLink"/>
                <w:rtl w:val="true"/>
              </w:rPr>
              <w:t>توضیح</w:t>
            </w:r>
            <w:r>
              <w:rPr>
                <w:rStyle w:val="IndexLink"/>
                <w:rtl w:val="true"/>
              </w:rPr>
              <w:tab/>
            </w:r>
            <w:r>
              <w:rPr>
                <w:rStyle w:val="IndexLink"/>
              </w:rPr>
              <w:t>85</w:t>
            </w:r>
          </w:hyperlink>
        </w:p>
        <w:p>
          <w:pPr>
            <w:pStyle w:val="Contents3"/>
            <w:tabs>
              <w:tab w:val="clear" w:pos="8459"/>
              <w:tab w:val="right" w:pos="9026" w:leader="dot"/>
            </w:tabs>
            <w:rPr/>
          </w:pPr>
          <w:hyperlink w:anchor="__RefHeading___Toc605138_1934241801">
            <w:r>
              <w:rPr>
                <w:webHidden/>
                <w:rStyle w:val="IndexLink"/>
                <w:rtl w:val="true"/>
              </w:rPr>
              <w:t xml:space="preserve">باب </w:t>
            </w:r>
            <w:r>
              <w:rPr>
                <w:rStyle w:val="IndexLink"/>
              </w:rPr>
              <w:t>2</w:t>
            </w:r>
            <w:r>
              <w:rPr>
                <w:rStyle w:val="IndexLink"/>
                <w:rtl w:val="true"/>
              </w:rPr>
              <w:t xml:space="preserve"> </w:t>
            </w:r>
            <w:r>
              <w:rPr>
                <w:rStyle w:val="IndexLink"/>
                <w:rtl w:val="true"/>
              </w:rPr>
              <w:t>جوامع أحكام الأغسال الواجبة و المندوبة و آدابها</w:t>
            </w:r>
            <w:r>
              <w:rPr>
                <w:rStyle w:val="IndexLink"/>
                <w:rtl w:val="true"/>
              </w:rPr>
              <w:tab/>
            </w:r>
            <w:r>
              <w:rPr>
                <w:rStyle w:val="IndexLink"/>
              </w:rPr>
              <w:t>87</w:t>
            </w:r>
          </w:hyperlink>
        </w:p>
        <w:p>
          <w:pPr>
            <w:pStyle w:val="Contents4"/>
            <w:tabs>
              <w:tab w:val="clear" w:pos="8176"/>
              <w:tab w:val="right" w:pos="9026" w:leader="dot"/>
            </w:tabs>
            <w:rPr/>
          </w:pPr>
          <w:hyperlink w:anchor="__RefHeading___Toc605140_1934241801">
            <w:r>
              <w:rPr>
                <w:webHidden/>
                <w:rStyle w:val="IndexLink"/>
                <w:rtl w:val="true"/>
              </w:rPr>
              <w:t>روايات</w:t>
            </w:r>
            <w:r>
              <w:rPr>
                <w:rStyle w:val="IndexLink"/>
                <w:rtl w:val="true"/>
              </w:rPr>
              <w:tab/>
            </w:r>
            <w:r>
              <w:rPr>
                <w:rStyle w:val="IndexLink"/>
              </w:rPr>
              <w:t>87</w:t>
            </w:r>
          </w:hyperlink>
        </w:p>
        <w:p>
          <w:pPr>
            <w:pStyle w:val="Contents5"/>
            <w:tabs>
              <w:tab w:val="clear" w:pos="7892"/>
              <w:tab w:val="right" w:pos="9026" w:leader="dot"/>
            </w:tabs>
            <w:rPr/>
          </w:pPr>
          <w:hyperlink w:anchor="__RefHeading___Toc605142_1934241801">
            <w:r>
              <w:rPr>
                <w:webHidden/>
                <w:rStyle w:val="IndexLink"/>
                <w:rtl w:val="true"/>
              </w:rPr>
              <w:t>«</w:t>
            </w:r>
            <w:r>
              <w:rPr>
                <w:rStyle w:val="IndexLink"/>
              </w:rPr>
              <w:t>1</w:t>
            </w:r>
            <w:r>
              <w:rPr>
                <w:rStyle w:val="IndexLink"/>
                <w:rtl w:val="true"/>
              </w:rPr>
              <w:t>»</w:t>
              <w:tab/>
            </w:r>
            <w:r>
              <w:rPr>
                <w:rStyle w:val="IndexLink"/>
              </w:rPr>
              <w:t>87</w:t>
            </w:r>
          </w:hyperlink>
        </w:p>
        <w:p>
          <w:pPr>
            <w:pStyle w:val="Contents5"/>
            <w:tabs>
              <w:tab w:val="clear" w:pos="7892"/>
              <w:tab w:val="right" w:pos="9026" w:leader="dot"/>
            </w:tabs>
            <w:rPr/>
          </w:pPr>
          <w:hyperlink w:anchor="__RefHeading___Toc605144_1934241801">
            <w:r>
              <w:rPr>
                <w:webHidden/>
                <w:rStyle w:val="IndexLink"/>
                <w:rtl w:val="true"/>
              </w:rPr>
              <w:t>بيان</w:t>
            </w:r>
            <w:r>
              <w:rPr>
                <w:rStyle w:val="IndexLink"/>
                <w:rtl w:val="true"/>
              </w:rPr>
              <w:tab/>
            </w:r>
            <w:r>
              <w:rPr>
                <w:rStyle w:val="IndexLink"/>
              </w:rPr>
              <w:t>87</w:t>
            </w:r>
          </w:hyperlink>
        </w:p>
        <w:p>
          <w:pPr>
            <w:pStyle w:val="Contents5"/>
            <w:tabs>
              <w:tab w:val="clear" w:pos="7892"/>
              <w:tab w:val="right" w:pos="9026" w:leader="dot"/>
            </w:tabs>
            <w:rPr/>
          </w:pPr>
          <w:hyperlink w:anchor="__RefHeading___Toc605146_1934241801">
            <w:r>
              <w:rPr>
                <w:webHidden/>
                <w:rStyle w:val="IndexLink"/>
                <w:rtl w:val="true"/>
              </w:rPr>
              <w:t>«</w:t>
            </w:r>
            <w:r>
              <w:rPr>
                <w:rStyle w:val="IndexLink"/>
              </w:rPr>
              <w:t>2</w:t>
            </w:r>
            <w:r>
              <w:rPr>
                <w:rStyle w:val="IndexLink"/>
                <w:rtl w:val="true"/>
              </w:rPr>
              <w:t>»</w:t>
              <w:tab/>
            </w:r>
            <w:r>
              <w:rPr>
                <w:rStyle w:val="IndexLink"/>
              </w:rPr>
              <w:t>87</w:t>
            </w:r>
          </w:hyperlink>
        </w:p>
        <w:p>
          <w:pPr>
            <w:pStyle w:val="Contents5"/>
            <w:tabs>
              <w:tab w:val="clear" w:pos="7892"/>
              <w:tab w:val="right" w:pos="9026" w:leader="dot"/>
            </w:tabs>
            <w:rPr/>
          </w:pPr>
          <w:hyperlink w:anchor="__RefHeading___Toc605148_1934241801">
            <w:r>
              <w:rPr>
                <w:webHidden/>
                <w:rStyle w:val="IndexLink"/>
                <w:rtl w:val="true"/>
              </w:rPr>
              <w:t>«</w:t>
            </w:r>
            <w:r>
              <w:rPr>
                <w:rStyle w:val="IndexLink"/>
              </w:rPr>
              <w:t>3</w:t>
            </w:r>
            <w:r>
              <w:rPr>
                <w:rStyle w:val="IndexLink"/>
                <w:rtl w:val="true"/>
              </w:rPr>
              <w:t>»</w:t>
              <w:tab/>
            </w:r>
            <w:r>
              <w:rPr>
                <w:rStyle w:val="IndexLink"/>
              </w:rPr>
              <w:t>87</w:t>
            </w:r>
          </w:hyperlink>
        </w:p>
        <w:p>
          <w:pPr>
            <w:pStyle w:val="Contents3"/>
            <w:tabs>
              <w:tab w:val="clear" w:pos="8459"/>
              <w:tab w:val="right" w:pos="9026" w:leader="dot"/>
            </w:tabs>
            <w:rPr/>
          </w:pPr>
          <w:hyperlink w:anchor="__RefHeading___Toc605150_1934241801">
            <w:r>
              <w:rPr>
                <w:webHidden/>
                <w:rStyle w:val="IndexLink"/>
                <w:rtl w:val="true"/>
              </w:rPr>
              <w:t xml:space="preserve">باب دوم </w:t>
            </w:r>
            <w:r>
              <w:rPr>
                <w:rStyle w:val="IndexLink"/>
                <w:rtl w:val="true"/>
              </w:rPr>
              <w:t xml:space="preserve">: </w:t>
            </w:r>
            <w:r>
              <w:rPr>
                <w:rStyle w:val="IndexLink"/>
                <w:rtl w:val="true"/>
              </w:rPr>
              <w:t>احکام جامع غسل های واجب و مستحبّ و آداب آن ها</w:t>
            </w:r>
            <w:r>
              <w:rPr>
                <w:rStyle w:val="IndexLink"/>
                <w:rtl w:val="true"/>
              </w:rPr>
              <w:tab/>
            </w:r>
            <w:r>
              <w:rPr>
                <w:rStyle w:val="IndexLink"/>
              </w:rPr>
              <w:t>87</w:t>
            </w:r>
          </w:hyperlink>
        </w:p>
        <w:p>
          <w:pPr>
            <w:pStyle w:val="Contents4"/>
            <w:tabs>
              <w:tab w:val="clear" w:pos="8176"/>
              <w:tab w:val="right" w:pos="9026" w:leader="dot"/>
            </w:tabs>
            <w:rPr/>
          </w:pPr>
          <w:hyperlink w:anchor="__RefHeading___Toc605152_1934241801">
            <w:r>
              <w:rPr>
                <w:webHidden/>
                <w:rStyle w:val="IndexLink"/>
                <w:rtl w:val="true"/>
              </w:rPr>
              <w:t>روایات</w:t>
            </w:r>
            <w:r>
              <w:rPr>
                <w:rStyle w:val="IndexLink"/>
                <w:rtl w:val="true"/>
              </w:rPr>
              <w:tab/>
            </w:r>
            <w:r>
              <w:rPr>
                <w:rStyle w:val="IndexLink"/>
              </w:rPr>
              <w:t>87</w:t>
            </w:r>
          </w:hyperlink>
        </w:p>
        <w:p>
          <w:pPr>
            <w:pStyle w:val="Contents5"/>
            <w:tabs>
              <w:tab w:val="clear" w:pos="7892"/>
              <w:tab w:val="right" w:pos="9026" w:leader="dot"/>
            </w:tabs>
            <w:rPr/>
          </w:pPr>
          <w:hyperlink w:anchor="__RefHeading___Toc605154_1934241801">
            <w:r>
              <w:rPr>
                <w:webHidden/>
                <w:rStyle w:val="IndexLink"/>
                <w:rtl w:val="true"/>
              </w:rPr>
              <w:t xml:space="preserve">روایت </w:t>
            </w:r>
            <w:r>
              <w:rPr>
                <w:rStyle w:val="IndexLink"/>
              </w:rPr>
              <w:t>1</w:t>
            </w:r>
            <w:r>
              <w:rPr>
                <w:rStyle w:val="IndexLink"/>
                <w:rtl w:val="true"/>
              </w:rPr>
              <w:tab/>
            </w:r>
            <w:r>
              <w:rPr>
                <w:rStyle w:val="IndexLink"/>
              </w:rPr>
              <w:t>87</w:t>
            </w:r>
          </w:hyperlink>
        </w:p>
        <w:p>
          <w:pPr>
            <w:pStyle w:val="Contents5"/>
            <w:tabs>
              <w:tab w:val="clear" w:pos="7892"/>
              <w:tab w:val="right" w:pos="9026" w:leader="dot"/>
            </w:tabs>
            <w:rPr/>
          </w:pPr>
          <w:hyperlink w:anchor="__RefHeading___Toc605156_1934241801">
            <w:r>
              <w:rPr>
                <w:webHidden/>
                <w:rStyle w:val="IndexLink"/>
                <w:rtl w:val="true"/>
              </w:rPr>
              <w:t>توضیح</w:t>
            </w:r>
            <w:r>
              <w:rPr>
                <w:rStyle w:val="IndexLink"/>
                <w:rtl w:val="true"/>
              </w:rPr>
              <w:tab/>
            </w:r>
            <w:r>
              <w:rPr>
                <w:rStyle w:val="IndexLink"/>
              </w:rPr>
              <w:t>87</w:t>
            </w:r>
          </w:hyperlink>
        </w:p>
        <w:p>
          <w:pPr>
            <w:pStyle w:val="Contents5"/>
            <w:tabs>
              <w:tab w:val="clear" w:pos="7892"/>
              <w:tab w:val="right" w:pos="9026" w:leader="dot"/>
            </w:tabs>
            <w:rPr/>
          </w:pPr>
          <w:hyperlink w:anchor="__RefHeading___Toc605158_1934241801">
            <w:r>
              <w:rPr>
                <w:webHidden/>
                <w:rStyle w:val="IndexLink"/>
                <w:rtl w:val="true"/>
              </w:rPr>
              <w:t xml:space="preserve">روایت </w:t>
            </w:r>
            <w:r>
              <w:rPr>
                <w:rStyle w:val="IndexLink"/>
              </w:rPr>
              <w:t>2</w:t>
            </w:r>
            <w:r>
              <w:rPr>
                <w:rStyle w:val="IndexLink"/>
                <w:rtl w:val="true"/>
              </w:rPr>
              <w:tab/>
            </w:r>
            <w:r>
              <w:rPr>
                <w:rStyle w:val="IndexLink"/>
              </w:rPr>
              <w:t>88</w:t>
            </w:r>
          </w:hyperlink>
        </w:p>
        <w:p>
          <w:pPr>
            <w:pStyle w:val="Contents5"/>
            <w:tabs>
              <w:tab w:val="clear" w:pos="7892"/>
              <w:tab w:val="right" w:pos="9026" w:leader="dot"/>
            </w:tabs>
            <w:rPr/>
          </w:pPr>
          <w:hyperlink w:anchor="__RefHeading___Toc605160_1934241801">
            <w:r>
              <w:rPr>
                <w:webHidden/>
                <w:rStyle w:val="IndexLink"/>
                <w:rtl w:val="true"/>
              </w:rPr>
              <w:t xml:space="preserve">روایت </w:t>
            </w:r>
            <w:r>
              <w:rPr>
                <w:rStyle w:val="IndexLink"/>
              </w:rPr>
              <w:t>3</w:t>
            </w:r>
            <w:r>
              <w:rPr>
                <w:rStyle w:val="IndexLink"/>
                <w:rtl w:val="true"/>
              </w:rPr>
              <w:tab/>
            </w:r>
            <w:r>
              <w:rPr>
                <w:rStyle w:val="IndexLink"/>
              </w:rPr>
              <w:t>88</w:t>
            </w:r>
          </w:hyperlink>
        </w:p>
        <w:p>
          <w:pPr>
            <w:pStyle w:val="Contents5"/>
            <w:tabs>
              <w:tab w:val="clear" w:pos="7892"/>
              <w:tab w:val="right" w:pos="9026" w:leader="dot"/>
            </w:tabs>
            <w:rPr/>
          </w:pPr>
          <w:hyperlink w:anchor="__RefHeading___Toc605162_1934241801">
            <w:r>
              <w:rPr>
                <w:webHidden/>
                <w:rStyle w:val="IndexLink"/>
                <w:rtl w:val="true"/>
              </w:rPr>
              <w:t>بيان</w:t>
            </w:r>
            <w:r>
              <w:rPr>
                <w:rStyle w:val="IndexLink"/>
                <w:rtl w:val="true"/>
              </w:rPr>
              <w:tab/>
            </w:r>
            <w:r>
              <w:rPr>
                <w:rStyle w:val="IndexLink"/>
              </w:rPr>
              <w:t>89</w:t>
            </w:r>
          </w:hyperlink>
        </w:p>
        <w:p>
          <w:pPr>
            <w:pStyle w:val="Contents5"/>
            <w:tabs>
              <w:tab w:val="clear" w:pos="7892"/>
              <w:tab w:val="right" w:pos="9026" w:leader="dot"/>
            </w:tabs>
            <w:rPr/>
          </w:pPr>
          <w:hyperlink w:anchor="__RefHeading___Toc605164_1934241801">
            <w:r>
              <w:rPr>
                <w:webHidden/>
                <w:rStyle w:val="IndexLink"/>
                <w:rtl w:val="true"/>
              </w:rPr>
              <w:t>توضیح</w:t>
            </w:r>
            <w:r>
              <w:rPr>
                <w:rStyle w:val="IndexLink"/>
                <w:rtl w:val="true"/>
              </w:rPr>
              <w:tab/>
            </w:r>
            <w:r>
              <w:rPr>
                <w:rStyle w:val="IndexLink"/>
              </w:rPr>
              <w:t>89</w:t>
            </w:r>
          </w:hyperlink>
        </w:p>
        <w:p>
          <w:pPr>
            <w:pStyle w:val="Contents5"/>
            <w:tabs>
              <w:tab w:val="clear" w:pos="7892"/>
              <w:tab w:val="right" w:pos="9026" w:leader="dot"/>
            </w:tabs>
            <w:rPr/>
          </w:pPr>
          <w:hyperlink w:anchor="__RefHeading___Toc605166_1934241801">
            <w:r>
              <w:rPr>
                <w:webHidden/>
                <w:rStyle w:val="IndexLink"/>
                <w:rtl w:val="true"/>
              </w:rPr>
              <w:t>«</w:t>
            </w:r>
            <w:r>
              <w:rPr>
                <w:rStyle w:val="IndexLink"/>
              </w:rPr>
              <w:t>4</w:t>
            </w:r>
            <w:r>
              <w:rPr>
                <w:rStyle w:val="IndexLink"/>
                <w:rtl w:val="true"/>
              </w:rPr>
              <w:t>»</w:t>
              <w:tab/>
            </w:r>
            <w:r>
              <w:rPr>
                <w:rStyle w:val="IndexLink"/>
              </w:rPr>
              <w:t>91</w:t>
            </w:r>
          </w:hyperlink>
        </w:p>
        <w:p>
          <w:pPr>
            <w:pStyle w:val="Contents5"/>
            <w:tabs>
              <w:tab w:val="clear" w:pos="7892"/>
              <w:tab w:val="right" w:pos="9026" w:leader="dot"/>
            </w:tabs>
            <w:rPr/>
          </w:pPr>
          <w:hyperlink w:anchor="__RefHeading___Toc605168_1934241801">
            <w:r>
              <w:rPr>
                <w:webHidden/>
                <w:rStyle w:val="IndexLink"/>
                <w:rtl w:val="true"/>
              </w:rPr>
              <w:t>«</w:t>
            </w:r>
            <w:r>
              <w:rPr>
                <w:rStyle w:val="IndexLink"/>
              </w:rPr>
              <w:t>5</w:t>
            </w:r>
            <w:r>
              <w:rPr>
                <w:rStyle w:val="IndexLink"/>
                <w:rtl w:val="true"/>
              </w:rPr>
              <w:t>»</w:t>
              <w:tab/>
            </w:r>
            <w:r>
              <w:rPr>
                <w:rStyle w:val="IndexLink"/>
              </w:rPr>
              <w:t>91</w:t>
            </w:r>
          </w:hyperlink>
        </w:p>
        <w:p>
          <w:pPr>
            <w:pStyle w:val="Contents5"/>
            <w:tabs>
              <w:tab w:val="clear" w:pos="7892"/>
              <w:tab w:val="right" w:pos="9026" w:leader="dot"/>
            </w:tabs>
            <w:rPr/>
          </w:pPr>
          <w:hyperlink w:anchor="__RefHeading___Toc605170_1934241801">
            <w:r>
              <w:rPr>
                <w:webHidden/>
                <w:rStyle w:val="IndexLink"/>
                <w:rtl w:val="true"/>
              </w:rPr>
              <w:t>«</w:t>
            </w:r>
            <w:r>
              <w:rPr>
                <w:rStyle w:val="IndexLink"/>
              </w:rPr>
              <w:t>6</w:t>
            </w:r>
            <w:r>
              <w:rPr>
                <w:rStyle w:val="IndexLink"/>
                <w:rtl w:val="true"/>
              </w:rPr>
              <w:t>»</w:t>
              <w:tab/>
            </w:r>
            <w:r>
              <w:rPr>
                <w:rStyle w:val="IndexLink"/>
              </w:rPr>
              <w:t>91</w:t>
            </w:r>
          </w:hyperlink>
        </w:p>
        <w:p>
          <w:pPr>
            <w:pStyle w:val="Contents5"/>
            <w:tabs>
              <w:tab w:val="clear" w:pos="7892"/>
              <w:tab w:val="right" w:pos="9026" w:leader="dot"/>
            </w:tabs>
            <w:rPr/>
          </w:pPr>
          <w:hyperlink w:anchor="__RefHeading___Toc605172_1934241801">
            <w:r>
              <w:rPr>
                <w:webHidden/>
                <w:rStyle w:val="IndexLink"/>
                <w:rtl w:val="true"/>
              </w:rPr>
              <w:t>بيان</w:t>
            </w:r>
            <w:r>
              <w:rPr>
                <w:rStyle w:val="IndexLink"/>
                <w:rtl w:val="true"/>
              </w:rPr>
              <w:tab/>
            </w:r>
            <w:r>
              <w:rPr>
                <w:rStyle w:val="IndexLink"/>
              </w:rPr>
              <w:t>91</w:t>
            </w:r>
          </w:hyperlink>
        </w:p>
        <w:p>
          <w:pPr>
            <w:pStyle w:val="Contents5"/>
            <w:tabs>
              <w:tab w:val="clear" w:pos="7892"/>
              <w:tab w:val="right" w:pos="9026" w:leader="dot"/>
            </w:tabs>
            <w:rPr/>
          </w:pPr>
          <w:hyperlink w:anchor="__RefHeading___Toc605174_1934241801">
            <w:r>
              <w:rPr>
                <w:webHidden/>
                <w:rStyle w:val="IndexLink"/>
                <w:rtl w:val="true"/>
              </w:rPr>
              <w:t xml:space="preserve">روایت </w:t>
            </w:r>
            <w:r>
              <w:rPr>
                <w:rStyle w:val="IndexLink"/>
              </w:rPr>
              <w:t>4</w:t>
            </w:r>
            <w:r>
              <w:rPr>
                <w:rStyle w:val="IndexLink"/>
                <w:rtl w:val="true"/>
              </w:rPr>
              <w:tab/>
            </w:r>
            <w:r>
              <w:rPr>
                <w:rStyle w:val="IndexLink"/>
              </w:rPr>
              <w:t>91</w:t>
            </w:r>
          </w:hyperlink>
        </w:p>
        <w:p>
          <w:pPr>
            <w:pStyle w:val="Contents5"/>
            <w:tabs>
              <w:tab w:val="clear" w:pos="7892"/>
              <w:tab w:val="right" w:pos="9026" w:leader="dot"/>
            </w:tabs>
            <w:rPr/>
          </w:pPr>
          <w:hyperlink w:anchor="__RefHeading___Toc605176_1934241801">
            <w:r>
              <w:rPr>
                <w:webHidden/>
                <w:rStyle w:val="IndexLink"/>
                <w:rtl w:val="true"/>
              </w:rPr>
              <w:t xml:space="preserve">روایت </w:t>
            </w:r>
            <w:r>
              <w:rPr>
                <w:rStyle w:val="IndexLink"/>
              </w:rPr>
              <w:t>5</w:t>
            </w:r>
            <w:r>
              <w:rPr>
                <w:rStyle w:val="IndexLink"/>
                <w:rtl w:val="true"/>
              </w:rPr>
              <w:tab/>
            </w:r>
            <w:r>
              <w:rPr>
                <w:rStyle w:val="IndexLink"/>
              </w:rPr>
              <w:t>91</w:t>
            </w:r>
          </w:hyperlink>
        </w:p>
        <w:p>
          <w:pPr>
            <w:pStyle w:val="Contents5"/>
            <w:tabs>
              <w:tab w:val="clear" w:pos="7892"/>
              <w:tab w:val="right" w:pos="9026" w:leader="dot"/>
            </w:tabs>
            <w:rPr/>
          </w:pPr>
          <w:hyperlink w:anchor="__RefHeading___Toc605178_1934241801">
            <w:r>
              <w:rPr>
                <w:webHidden/>
                <w:rStyle w:val="IndexLink"/>
                <w:rtl w:val="true"/>
              </w:rPr>
              <w:t xml:space="preserve">روایت </w:t>
            </w:r>
            <w:r>
              <w:rPr>
                <w:rStyle w:val="IndexLink"/>
              </w:rPr>
              <w:t>6</w:t>
            </w:r>
            <w:r>
              <w:rPr>
                <w:rStyle w:val="IndexLink"/>
                <w:rtl w:val="true"/>
              </w:rPr>
              <w:tab/>
            </w:r>
            <w:r>
              <w:rPr>
                <w:rStyle w:val="IndexLink"/>
              </w:rPr>
              <w:t>92</w:t>
            </w:r>
          </w:hyperlink>
        </w:p>
        <w:p>
          <w:pPr>
            <w:pStyle w:val="Contents5"/>
            <w:tabs>
              <w:tab w:val="clear" w:pos="7892"/>
              <w:tab w:val="right" w:pos="9026" w:leader="dot"/>
            </w:tabs>
            <w:rPr/>
          </w:pPr>
          <w:hyperlink w:anchor="__RefHeading___Toc605180_1934241801">
            <w:r>
              <w:rPr>
                <w:webHidden/>
                <w:rStyle w:val="IndexLink"/>
                <w:rtl w:val="true"/>
              </w:rPr>
              <w:t>توضیح</w:t>
            </w:r>
            <w:r>
              <w:rPr>
                <w:rStyle w:val="IndexLink"/>
                <w:rtl w:val="true"/>
              </w:rPr>
              <w:tab/>
            </w:r>
            <w:r>
              <w:rPr>
                <w:rStyle w:val="IndexLink"/>
              </w:rPr>
              <w:t>92</w:t>
            </w:r>
          </w:hyperlink>
        </w:p>
        <w:p>
          <w:pPr>
            <w:pStyle w:val="Contents5"/>
            <w:tabs>
              <w:tab w:val="clear" w:pos="7892"/>
              <w:tab w:val="right" w:pos="9026" w:leader="dot"/>
            </w:tabs>
            <w:rPr/>
          </w:pPr>
          <w:hyperlink w:anchor="__RefHeading___Toc605182_1934241801">
            <w:r>
              <w:rPr>
                <w:webHidden/>
                <w:rStyle w:val="IndexLink"/>
                <w:rtl w:val="true"/>
              </w:rPr>
              <w:t>«</w:t>
            </w:r>
            <w:r>
              <w:rPr>
                <w:rStyle w:val="IndexLink"/>
              </w:rPr>
              <w:t>7</w:t>
            </w:r>
            <w:r>
              <w:rPr>
                <w:rStyle w:val="IndexLink"/>
                <w:rtl w:val="true"/>
              </w:rPr>
              <w:t>»</w:t>
              <w:tab/>
            </w:r>
            <w:r>
              <w:rPr>
                <w:rStyle w:val="IndexLink"/>
              </w:rPr>
              <w:t>93</w:t>
            </w:r>
          </w:hyperlink>
        </w:p>
        <w:p>
          <w:pPr>
            <w:pStyle w:val="Contents5"/>
            <w:tabs>
              <w:tab w:val="clear" w:pos="7892"/>
              <w:tab w:val="right" w:pos="9026" w:leader="dot"/>
            </w:tabs>
            <w:rPr/>
          </w:pPr>
          <w:hyperlink w:anchor="__RefHeading___Toc605184_1934241801">
            <w:r>
              <w:rPr>
                <w:webHidden/>
                <w:rStyle w:val="IndexLink"/>
                <w:rtl w:val="true"/>
              </w:rPr>
              <w:t xml:space="preserve">روایت </w:t>
            </w:r>
            <w:r>
              <w:rPr>
                <w:rStyle w:val="IndexLink"/>
              </w:rPr>
              <w:t>7</w:t>
            </w:r>
            <w:r>
              <w:rPr>
                <w:rStyle w:val="IndexLink"/>
                <w:rtl w:val="true"/>
              </w:rPr>
              <w:tab/>
            </w:r>
            <w:r>
              <w:rPr>
                <w:rStyle w:val="IndexLink"/>
              </w:rPr>
              <w:t>93</w:t>
            </w:r>
          </w:hyperlink>
        </w:p>
        <w:p>
          <w:pPr>
            <w:pStyle w:val="Contents5"/>
            <w:tabs>
              <w:tab w:val="clear" w:pos="7892"/>
              <w:tab w:val="right" w:pos="9026" w:leader="dot"/>
            </w:tabs>
            <w:rPr/>
          </w:pPr>
          <w:hyperlink w:anchor="__RefHeading___Toc605186_1934241801">
            <w:r>
              <w:rPr>
                <w:webHidden/>
                <w:rStyle w:val="IndexLink"/>
                <w:rtl w:val="true"/>
              </w:rPr>
              <w:t>بيان</w:t>
            </w:r>
            <w:r>
              <w:rPr>
                <w:rStyle w:val="IndexLink"/>
                <w:rtl w:val="true"/>
              </w:rPr>
              <w:tab/>
            </w:r>
            <w:r>
              <w:rPr>
                <w:rStyle w:val="IndexLink"/>
              </w:rPr>
              <w:t>95</w:t>
            </w:r>
          </w:hyperlink>
        </w:p>
        <w:p>
          <w:pPr>
            <w:pStyle w:val="Contents5"/>
            <w:tabs>
              <w:tab w:val="clear" w:pos="7892"/>
              <w:tab w:val="right" w:pos="9026" w:leader="dot"/>
            </w:tabs>
            <w:rPr/>
          </w:pPr>
          <w:hyperlink w:anchor="__RefHeading___Toc605188_1934241801">
            <w:r>
              <w:rPr>
                <w:webHidden/>
                <w:rStyle w:val="IndexLink"/>
                <w:rtl w:val="true"/>
              </w:rPr>
              <w:t>توضیح</w:t>
            </w:r>
            <w:r>
              <w:rPr>
                <w:rStyle w:val="IndexLink"/>
                <w:rtl w:val="true"/>
              </w:rPr>
              <w:tab/>
            </w:r>
            <w:r>
              <w:rPr>
                <w:rStyle w:val="IndexLink"/>
              </w:rPr>
              <w:t>95</w:t>
            </w:r>
          </w:hyperlink>
        </w:p>
        <w:p>
          <w:pPr>
            <w:pStyle w:val="Contents5"/>
            <w:tabs>
              <w:tab w:val="clear" w:pos="7892"/>
              <w:tab w:val="right" w:pos="9026" w:leader="dot"/>
            </w:tabs>
            <w:rPr/>
          </w:pPr>
          <w:hyperlink w:anchor="__RefHeading___Toc605190_1934241801">
            <w:r>
              <w:rPr>
                <w:webHidden/>
                <w:rStyle w:val="IndexLink"/>
                <w:rtl w:val="true"/>
              </w:rPr>
              <w:t>تقريب</w:t>
            </w:r>
            <w:r>
              <w:rPr>
                <w:rStyle w:val="IndexLink"/>
                <w:rtl w:val="true"/>
              </w:rPr>
              <w:tab/>
            </w:r>
            <w:r>
              <w:rPr>
                <w:rStyle w:val="IndexLink"/>
              </w:rPr>
              <w:t>97</w:t>
            </w:r>
          </w:hyperlink>
        </w:p>
        <w:p>
          <w:pPr>
            <w:pStyle w:val="Contents5"/>
            <w:tabs>
              <w:tab w:val="clear" w:pos="7892"/>
              <w:tab w:val="right" w:pos="9026" w:leader="dot"/>
            </w:tabs>
            <w:rPr/>
          </w:pPr>
          <w:hyperlink w:anchor="__RefHeading___Toc605192_1934241801">
            <w:r>
              <w:rPr>
                <w:webHidden/>
                <w:rStyle w:val="IndexLink"/>
                <w:rtl w:val="true"/>
              </w:rPr>
              <w:t>أقول</w:t>
            </w:r>
            <w:r>
              <w:rPr>
                <w:rStyle w:val="IndexLink"/>
                <w:rtl w:val="true"/>
              </w:rPr>
              <w:tab/>
            </w:r>
            <w:r>
              <w:rPr>
                <w:rStyle w:val="IndexLink"/>
              </w:rPr>
              <w:t>97</w:t>
            </w:r>
          </w:hyperlink>
        </w:p>
        <w:p>
          <w:pPr>
            <w:pStyle w:val="Contents5"/>
            <w:tabs>
              <w:tab w:val="clear" w:pos="7892"/>
              <w:tab w:val="right" w:pos="9026" w:leader="dot"/>
            </w:tabs>
            <w:rPr/>
          </w:pPr>
          <w:hyperlink w:anchor="__RefHeading___Toc605194_1934241801">
            <w:r>
              <w:rPr>
                <w:webHidden/>
                <w:rStyle w:val="IndexLink"/>
                <w:rtl w:val="true"/>
              </w:rPr>
              <w:t>«</w:t>
            </w:r>
            <w:r>
              <w:rPr>
                <w:rStyle w:val="IndexLink"/>
              </w:rPr>
              <w:t>8</w:t>
            </w:r>
            <w:r>
              <w:rPr>
                <w:rStyle w:val="IndexLink"/>
                <w:rtl w:val="true"/>
              </w:rPr>
              <w:t>»</w:t>
              <w:tab/>
            </w:r>
            <w:r>
              <w:rPr>
                <w:rStyle w:val="IndexLink"/>
              </w:rPr>
              <w:t>97</w:t>
            </w:r>
          </w:hyperlink>
        </w:p>
        <w:p>
          <w:pPr>
            <w:pStyle w:val="Contents5"/>
            <w:tabs>
              <w:tab w:val="clear" w:pos="7892"/>
              <w:tab w:val="right" w:pos="9026" w:leader="dot"/>
            </w:tabs>
            <w:rPr/>
          </w:pPr>
          <w:hyperlink w:anchor="__RefHeading___Toc605196_1934241801">
            <w:r>
              <w:rPr>
                <w:webHidden/>
                <w:rStyle w:val="IndexLink"/>
                <w:rtl w:val="true"/>
              </w:rPr>
              <w:t>«</w:t>
            </w:r>
            <w:r>
              <w:rPr>
                <w:rStyle w:val="IndexLink"/>
              </w:rPr>
              <w:t>9</w:t>
            </w:r>
            <w:r>
              <w:rPr>
                <w:rStyle w:val="IndexLink"/>
                <w:rtl w:val="true"/>
              </w:rPr>
              <w:t>»</w:t>
              <w:tab/>
            </w:r>
            <w:r>
              <w:rPr>
                <w:rStyle w:val="IndexLink"/>
              </w:rPr>
              <w:t>97</w:t>
            </w:r>
          </w:hyperlink>
        </w:p>
        <w:p>
          <w:pPr>
            <w:pStyle w:val="Contents5"/>
            <w:tabs>
              <w:tab w:val="clear" w:pos="7892"/>
              <w:tab w:val="right" w:pos="9026" w:leader="dot"/>
            </w:tabs>
            <w:rPr/>
          </w:pPr>
          <w:hyperlink w:anchor="__RefHeading___Toc605198_1934241801">
            <w:r>
              <w:rPr>
                <w:webHidden/>
                <w:rStyle w:val="IndexLink"/>
                <w:rtl w:val="true"/>
              </w:rPr>
              <w:t>تقریب</w:t>
            </w:r>
            <w:r>
              <w:rPr>
                <w:rStyle w:val="IndexLink"/>
                <w:rtl w:val="true"/>
              </w:rPr>
              <w:tab/>
            </w:r>
            <w:r>
              <w:rPr>
                <w:rStyle w:val="IndexLink"/>
              </w:rPr>
              <w:t>97</w:t>
            </w:r>
          </w:hyperlink>
        </w:p>
        <w:p>
          <w:pPr>
            <w:pStyle w:val="Contents5"/>
            <w:tabs>
              <w:tab w:val="clear" w:pos="7892"/>
              <w:tab w:val="right" w:pos="9026" w:leader="dot"/>
            </w:tabs>
            <w:rPr/>
          </w:pPr>
          <w:hyperlink w:anchor="__RefHeading___Toc605200_1934241801">
            <w:r>
              <w:rPr>
                <w:webHidden/>
                <w:rStyle w:val="IndexLink"/>
                <w:rtl w:val="true"/>
              </w:rPr>
              <w:t>می گویم</w:t>
            </w:r>
            <w:r>
              <w:rPr>
                <w:rStyle w:val="IndexLink"/>
                <w:rtl w:val="true"/>
              </w:rPr>
              <w:tab/>
            </w:r>
            <w:r>
              <w:rPr>
                <w:rStyle w:val="IndexLink"/>
              </w:rPr>
              <w:t>98</w:t>
            </w:r>
          </w:hyperlink>
        </w:p>
        <w:p>
          <w:pPr>
            <w:pStyle w:val="Contents5"/>
            <w:tabs>
              <w:tab w:val="clear" w:pos="7892"/>
              <w:tab w:val="right" w:pos="9026" w:leader="dot"/>
            </w:tabs>
            <w:rPr/>
          </w:pPr>
          <w:hyperlink w:anchor="__RefHeading___Toc605202_1934241801">
            <w:r>
              <w:rPr>
                <w:webHidden/>
                <w:rStyle w:val="IndexLink"/>
                <w:rtl w:val="true"/>
              </w:rPr>
              <w:t xml:space="preserve">روایت </w:t>
            </w:r>
            <w:r>
              <w:rPr>
                <w:rStyle w:val="IndexLink"/>
              </w:rPr>
              <w:t>8</w:t>
            </w:r>
            <w:r>
              <w:rPr>
                <w:rStyle w:val="IndexLink"/>
                <w:rtl w:val="true"/>
              </w:rPr>
              <w:tab/>
            </w:r>
            <w:r>
              <w:rPr>
                <w:rStyle w:val="IndexLink"/>
              </w:rPr>
              <w:t>98</w:t>
            </w:r>
          </w:hyperlink>
        </w:p>
        <w:p>
          <w:pPr>
            <w:pStyle w:val="Contents5"/>
            <w:tabs>
              <w:tab w:val="clear" w:pos="7892"/>
              <w:tab w:val="right" w:pos="9026" w:leader="dot"/>
            </w:tabs>
            <w:rPr/>
          </w:pPr>
          <w:hyperlink w:anchor="__RefHeading___Toc605204_1934241801">
            <w:r>
              <w:rPr>
                <w:webHidden/>
                <w:rStyle w:val="IndexLink"/>
                <w:rtl w:val="true"/>
              </w:rPr>
              <w:t xml:space="preserve">روایت </w:t>
            </w:r>
            <w:r>
              <w:rPr>
                <w:rStyle w:val="IndexLink"/>
              </w:rPr>
              <w:t>9</w:t>
            </w:r>
            <w:r>
              <w:rPr>
                <w:rStyle w:val="IndexLink"/>
                <w:rtl w:val="true"/>
              </w:rPr>
              <w:tab/>
            </w:r>
            <w:r>
              <w:rPr>
                <w:rStyle w:val="IndexLink"/>
              </w:rPr>
              <w:t>98</w:t>
            </w:r>
          </w:hyperlink>
        </w:p>
        <w:p>
          <w:pPr>
            <w:pStyle w:val="Contents5"/>
            <w:tabs>
              <w:tab w:val="clear" w:pos="7892"/>
              <w:tab w:val="right" w:pos="9026" w:leader="dot"/>
            </w:tabs>
            <w:rPr/>
          </w:pPr>
          <w:hyperlink w:anchor="__RefHeading___Toc605206_1934241801">
            <w:r>
              <w:rPr>
                <w:webHidden/>
                <w:rStyle w:val="IndexLink"/>
                <w:rtl w:val="true"/>
              </w:rPr>
              <w:t>بيان</w:t>
            </w:r>
            <w:r>
              <w:rPr>
                <w:rStyle w:val="IndexLink"/>
                <w:rtl w:val="true"/>
              </w:rPr>
              <w:tab/>
            </w:r>
            <w:r>
              <w:rPr>
                <w:rStyle w:val="IndexLink"/>
              </w:rPr>
              <w:t>99</w:t>
            </w:r>
          </w:hyperlink>
        </w:p>
        <w:p>
          <w:pPr>
            <w:pStyle w:val="Contents5"/>
            <w:tabs>
              <w:tab w:val="clear" w:pos="7892"/>
              <w:tab w:val="right" w:pos="9026" w:leader="dot"/>
            </w:tabs>
            <w:rPr/>
          </w:pPr>
          <w:hyperlink w:anchor="__RefHeading___Toc605208_1934241801">
            <w:r>
              <w:rPr>
                <w:webHidden/>
                <w:rStyle w:val="IndexLink"/>
                <w:rtl w:val="true"/>
              </w:rPr>
              <w:t>«</w:t>
            </w:r>
            <w:r>
              <w:rPr>
                <w:rStyle w:val="IndexLink"/>
              </w:rPr>
              <w:t>10</w:t>
            </w:r>
            <w:r>
              <w:rPr>
                <w:rStyle w:val="IndexLink"/>
                <w:rtl w:val="true"/>
              </w:rPr>
              <w:t>»</w:t>
              <w:tab/>
            </w:r>
            <w:r>
              <w:rPr>
                <w:rStyle w:val="IndexLink"/>
              </w:rPr>
              <w:t>99</w:t>
            </w:r>
          </w:hyperlink>
        </w:p>
        <w:p>
          <w:pPr>
            <w:pStyle w:val="Contents5"/>
            <w:tabs>
              <w:tab w:val="clear" w:pos="7892"/>
              <w:tab w:val="right" w:pos="9026" w:leader="dot"/>
            </w:tabs>
            <w:rPr/>
          </w:pPr>
          <w:hyperlink w:anchor="__RefHeading___Toc605210_1934241801">
            <w:r>
              <w:rPr>
                <w:webHidden/>
                <w:rStyle w:val="IndexLink"/>
                <w:rtl w:val="true"/>
              </w:rPr>
              <w:t>توضیح</w:t>
            </w:r>
            <w:r>
              <w:rPr>
                <w:rStyle w:val="IndexLink"/>
                <w:rtl w:val="true"/>
              </w:rPr>
              <w:tab/>
            </w:r>
            <w:r>
              <w:rPr>
                <w:rStyle w:val="IndexLink"/>
              </w:rPr>
              <w:t>99</w:t>
            </w:r>
          </w:hyperlink>
        </w:p>
        <w:p>
          <w:pPr>
            <w:pStyle w:val="Contents5"/>
            <w:tabs>
              <w:tab w:val="clear" w:pos="7892"/>
              <w:tab w:val="right" w:pos="9026" w:leader="dot"/>
            </w:tabs>
            <w:rPr/>
          </w:pPr>
          <w:hyperlink w:anchor="__RefHeading___Toc605212_1934241801">
            <w:r>
              <w:rPr>
                <w:webHidden/>
                <w:rStyle w:val="IndexLink"/>
                <w:rtl w:val="true"/>
              </w:rPr>
              <w:t xml:space="preserve">روایت </w:t>
            </w:r>
            <w:r>
              <w:rPr>
                <w:rStyle w:val="IndexLink"/>
              </w:rPr>
              <w:t>10</w:t>
            </w:r>
            <w:r>
              <w:rPr>
                <w:rStyle w:val="IndexLink"/>
                <w:rtl w:val="true"/>
              </w:rPr>
              <w:tab/>
            </w:r>
            <w:r>
              <w:rPr>
                <w:rStyle w:val="IndexLink"/>
              </w:rPr>
              <w:t>100</w:t>
            </w:r>
          </w:hyperlink>
        </w:p>
        <w:p>
          <w:pPr>
            <w:pStyle w:val="Contents5"/>
            <w:tabs>
              <w:tab w:val="clear" w:pos="7892"/>
              <w:tab w:val="right" w:pos="9026" w:leader="dot"/>
            </w:tabs>
            <w:rPr/>
          </w:pPr>
          <w:hyperlink w:anchor="__RefHeading___Toc605214_1934241801">
            <w:r>
              <w:rPr>
                <w:webHidden/>
                <w:rStyle w:val="IndexLink"/>
                <w:rtl w:val="true"/>
              </w:rPr>
              <w:t>بيان</w:t>
            </w:r>
            <w:r>
              <w:rPr>
                <w:rStyle w:val="IndexLink"/>
                <w:rtl w:val="true"/>
              </w:rPr>
              <w:tab/>
            </w:r>
            <w:r>
              <w:rPr>
                <w:rStyle w:val="IndexLink"/>
              </w:rPr>
              <w:t>101</w:t>
            </w:r>
          </w:hyperlink>
        </w:p>
        <w:p>
          <w:pPr>
            <w:pStyle w:val="Contents5"/>
            <w:tabs>
              <w:tab w:val="clear" w:pos="7892"/>
              <w:tab w:val="right" w:pos="9026" w:leader="dot"/>
            </w:tabs>
            <w:rPr/>
          </w:pPr>
          <w:hyperlink w:anchor="__RefHeading___Toc605216_1934241801">
            <w:r>
              <w:rPr>
                <w:webHidden/>
                <w:rStyle w:val="IndexLink"/>
                <w:rtl w:val="true"/>
              </w:rPr>
              <w:t>«</w:t>
            </w:r>
            <w:r>
              <w:rPr>
                <w:rStyle w:val="IndexLink"/>
              </w:rPr>
              <w:t>11</w:t>
            </w:r>
            <w:r>
              <w:rPr>
                <w:rStyle w:val="IndexLink"/>
                <w:rtl w:val="true"/>
              </w:rPr>
              <w:t>»</w:t>
              <w:tab/>
            </w:r>
            <w:r>
              <w:rPr>
                <w:rStyle w:val="IndexLink"/>
              </w:rPr>
              <w:t>101</w:t>
            </w:r>
          </w:hyperlink>
        </w:p>
        <w:p>
          <w:pPr>
            <w:pStyle w:val="Contents5"/>
            <w:tabs>
              <w:tab w:val="clear" w:pos="7892"/>
              <w:tab w:val="right" w:pos="9026" w:leader="dot"/>
            </w:tabs>
            <w:rPr/>
          </w:pPr>
          <w:hyperlink w:anchor="__RefHeading___Toc605218_1934241801">
            <w:r>
              <w:rPr>
                <w:webHidden/>
                <w:rStyle w:val="IndexLink"/>
                <w:rtl w:val="true"/>
              </w:rPr>
              <w:t>بيان</w:t>
            </w:r>
            <w:r>
              <w:rPr>
                <w:rStyle w:val="IndexLink"/>
                <w:rtl w:val="true"/>
              </w:rPr>
              <w:tab/>
            </w:r>
            <w:r>
              <w:rPr>
                <w:rStyle w:val="IndexLink"/>
              </w:rPr>
              <w:t>101</w:t>
            </w:r>
          </w:hyperlink>
        </w:p>
        <w:p>
          <w:pPr>
            <w:pStyle w:val="Contents5"/>
            <w:tabs>
              <w:tab w:val="clear" w:pos="7892"/>
              <w:tab w:val="right" w:pos="9026" w:leader="dot"/>
            </w:tabs>
            <w:rPr/>
          </w:pPr>
          <w:hyperlink w:anchor="__RefHeading___Toc605220_1934241801">
            <w:r>
              <w:rPr>
                <w:webHidden/>
                <w:rStyle w:val="IndexLink"/>
                <w:rtl w:val="true"/>
              </w:rPr>
              <w:t>توضیح</w:t>
            </w:r>
            <w:r>
              <w:rPr>
                <w:rStyle w:val="IndexLink"/>
                <w:rtl w:val="true"/>
              </w:rPr>
              <w:tab/>
            </w:r>
            <w:r>
              <w:rPr>
                <w:rStyle w:val="IndexLink"/>
              </w:rPr>
              <w:t>101</w:t>
            </w:r>
          </w:hyperlink>
        </w:p>
        <w:p>
          <w:pPr>
            <w:pStyle w:val="Contents5"/>
            <w:tabs>
              <w:tab w:val="clear" w:pos="7892"/>
              <w:tab w:val="right" w:pos="9026" w:leader="dot"/>
            </w:tabs>
            <w:rPr/>
          </w:pPr>
          <w:hyperlink w:anchor="__RefHeading___Toc605222_1934241801">
            <w:r>
              <w:rPr>
                <w:webHidden/>
                <w:rStyle w:val="IndexLink"/>
                <w:rtl w:val="true"/>
              </w:rPr>
              <w:t xml:space="preserve">روایت </w:t>
            </w:r>
            <w:r>
              <w:rPr>
                <w:rStyle w:val="IndexLink"/>
              </w:rPr>
              <w:t>11</w:t>
            </w:r>
            <w:r>
              <w:rPr>
                <w:rStyle w:val="IndexLink"/>
                <w:rtl w:val="true"/>
              </w:rPr>
              <w:tab/>
            </w:r>
            <w:r>
              <w:rPr>
                <w:rStyle w:val="IndexLink"/>
              </w:rPr>
              <w:t>101</w:t>
            </w:r>
          </w:hyperlink>
        </w:p>
        <w:p>
          <w:pPr>
            <w:pStyle w:val="Contents5"/>
            <w:tabs>
              <w:tab w:val="clear" w:pos="7892"/>
              <w:tab w:val="right" w:pos="9026" w:leader="dot"/>
            </w:tabs>
            <w:rPr/>
          </w:pPr>
          <w:hyperlink w:anchor="__RefHeading___Toc605224_1934241801">
            <w:r>
              <w:rPr>
                <w:webHidden/>
                <w:rStyle w:val="IndexLink"/>
                <w:rtl w:val="true"/>
              </w:rPr>
              <w:t>توضیح</w:t>
            </w:r>
            <w:r>
              <w:rPr>
                <w:rStyle w:val="IndexLink"/>
                <w:rtl w:val="true"/>
              </w:rPr>
              <w:tab/>
            </w:r>
            <w:r>
              <w:rPr>
                <w:rStyle w:val="IndexLink"/>
              </w:rPr>
              <w:t>101</w:t>
            </w:r>
          </w:hyperlink>
        </w:p>
        <w:p>
          <w:pPr>
            <w:pStyle w:val="Contents3"/>
            <w:tabs>
              <w:tab w:val="clear" w:pos="8459"/>
              <w:tab w:val="right" w:pos="9026" w:leader="dot"/>
            </w:tabs>
            <w:rPr/>
          </w:pPr>
          <w:hyperlink w:anchor="__RefHeading___Toc605226_1934241801">
            <w:r>
              <w:rPr>
                <w:webHidden/>
                <w:rStyle w:val="IndexLink"/>
                <w:rtl w:val="true"/>
              </w:rPr>
              <w:t xml:space="preserve">باب </w:t>
            </w:r>
            <w:r>
              <w:rPr>
                <w:rStyle w:val="IndexLink"/>
              </w:rPr>
              <w:t>3</w:t>
            </w:r>
            <w:r>
              <w:rPr>
                <w:rStyle w:val="IndexLink"/>
                <w:rtl w:val="true"/>
              </w:rPr>
              <w:t xml:space="preserve"> </w:t>
            </w:r>
            <w:r>
              <w:rPr>
                <w:rStyle w:val="IndexLink"/>
                <w:rtl w:val="true"/>
              </w:rPr>
              <w:t>وجوب غسل الجنابة و علله و كيفيته و أحكام الجنب</w:t>
            </w:r>
            <w:r>
              <w:rPr>
                <w:rStyle w:val="IndexLink"/>
                <w:rtl w:val="true"/>
              </w:rPr>
              <w:tab/>
            </w:r>
            <w:r>
              <w:rPr>
                <w:rStyle w:val="IndexLink"/>
              </w:rPr>
              <w:t>102</w:t>
            </w:r>
          </w:hyperlink>
        </w:p>
        <w:p>
          <w:pPr>
            <w:pStyle w:val="Contents4"/>
            <w:tabs>
              <w:tab w:val="clear" w:pos="8176"/>
              <w:tab w:val="right" w:pos="9026" w:leader="dot"/>
            </w:tabs>
            <w:rPr/>
          </w:pPr>
          <w:hyperlink w:anchor="__RefHeading___Toc605228_1934241801">
            <w:r>
              <w:rPr>
                <w:webHidden/>
                <w:rStyle w:val="IndexLink"/>
                <w:rtl w:val="true"/>
              </w:rPr>
              <w:t>الآيات</w:t>
            </w:r>
            <w:r>
              <w:rPr>
                <w:rStyle w:val="IndexLink"/>
                <w:rtl w:val="true"/>
              </w:rPr>
              <w:tab/>
            </w:r>
            <w:r>
              <w:rPr>
                <w:rStyle w:val="IndexLink"/>
              </w:rPr>
              <w:t>102</w:t>
            </w:r>
          </w:hyperlink>
        </w:p>
        <w:p>
          <w:pPr>
            <w:pStyle w:val="Contents4"/>
            <w:tabs>
              <w:tab w:val="clear" w:pos="8176"/>
              <w:tab w:val="right" w:pos="9026" w:leader="dot"/>
            </w:tabs>
            <w:rPr/>
          </w:pPr>
          <w:hyperlink w:anchor="__RefHeading___Toc605230_1934241801">
            <w:r>
              <w:rPr>
                <w:webHidden/>
                <w:rStyle w:val="IndexLink"/>
                <w:rtl w:val="true"/>
              </w:rPr>
              <w:t>تفسير</w:t>
            </w:r>
            <w:r>
              <w:rPr>
                <w:rStyle w:val="IndexLink"/>
                <w:rtl w:val="true"/>
              </w:rPr>
              <w:tab/>
            </w:r>
            <w:r>
              <w:rPr>
                <w:rStyle w:val="IndexLink"/>
              </w:rPr>
              <w:t>102</w:t>
            </w:r>
          </w:hyperlink>
        </w:p>
        <w:p>
          <w:pPr>
            <w:pStyle w:val="Contents3"/>
            <w:tabs>
              <w:tab w:val="clear" w:pos="8459"/>
              <w:tab w:val="right" w:pos="9026" w:leader="dot"/>
            </w:tabs>
            <w:rPr/>
          </w:pPr>
          <w:hyperlink w:anchor="__RefHeading___Toc605232_1934241801">
            <w:r>
              <w:rPr>
                <w:webHidden/>
                <w:rStyle w:val="IndexLink"/>
                <w:rtl w:val="true"/>
              </w:rPr>
              <w:t xml:space="preserve">باب سوم </w:t>
            </w:r>
            <w:r>
              <w:rPr>
                <w:rStyle w:val="IndexLink"/>
                <w:rtl w:val="true"/>
              </w:rPr>
              <w:t xml:space="preserve">: </w:t>
            </w:r>
            <w:r>
              <w:rPr>
                <w:rStyle w:val="IndexLink"/>
                <w:rtl w:val="true"/>
              </w:rPr>
              <w:t>وجوب غسل جنابت و علل و کیفیت انجام آن و احکام جُنب</w:t>
            </w:r>
            <w:r>
              <w:rPr>
                <w:rStyle w:val="IndexLink"/>
                <w:rtl w:val="true"/>
              </w:rPr>
              <w:tab/>
            </w:r>
            <w:r>
              <w:rPr>
                <w:rStyle w:val="IndexLink"/>
              </w:rPr>
              <w:t>102</w:t>
            </w:r>
          </w:hyperlink>
        </w:p>
        <w:p>
          <w:pPr>
            <w:pStyle w:val="Contents4"/>
            <w:tabs>
              <w:tab w:val="clear" w:pos="8176"/>
              <w:tab w:val="right" w:pos="9026" w:leader="dot"/>
            </w:tabs>
            <w:rPr/>
          </w:pPr>
          <w:hyperlink w:anchor="__RefHeading___Toc605234_1934241801">
            <w:r>
              <w:rPr>
                <w:webHidden/>
                <w:rStyle w:val="IndexLink"/>
                <w:rtl w:val="true"/>
              </w:rPr>
              <w:t>آیات</w:t>
            </w:r>
            <w:r>
              <w:rPr>
                <w:rStyle w:val="IndexLink"/>
                <w:rtl w:val="true"/>
              </w:rPr>
              <w:tab/>
            </w:r>
            <w:r>
              <w:rPr>
                <w:rStyle w:val="IndexLink"/>
              </w:rPr>
              <w:t>102</w:t>
            </w:r>
          </w:hyperlink>
        </w:p>
        <w:p>
          <w:pPr>
            <w:pStyle w:val="Contents4"/>
            <w:tabs>
              <w:tab w:val="clear" w:pos="8176"/>
              <w:tab w:val="right" w:pos="9026" w:leader="dot"/>
            </w:tabs>
            <w:rPr/>
          </w:pPr>
          <w:hyperlink w:anchor="__RefHeading___Toc605236_1934241801">
            <w:r>
              <w:rPr>
                <w:webHidden/>
                <w:rStyle w:val="IndexLink"/>
                <w:rtl w:val="true"/>
              </w:rPr>
              <w:t>تفسیر</w:t>
            </w:r>
            <w:r>
              <w:rPr>
                <w:rStyle w:val="IndexLink"/>
                <w:rtl w:val="true"/>
              </w:rPr>
              <w:tab/>
            </w:r>
            <w:r>
              <w:rPr>
                <w:rStyle w:val="IndexLink"/>
              </w:rPr>
              <w:t>103</w:t>
            </w:r>
          </w:hyperlink>
        </w:p>
        <w:p>
          <w:pPr>
            <w:pStyle w:val="Contents4"/>
            <w:tabs>
              <w:tab w:val="clear" w:pos="8176"/>
              <w:tab w:val="right" w:pos="9026" w:leader="dot"/>
            </w:tabs>
            <w:rPr/>
          </w:pPr>
          <w:hyperlink w:anchor="__RefHeading___Toc605238_1934241801">
            <w:r>
              <w:rPr>
                <w:webHidden/>
                <w:rStyle w:val="IndexLink"/>
                <w:rtl w:val="true"/>
              </w:rPr>
              <w:t>الأخبار</w:t>
            </w:r>
            <w:r>
              <w:rPr>
                <w:rStyle w:val="IndexLink"/>
                <w:rtl w:val="true"/>
              </w:rPr>
              <w:tab/>
            </w:r>
            <w:r>
              <w:rPr>
                <w:rStyle w:val="IndexLink"/>
              </w:rPr>
              <w:t>113</w:t>
            </w:r>
          </w:hyperlink>
        </w:p>
        <w:p>
          <w:pPr>
            <w:pStyle w:val="Contents5"/>
            <w:tabs>
              <w:tab w:val="clear" w:pos="7892"/>
              <w:tab w:val="right" w:pos="9026" w:leader="dot"/>
            </w:tabs>
            <w:rPr/>
          </w:pPr>
          <w:hyperlink w:anchor="__RefHeading___Toc605240_1934241801">
            <w:r>
              <w:rPr>
                <w:webHidden/>
                <w:rStyle w:val="IndexLink"/>
                <w:rtl w:val="true"/>
              </w:rPr>
              <w:t>«</w:t>
            </w:r>
            <w:r>
              <w:rPr>
                <w:rStyle w:val="IndexLink"/>
              </w:rPr>
              <w:t>1</w:t>
            </w:r>
            <w:r>
              <w:rPr>
                <w:rStyle w:val="IndexLink"/>
                <w:rtl w:val="true"/>
              </w:rPr>
              <w:t>»</w:t>
              <w:tab/>
            </w:r>
            <w:r>
              <w:rPr>
                <w:rStyle w:val="IndexLink"/>
              </w:rPr>
              <w:t>113</w:t>
            </w:r>
          </w:hyperlink>
        </w:p>
        <w:p>
          <w:pPr>
            <w:pStyle w:val="Contents5"/>
            <w:tabs>
              <w:tab w:val="clear" w:pos="7892"/>
              <w:tab w:val="right" w:pos="9026" w:leader="dot"/>
            </w:tabs>
            <w:rPr/>
          </w:pPr>
          <w:hyperlink w:anchor="__RefHeading___Toc605242_1934241801">
            <w:r>
              <w:rPr>
                <w:webHidden/>
                <w:rStyle w:val="IndexLink"/>
                <w:rtl w:val="true"/>
              </w:rPr>
              <w:t>بيان</w:t>
            </w:r>
            <w:r>
              <w:rPr>
                <w:rStyle w:val="IndexLink"/>
                <w:rtl w:val="true"/>
              </w:rPr>
              <w:tab/>
            </w:r>
            <w:r>
              <w:rPr>
                <w:rStyle w:val="IndexLink"/>
              </w:rPr>
              <w:t>113</w:t>
            </w:r>
          </w:hyperlink>
        </w:p>
        <w:p>
          <w:pPr>
            <w:pStyle w:val="Contents4"/>
            <w:tabs>
              <w:tab w:val="clear" w:pos="8176"/>
              <w:tab w:val="right" w:pos="9026" w:leader="dot"/>
            </w:tabs>
            <w:rPr/>
          </w:pPr>
          <w:hyperlink w:anchor="__RefHeading___Toc605244_1934241801">
            <w:r>
              <w:rPr>
                <w:webHidden/>
                <w:rStyle w:val="IndexLink"/>
                <w:rtl w:val="true"/>
              </w:rPr>
              <w:t>روایات</w:t>
            </w:r>
            <w:r>
              <w:rPr>
                <w:rStyle w:val="IndexLink"/>
                <w:rtl w:val="true"/>
              </w:rPr>
              <w:tab/>
            </w:r>
            <w:r>
              <w:rPr>
                <w:rStyle w:val="IndexLink"/>
              </w:rPr>
              <w:t>113</w:t>
            </w:r>
          </w:hyperlink>
        </w:p>
        <w:p>
          <w:pPr>
            <w:pStyle w:val="Contents5"/>
            <w:tabs>
              <w:tab w:val="clear" w:pos="7892"/>
              <w:tab w:val="right" w:pos="9026" w:leader="dot"/>
            </w:tabs>
            <w:rPr/>
          </w:pPr>
          <w:hyperlink w:anchor="__RefHeading___Toc605246_1934241801">
            <w:r>
              <w:rPr>
                <w:webHidden/>
                <w:rStyle w:val="IndexLink"/>
                <w:rtl w:val="true"/>
              </w:rPr>
              <w:t xml:space="preserve">روایت </w:t>
            </w:r>
            <w:r>
              <w:rPr>
                <w:rStyle w:val="IndexLink"/>
              </w:rPr>
              <w:t>1</w:t>
            </w:r>
            <w:r>
              <w:rPr>
                <w:rStyle w:val="IndexLink"/>
                <w:rtl w:val="true"/>
              </w:rPr>
              <w:tab/>
            </w:r>
            <w:r>
              <w:rPr>
                <w:rStyle w:val="IndexLink"/>
              </w:rPr>
              <w:t>114</w:t>
            </w:r>
          </w:hyperlink>
        </w:p>
        <w:p>
          <w:pPr>
            <w:pStyle w:val="Contents5"/>
            <w:tabs>
              <w:tab w:val="clear" w:pos="7892"/>
              <w:tab w:val="right" w:pos="9026" w:leader="dot"/>
            </w:tabs>
            <w:rPr/>
          </w:pPr>
          <w:hyperlink w:anchor="__RefHeading___Toc605248_1934241801">
            <w:r>
              <w:rPr>
                <w:webHidden/>
                <w:rStyle w:val="IndexLink"/>
                <w:rtl w:val="true"/>
              </w:rPr>
              <w:t>توضیح</w:t>
            </w:r>
            <w:r>
              <w:rPr>
                <w:rStyle w:val="IndexLink"/>
                <w:rtl w:val="true"/>
              </w:rPr>
              <w:tab/>
            </w:r>
            <w:r>
              <w:rPr>
                <w:rStyle w:val="IndexLink"/>
              </w:rPr>
              <w:t>114</w:t>
            </w:r>
          </w:hyperlink>
        </w:p>
        <w:p>
          <w:pPr>
            <w:pStyle w:val="Contents5"/>
            <w:tabs>
              <w:tab w:val="clear" w:pos="7892"/>
              <w:tab w:val="right" w:pos="9026" w:leader="dot"/>
            </w:tabs>
            <w:rPr/>
          </w:pPr>
          <w:hyperlink w:anchor="__RefHeading___Toc605250_1934241801">
            <w:r>
              <w:rPr>
                <w:webHidden/>
                <w:rStyle w:val="IndexLink"/>
                <w:rtl w:val="true"/>
              </w:rPr>
              <w:t>«</w:t>
            </w:r>
            <w:r>
              <w:rPr>
                <w:rStyle w:val="IndexLink"/>
              </w:rPr>
              <w:t>2</w:t>
            </w:r>
            <w:r>
              <w:rPr>
                <w:rStyle w:val="IndexLink"/>
                <w:rtl w:val="true"/>
              </w:rPr>
              <w:t>»</w:t>
              <w:tab/>
            </w:r>
            <w:r>
              <w:rPr>
                <w:rStyle w:val="IndexLink"/>
              </w:rPr>
              <w:t>115</w:t>
            </w:r>
          </w:hyperlink>
        </w:p>
        <w:p>
          <w:pPr>
            <w:pStyle w:val="Contents5"/>
            <w:tabs>
              <w:tab w:val="clear" w:pos="7892"/>
              <w:tab w:val="right" w:pos="9026" w:leader="dot"/>
            </w:tabs>
            <w:rPr/>
          </w:pPr>
          <w:hyperlink w:anchor="__RefHeading___Toc605252_1934241801">
            <w:r>
              <w:rPr>
                <w:webHidden/>
                <w:rStyle w:val="IndexLink"/>
                <w:rtl w:val="true"/>
              </w:rPr>
              <w:t>«</w:t>
            </w:r>
            <w:r>
              <w:rPr>
                <w:rStyle w:val="IndexLink"/>
              </w:rPr>
              <w:t>3</w:t>
            </w:r>
            <w:r>
              <w:rPr>
                <w:rStyle w:val="IndexLink"/>
                <w:rtl w:val="true"/>
              </w:rPr>
              <w:t>»</w:t>
              <w:tab/>
            </w:r>
            <w:r>
              <w:rPr>
                <w:rStyle w:val="IndexLink"/>
              </w:rPr>
              <w:t>115</w:t>
            </w:r>
          </w:hyperlink>
        </w:p>
        <w:p>
          <w:pPr>
            <w:pStyle w:val="Contents5"/>
            <w:tabs>
              <w:tab w:val="clear" w:pos="7892"/>
              <w:tab w:val="right" w:pos="9026" w:leader="dot"/>
            </w:tabs>
            <w:rPr/>
          </w:pPr>
          <w:hyperlink w:anchor="__RefHeading___Toc605254_1934241801">
            <w:r>
              <w:rPr>
                <w:webHidden/>
                <w:rStyle w:val="IndexLink"/>
                <w:rtl w:val="true"/>
              </w:rPr>
              <w:t>بيان</w:t>
            </w:r>
            <w:r>
              <w:rPr>
                <w:rStyle w:val="IndexLink"/>
                <w:rtl w:val="true"/>
              </w:rPr>
              <w:tab/>
            </w:r>
            <w:r>
              <w:rPr>
                <w:rStyle w:val="IndexLink"/>
              </w:rPr>
              <w:t>115</w:t>
            </w:r>
          </w:hyperlink>
        </w:p>
        <w:p>
          <w:pPr>
            <w:pStyle w:val="Contents5"/>
            <w:tabs>
              <w:tab w:val="clear" w:pos="7892"/>
              <w:tab w:val="right" w:pos="9026" w:leader="dot"/>
            </w:tabs>
            <w:rPr/>
          </w:pPr>
          <w:hyperlink w:anchor="__RefHeading___Toc605256_1934241801">
            <w:r>
              <w:rPr>
                <w:webHidden/>
                <w:rStyle w:val="IndexLink"/>
                <w:rtl w:val="true"/>
              </w:rPr>
              <w:t>«</w:t>
            </w:r>
            <w:r>
              <w:rPr>
                <w:rStyle w:val="IndexLink"/>
              </w:rPr>
              <w:t>4</w:t>
            </w:r>
            <w:r>
              <w:rPr>
                <w:rStyle w:val="IndexLink"/>
                <w:rtl w:val="true"/>
              </w:rPr>
              <w:t>»</w:t>
              <w:tab/>
            </w:r>
            <w:r>
              <w:rPr>
                <w:rStyle w:val="IndexLink"/>
              </w:rPr>
              <w:t>115</w:t>
            </w:r>
          </w:hyperlink>
        </w:p>
        <w:p>
          <w:pPr>
            <w:pStyle w:val="Contents5"/>
            <w:tabs>
              <w:tab w:val="clear" w:pos="7892"/>
              <w:tab w:val="right" w:pos="9026" w:leader="dot"/>
            </w:tabs>
            <w:rPr/>
          </w:pPr>
          <w:hyperlink w:anchor="__RefHeading___Toc605258_1934241801">
            <w:r>
              <w:rPr>
                <w:webHidden/>
                <w:rStyle w:val="IndexLink"/>
                <w:rtl w:val="true"/>
              </w:rPr>
              <w:t xml:space="preserve">روایت </w:t>
            </w:r>
            <w:r>
              <w:rPr>
                <w:rStyle w:val="IndexLink"/>
              </w:rPr>
              <w:t>2</w:t>
            </w:r>
            <w:r>
              <w:rPr>
                <w:rStyle w:val="IndexLink"/>
                <w:rtl w:val="true"/>
              </w:rPr>
              <w:tab/>
            </w:r>
            <w:r>
              <w:rPr>
                <w:rStyle w:val="IndexLink"/>
              </w:rPr>
              <w:t>116</w:t>
            </w:r>
          </w:hyperlink>
        </w:p>
        <w:p>
          <w:pPr>
            <w:pStyle w:val="Contents5"/>
            <w:tabs>
              <w:tab w:val="clear" w:pos="7892"/>
              <w:tab w:val="right" w:pos="9026" w:leader="dot"/>
            </w:tabs>
            <w:rPr/>
          </w:pPr>
          <w:hyperlink w:anchor="__RefHeading___Toc605260_1934241801">
            <w:r>
              <w:rPr>
                <w:webHidden/>
                <w:rStyle w:val="IndexLink"/>
                <w:rtl w:val="true"/>
              </w:rPr>
              <w:t xml:space="preserve">روایت </w:t>
            </w:r>
            <w:r>
              <w:rPr>
                <w:rStyle w:val="IndexLink"/>
              </w:rPr>
              <w:t>3</w:t>
            </w:r>
            <w:r>
              <w:rPr>
                <w:rStyle w:val="IndexLink"/>
                <w:rtl w:val="true"/>
              </w:rPr>
              <w:tab/>
            </w:r>
            <w:r>
              <w:rPr>
                <w:rStyle w:val="IndexLink"/>
              </w:rPr>
              <w:t>116</w:t>
            </w:r>
          </w:hyperlink>
        </w:p>
        <w:p>
          <w:pPr>
            <w:pStyle w:val="Contents5"/>
            <w:tabs>
              <w:tab w:val="clear" w:pos="7892"/>
              <w:tab w:val="right" w:pos="9026" w:leader="dot"/>
            </w:tabs>
            <w:rPr/>
          </w:pPr>
          <w:hyperlink w:anchor="__RefHeading___Toc605262_1934241801">
            <w:r>
              <w:rPr>
                <w:webHidden/>
                <w:rStyle w:val="IndexLink"/>
                <w:rtl w:val="true"/>
              </w:rPr>
              <w:t>توضیح</w:t>
            </w:r>
            <w:r>
              <w:rPr>
                <w:rStyle w:val="IndexLink"/>
                <w:rtl w:val="true"/>
              </w:rPr>
              <w:tab/>
            </w:r>
            <w:r>
              <w:rPr>
                <w:rStyle w:val="IndexLink"/>
              </w:rPr>
              <w:t>116</w:t>
            </w:r>
          </w:hyperlink>
        </w:p>
        <w:p>
          <w:pPr>
            <w:pStyle w:val="Contents5"/>
            <w:tabs>
              <w:tab w:val="clear" w:pos="7892"/>
              <w:tab w:val="right" w:pos="9026" w:leader="dot"/>
            </w:tabs>
            <w:rPr/>
          </w:pPr>
          <w:hyperlink w:anchor="__RefHeading___Toc605264_1934241801">
            <w:r>
              <w:rPr>
                <w:webHidden/>
                <w:rStyle w:val="IndexLink"/>
                <w:rtl w:val="true"/>
              </w:rPr>
              <w:t xml:space="preserve">روایت </w:t>
            </w:r>
            <w:r>
              <w:rPr>
                <w:rStyle w:val="IndexLink"/>
              </w:rPr>
              <w:t>4</w:t>
            </w:r>
            <w:r>
              <w:rPr>
                <w:rStyle w:val="IndexLink"/>
                <w:rtl w:val="true"/>
              </w:rPr>
              <w:tab/>
            </w:r>
            <w:r>
              <w:rPr>
                <w:rStyle w:val="IndexLink"/>
              </w:rPr>
              <w:t>116</w:t>
            </w:r>
          </w:hyperlink>
        </w:p>
        <w:p>
          <w:pPr>
            <w:pStyle w:val="Contents5"/>
            <w:tabs>
              <w:tab w:val="clear" w:pos="7892"/>
              <w:tab w:val="right" w:pos="9026" w:leader="dot"/>
            </w:tabs>
            <w:rPr/>
          </w:pPr>
          <w:hyperlink w:anchor="__RefHeading___Toc605266_1934241801">
            <w:r>
              <w:rPr>
                <w:webHidden/>
                <w:rStyle w:val="IndexLink"/>
                <w:rtl w:val="true"/>
              </w:rPr>
              <w:t>بيان</w:t>
            </w:r>
            <w:r>
              <w:rPr>
                <w:rStyle w:val="IndexLink"/>
                <w:rtl w:val="true"/>
              </w:rPr>
              <w:tab/>
            </w:r>
            <w:r>
              <w:rPr>
                <w:rStyle w:val="IndexLink"/>
              </w:rPr>
              <w:t>117</w:t>
            </w:r>
          </w:hyperlink>
        </w:p>
        <w:p>
          <w:pPr>
            <w:pStyle w:val="Contents5"/>
            <w:tabs>
              <w:tab w:val="clear" w:pos="7892"/>
              <w:tab w:val="right" w:pos="9026" w:leader="dot"/>
            </w:tabs>
            <w:rPr/>
          </w:pPr>
          <w:hyperlink w:anchor="__RefHeading___Toc605268_1934241801">
            <w:r>
              <w:rPr>
                <w:webHidden/>
                <w:rStyle w:val="IndexLink"/>
                <w:rtl w:val="true"/>
              </w:rPr>
              <w:t>توضیح</w:t>
            </w:r>
            <w:r>
              <w:rPr>
                <w:rStyle w:val="IndexLink"/>
                <w:rtl w:val="true"/>
              </w:rPr>
              <w:tab/>
            </w:r>
            <w:r>
              <w:rPr>
                <w:rStyle w:val="IndexLink"/>
              </w:rPr>
              <w:t>117</w:t>
            </w:r>
          </w:hyperlink>
        </w:p>
        <w:p>
          <w:pPr>
            <w:pStyle w:val="Contents5"/>
            <w:tabs>
              <w:tab w:val="clear" w:pos="7892"/>
              <w:tab w:val="right" w:pos="9026" w:leader="dot"/>
            </w:tabs>
            <w:rPr/>
          </w:pPr>
          <w:hyperlink w:anchor="__RefHeading___Toc605270_1934241801">
            <w:r>
              <w:rPr>
                <w:webHidden/>
                <w:rStyle w:val="IndexLink"/>
                <w:rtl w:val="true"/>
              </w:rPr>
              <w:t>«</w:t>
            </w:r>
            <w:r>
              <w:rPr>
                <w:rStyle w:val="IndexLink"/>
              </w:rPr>
              <w:t>5</w:t>
            </w:r>
            <w:r>
              <w:rPr>
                <w:rStyle w:val="IndexLink"/>
                <w:rtl w:val="true"/>
              </w:rPr>
              <w:t>»</w:t>
              <w:tab/>
            </w:r>
            <w:r>
              <w:rPr>
                <w:rStyle w:val="IndexLink"/>
              </w:rPr>
              <w:t>119</w:t>
            </w:r>
          </w:hyperlink>
        </w:p>
        <w:p>
          <w:pPr>
            <w:pStyle w:val="Contents5"/>
            <w:tabs>
              <w:tab w:val="clear" w:pos="7892"/>
              <w:tab w:val="right" w:pos="9026" w:leader="dot"/>
            </w:tabs>
            <w:rPr/>
          </w:pPr>
          <w:hyperlink w:anchor="__RefHeading___Toc605272_1934241801">
            <w:r>
              <w:rPr>
                <w:webHidden/>
                <w:rStyle w:val="IndexLink"/>
                <w:rtl w:val="true"/>
              </w:rPr>
              <w:t>بيان</w:t>
            </w:r>
            <w:r>
              <w:rPr>
                <w:rStyle w:val="IndexLink"/>
                <w:rtl w:val="true"/>
              </w:rPr>
              <w:tab/>
            </w:r>
            <w:r>
              <w:rPr>
                <w:rStyle w:val="IndexLink"/>
              </w:rPr>
              <w:t>119</w:t>
            </w:r>
          </w:hyperlink>
        </w:p>
        <w:p>
          <w:pPr>
            <w:pStyle w:val="Contents5"/>
            <w:tabs>
              <w:tab w:val="clear" w:pos="7892"/>
              <w:tab w:val="right" w:pos="9026" w:leader="dot"/>
            </w:tabs>
            <w:rPr/>
          </w:pPr>
          <w:hyperlink w:anchor="__RefHeading___Toc605274_1934241801">
            <w:r>
              <w:rPr>
                <w:webHidden/>
                <w:rStyle w:val="IndexLink"/>
                <w:rtl w:val="true"/>
              </w:rPr>
              <w:t>«</w:t>
            </w:r>
            <w:r>
              <w:rPr>
                <w:rStyle w:val="IndexLink"/>
              </w:rPr>
              <w:t>6</w:t>
            </w:r>
            <w:r>
              <w:rPr>
                <w:rStyle w:val="IndexLink"/>
                <w:rtl w:val="true"/>
              </w:rPr>
              <w:t>»</w:t>
              <w:tab/>
            </w:r>
            <w:r>
              <w:rPr>
                <w:rStyle w:val="IndexLink"/>
              </w:rPr>
              <w:t>119</w:t>
            </w:r>
          </w:hyperlink>
        </w:p>
        <w:p>
          <w:pPr>
            <w:pStyle w:val="Contents5"/>
            <w:tabs>
              <w:tab w:val="clear" w:pos="7892"/>
              <w:tab w:val="right" w:pos="9026" w:leader="dot"/>
            </w:tabs>
            <w:rPr/>
          </w:pPr>
          <w:hyperlink w:anchor="__RefHeading___Toc605276_1934241801">
            <w:r>
              <w:rPr>
                <w:webHidden/>
                <w:rStyle w:val="IndexLink"/>
                <w:rtl w:val="true"/>
              </w:rPr>
              <w:t xml:space="preserve">روایت </w:t>
            </w:r>
            <w:r>
              <w:rPr>
                <w:rStyle w:val="IndexLink"/>
              </w:rPr>
              <w:t>5</w:t>
            </w:r>
            <w:r>
              <w:rPr>
                <w:rStyle w:val="IndexLink"/>
                <w:rtl w:val="true"/>
              </w:rPr>
              <w:tab/>
            </w:r>
            <w:r>
              <w:rPr>
                <w:rStyle w:val="IndexLink"/>
              </w:rPr>
              <w:t>120</w:t>
            </w:r>
          </w:hyperlink>
        </w:p>
        <w:p>
          <w:pPr>
            <w:pStyle w:val="Contents5"/>
            <w:tabs>
              <w:tab w:val="clear" w:pos="7892"/>
              <w:tab w:val="right" w:pos="9026" w:leader="dot"/>
            </w:tabs>
            <w:rPr/>
          </w:pPr>
          <w:hyperlink w:anchor="__RefHeading___Toc605278_1934241801">
            <w:r>
              <w:rPr>
                <w:webHidden/>
                <w:rStyle w:val="IndexLink"/>
                <w:rtl w:val="true"/>
              </w:rPr>
              <w:t>توضیح</w:t>
            </w:r>
            <w:r>
              <w:rPr>
                <w:rStyle w:val="IndexLink"/>
                <w:rtl w:val="true"/>
              </w:rPr>
              <w:tab/>
            </w:r>
            <w:r>
              <w:rPr>
                <w:rStyle w:val="IndexLink"/>
              </w:rPr>
              <w:t>120</w:t>
            </w:r>
          </w:hyperlink>
        </w:p>
        <w:p>
          <w:pPr>
            <w:pStyle w:val="Contents5"/>
            <w:tabs>
              <w:tab w:val="clear" w:pos="7892"/>
              <w:tab w:val="right" w:pos="9026" w:leader="dot"/>
            </w:tabs>
            <w:rPr/>
          </w:pPr>
          <w:hyperlink w:anchor="__RefHeading___Toc605280_1934241801">
            <w:r>
              <w:rPr>
                <w:webHidden/>
                <w:rStyle w:val="IndexLink"/>
                <w:rtl w:val="true"/>
              </w:rPr>
              <w:t xml:space="preserve">روایت </w:t>
            </w:r>
            <w:r>
              <w:rPr>
                <w:rStyle w:val="IndexLink"/>
              </w:rPr>
              <w:t>6</w:t>
            </w:r>
            <w:r>
              <w:rPr>
                <w:rStyle w:val="IndexLink"/>
                <w:rtl w:val="true"/>
              </w:rPr>
              <w:tab/>
            </w:r>
            <w:r>
              <w:rPr>
                <w:rStyle w:val="IndexLink"/>
              </w:rPr>
              <w:t>120</w:t>
            </w:r>
          </w:hyperlink>
        </w:p>
        <w:p>
          <w:pPr>
            <w:pStyle w:val="Contents5"/>
            <w:tabs>
              <w:tab w:val="clear" w:pos="7892"/>
              <w:tab w:val="right" w:pos="9026" w:leader="dot"/>
            </w:tabs>
            <w:rPr/>
          </w:pPr>
          <w:hyperlink w:anchor="__RefHeading___Toc605282_1934241801">
            <w:r>
              <w:rPr>
                <w:webHidden/>
                <w:rStyle w:val="IndexLink"/>
                <w:rtl w:val="true"/>
              </w:rPr>
              <w:t>بيان</w:t>
            </w:r>
            <w:r>
              <w:rPr>
                <w:rStyle w:val="IndexLink"/>
                <w:rtl w:val="true"/>
              </w:rPr>
              <w:tab/>
            </w:r>
            <w:r>
              <w:rPr>
                <w:rStyle w:val="IndexLink"/>
              </w:rPr>
              <w:t>121</w:t>
            </w:r>
          </w:hyperlink>
        </w:p>
        <w:p>
          <w:pPr>
            <w:pStyle w:val="Contents5"/>
            <w:tabs>
              <w:tab w:val="clear" w:pos="7892"/>
              <w:tab w:val="right" w:pos="9026" w:leader="dot"/>
            </w:tabs>
            <w:rPr/>
          </w:pPr>
          <w:hyperlink w:anchor="__RefHeading___Toc605284_1934241801">
            <w:r>
              <w:rPr>
                <w:webHidden/>
                <w:rStyle w:val="IndexLink"/>
                <w:rtl w:val="true"/>
              </w:rPr>
              <w:t>«</w:t>
            </w:r>
            <w:r>
              <w:rPr>
                <w:rStyle w:val="IndexLink"/>
              </w:rPr>
              <w:t>7</w:t>
            </w:r>
            <w:r>
              <w:rPr>
                <w:rStyle w:val="IndexLink"/>
                <w:rtl w:val="true"/>
              </w:rPr>
              <w:t>»</w:t>
              <w:tab/>
            </w:r>
            <w:r>
              <w:rPr>
                <w:rStyle w:val="IndexLink"/>
              </w:rPr>
              <w:t>121</w:t>
            </w:r>
          </w:hyperlink>
        </w:p>
        <w:p>
          <w:pPr>
            <w:pStyle w:val="Contents5"/>
            <w:tabs>
              <w:tab w:val="clear" w:pos="7892"/>
              <w:tab w:val="right" w:pos="9026" w:leader="dot"/>
            </w:tabs>
            <w:rPr/>
          </w:pPr>
          <w:hyperlink w:anchor="__RefHeading___Toc605286_1934241801">
            <w:r>
              <w:rPr>
                <w:webHidden/>
                <w:rStyle w:val="IndexLink"/>
                <w:rtl w:val="true"/>
              </w:rPr>
              <w:t>بيان</w:t>
            </w:r>
            <w:r>
              <w:rPr>
                <w:rStyle w:val="IndexLink"/>
                <w:rtl w:val="true"/>
              </w:rPr>
              <w:tab/>
            </w:r>
            <w:r>
              <w:rPr>
                <w:rStyle w:val="IndexLink"/>
              </w:rPr>
              <w:t>121</w:t>
            </w:r>
          </w:hyperlink>
        </w:p>
        <w:p>
          <w:pPr>
            <w:pStyle w:val="Contents5"/>
            <w:tabs>
              <w:tab w:val="clear" w:pos="7892"/>
              <w:tab w:val="right" w:pos="9026" w:leader="dot"/>
            </w:tabs>
            <w:rPr/>
          </w:pPr>
          <w:hyperlink w:anchor="__RefHeading___Toc605288_1934241801">
            <w:r>
              <w:rPr>
                <w:webHidden/>
                <w:rStyle w:val="IndexLink"/>
                <w:rtl w:val="true"/>
              </w:rPr>
              <w:t>«</w:t>
            </w:r>
            <w:r>
              <w:rPr>
                <w:rStyle w:val="IndexLink"/>
              </w:rPr>
              <w:t>8</w:t>
            </w:r>
            <w:r>
              <w:rPr>
                <w:rStyle w:val="IndexLink"/>
                <w:rtl w:val="true"/>
              </w:rPr>
              <w:t>»</w:t>
              <w:tab/>
            </w:r>
            <w:r>
              <w:rPr>
                <w:rStyle w:val="IndexLink"/>
              </w:rPr>
              <w:t>121</w:t>
            </w:r>
          </w:hyperlink>
        </w:p>
        <w:p>
          <w:pPr>
            <w:pStyle w:val="Contents5"/>
            <w:tabs>
              <w:tab w:val="clear" w:pos="7892"/>
              <w:tab w:val="right" w:pos="9026" w:leader="dot"/>
            </w:tabs>
            <w:rPr/>
          </w:pPr>
          <w:hyperlink w:anchor="__RefHeading___Toc605290_1934241801">
            <w:r>
              <w:rPr>
                <w:webHidden/>
                <w:rStyle w:val="IndexLink"/>
                <w:rtl w:val="true"/>
              </w:rPr>
              <w:t>بيان</w:t>
            </w:r>
            <w:r>
              <w:rPr>
                <w:rStyle w:val="IndexLink"/>
                <w:rtl w:val="true"/>
              </w:rPr>
              <w:tab/>
            </w:r>
            <w:r>
              <w:rPr>
                <w:rStyle w:val="IndexLink"/>
              </w:rPr>
              <w:t>121</w:t>
            </w:r>
          </w:hyperlink>
        </w:p>
        <w:p>
          <w:pPr>
            <w:pStyle w:val="Contents5"/>
            <w:tabs>
              <w:tab w:val="clear" w:pos="7892"/>
              <w:tab w:val="right" w:pos="9026" w:leader="dot"/>
            </w:tabs>
            <w:rPr/>
          </w:pPr>
          <w:hyperlink w:anchor="__RefHeading___Toc605292_1934241801">
            <w:r>
              <w:rPr>
                <w:webHidden/>
                <w:rStyle w:val="IndexLink"/>
                <w:rtl w:val="true"/>
              </w:rPr>
              <w:t>«</w:t>
            </w:r>
            <w:r>
              <w:rPr>
                <w:rStyle w:val="IndexLink"/>
              </w:rPr>
              <w:t>9</w:t>
            </w:r>
            <w:r>
              <w:rPr>
                <w:rStyle w:val="IndexLink"/>
                <w:rtl w:val="true"/>
              </w:rPr>
              <w:t>»</w:t>
              <w:tab/>
            </w:r>
            <w:r>
              <w:rPr>
                <w:rStyle w:val="IndexLink"/>
              </w:rPr>
              <w:t>121</w:t>
            </w:r>
          </w:hyperlink>
        </w:p>
        <w:p>
          <w:pPr>
            <w:pStyle w:val="Contents5"/>
            <w:tabs>
              <w:tab w:val="clear" w:pos="7892"/>
              <w:tab w:val="right" w:pos="9026" w:leader="dot"/>
            </w:tabs>
            <w:rPr/>
          </w:pPr>
          <w:hyperlink w:anchor="__RefHeading___Toc605294_1934241801">
            <w:r>
              <w:rPr>
                <w:webHidden/>
                <w:rStyle w:val="IndexLink"/>
                <w:rtl w:val="true"/>
              </w:rPr>
              <w:t>توضیح</w:t>
            </w:r>
            <w:r>
              <w:rPr>
                <w:rStyle w:val="IndexLink"/>
                <w:rtl w:val="true"/>
              </w:rPr>
              <w:tab/>
            </w:r>
            <w:r>
              <w:rPr>
                <w:rStyle w:val="IndexLink"/>
              </w:rPr>
              <w:t>121</w:t>
            </w:r>
          </w:hyperlink>
        </w:p>
        <w:p>
          <w:pPr>
            <w:pStyle w:val="Contents5"/>
            <w:tabs>
              <w:tab w:val="clear" w:pos="7892"/>
              <w:tab w:val="right" w:pos="9026" w:leader="dot"/>
            </w:tabs>
            <w:rPr/>
          </w:pPr>
          <w:hyperlink w:anchor="__RefHeading___Toc605296_1934241801">
            <w:r>
              <w:rPr>
                <w:webHidden/>
                <w:rStyle w:val="IndexLink"/>
                <w:rtl w:val="true"/>
              </w:rPr>
              <w:t xml:space="preserve">روایت </w:t>
            </w:r>
            <w:r>
              <w:rPr>
                <w:rStyle w:val="IndexLink"/>
              </w:rPr>
              <w:t>7</w:t>
            </w:r>
            <w:r>
              <w:rPr>
                <w:rStyle w:val="IndexLink"/>
                <w:rtl w:val="true"/>
              </w:rPr>
              <w:tab/>
            </w:r>
            <w:r>
              <w:rPr>
                <w:rStyle w:val="IndexLink"/>
              </w:rPr>
              <w:t>121</w:t>
            </w:r>
          </w:hyperlink>
        </w:p>
        <w:p>
          <w:pPr>
            <w:pStyle w:val="Contents5"/>
            <w:tabs>
              <w:tab w:val="clear" w:pos="7892"/>
              <w:tab w:val="right" w:pos="9026" w:leader="dot"/>
            </w:tabs>
            <w:rPr/>
          </w:pPr>
          <w:hyperlink w:anchor="__RefHeading___Toc605298_1934241801">
            <w:r>
              <w:rPr>
                <w:webHidden/>
                <w:rStyle w:val="IndexLink"/>
                <w:rtl w:val="true"/>
              </w:rPr>
              <w:t>توضیح</w:t>
            </w:r>
            <w:r>
              <w:rPr>
                <w:rStyle w:val="IndexLink"/>
                <w:rtl w:val="true"/>
              </w:rPr>
              <w:tab/>
            </w:r>
            <w:r>
              <w:rPr>
                <w:rStyle w:val="IndexLink"/>
              </w:rPr>
              <w:t>122</w:t>
            </w:r>
          </w:hyperlink>
        </w:p>
        <w:p>
          <w:pPr>
            <w:pStyle w:val="Contents5"/>
            <w:tabs>
              <w:tab w:val="clear" w:pos="7892"/>
              <w:tab w:val="right" w:pos="9026" w:leader="dot"/>
            </w:tabs>
            <w:rPr/>
          </w:pPr>
          <w:hyperlink w:anchor="__RefHeading___Toc605300_1934241801">
            <w:r>
              <w:rPr>
                <w:webHidden/>
                <w:rStyle w:val="IndexLink"/>
                <w:rtl w:val="true"/>
              </w:rPr>
              <w:t xml:space="preserve">روایت </w:t>
            </w:r>
            <w:r>
              <w:rPr>
                <w:rStyle w:val="IndexLink"/>
              </w:rPr>
              <w:t>8</w:t>
            </w:r>
            <w:r>
              <w:rPr>
                <w:rStyle w:val="IndexLink"/>
                <w:rtl w:val="true"/>
              </w:rPr>
              <w:tab/>
            </w:r>
            <w:r>
              <w:rPr>
                <w:rStyle w:val="IndexLink"/>
              </w:rPr>
              <w:t>122</w:t>
            </w:r>
          </w:hyperlink>
        </w:p>
        <w:p>
          <w:pPr>
            <w:pStyle w:val="Contents5"/>
            <w:tabs>
              <w:tab w:val="clear" w:pos="7892"/>
              <w:tab w:val="right" w:pos="9026" w:leader="dot"/>
            </w:tabs>
            <w:rPr/>
          </w:pPr>
          <w:hyperlink w:anchor="__RefHeading___Toc605302_1934241801">
            <w:r>
              <w:rPr>
                <w:webHidden/>
                <w:rStyle w:val="IndexLink"/>
                <w:rtl w:val="true"/>
              </w:rPr>
              <w:t>توضیح</w:t>
            </w:r>
            <w:r>
              <w:rPr>
                <w:rStyle w:val="IndexLink"/>
                <w:rtl w:val="true"/>
              </w:rPr>
              <w:tab/>
            </w:r>
            <w:r>
              <w:rPr>
                <w:rStyle w:val="IndexLink"/>
              </w:rPr>
              <w:t>122</w:t>
            </w:r>
          </w:hyperlink>
        </w:p>
        <w:p>
          <w:pPr>
            <w:pStyle w:val="Contents5"/>
            <w:tabs>
              <w:tab w:val="clear" w:pos="7892"/>
              <w:tab w:val="right" w:pos="9026" w:leader="dot"/>
            </w:tabs>
            <w:rPr/>
          </w:pPr>
          <w:hyperlink w:anchor="__RefHeading___Toc605304_1934241801">
            <w:r>
              <w:rPr>
                <w:webHidden/>
                <w:rStyle w:val="IndexLink"/>
                <w:rtl w:val="true"/>
              </w:rPr>
              <w:t xml:space="preserve">روایت </w:t>
            </w:r>
            <w:r>
              <w:rPr>
                <w:rStyle w:val="IndexLink"/>
              </w:rPr>
              <w:t>9</w:t>
            </w:r>
            <w:r>
              <w:rPr>
                <w:rStyle w:val="IndexLink"/>
                <w:rtl w:val="true"/>
              </w:rPr>
              <w:tab/>
            </w:r>
            <w:r>
              <w:rPr>
                <w:rStyle w:val="IndexLink"/>
              </w:rPr>
              <w:t>122</w:t>
            </w:r>
          </w:hyperlink>
        </w:p>
        <w:p>
          <w:pPr>
            <w:pStyle w:val="Contents5"/>
            <w:tabs>
              <w:tab w:val="clear" w:pos="7892"/>
              <w:tab w:val="right" w:pos="9026" w:leader="dot"/>
            </w:tabs>
            <w:rPr/>
          </w:pPr>
          <w:hyperlink w:anchor="__RefHeading___Toc605306_1934241801">
            <w:r>
              <w:rPr>
                <w:webHidden/>
                <w:rStyle w:val="IndexLink"/>
                <w:rtl w:val="true"/>
              </w:rPr>
              <w:t>بيان</w:t>
            </w:r>
            <w:r>
              <w:rPr>
                <w:rStyle w:val="IndexLink"/>
                <w:rtl w:val="true"/>
              </w:rPr>
              <w:tab/>
            </w:r>
            <w:r>
              <w:rPr>
                <w:rStyle w:val="IndexLink"/>
              </w:rPr>
              <w:t>123</w:t>
            </w:r>
          </w:hyperlink>
        </w:p>
        <w:p>
          <w:pPr>
            <w:pStyle w:val="Contents5"/>
            <w:tabs>
              <w:tab w:val="clear" w:pos="7892"/>
              <w:tab w:val="right" w:pos="9026" w:leader="dot"/>
            </w:tabs>
            <w:rPr/>
          </w:pPr>
          <w:hyperlink w:anchor="__RefHeading___Toc605308_1934241801">
            <w:r>
              <w:rPr>
                <w:webHidden/>
                <w:rStyle w:val="IndexLink"/>
                <w:rtl w:val="true"/>
              </w:rPr>
              <w:t>«</w:t>
            </w:r>
            <w:r>
              <w:rPr>
                <w:rStyle w:val="IndexLink"/>
              </w:rPr>
              <w:t>10</w:t>
            </w:r>
            <w:r>
              <w:rPr>
                <w:rStyle w:val="IndexLink"/>
                <w:rtl w:val="true"/>
              </w:rPr>
              <w:t>»</w:t>
              <w:tab/>
            </w:r>
            <w:r>
              <w:rPr>
                <w:rStyle w:val="IndexLink"/>
              </w:rPr>
              <w:t>123</w:t>
            </w:r>
          </w:hyperlink>
        </w:p>
        <w:p>
          <w:pPr>
            <w:pStyle w:val="Contents5"/>
            <w:tabs>
              <w:tab w:val="clear" w:pos="7892"/>
              <w:tab w:val="right" w:pos="9026" w:leader="dot"/>
            </w:tabs>
            <w:rPr/>
          </w:pPr>
          <w:hyperlink w:anchor="__RefHeading___Toc605310_1934241801">
            <w:r>
              <w:rPr>
                <w:webHidden/>
                <w:rStyle w:val="IndexLink"/>
                <w:rtl w:val="true"/>
              </w:rPr>
              <w:t>توضیح</w:t>
            </w:r>
            <w:r>
              <w:rPr>
                <w:rStyle w:val="IndexLink"/>
                <w:rtl w:val="true"/>
              </w:rPr>
              <w:tab/>
            </w:r>
            <w:r>
              <w:rPr>
                <w:rStyle w:val="IndexLink"/>
              </w:rPr>
              <w:t>124</w:t>
            </w:r>
          </w:hyperlink>
        </w:p>
        <w:p>
          <w:pPr>
            <w:pStyle w:val="Contents5"/>
            <w:tabs>
              <w:tab w:val="clear" w:pos="7892"/>
              <w:tab w:val="right" w:pos="9026" w:leader="dot"/>
            </w:tabs>
            <w:rPr/>
          </w:pPr>
          <w:hyperlink w:anchor="__RefHeading___Toc605312_1934241801">
            <w:r>
              <w:rPr>
                <w:webHidden/>
                <w:rStyle w:val="IndexLink"/>
                <w:rtl w:val="true"/>
              </w:rPr>
              <w:t xml:space="preserve">روایت </w:t>
            </w:r>
            <w:r>
              <w:rPr>
                <w:rStyle w:val="IndexLink"/>
              </w:rPr>
              <w:t>10</w:t>
            </w:r>
            <w:r>
              <w:rPr>
                <w:rStyle w:val="IndexLink"/>
                <w:rtl w:val="true"/>
              </w:rPr>
              <w:tab/>
            </w:r>
            <w:r>
              <w:rPr>
                <w:rStyle w:val="IndexLink"/>
              </w:rPr>
              <w:t>124</w:t>
            </w:r>
          </w:hyperlink>
        </w:p>
        <w:p>
          <w:pPr>
            <w:pStyle w:val="Contents5"/>
            <w:tabs>
              <w:tab w:val="clear" w:pos="7892"/>
              <w:tab w:val="right" w:pos="9026" w:leader="dot"/>
            </w:tabs>
            <w:rPr/>
          </w:pPr>
          <w:hyperlink w:anchor="__RefHeading___Toc605314_1934241801">
            <w:r>
              <w:rPr>
                <w:webHidden/>
                <w:rStyle w:val="IndexLink"/>
                <w:rtl w:val="true"/>
              </w:rPr>
              <w:t>«</w:t>
            </w:r>
            <w:r>
              <w:rPr>
                <w:rStyle w:val="IndexLink"/>
              </w:rPr>
              <w:t>11</w:t>
            </w:r>
            <w:r>
              <w:rPr>
                <w:rStyle w:val="IndexLink"/>
                <w:rtl w:val="true"/>
              </w:rPr>
              <w:t>»</w:t>
              <w:tab/>
            </w:r>
            <w:r>
              <w:rPr>
                <w:rStyle w:val="IndexLink"/>
              </w:rPr>
              <w:t>125</w:t>
            </w:r>
          </w:hyperlink>
        </w:p>
        <w:p>
          <w:pPr>
            <w:pStyle w:val="Contents5"/>
            <w:tabs>
              <w:tab w:val="clear" w:pos="7892"/>
              <w:tab w:val="right" w:pos="9026" w:leader="dot"/>
            </w:tabs>
            <w:rPr/>
          </w:pPr>
          <w:hyperlink w:anchor="__RefHeading___Toc605316_1934241801">
            <w:r>
              <w:rPr>
                <w:webHidden/>
                <w:rStyle w:val="IndexLink"/>
                <w:rtl w:val="true"/>
              </w:rPr>
              <w:t>بيان</w:t>
            </w:r>
            <w:r>
              <w:rPr>
                <w:rStyle w:val="IndexLink"/>
                <w:rtl w:val="true"/>
              </w:rPr>
              <w:tab/>
            </w:r>
            <w:r>
              <w:rPr>
                <w:rStyle w:val="IndexLink"/>
              </w:rPr>
              <w:t>125</w:t>
            </w:r>
          </w:hyperlink>
        </w:p>
        <w:p>
          <w:pPr>
            <w:pStyle w:val="Contents5"/>
            <w:tabs>
              <w:tab w:val="clear" w:pos="7892"/>
              <w:tab w:val="right" w:pos="9026" w:leader="dot"/>
            </w:tabs>
            <w:rPr/>
          </w:pPr>
          <w:hyperlink w:anchor="__RefHeading___Toc605318_1934241801">
            <w:r>
              <w:rPr>
                <w:webHidden/>
                <w:rStyle w:val="IndexLink"/>
                <w:rtl w:val="true"/>
              </w:rPr>
              <w:t>«</w:t>
            </w:r>
            <w:r>
              <w:rPr>
                <w:rStyle w:val="IndexLink"/>
              </w:rPr>
              <w:t>12</w:t>
            </w:r>
            <w:r>
              <w:rPr>
                <w:rStyle w:val="IndexLink"/>
                <w:rtl w:val="true"/>
              </w:rPr>
              <w:t>»</w:t>
              <w:tab/>
            </w:r>
            <w:r>
              <w:rPr>
                <w:rStyle w:val="IndexLink"/>
              </w:rPr>
              <w:t>125</w:t>
            </w:r>
          </w:hyperlink>
        </w:p>
        <w:p>
          <w:pPr>
            <w:pStyle w:val="Contents5"/>
            <w:tabs>
              <w:tab w:val="clear" w:pos="7892"/>
              <w:tab w:val="right" w:pos="9026" w:leader="dot"/>
            </w:tabs>
            <w:rPr/>
          </w:pPr>
          <w:hyperlink w:anchor="__RefHeading___Toc605320_1934241801">
            <w:r>
              <w:rPr>
                <w:webHidden/>
                <w:rStyle w:val="IndexLink"/>
                <w:rtl w:val="true"/>
              </w:rPr>
              <w:t>بيان</w:t>
            </w:r>
            <w:r>
              <w:rPr>
                <w:rStyle w:val="IndexLink"/>
                <w:rtl w:val="true"/>
              </w:rPr>
              <w:tab/>
            </w:r>
            <w:r>
              <w:rPr>
                <w:rStyle w:val="IndexLink"/>
              </w:rPr>
              <w:t>125</w:t>
            </w:r>
          </w:hyperlink>
        </w:p>
        <w:p>
          <w:pPr>
            <w:pStyle w:val="Contents5"/>
            <w:tabs>
              <w:tab w:val="clear" w:pos="7892"/>
              <w:tab w:val="right" w:pos="9026" w:leader="dot"/>
            </w:tabs>
            <w:rPr/>
          </w:pPr>
          <w:hyperlink w:anchor="__RefHeading___Toc605322_1934241801">
            <w:r>
              <w:rPr>
                <w:webHidden/>
                <w:rStyle w:val="IndexLink"/>
                <w:rtl w:val="true"/>
              </w:rPr>
              <w:t>«</w:t>
            </w:r>
            <w:r>
              <w:rPr>
                <w:rStyle w:val="IndexLink"/>
              </w:rPr>
              <w:t>13</w:t>
            </w:r>
            <w:r>
              <w:rPr>
                <w:rStyle w:val="IndexLink"/>
                <w:rtl w:val="true"/>
              </w:rPr>
              <w:t>»</w:t>
              <w:tab/>
            </w:r>
            <w:r>
              <w:rPr>
                <w:rStyle w:val="IndexLink"/>
              </w:rPr>
              <w:t>125</w:t>
            </w:r>
          </w:hyperlink>
        </w:p>
        <w:p>
          <w:pPr>
            <w:pStyle w:val="Contents5"/>
            <w:tabs>
              <w:tab w:val="clear" w:pos="7892"/>
              <w:tab w:val="right" w:pos="9026" w:leader="dot"/>
            </w:tabs>
            <w:rPr/>
          </w:pPr>
          <w:hyperlink w:anchor="__RefHeading___Toc605324_1934241801">
            <w:r>
              <w:rPr>
                <w:webHidden/>
                <w:rStyle w:val="IndexLink"/>
                <w:rtl w:val="true"/>
              </w:rPr>
              <w:t xml:space="preserve">روایت </w:t>
            </w:r>
            <w:r>
              <w:rPr>
                <w:rStyle w:val="IndexLink"/>
              </w:rPr>
              <w:t>11</w:t>
            </w:r>
            <w:r>
              <w:rPr>
                <w:rStyle w:val="IndexLink"/>
                <w:rtl w:val="true"/>
              </w:rPr>
              <w:tab/>
            </w:r>
            <w:r>
              <w:rPr>
                <w:rStyle w:val="IndexLink"/>
              </w:rPr>
              <w:t>125</w:t>
            </w:r>
          </w:hyperlink>
        </w:p>
        <w:p>
          <w:pPr>
            <w:pStyle w:val="Contents5"/>
            <w:tabs>
              <w:tab w:val="clear" w:pos="7892"/>
              <w:tab w:val="right" w:pos="9026" w:leader="dot"/>
            </w:tabs>
            <w:rPr/>
          </w:pPr>
          <w:hyperlink w:anchor="__RefHeading___Toc605326_1934241801">
            <w:r>
              <w:rPr>
                <w:webHidden/>
                <w:rStyle w:val="IndexLink"/>
                <w:rtl w:val="true"/>
              </w:rPr>
              <w:t>توضیح</w:t>
            </w:r>
            <w:r>
              <w:rPr>
                <w:rStyle w:val="IndexLink"/>
                <w:rtl w:val="true"/>
              </w:rPr>
              <w:tab/>
            </w:r>
            <w:r>
              <w:rPr>
                <w:rStyle w:val="IndexLink"/>
              </w:rPr>
              <w:t>126</w:t>
            </w:r>
          </w:hyperlink>
        </w:p>
        <w:p>
          <w:pPr>
            <w:pStyle w:val="Contents5"/>
            <w:tabs>
              <w:tab w:val="clear" w:pos="7892"/>
              <w:tab w:val="right" w:pos="9026" w:leader="dot"/>
            </w:tabs>
            <w:rPr/>
          </w:pPr>
          <w:hyperlink w:anchor="__RefHeading___Toc605328_1934241801">
            <w:r>
              <w:rPr>
                <w:webHidden/>
                <w:rStyle w:val="IndexLink"/>
                <w:rtl w:val="true"/>
              </w:rPr>
              <w:t xml:space="preserve">روایت </w:t>
            </w:r>
            <w:r>
              <w:rPr>
                <w:rStyle w:val="IndexLink"/>
              </w:rPr>
              <w:t>12</w:t>
            </w:r>
            <w:r>
              <w:rPr>
                <w:rStyle w:val="IndexLink"/>
                <w:rtl w:val="true"/>
              </w:rPr>
              <w:tab/>
            </w:r>
            <w:r>
              <w:rPr>
                <w:rStyle w:val="IndexLink"/>
              </w:rPr>
              <w:t>126</w:t>
            </w:r>
          </w:hyperlink>
        </w:p>
        <w:p>
          <w:pPr>
            <w:pStyle w:val="Contents5"/>
            <w:tabs>
              <w:tab w:val="clear" w:pos="7892"/>
              <w:tab w:val="right" w:pos="9026" w:leader="dot"/>
            </w:tabs>
            <w:rPr/>
          </w:pPr>
          <w:hyperlink w:anchor="__RefHeading___Toc605330_1934241801">
            <w:r>
              <w:rPr>
                <w:webHidden/>
                <w:rStyle w:val="IndexLink"/>
                <w:rtl w:val="true"/>
              </w:rPr>
              <w:t>توضیح</w:t>
            </w:r>
            <w:r>
              <w:rPr>
                <w:rStyle w:val="IndexLink"/>
                <w:rtl w:val="true"/>
              </w:rPr>
              <w:tab/>
            </w:r>
            <w:r>
              <w:rPr>
                <w:rStyle w:val="IndexLink"/>
              </w:rPr>
              <w:t>126</w:t>
            </w:r>
          </w:hyperlink>
        </w:p>
        <w:p>
          <w:pPr>
            <w:pStyle w:val="Contents5"/>
            <w:tabs>
              <w:tab w:val="clear" w:pos="7892"/>
              <w:tab w:val="right" w:pos="9026" w:leader="dot"/>
            </w:tabs>
            <w:rPr/>
          </w:pPr>
          <w:hyperlink w:anchor="__RefHeading___Toc605332_1934241801">
            <w:r>
              <w:rPr>
                <w:webHidden/>
                <w:rStyle w:val="IndexLink"/>
                <w:rtl w:val="true"/>
              </w:rPr>
              <w:t xml:space="preserve">روایت </w:t>
            </w:r>
            <w:r>
              <w:rPr>
                <w:rStyle w:val="IndexLink"/>
              </w:rPr>
              <w:t>13</w:t>
            </w:r>
            <w:r>
              <w:rPr>
                <w:rStyle w:val="IndexLink"/>
                <w:rtl w:val="true"/>
              </w:rPr>
              <w:tab/>
            </w:r>
            <w:r>
              <w:rPr>
                <w:rStyle w:val="IndexLink"/>
              </w:rPr>
              <w:t>126</w:t>
            </w:r>
          </w:hyperlink>
        </w:p>
        <w:p>
          <w:pPr>
            <w:pStyle w:val="Contents5"/>
            <w:tabs>
              <w:tab w:val="clear" w:pos="7892"/>
              <w:tab w:val="right" w:pos="9026" w:leader="dot"/>
            </w:tabs>
            <w:rPr/>
          </w:pPr>
          <w:hyperlink w:anchor="__RefHeading___Toc605334_1934241801">
            <w:r>
              <w:rPr>
                <w:webHidden/>
                <w:rStyle w:val="IndexLink"/>
                <w:rtl w:val="true"/>
              </w:rPr>
              <w:t>«</w:t>
            </w:r>
            <w:r>
              <w:rPr>
                <w:rStyle w:val="IndexLink"/>
              </w:rPr>
              <w:t>14</w:t>
            </w:r>
            <w:r>
              <w:rPr>
                <w:rStyle w:val="IndexLink"/>
                <w:rtl w:val="true"/>
              </w:rPr>
              <w:t>»</w:t>
              <w:tab/>
            </w:r>
            <w:r>
              <w:rPr>
                <w:rStyle w:val="IndexLink"/>
              </w:rPr>
              <w:t>127</w:t>
            </w:r>
          </w:hyperlink>
        </w:p>
        <w:p>
          <w:pPr>
            <w:pStyle w:val="Contents5"/>
            <w:tabs>
              <w:tab w:val="clear" w:pos="7892"/>
              <w:tab w:val="right" w:pos="9026" w:leader="dot"/>
            </w:tabs>
            <w:rPr/>
          </w:pPr>
          <w:hyperlink w:anchor="__RefHeading___Toc605336_1934241801">
            <w:r>
              <w:rPr>
                <w:webHidden/>
                <w:rStyle w:val="IndexLink"/>
                <w:rtl w:val="true"/>
              </w:rPr>
              <w:t>«</w:t>
            </w:r>
            <w:r>
              <w:rPr>
                <w:rStyle w:val="IndexLink"/>
              </w:rPr>
              <w:t>15</w:t>
            </w:r>
            <w:r>
              <w:rPr>
                <w:rStyle w:val="IndexLink"/>
                <w:rtl w:val="true"/>
              </w:rPr>
              <w:t>»</w:t>
              <w:tab/>
            </w:r>
            <w:r>
              <w:rPr>
                <w:rStyle w:val="IndexLink"/>
              </w:rPr>
              <w:t>127</w:t>
            </w:r>
          </w:hyperlink>
        </w:p>
        <w:p>
          <w:pPr>
            <w:pStyle w:val="Contents5"/>
            <w:tabs>
              <w:tab w:val="clear" w:pos="7892"/>
              <w:tab w:val="right" w:pos="9026" w:leader="dot"/>
            </w:tabs>
            <w:rPr/>
          </w:pPr>
          <w:hyperlink w:anchor="__RefHeading___Toc605338_1934241801">
            <w:r>
              <w:rPr>
                <w:webHidden/>
                <w:rStyle w:val="IndexLink"/>
                <w:rtl w:val="true"/>
              </w:rPr>
              <w:t>«</w:t>
            </w:r>
            <w:r>
              <w:rPr>
                <w:rStyle w:val="IndexLink"/>
              </w:rPr>
              <w:t>16</w:t>
            </w:r>
            <w:r>
              <w:rPr>
                <w:rStyle w:val="IndexLink"/>
                <w:rtl w:val="true"/>
              </w:rPr>
              <w:t>»</w:t>
              <w:tab/>
            </w:r>
            <w:r>
              <w:rPr>
                <w:rStyle w:val="IndexLink"/>
              </w:rPr>
              <w:t>127</w:t>
            </w:r>
          </w:hyperlink>
        </w:p>
        <w:p>
          <w:pPr>
            <w:pStyle w:val="Contents5"/>
            <w:tabs>
              <w:tab w:val="clear" w:pos="7892"/>
              <w:tab w:val="right" w:pos="9026" w:leader="dot"/>
            </w:tabs>
            <w:rPr/>
          </w:pPr>
          <w:hyperlink w:anchor="__RefHeading___Toc605340_1934241801">
            <w:r>
              <w:rPr>
                <w:webHidden/>
                <w:rStyle w:val="IndexLink"/>
                <w:rtl w:val="true"/>
              </w:rPr>
              <w:t xml:space="preserve">روایت </w:t>
            </w:r>
            <w:r>
              <w:rPr>
                <w:rStyle w:val="IndexLink"/>
              </w:rPr>
              <w:t>14</w:t>
            </w:r>
            <w:r>
              <w:rPr>
                <w:rStyle w:val="IndexLink"/>
                <w:rtl w:val="true"/>
              </w:rPr>
              <w:tab/>
            </w:r>
            <w:r>
              <w:rPr>
                <w:rStyle w:val="IndexLink"/>
              </w:rPr>
              <w:t>127</w:t>
            </w:r>
          </w:hyperlink>
        </w:p>
        <w:p>
          <w:pPr>
            <w:pStyle w:val="Contents5"/>
            <w:tabs>
              <w:tab w:val="clear" w:pos="7892"/>
              <w:tab w:val="right" w:pos="9026" w:leader="dot"/>
            </w:tabs>
            <w:rPr/>
          </w:pPr>
          <w:hyperlink w:anchor="__RefHeading___Toc605342_1934241801">
            <w:r>
              <w:rPr>
                <w:webHidden/>
                <w:rStyle w:val="IndexLink"/>
                <w:rtl w:val="true"/>
              </w:rPr>
              <w:t xml:space="preserve">روایت </w:t>
            </w:r>
            <w:r>
              <w:rPr>
                <w:rStyle w:val="IndexLink"/>
              </w:rPr>
              <w:t>15</w:t>
            </w:r>
            <w:r>
              <w:rPr>
                <w:rStyle w:val="IndexLink"/>
                <w:rtl w:val="true"/>
              </w:rPr>
              <w:tab/>
            </w:r>
            <w:r>
              <w:rPr>
                <w:rStyle w:val="IndexLink"/>
              </w:rPr>
              <w:t>127</w:t>
            </w:r>
          </w:hyperlink>
        </w:p>
        <w:p>
          <w:pPr>
            <w:pStyle w:val="Contents5"/>
            <w:tabs>
              <w:tab w:val="clear" w:pos="7892"/>
              <w:tab w:val="right" w:pos="9026" w:leader="dot"/>
            </w:tabs>
            <w:rPr/>
          </w:pPr>
          <w:hyperlink w:anchor="__RefHeading___Toc605344_1934241801">
            <w:r>
              <w:rPr>
                <w:webHidden/>
                <w:rStyle w:val="IndexLink"/>
                <w:rtl w:val="true"/>
              </w:rPr>
              <w:t xml:space="preserve">روایت </w:t>
            </w:r>
            <w:r>
              <w:rPr>
                <w:rStyle w:val="IndexLink"/>
              </w:rPr>
              <w:t>16</w:t>
            </w:r>
            <w:r>
              <w:rPr>
                <w:rStyle w:val="IndexLink"/>
                <w:rtl w:val="true"/>
              </w:rPr>
              <w:tab/>
            </w:r>
            <w:r>
              <w:rPr>
                <w:rStyle w:val="IndexLink"/>
              </w:rPr>
              <w:t>128</w:t>
            </w:r>
          </w:hyperlink>
        </w:p>
        <w:p>
          <w:pPr>
            <w:pStyle w:val="Contents5"/>
            <w:tabs>
              <w:tab w:val="clear" w:pos="7892"/>
              <w:tab w:val="right" w:pos="9026" w:leader="dot"/>
            </w:tabs>
            <w:rPr/>
          </w:pPr>
          <w:hyperlink w:anchor="__RefHeading___Toc605346_1934241801">
            <w:r>
              <w:rPr>
                <w:webHidden/>
                <w:rStyle w:val="IndexLink"/>
                <w:rtl w:val="true"/>
              </w:rPr>
              <w:t>«</w:t>
            </w:r>
            <w:r>
              <w:rPr>
                <w:rStyle w:val="IndexLink"/>
              </w:rPr>
              <w:t>17</w:t>
            </w:r>
            <w:r>
              <w:rPr>
                <w:rStyle w:val="IndexLink"/>
                <w:rtl w:val="true"/>
              </w:rPr>
              <w:t>»</w:t>
              <w:tab/>
            </w:r>
            <w:r>
              <w:rPr>
                <w:rStyle w:val="IndexLink"/>
              </w:rPr>
              <w:t>129</w:t>
            </w:r>
          </w:hyperlink>
        </w:p>
        <w:p>
          <w:pPr>
            <w:pStyle w:val="Contents5"/>
            <w:tabs>
              <w:tab w:val="clear" w:pos="7892"/>
              <w:tab w:val="right" w:pos="9026" w:leader="dot"/>
            </w:tabs>
            <w:rPr/>
          </w:pPr>
          <w:hyperlink w:anchor="__RefHeading___Toc605348_1934241801">
            <w:r>
              <w:rPr>
                <w:webHidden/>
                <w:rStyle w:val="IndexLink"/>
                <w:rtl w:val="true"/>
              </w:rPr>
              <w:t>بيان</w:t>
            </w:r>
            <w:r>
              <w:rPr>
                <w:rStyle w:val="IndexLink"/>
                <w:rtl w:val="true"/>
              </w:rPr>
              <w:tab/>
            </w:r>
            <w:r>
              <w:rPr>
                <w:rStyle w:val="IndexLink"/>
              </w:rPr>
              <w:t>129</w:t>
            </w:r>
          </w:hyperlink>
        </w:p>
        <w:p>
          <w:pPr>
            <w:pStyle w:val="Contents5"/>
            <w:tabs>
              <w:tab w:val="clear" w:pos="7892"/>
              <w:tab w:val="right" w:pos="9026" w:leader="dot"/>
            </w:tabs>
            <w:rPr/>
          </w:pPr>
          <w:hyperlink w:anchor="__RefHeading___Toc605350_1934241801">
            <w:r>
              <w:rPr>
                <w:webHidden/>
                <w:rStyle w:val="IndexLink"/>
                <w:rtl w:val="true"/>
              </w:rPr>
              <w:t>«</w:t>
            </w:r>
            <w:r>
              <w:rPr>
                <w:rStyle w:val="IndexLink"/>
              </w:rPr>
              <w:t>18</w:t>
            </w:r>
            <w:r>
              <w:rPr>
                <w:rStyle w:val="IndexLink"/>
                <w:rtl w:val="true"/>
              </w:rPr>
              <w:t>»</w:t>
              <w:tab/>
            </w:r>
            <w:r>
              <w:rPr>
                <w:rStyle w:val="IndexLink"/>
              </w:rPr>
              <w:t>129</w:t>
            </w:r>
          </w:hyperlink>
        </w:p>
        <w:p>
          <w:pPr>
            <w:pStyle w:val="Contents5"/>
            <w:tabs>
              <w:tab w:val="clear" w:pos="7892"/>
              <w:tab w:val="right" w:pos="9026" w:leader="dot"/>
            </w:tabs>
            <w:rPr/>
          </w:pPr>
          <w:hyperlink w:anchor="__RefHeading___Toc605352_1934241801">
            <w:r>
              <w:rPr>
                <w:webHidden/>
                <w:rStyle w:val="IndexLink"/>
                <w:rtl w:val="true"/>
              </w:rPr>
              <w:t>«</w:t>
            </w:r>
            <w:r>
              <w:rPr>
                <w:rStyle w:val="IndexLink"/>
              </w:rPr>
              <w:t>19</w:t>
            </w:r>
            <w:r>
              <w:rPr>
                <w:rStyle w:val="IndexLink"/>
                <w:rtl w:val="true"/>
              </w:rPr>
              <w:t>»</w:t>
              <w:tab/>
            </w:r>
            <w:r>
              <w:rPr>
                <w:rStyle w:val="IndexLink"/>
              </w:rPr>
              <w:t>129</w:t>
            </w:r>
          </w:hyperlink>
        </w:p>
        <w:p>
          <w:pPr>
            <w:pStyle w:val="Contents5"/>
            <w:tabs>
              <w:tab w:val="clear" w:pos="7892"/>
              <w:tab w:val="right" w:pos="9026" w:leader="dot"/>
            </w:tabs>
            <w:rPr/>
          </w:pPr>
          <w:hyperlink w:anchor="__RefHeading___Toc605354_1934241801">
            <w:r>
              <w:rPr>
                <w:webHidden/>
                <w:rStyle w:val="IndexLink"/>
                <w:rtl w:val="true"/>
              </w:rPr>
              <w:t>بيان</w:t>
            </w:r>
            <w:r>
              <w:rPr>
                <w:rStyle w:val="IndexLink"/>
                <w:rtl w:val="true"/>
              </w:rPr>
              <w:tab/>
            </w:r>
            <w:r>
              <w:rPr>
                <w:rStyle w:val="IndexLink"/>
              </w:rPr>
              <w:t>129</w:t>
            </w:r>
          </w:hyperlink>
        </w:p>
        <w:p>
          <w:pPr>
            <w:pStyle w:val="Contents5"/>
            <w:tabs>
              <w:tab w:val="clear" w:pos="7892"/>
              <w:tab w:val="right" w:pos="9026" w:leader="dot"/>
            </w:tabs>
            <w:rPr/>
          </w:pPr>
          <w:hyperlink w:anchor="__RefHeading___Toc605356_1934241801">
            <w:r>
              <w:rPr>
                <w:webHidden/>
                <w:rStyle w:val="IndexLink"/>
                <w:rtl w:val="true"/>
              </w:rPr>
              <w:t xml:space="preserve">روایت </w:t>
            </w:r>
            <w:r>
              <w:rPr>
                <w:rStyle w:val="IndexLink"/>
              </w:rPr>
              <w:t>17</w:t>
            </w:r>
            <w:r>
              <w:rPr>
                <w:rStyle w:val="IndexLink"/>
                <w:rtl w:val="true"/>
              </w:rPr>
              <w:tab/>
            </w:r>
            <w:r>
              <w:rPr>
                <w:rStyle w:val="IndexLink"/>
              </w:rPr>
              <w:t>129</w:t>
            </w:r>
          </w:hyperlink>
        </w:p>
        <w:p>
          <w:pPr>
            <w:pStyle w:val="Contents5"/>
            <w:tabs>
              <w:tab w:val="clear" w:pos="7892"/>
              <w:tab w:val="right" w:pos="9026" w:leader="dot"/>
            </w:tabs>
            <w:rPr/>
          </w:pPr>
          <w:hyperlink w:anchor="__RefHeading___Toc605358_1934241801">
            <w:r>
              <w:rPr>
                <w:webHidden/>
                <w:rStyle w:val="IndexLink"/>
                <w:rtl w:val="true"/>
              </w:rPr>
              <w:t>توضیح</w:t>
            </w:r>
            <w:r>
              <w:rPr>
                <w:rStyle w:val="IndexLink"/>
                <w:rtl w:val="true"/>
              </w:rPr>
              <w:tab/>
            </w:r>
            <w:r>
              <w:rPr>
                <w:rStyle w:val="IndexLink"/>
              </w:rPr>
              <w:t>129</w:t>
            </w:r>
          </w:hyperlink>
        </w:p>
        <w:p>
          <w:pPr>
            <w:pStyle w:val="Contents5"/>
            <w:tabs>
              <w:tab w:val="clear" w:pos="7892"/>
              <w:tab w:val="right" w:pos="9026" w:leader="dot"/>
            </w:tabs>
            <w:rPr/>
          </w:pPr>
          <w:hyperlink w:anchor="__RefHeading___Toc605360_1934241801">
            <w:r>
              <w:rPr>
                <w:webHidden/>
                <w:rStyle w:val="IndexLink"/>
                <w:rtl w:val="true"/>
              </w:rPr>
              <w:t xml:space="preserve">روایت </w:t>
            </w:r>
            <w:r>
              <w:rPr>
                <w:rStyle w:val="IndexLink"/>
              </w:rPr>
              <w:t>18</w:t>
            </w:r>
            <w:r>
              <w:rPr>
                <w:rStyle w:val="IndexLink"/>
                <w:rtl w:val="true"/>
              </w:rPr>
              <w:tab/>
            </w:r>
            <w:r>
              <w:rPr>
                <w:rStyle w:val="IndexLink"/>
              </w:rPr>
              <w:t>130</w:t>
            </w:r>
          </w:hyperlink>
        </w:p>
        <w:p>
          <w:pPr>
            <w:pStyle w:val="Contents5"/>
            <w:tabs>
              <w:tab w:val="clear" w:pos="7892"/>
              <w:tab w:val="right" w:pos="9026" w:leader="dot"/>
            </w:tabs>
            <w:rPr/>
          </w:pPr>
          <w:hyperlink w:anchor="__RefHeading___Toc605362_1934241801">
            <w:r>
              <w:rPr>
                <w:webHidden/>
                <w:rStyle w:val="IndexLink"/>
                <w:rtl w:val="true"/>
              </w:rPr>
              <w:t xml:space="preserve">روایت </w:t>
            </w:r>
            <w:r>
              <w:rPr>
                <w:rStyle w:val="IndexLink"/>
              </w:rPr>
              <w:t>19</w:t>
            </w:r>
            <w:r>
              <w:rPr>
                <w:rStyle w:val="IndexLink"/>
                <w:rtl w:val="true"/>
              </w:rPr>
              <w:tab/>
            </w:r>
            <w:r>
              <w:rPr>
                <w:rStyle w:val="IndexLink"/>
              </w:rPr>
              <w:t>130</w:t>
            </w:r>
          </w:hyperlink>
        </w:p>
        <w:p>
          <w:pPr>
            <w:pStyle w:val="Contents5"/>
            <w:tabs>
              <w:tab w:val="clear" w:pos="7892"/>
              <w:tab w:val="right" w:pos="9026" w:leader="dot"/>
            </w:tabs>
            <w:rPr/>
          </w:pPr>
          <w:hyperlink w:anchor="__RefHeading___Toc605364_1934241801">
            <w:r>
              <w:rPr>
                <w:webHidden/>
                <w:rStyle w:val="IndexLink"/>
                <w:rtl w:val="true"/>
              </w:rPr>
              <w:t>توضیح</w:t>
            </w:r>
            <w:r>
              <w:rPr>
                <w:rStyle w:val="IndexLink"/>
                <w:rtl w:val="true"/>
              </w:rPr>
              <w:tab/>
            </w:r>
            <w:r>
              <w:rPr>
                <w:rStyle w:val="IndexLink"/>
              </w:rPr>
              <w:t>130</w:t>
            </w:r>
          </w:hyperlink>
        </w:p>
        <w:p>
          <w:pPr>
            <w:pStyle w:val="Contents5"/>
            <w:tabs>
              <w:tab w:val="clear" w:pos="7892"/>
              <w:tab w:val="right" w:pos="9026" w:leader="dot"/>
            </w:tabs>
            <w:rPr/>
          </w:pPr>
          <w:hyperlink w:anchor="__RefHeading___Toc605366_1934241801">
            <w:r>
              <w:rPr>
                <w:webHidden/>
                <w:rStyle w:val="IndexLink"/>
                <w:rtl w:val="true"/>
              </w:rPr>
              <w:t>«</w:t>
            </w:r>
            <w:r>
              <w:rPr>
                <w:rStyle w:val="IndexLink"/>
              </w:rPr>
              <w:t>20</w:t>
            </w:r>
            <w:r>
              <w:rPr>
                <w:rStyle w:val="IndexLink"/>
                <w:rtl w:val="true"/>
              </w:rPr>
              <w:t>»</w:t>
              <w:tab/>
            </w:r>
            <w:r>
              <w:rPr>
                <w:rStyle w:val="IndexLink"/>
              </w:rPr>
              <w:t>131</w:t>
            </w:r>
          </w:hyperlink>
        </w:p>
        <w:p>
          <w:pPr>
            <w:pStyle w:val="Contents5"/>
            <w:tabs>
              <w:tab w:val="clear" w:pos="7892"/>
              <w:tab w:val="right" w:pos="9026" w:leader="dot"/>
            </w:tabs>
            <w:rPr/>
          </w:pPr>
          <w:hyperlink w:anchor="__RefHeading___Toc605368_1934241801">
            <w:r>
              <w:rPr>
                <w:webHidden/>
                <w:rStyle w:val="IndexLink"/>
                <w:rtl w:val="true"/>
              </w:rPr>
              <w:t>تبيين</w:t>
            </w:r>
            <w:r>
              <w:rPr>
                <w:rStyle w:val="IndexLink"/>
                <w:rtl w:val="true"/>
              </w:rPr>
              <w:tab/>
            </w:r>
            <w:r>
              <w:rPr>
                <w:rStyle w:val="IndexLink"/>
              </w:rPr>
              <w:t>131</w:t>
            </w:r>
          </w:hyperlink>
        </w:p>
        <w:p>
          <w:pPr>
            <w:pStyle w:val="Contents5"/>
            <w:tabs>
              <w:tab w:val="clear" w:pos="7892"/>
              <w:tab w:val="right" w:pos="9026" w:leader="dot"/>
            </w:tabs>
            <w:rPr/>
          </w:pPr>
          <w:hyperlink w:anchor="__RefHeading___Toc605370_1934241801">
            <w:r>
              <w:rPr>
                <w:webHidden/>
                <w:rStyle w:val="IndexLink"/>
                <w:rtl w:val="true"/>
              </w:rPr>
              <w:t>«</w:t>
            </w:r>
            <w:r>
              <w:rPr>
                <w:rStyle w:val="IndexLink"/>
              </w:rPr>
              <w:t>21</w:t>
            </w:r>
            <w:r>
              <w:rPr>
                <w:rStyle w:val="IndexLink"/>
                <w:rtl w:val="true"/>
              </w:rPr>
              <w:t>»</w:t>
              <w:tab/>
            </w:r>
            <w:r>
              <w:rPr>
                <w:rStyle w:val="IndexLink"/>
              </w:rPr>
              <w:t>131</w:t>
            </w:r>
          </w:hyperlink>
        </w:p>
        <w:p>
          <w:pPr>
            <w:pStyle w:val="Contents5"/>
            <w:tabs>
              <w:tab w:val="clear" w:pos="7892"/>
              <w:tab w:val="right" w:pos="9026" w:leader="dot"/>
            </w:tabs>
            <w:rPr/>
          </w:pPr>
          <w:hyperlink w:anchor="__RefHeading___Toc605372_1934241801">
            <w:r>
              <w:rPr>
                <w:webHidden/>
                <w:rStyle w:val="IndexLink"/>
                <w:rtl w:val="true"/>
              </w:rPr>
              <w:t xml:space="preserve">روایت </w:t>
            </w:r>
            <w:r>
              <w:rPr>
                <w:rStyle w:val="IndexLink"/>
              </w:rPr>
              <w:t>20</w:t>
            </w:r>
            <w:r>
              <w:rPr>
                <w:rStyle w:val="IndexLink"/>
                <w:rtl w:val="true"/>
              </w:rPr>
              <w:tab/>
            </w:r>
            <w:r>
              <w:rPr>
                <w:rStyle w:val="IndexLink"/>
              </w:rPr>
              <w:t>131</w:t>
            </w:r>
          </w:hyperlink>
        </w:p>
        <w:p>
          <w:pPr>
            <w:pStyle w:val="Contents5"/>
            <w:tabs>
              <w:tab w:val="clear" w:pos="7892"/>
              <w:tab w:val="right" w:pos="9026" w:leader="dot"/>
            </w:tabs>
            <w:rPr/>
          </w:pPr>
          <w:hyperlink w:anchor="__RefHeading___Toc605374_1934241801">
            <w:r>
              <w:rPr>
                <w:webHidden/>
                <w:rStyle w:val="IndexLink"/>
                <w:rtl w:val="true"/>
              </w:rPr>
              <w:t>تبیین</w:t>
            </w:r>
            <w:r>
              <w:rPr>
                <w:rStyle w:val="IndexLink"/>
                <w:rtl w:val="true"/>
              </w:rPr>
              <w:tab/>
            </w:r>
            <w:r>
              <w:rPr>
                <w:rStyle w:val="IndexLink"/>
              </w:rPr>
              <w:t>131</w:t>
            </w:r>
          </w:hyperlink>
        </w:p>
        <w:p>
          <w:pPr>
            <w:pStyle w:val="Contents5"/>
            <w:tabs>
              <w:tab w:val="clear" w:pos="7892"/>
              <w:tab w:val="right" w:pos="9026" w:leader="dot"/>
            </w:tabs>
            <w:rPr/>
          </w:pPr>
          <w:hyperlink w:anchor="__RefHeading___Toc605376_1934241801">
            <w:r>
              <w:rPr>
                <w:webHidden/>
                <w:rStyle w:val="IndexLink"/>
                <w:rtl w:val="true"/>
              </w:rPr>
              <w:t xml:space="preserve">روایت </w:t>
            </w:r>
            <w:r>
              <w:rPr>
                <w:rStyle w:val="IndexLink"/>
              </w:rPr>
              <w:t>21</w:t>
            </w:r>
            <w:r>
              <w:rPr>
                <w:rStyle w:val="IndexLink"/>
                <w:rtl w:val="true"/>
              </w:rPr>
              <w:tab/>
            </w:r>
            <w:r>
              <w:rPr>
                <w:rStyle w:val="IndexLink"/>
              </w:rPr>
              <w:t>132</w:t>
            </w:r>
          </w:hyperlink>
        </w:p>
        <w:p>
          <w:pPr>
            <w:pStyle w:val="Contents5"/>
            <w:tabs>
              <w:tab w:val="clear" w:pos="7892"/>
              <w:tab w:val="right" w:pos="9026" w:leader="dot"/>
            </w:tabs>
            <w:rPr/>
          </w:pPr>
          <w:hyperlink w:anchor="__RefHeading___Toc605378_1934241801">
            <w:r>
              <w:rPr>
                <w:webHidden/>
                <w:rStyle w:val="IndexLink"/>
                <w:rtl w:val="true"/>
              </w:rPr>
              <w:t>«</w:t>
            </w:r>
            <w:r>
              <w:rPr>
                <w:rStyle w:val="IndexLink"/>
              </w:rPr>
              <w:t>22</w:t>
            </w:r>
            <w:r>
              <w:rPr>
                <w:rStyle w:val="IndexLink"/>
                <w:rtl w:val="true"/>
              </w:rPr>
              <w:t>»</w:t>
              <w:tab/>
            </w:r>
            <w:r>
              <w:rPr>
                <w:rStyle w:val="IndexLink"/>
              </w:rPr>
              <w:t>133</w:t>
            </w:r>
          </w:hyperlink>
        </w:p>
        <w:p>
          <w:pPr>
            <w:pStyle w:val="Contents5"/>
            <w:tabs>
              <w:tab w:val="clear" w:pos="7892"/>
              <w:tab w:val="right" w:pos="9026" w:leader="dot"/>
            </w:tabs>
            <w:rPr/>
          </w:pPr>
          <w:hyperlink w:anchor="__RefHeading___Toc605380_1934241801">
            <w:r>
              <w:rPr>
                <w:webHidden/>
                <w:rStyle w:val="IndexLink"/>
                <w:rtl w:val="true"/>
              </w:rPr>
              <w:t>توضيح</w:t>
            </w:r>
            <w:r>
              <w:rPr>
                <w:rStyle w:val="IndexLink"/>
                <w:rtl w:val="true"/>
              </w:rPr>
              <w:tab/>
            </w:r>
            <w:r>
              <w:rPr>
                <w:rStyle w:val="IndexLink"/>
              </w:rPr>
              <w:t>133</w:t>
            </w:r>
          </w:hyperlink>
        </w:p>
        <w:p>
          <w:pPr>
            <w:pStyle w:val="Contents5"/>
            <w:tabs>
              <w:tab w:val="clear" w:pos="7892"/>
              <w:tab w:val="right" w:pos="9026" w:leader="dot"/>
            </w:tabs>
            <w:rPr/>
          </w:pPr>
          <w:hyperlink w:anchor="__RefHeading___Toc605382_1934241801">
            <w:r>
              <w:rPr>
                <w:webHidden/>
                <w:rStyle w:val="IndexLink"/>
                <w:rtl w:val="true"/>
              </w:rPr>
              <w:t>«</w:t>
            </w:r>
            <w:r>
              <w:rPr>
                <w:rStyle w:val="IndexLink"/>
              </w:rPr>
              <w:t>23</w:t>
            </w:r>
            <w:r>
              <w:rPr>
                <w:rStyle w:val="IndexLink"/>
                <w:rtl w:val="true"/>
              </w:rPr>
              <w:t>»</w:t>
              <w:tab/>
            </w:r>
            <w:r>
              <w:rPr>
                <w:rStyle w:val="IndexLink"/>
              </w:rPr>
              <w:t>133</w:t>
            </w:r>
          </w:hyperlink>
        </w:p>
        <w:p>
          <w:pPr>
            <w:pStyle w:val="Contents5"/>
            <w:tabs>
              <w:tab w:val="clear" w:pos="7892"/>
              <w:tab w:val="right" w:pos="9026" w:leader="dot"/>
            </w:tabs>
            <w:rPr/>
          </w:pPr>
          <w:hyperlink w:anchor="__RefHeading___Toc605384_1934241801">
            <w:r>
              <w:rPr>
                <w:webHidden/>
                <w:rStyle w:val="IndexLink"/>
                <w:rtl w:val="true"/>
              </w:rPr>
              <w:t xml:space="preserve">روایت </w:t>
            </w:r>
            <w:r>
              <w:rPr>
                <w:rStyle w:val="IndexLink"/>
              </w:rPr>
              <w:t>22</w:t>
            </w:r>
            <w:r>
              <w:rPr>
                <w:rStyle w:val="IndexLink"/>
                <w:rtl w:val="true"/>
              </w:rPr>
              <w:tab/>
            </w:r>
            <w:r>
              <w:rPr>
                <w:rStyle w:val="IndexLink"/>
              </w:rPr>
              <w:t>133</w:t>
            </w:r>
          </w:hyperlink>
        </w:p>
        <w:p>
          <w:pPr>
            <w:pStyle w:val="Contents5"/>
            <w:tabs>
              <w:tab w:val="clear" w:pos="7892"/>
              <w:tab w:val="right" w:pos="9026" w:leader="dot"/>
            </w:tabs>
            <w:rPr/>
          </w:pPr>
          <w:hyperlink w:anchor="__RefHeading___Toc605386_1934241801">
            <w:r>
              <w:rPr>
                <w:webHidden/>
                <w:rStyle w:val="IndexLink"/>
                <w:rtl w:val="true"/>
              </w:rPr>
              <w:t>توضیح</w:t>
            </w:r>
            <w:r>
              <w:rPr>
                <w:rStyle w:val="IndexLink"/>
                <w:rtl w:val="true"/>
              </w:rPr>
              <w:tab/>
            </w:r>
            <w:r>
              <w:rPr>
                <w:rStyle w:val="IndexLink"/>
              </w:rPr>
              <w:t>134</w:t>
            </w:r>
          </w:hyperlink>
        </w:p>
        <w:p>
          <w:pPr>
            <w:pStyle w:val="Contents5"/>
            <w:tabs>
              <w:tab w:val="clear" w:pos="7892"/>
              <w:tab w:val="right" w:pos="9026" w:leader="dot"/>
            </w:tabs>
            <w:rPr/>
          </w:pPr>
          <w:hyperlink w:anchor="__RefHeading___Toc605388_1934241801">
            <w:r>
              <w:rPr>
                <w:webHidden/>
                <w:rStyle w:val="IndexLink"/>
                <w:rtl w:val="true"/>
              </w:rPr>
              <w:t xml:space="preserve">روایت </w:t>
            </w:r>
            <w:r>
              <w:rPr>
                <w:rStyle w:val="IndexLink"/>
              </w:rPr>
              <w:t>23</w:t>
            </w:r>
            <w:r>
              <w:rPr>
                <w:rStyle w:val="IndexLink"/>
                <w:rtl w:val="true"/>
              </w:rPr>
              <w:tab/>
            </w:r>
            <w:r>
              <w:rPr>
                <w:rStyle w:val="IndexLink"/>
              </w:rPr>
              <w:t>134</w:t>
            </w:r>
          </w:hyperlink>
        </w:p>
        <w:p>
          <w:pPr>
            <w:pStyle w:val="Contents5"/>
            <w:tabs>
              <w:tab w:val="clear" w:pos="7892"/>
              <w:tab w:val="right" w:pos="9026" w:leader="dot"/>
            </w:tabs>
            <w:rPr/>
          </w:pPr>
          <w:hyperlink w:anchor="__RefHeading___Toc605390_1934241801">
            <w:r>
              <w:rPr>
                <w:webHidden/>
                <w:rStyle w:val="IndexLink"/>
                <w:rtl w:val="true"/>
              </w:rPr>
              <w:t>إيضاح</w:t>
            </w:r>
            <w:r>
              <w:rPr>
                <w:rStyle w:val="IndexLink"/>
                <w:rtl w:val="true"/>
              </w:rPr>
              <w:tab/>
            </w:r>
            <w:r>
              <w:rPr>
                <w:rStyle w:val="IndexLink"/>
              </w:rPr>
              <w:t>139</w:t>
            </w:r>
          </w:hyperlink>
        </w:p>
        <w:p>
          <w:pPr>
            <w:pStyle w:val="Contents5"/>
            <w:tabs>
              <w:tab w:val="clear" w:pos="7892"/>
              <w:tab w:val="right" w:pos="9026" w:leader="dot"/>
            </w:tabs>
            <w:rPr/>
          </w:pPr>
          <w:hyperlink w:anchor="__RefHeading___Toc605392_1934241801">
            <w:r>
              <w:rPr>
                <w:webHidden/>
                <w:rStyle w:val="IndexLink"/>
                <w:rtl w:val="true"/>
              </w:rPr>
              <w:t>توضیح</w:t>
            </w:r>
            <w:r>
              <w:rPr>
                <w:rStyle w:val="IndexLink"/>
                <w:rtl w:val="true"/>
              </w:rPr>
              <w:tab/>
            </w:r>
            <w:r>
              <w:rPr>
                <w:rStyle w:val="IndexLink"/>
              </w:rPr>
              <w:t>140</w:t>
            </w:r>
          </w:hyperlink>
        </w:p>
        <w:p>
          <w:pPr>
            <w:pStyle w:val="Contents5"/>
            <w:tabs>
              <w:tab w:val="clear" w:pos="7892"/>
              <w:tab w:val="right" w:pos="9026" w:leader="dot"/>
            </w:tabs>
            <w:rPr/>
          </w:pPr>
          <w:hyperlink w:anchor="__RefHeading___Toc605394_1934241801">
            <w:r>
              <w:rPr>
                <w:webHidden/>
                <w:rStyle w:val="IndexLink"/>
                <w:rtl w:val="true"/>
              </w:rPr>
              <w:t>«</w:t>
            </w:r>
            <w:r>
              <w:rPr>
                <w:rStyle w:val="IndexLink"/>
              </w:rPr>
              <w:t>24</w:t>
            </w:r>
            <w:r>
              <w:rPr>
                <w:rStyle w:val="IndexLink"/>
                <w:rtl w:val="true"/>
              </w:rPr>
              <w:t>»</w:t>
              <w:tab/>
            </w:r>
            <w:r>
              <w:rPr>
                <w:rStyle w:val="IndexLink"/>
              </w:rPr>
              <w:t>148</w:t>
            </w:r>
          </w:hyperlink>
        </w:p>
        <w:p>
          <w:pPr>
            <w:pStyle w:val="Contents5"/>
            <w:tabs>
              <w:tab w:val="clear" w:pos="7892"/>
              <w:tab w:val="right" w:pos="9026" w:leader="dot"/>
            </w:tabs>
            <w:rPr/>
          </w:pPr>
          <w:hyperlink w:anchor="__RefHeading___Toc605396_1934241801">
            <w:r>
              <w:rPr>
                <w:webHidden/>
                <w:rStyle w:val="IndexLink"/>
                <w:rtl w:val="true"/>
              </w:rPr>
              <w:t>«</w:t>
            </w:r>
            <w:r>
              <w:rPr>
                <w:rStyle w:val="IndexLink"/>
              </w:rPr>
              <w:t>25</w:t>
            </w:r>
            <w:r>
              <w:rPr>
                <w:rStyle w:val="IndexLink"/>
                <w:rtl w:val="true"/>
              </w:rPr>
              <w:t>»</w:t>
              <w:tab/>
            </w:r>
            <w:r>
              <w:rPr>
                <w:rStyle w:val="IndexLink"/>
              </w:rPr>
              <w:t>148</w:t>
            </w:r>
          </w:hyperlink>
        </w:p>
        <w:p>
          <w:pPr>
            <w:pStyle w:val="Contents5"/>
            <w:tabs>
              <w:tab w:val="clear" w:pos="7892"/>
              <w:tab w:val="right" w:pos="9026" w:leader="dot"/>
            </w:tabs>
            <w:rPr/>
          </w:pPr>
          <w:hyperlink w:anchor="__RefHeading___Toc605398_1934241801">
            <w:r>
              <w:rPr>
                <w:webHidden/>
                <w:rStyle w:val="IndexLink"/>
                <w:rtl w:val="true"/>
              </w:rPr>
              <w:t>«</w:t>
            </w:r>
            <w:r>
              <w:rPr>
                <w:rStyle w:val="IndexLink"/>
              </w:rPr>
              <w:t>26</w:t>
            </w:r>
            <w:r>
              <w:rPr>
                <w:rStyle w:val="IndexLink"/>
                <w:rtl w:val="true"/>
              </w:rPr>
              <w:t>»</w:t>
              <w:tab/>
            </w:r>
            <w:r>
              <w:rPr>
                <w:rStyle w:val="IndexLink"/>
              </w:rPr>
              <w:t>148</w:t>
            </w:r>
          </w:hyperlink>
        </w:p>
        <w:p>
          <w:pPr>
            <w:pStyle w:val="Contents5"/>
            <w:tabs>
              <w:tab w:val="clear" w:pos="7892"/>
              <w:tab w:val="right" w:pos="9026" w:leader="dot"/>
            </w:tabs>
            <w:rPr/>
          </w:pPr>
          <w:hyperlink w:anchor="__RefHeading___Toc605400_1934241801">
            <w:r>
              <w:rPr>
                <w:webHidden/>
                <w:rStyle w:val="IndexLink"/>
                <w:rtl w:val="true"/>
              </w:rPr>
              <w:t>بيان</w:t>
            </w:r>
            <w:r>
              <w:rPr>
                <w:rStyle w:val="IndexLink"/>
                <w:rtl w:val="true"/>
              </w:rPr>
              <w:tab/>
            </w:r>
            <w:r>
              <w:rPr>
                <w:rStyle w:val="IndexLink"/>
              </w:rPr>
              <w:t>148</w:t>
            </w:r>
          </w:hyperlink>
        </w:p>
        <w:p>
          <w:pPr>
            <w:pStyle w:val="Contents5"/>
            <w:tabs>
              <w:tab w:val="clear" w:pos="7892"/>
              <w:tab w:val="right" w:pos="9026" w:leader="dot"/>
            </w:tabs>
            <w:rPr/>
          </w:pPr>
          <w:hyperlink w:anchor="__RefHeading___Toc605402_1934241801">
            <w:r>
              <w:rPr>
                <w:webHidden/>
                <w:rStyle w:val="IndexLink"/>
                <w:rtl w:val="true"/>
              </w:rPr>
              <w:t xml:space="preserve">روایت </w:t>
            </w:r>
            <w:r>
              <w:rPr>
                <w:rStyle w:val="IndexLink"/>
              </w:rPr>
              <w:t>24</w:t>
            </w:r>
            <w:r>
              <w:rPr>
                <w:rStyle w:val="IndexLink"/>
                <w:rtl w:val="true"/>
              </w:rPr>
              <w:tab/>
            </w:r>
            <w:r>
              <w:rPr>
                <w:rStyle w:val="IndexLink"/>
              </w:rPr>
              <w:t>148</w:t>
            </w:r>
          </w:hyperlink>
        </w:p>
        <w:p>
          <w:pPr>
            <w:pStyle w:val="Contents5"/>
            <w:tabs>
              <w:tab w:val="clear" w:pos="7892"/>
              <w:tab w:val="right" w:pos="9026" w:leader="dot"/>
            </w:tabs>
            <w:rPr/>
          </w:pPr>
          <w:hyperlink w:anchor="__RefHeading___Toc605404_1934241801">
            <w:r>
              <w:rPr>
                <w:webHidden/>
                <w:rStyle w:val="IndexLink"/>
                <w:rtl w:val="true"/>
              </w:rPr>
              <w:t xml:space="preserve">روایت </w:t>
            </w:r>
            <w:r>
              <w:rPr>
                <w:rStyle w:val="IndexLink"/>
              </w:rPr>
              <w:t>25</w:t>
            </w:r>
            <w:r>
              <w:rPr>
                <w:rStyle w:val="IndexLink"/>
                <w:rtl w:val="true"/>
              </w:rPr>
              <w:tab/>
            </w:r>
            <w:r>
              <w:rPr>
                <w:rStyle w:val="IndexLink"/>
              </w:rPr>
              <w:t>148</w:t>
            </w:r>
          </w:hyperlink>
        </w:p>
        <w:p>
          <w:pPr>
            <w:pStyle w:val="Contents5"/>
            <w:tabs>
              <w:tab w:val="clear" w:pos="7892"/>
              <w:tab w:val="right" w:pos="9026" w:leader="dot"/>
            </w:tabs>
            <w:rPr/>
          </w:pPr>
          <w:hyperlink w:anchor="__RefHeading___Toc605406_1934241801">
            <w:r>
              <w:rPr>
                <w:webHidden/>
                <w:rStyle w:val="IndexLink"/>
                <w:rtl w:val="true"/>
              </w:rPr>
              <w:t xml:space="preserve">روایت </w:t>
            </w:r>
            <w:r>
              <w:rPr>
                <w:rStyle w:val="IndexLink"/>
              </w:rPr>
              <w:t>26</w:t>
            </w:r>
            <w:r>
              <w:rPr>
                <w:rStyle w:val="IndexLink"/>
                <w:rtl w:val="true"/>
              </w:rPr>
              <w:tab/>
            </w:r>
            <w:r>
              <w:rPr>
                <w:rStyle w:val="IndexLink"/>
              </w:rPr>
              <w:t>149</w:t>
            </w:r>
          </w:hyperlink>
        </w:p>
        <w:p>
          <w:pPr>
            <w:pStyle w:val="Contents5"/>
            <w:tabs>
              <w:tab w:val="clear" w:pos="7892"/>
              <w:tab w:val="right" w:pos="9026" w:leader="dot"/>
            </w:tabs>
            <w:rPr/>
          </w:pPr>
          <w:hyperlink w:anchor="__RefHeading___Toc605408_1934241801">
            <w:r>
              <w:rPr>
                <w:webHidden/>
                <w:rStyle w:val="IndexLink"/>
                <w:rtl w:val="true"/>
              </w:rPr>
              <w:t>توضیح</w:t>
            </w:r>
            <w:r>
              <w:rPr>
                <w:rStyle w:val="IndexLink"/>
                <w:rtl w:val="true"/>
              </w:rPr>
              <w:tab/>
            </w:r>
            <w:r>
              <w:rPr>
                <w:rStyle w:val="IndexLink"/>
              </w:rPr>
              <w:t>149</w:t>
            </w:r>
          </w:hyperlink>
        </w:p>
        <w:p>
          <w:pPr>
            <w:pStyle w:val="Contents5"/>
            <w:tabs>
              <w:tab w:val="clear" w:pos="7892"/>
              <w:tab w:val="right" w:pos="9026" w:leader="dot"/>
            </w:tabs>
            <w:rPr/>
          </w:pPr>
          <w:hyperlink w:anchor="__RefHeading___Toc605410_1934241801">
            <w:r>
              <w:rPr>
                <w:webHidden/>
                <w:rStyle w:val="IndexLink"/>
                <w:rtl w:val="true"/>
              </w:rPr>
              <w:t>«</w:t>
            </w:r>
            <w:r>
              <w:rPr>
                <w:rStyle w:val="IndexLink"/>
              </w:rPr>
              <w:t>27</w:t>
            </w:r>
            <w:r>
              <w:rPr>
                <w:rStyle w:val="IndexLink"/>
                <w:rtl w:val="true"/>
              </w:rPr>
              <w:t>»</w:t>
              <w:tab/>
            </w:r>
            <w:r>
              <w:rPr>
                <w:rStyle w:val="IndexLink"/>
              </w:rPr>
              <w:t>150</w:t>
            </w:r>
          </w:hyperlink>
        </w:p>
        <w:p>
          <w:pPr>
            <w:pStyle w:val="Contents5"/>
            <w:tabs>
              <w:tab w:val="clear" w:pos="7892"/>
              <w:tab w:val="right" w:pos="9026" w:leader="dot"/>
            </w:tabs>
            <w:rPr/>
          </w:pPr>
          <w:hyperlink w:anchor="__RefHeading___Toc605412_1934241801">
            <w:r>
              <w:rPr>
                <w:webHidden/>
                <w:rStyle w:val="IndexLink"/>
                <w:rtl w:val="true"/>
              </w:rPr>
              <w:t>«</w:t>
            </w:r>
            <w:r>
              <w:rPr>
                <w:rStyle w:val="IndexLink"/>
              </w:rPr>
              <w:t>28</w:t>
            </w:r>
            <w:r>
              <w:rPr>
                <w:rStyle w:val="IndexLink"/>
                <w:rtl w:val="true"/>
              </w:rPr>
              <w:t>»</w:t>
              <w:tab/>
            </w:r>
            <w:r>
              <w:rPr>
                <w:rStyle w:val="IndexLink"/>
              </w:rPr>
              <w:t>150</w:t>
            </w:r>
          </w:hyperlink>
        </w:p>
        <w:p>
          <w:pPr>
            <w:pStyle w:val="Contents5"/>
            <w:tabs>
              <w:tab w:val="clear" w:pos="7892"/>
              <w:tab w:val="right" w:pos="9026" w:leader="dot"/>
            </w:tabs>
            <w:rPr/>
          </w:pPr>
          <w:hyperlink w:anchor="__RefHeading___Toc605414_1934241801">
            <w:r>
              <w:rPr>
                <w:webHidden/>
                <w:rStyle w:val="IndexLink"/>
                <w:rtl w:val="true"/>
              </w:rPr>
              <w:t>«</w:t>
            </w:r>
            <w:r>
              <w:rPr>
                <w:rStyle w:val="IndexLink"/>
              </w:rPr>
              <w:t>29</w:t>
            </w:r>
            <w:r>
              <w:rPr>
                <w:rStyle w:val="IndexLink"/>
                <w:rtl w:val="true"/>
              </w:rPr>
              <w:t>»</w:t>
              <w:tab/>
            </w:r>
            <w:r>
              <w:rPr>
                <w:rStyle w:val="IndexLink"/>
              </w:rPr>
              <w:t>150</w:t>
            </w:r>
          </w:hyperlink>
        </w:p>
        <w:p>
          <w:pPr>
            <w:pStyle w:val="Contents5"/>
            <w:tabs>
              <w:tab w:val="clear" w:pos="7892"/>
              <w:tab w:val="right" w:pos="9026" w:leader="dot"/>
            </w:tabs>
            <w:rPr/>
          </w:pPr>
          <w:hyperlink w:anchor="__RefHeading___Toc605416_1934241801">
            <w:r>
              <w:rPr>
                <w:webHidden/>
                <w:rStyle w:val="IndexLink"/>
                <w:rtl w:val="true"/>
              </w:rPr>
              <w:t>بيان</w:t>
            </w:r>
            <w:r>
              <w:rPr>
                <w:rStyle w:val="IndexLink"/>
                <w:rtl w:val="true"/>
              </w:rPr>
              <w:tab/>
            </w:r>
            <w:r>
              <w:rPr>
                <w:rStyle w:val="IndexLink"/>
              </w:rPr>
              <w:t>150</w:t>
            </w:r>
          </w:hyperlink>
        </w:p>
        <w:p>
          <w:pPr>
            <w:pStyle w:val="Contents5"/>
            <w:tabs>
              <w:tab w:val="clear" w:pos="7892"/>
              <w:tab w:val="right" w:pos="9026" w:leader="dot"/>
            </w:tabs>
            <w:rPr/>
          </w:pPr>
          <w:hyperlink w:anchor="__RefHeading___Toc605418_1934241801">
            <w:r>
              <w:rPr>
                <w:webHidden/>
                <w:rStyle w:val="IndexLink"/>
                <w:rtl w:val="true"/>
              </w:rPr>
              <w:t>«</w:t>
            </w:r>
            <w:r>
              <w:rPr>
                <w:rStyle w:val="IndexLink"/>
              </w:rPr>
              <w:t>30</w:t>
            </w:r>
            <w:r>
              <w:rPr>
                <w:rStyle w:val="IndexLink"/>
                <w:rtl w:val="true"/>
              </w:rPr>
              <w:t>»</w:t>
              <w:tab/>
            </w:r>
            <w:r>
              <w:rPr>
                <w:rStyle w:val="IndexLink"/>
              </w:rPr>
              <w:t>150</w:t>
            </w:r>
          </w:hyperlink>
        </w:p>
        <w:p>
          <w:pPr>
            <w:pStyle w:val="Contents5"/>
            <w:tabs>
              <w:tab w:val="clear" w:pos="7892"/>
              <w:tab w:val="right" w:pos="9026" w:leader="dot"/>
            </w:tabs>
            <w:rPr/>
          </w:pPr>
          <w:hyperlink w:anchor="__RefHeading___Toc605420_1934241801">
            <w:r>
              <w:rPr>
                <w:webHidden/>
                <w:rStyle w:val="IndexLink"/>
                <w:rtl w:val="true"/>
              </w:rPr>
              <w:t>بيان</w:t>
            </w:r>
            <w:r>
              <w:rPr>
                <w:rStyle w:val="IndexLink"/>
                <w:rtl w:val="true"/>
              </w:rPr>
              <w:tab/>
            </w:r>
            <w:r>
              <w:rPr>
                <w:rStyle w:val="IndexLink"/>
              </w:rPr>
              <w:t>150</w:t>
            </w:r>
          </w:hyperlink>
        </w:p>
        <w:p>
          <w:pPr>
            <w:pStyle w:val="Contents5"/>
            <w:tabs>
              <w:tab w:val="clear" w:pos="7892"/>
              <w:tab w:val="right" w:pos="9026" w:leader="dot"/>
            </w:tabs>
            <w:rPr/>
          </w:pPr>
          <w:hyperlink w:anchor="__RefHeading___Toc605422_1934241801">
            <w:r>
              <w:rPr>
                <w:webHidden/>
                <w:rStyle w:val="IndexLink"/>
                <w:rtl w:val="true"/>
              </w:rPr>
              <w:t xml:space="preserve">روایت </w:t>
            </w:r>
            <w:r>
              <w:rPr>
                <w:rStyle w:val="IndexLink"/>
              </w:rPr>
              <w:t>27</w:t>
            </w:r>
            <w:r>
              <w:rPr>
                <w:rStyle w:val="IndexLink"/>
                <w:rtl w:val="true"/>
              </w:rPr>
              <w:tab/>
            </w:r>
            <w:r>
              <w:rPr>
                <w:rStyle w:val="IndexLink"/>
              </w:rPr>
              <w:t>150</w:t>
            </w:r>
          </w:hyperlink>
        </w:p>
        <w:p>
          <w:pPr>
            <w:pStyle w:val="Contents5"/>
            <w:tabs>
              <w:tab w:val="clear" w:pos="7892"/>
              <w:tab w:val="right" w:pos="9026" w:leader="dot"/>
            </w:tabs>
            <w:rPr/>
          </w:pPr>
          <w:hyperlink w:anchor="__RefHeading___Toc605424_1934241801">
            <w:r>
              <w:rPr>
                <w:webHidden/>
                <w:rStyle w:val="IndexLink"/>
                <w:rtl w:val="true"/>
              </w:rPr>
              <w:t xml:space="preserve">روایت </w:t>
            </w:r>
            <w:r>
              <w:rPr>
                <w:rStyle w:val="IndexLink"/>
              </w:rPr>
              <w:t>28</w:t>
            </w:r>
            <w:r>
              <w:rPr>
                <w:rStyle w:val="IndexLink"/>
                <w:rtl w:val="true"/>
              </w:rPr>
              <w:tab/>
            </w:r>
            <w:r>
              <w:rPr>
                <w:rStyle w:val="IndexLink"/>
              </w:rPr>
              <w:t>150</w:t>
            </w:r>
          </w:hyperlink>
        </w:p>
        <w:p>
          <w:pPr>
            <w:pStyle w:val="Contents5"/>
            <w:tabs>
              <w:tab w:val="clear" w:pos="7892"/>
              <w:tab w:val="right" w:pos="9026" w:leader="dot"/>
            </w:tabs>
            <w:rPr/>
          </w:pPr>
          <w:hyperlink w:anchor="__RefHeading___Toc605426_1934241801">
            <w:r>
              <w:rPr>
                <w:webHidden/>
                <w:rStyle w:val="IndexLink"/>
                <w:rtl w:val="true"/>
              </w:rPr>
              <w:t xml:space="preserve">روایت </w:t>
            </w:r>
            <w:r>
              <w:rPr>
                <w:rStyle w:val="IndexLink"/>
              </w:rPr>
              <w:t>29</w:t>
            </w:r>
            <w:r>
              <w:rPr>
                <w:rStyle w:val="IndexLink"/>
                <w:rtl w:val="true"/>
              </w:rPr>
              <w:tab/>
            </w:r>
            <w:r>
              <w:rPr>
                <w:rStyle w:val="IndexLink"/>
              </w:rPr>
              <w:t>150</w:t>
            </w:r>
          </w:hyperlink>
        </w:p>
        <w:p>
          <w:pPr>
            <w:pStyle w:val="Contents5"/>
            <w:tabs>
              <w:tab w:val="clear" w:pos="7892"/>
              <w:tab w:val="right" w:pos="9026" w:leader="dot"/>
            </w:tabs>
            <w:rPr/>
          </w:pPr>
          <w:hyperlink w:anchor="__RefHeading___Toc605428_1934241801">
            <w:r>
              <w:rPr>
                <w:webHidden/>
                <w:rStyle w:val="IndexLink"/>
                <w:rtl w:val="true"/>
              </w:rPr>
              <w:t>توضیح</w:t>
            </w:r>
            <w:r>
              <w:rPr>
                <w:rStyle w:val="IndexLink"/>
                <w:rtl w:val="true"/>
              </w:rPr>
              <w:tab/>
            </w:r>
            <w:r>
              <w:rPr>
                <w:rStyle w:val="IndexLink"/>
              </w:rPr>
              <w:t>151</w:t>
            </w:r>
          </w:hyperlink>
        </w:p>
        <w:p>
          <w:pPr>
            <w:pStyle w:val="Contents5"/>
            <w:tabs>
              <w:tab w:val="clear" w:pos="7892"/>
              <w:tab w:val="right" w:pos="9026" w:leader="dot"/>
            </w:tabs>
            <w:rPr/>
          </w:pPr>
          <w:hyperlink w:anchor="__RefHeading___Toc605430_1934241801">
            <w:r>
              <w:rPr>
                <w:webHidden/>
                <w:rStyle w:val="IndexLink"/>
                <w:rtl w:val="true"/>
              </w:rPr>
              <w:t xml:space="preserve">روایت </w:t>
            </w:r>
            <w:r>
              <w:rPr>
                <w:rStyle w:val="IndexLink"/>
              </w:rPr>
              <w:t>30</w:t>
            </w:r>
            <w:r>
              <w:rPr>
                <w:rStyle w:val="IndexLink"/>
                <w:rtl w:val="true"/>
              </w:rPr>
              <w:tab/>
            </w:r>
            <w:r>
              <w:rPr>
                <w:rStyle w:val="IndexLink"/>
              </w:rPr>
              <w:t>151</w:t>
            </w:r>
          </w:hyperlink>
        </w:p>
        <w:p>
          <w:pPr>
            <w:pStyle w:val="Contents5"/>
            <w:tabs>
              <w:tab w:val="clear" w:pos="7892"/>
              <w:tab w:val="right" w:pos="9026" w:leader="dot"/>
            </w:tabs>
            <w:rPr/>
          </w:pPr>
          <w:hyperlink w:anchor="__RefHeading___Toc605432_1934241801">
            <w:r>
              <w:rPr>
                <w:webHidden/>
                <w:rStyle w:val="IndexLink"/>
                <w:rtl w:val="true"/>
              </w:rPr>
              <w:t>توضیح</w:t>
            </w:r>
            <w:r>
              <w:rPr>
                <w:rStyle w:val="IndexLink"/>
                <w:rtl w:val="true"/>
              </w:rPr>
              <w:tab/>
            </w:r>
            <w:r>
              <w:rPr>
                <w:rStyle w:val="IndexLink"/>
              </w:rPr>
              <w:t>151</w:t>
            </w:r>
          </w:hyperlink>
        </w:p>
        <w:p>
          <w:pPr>
            <w:pStyle w:val="Contents5"/>
            <w:tabs>
              <w:tab w:val="clear" w:pos="7892"/>
              <w:tab w:val="right" w:pos="9026" w:leader="dot"/>
            </w:tabs>
            <w:rPr/>
          </w:pPr>
          <w:hyperlink w:anchor="__RefHeading___Toc605434_1934241801">
            <w:r>
              <w:rPr>
                <w:webHidden/>
                <w:rStyle w:val="IndexLink"/>
                <w:rtl w:val="true"/>
              </w:rPr>
              <w:t>«</w:t>
            </w:r>
            <w:r>
              <w:rPr>
                <w:rStyle w:val="IndexLink"/>
              </w:rPr>
              <w:t>31</w:t>
            </w:r>
            <w:r>
              <w:rPr>
                <w:rStyle w:val="IndexLink"/>
                <w:rtl w:val="true"/>
              </w:rPr>
              <w:t>»</w:t>
              <w:tab/>
            </w:r>
            <w:r>
              <w:rPr>
                <w:rStyle w:val="IndexLink"/>
              </w:rPr>
              <w:t>152</w:t>
            </w:r>
          </w:hyperlink>
        </w:p>
        <w:p>
          <w:pPr>
            <w:pStyle w:val="Contents5"/>
            <w:tabs>
              <w:tab w:val="clear" w:pos="7892"/>
              <w:tab w:val="right" w:pos="9026" w:leader="dot"/>
            </w:tabs>
            <w:rPr/>
          </w:pPr>
          <w:hyperlink w:anchor="__RefHeading___Toc605436_1934241801">
            <w:r>
              <w:rPr>
                <w:webHidden/>
                <w:rStyle w:val="IndexLink"/>
                <w:rtl w:val="true"/>
              </w:rPr>
              <w:t>بيان</w:t>
            </w:r>
            <w:r>
              <w:rPr>
                <w:rStyle w:val="IndexLink"/>
                <w:rtl w:val="true"/>
              </w:rPr>
              <w:tab/>
            </w:r>
            <w:r>
              <w:rPr>
                <w:rStyle w:val="IndexLink"/>
              </w:rPr>
              <w:t>152</w:t>
            </w:r>
          </w:hyperlink>
        </w:p>
        <w:p>
          <w:pPr>
            <w:pStyle w:val="Contents5"/>
            <w:tabs>
              <w:tab w:val="clear" w:pos="7892"/>
              <w:tab w:val="right" w:pos="9026" w:leader="dot"/>
            </w:tabs>
            <w:rPr/>
          </w:pPr>
          <w:hyperlink w:anchor="__RefHeading___Toc605438_1934241801">
            <w:r>
              <w:rPr>
                <w:webHidden/>
                <w:rStyle w:val="IndexLink"/>
                <w:rtl w:val="true"/>
              </w:rPr>
              <w:t>«</w:t>
            </w:r>
            <w:r>
              <w:rPr>
                <w:rStyle w:val="IndexLink"/>
              </w:rPr>
              <w:t>32</w:t>
            </w:r>
            <w:r>
              <w:rPr>
                <w:rStyle w:val="IndexLink"/>
                <w:rtl w:val="true"/>
              </w:rPr>
              <w:t>»</w:t>
              <w:tab/>
            </w:r>
            <w:r>
              <w:rPr>
                <w:rStyle w:val="IndexLink"/>
              </w:rPr>
              <w:t>152</w:t>
            </w:r>
          </w:hyperlink>
        </w:p>
        <w:p>
          <w:pPr>
            <w:pStyle w:val="Contents5"/>
            <w:tabs>
              <w:tab w:val="clear" w:pos="7892"/>
              <w:tab w:val="right" w:pos="9026" w:leader="dot"/>
            </w:tabs>
            <w:rPr/>
          </w:pPr>
          <w:hyperlink w:anchor="__RefHeading___Toc605440_1934241801">
            <w:r>
              <w:rPr>
                <w:webHidden/>
                <w:rStyle w:val="IndexLink"/>
                <w:rtl w:val="true"/>
              </w:rPr>
              <w:t>بيان</w:t>
            </w:r>
            <w:r>
              <w:rPr>
                <w:rStyle w:val="IndexLink"/>
                <w:rtl w:val="true"/>
              </w:rPr>
              <w:tab/>
            </w:r>
            <w:r>
              <w:rPr>
                <w:rStyle w:val="IndexLink"/>
              </w:rPr>
              <w:t>152</w:t>
            </w:r>
          </w:hyperlink>
        </w:p>
        <w:p>
          <w:pPr>
            <w:pStyle w:val="Contents5"/>
            <w:tabs>
              <w:tab w:val="clear" w:pos="7892"/>
              <w:tab w:val="right" w:pos="9026" w:leader="dot"/>
            </w:tabs>
            <w:rPr/>
          </w:pPr>
          <w:hyperlink w:anchor="__RefHeading___Toc605442_1934241801">
            <w:r>
              <w:rPr>
                <w:webHidden/>
                <w:rStyle w:val="IndexLink"/>
                <w:rtl w:val="true"/>
              </w:rPr>
              <w:t>«</w:t>
            </w:r>
            <w:r>
              <w:rPr>
                <w:rStyle w:val="IndexLink"/>
              </w:rPr>
              <w:t>33</w:t>
            </w:r>
            <w:r>
              <w:rPr>
                <w:rStyle w:val="IndexLink"/>
                <w:rtl w:val="true"/>
              </w:rPr>
              <w:t>»</w:t>
              <w:tab/>
            </w:r>
            <w:r>
              <w:rPr>
                <w:rStyle w:val="IndexLink"/>
              </w:rPr>
              <w:t>152</w:t>
            </w:r>
          </w:hyperlink>
        </w:p>
        <w:p>
          <w:pPr>
            <w:pStyle w:val="Contents5"/>
            <w:tabs>
              <w:tab w:val="clear" w:pos="7892"/>
              <w:tab w:val="right" w:pos="9026" w:leader="dot"/>
            </w:tabs>
            <w:rPr/>
          </w:pPr>
          <w:hyperlink w:anchor="__RefHeading___Toc605444_1934241801">
            <w:r>
              <w:rPr>
                <w:webHidden/>
                <w:rStyle w:val="IndexLink"/>
                <w:rtl w:val="true"/>
              </w:rPr>
              <w:t xml:space="preserve">روایت </w:t>
            </w:r>
            <w:r>
              <w:rPr>
                <w:rStyle w:val="IndexLink"/>
              </w:rPr>
              <w:t>31</w:t>
            </w:r>
            <w:r>
              <w:rPr>
                <w:rStyle w:val="IndexLink"/>
                <w:rtl w:val="true"/>
              </w:rPr>
              <w:tab/>
            </w:r>
            <w:r>
              <w:rPr>
                <w:rStyle w:val="IndexLink"/>
              </w:rPr>
              <w:t>152</w:t>
            </w:r>
          </w:hyperlink>
        </w:p>
        <w:p>
          <w:pPr>
            <w:pStyle w:val="Contents5"/>
            <w:tabs>
              <w:tab w:val="clear" w:pos="7892"/>
              <w:tab w:val="right" w:pos="9026" w:leader="dot"/>
            </w:tabs>
            <w:rPr/>
          </w:pPr>
          <w:hyperlink w:anchor="__RefHeading___Toc605446_1934241801">
            <w:r>
              <w:rPr>
                <w:webHidden/>
                <w:rStyle w:val="IndexLink"/>
                <w:rtl w:val="true"/>
              </w:rPr>
              <w:t>توضیح</w:t>
            </w:r>
            <w:r>
              <w:rPr>
                <w:rStyle w:val="IndexLink"/>
                <w:rtl w:val="true"/>
              </w:rPr>
              <w:tab/>
            </w:r>
            <w:r>
              <w:rPr>
                <w:rStyle w:val="IndexLink"/>
              </w:rPr>
              <w:t>152</w:t>
            </w:r>
          </w:hyperlink>
        </w:p>
        <w:p>
          <w:pPr>
            <w:pStyle w:val="Contents5"/>
            <w:tabs>
              <w:tab w:val="clear" w:pos="7892"/>
              <w:tab w:val="right" w:pos="9026" w:leader="dot"/>
            </w:tabs>
            <w:rPr/>
          </w:pPr>
          <w:hyperlink w:anchor="__RefHeading___Toc605448_1934241801">
            <w:r>
              <w:rPr>
                <w:webHidden/>
                <w:rStyle w:val="IndexLink"/>
                <w:rtl w:val="true"/>
              </w:rPr>
              <w:t xml:space="preserve">روایت </w:t>
            </w:r>
            <w:r>
              <w:rPr>
                <w:rStyle w:val="IndexLink"/>
              </w:rPr>
              <w:t>32</w:t>
            </w:r>
            <w:r>
              <w:rPr>
                <w:rStyle w:val="IndexLink"/>
                <w:rtl w:val="true"/>
              </w:rPr>
              <w:tab/>
            </w:r>
            <w:r>
              <w:rPr>
                <w:rStyle w:val="IndexLink"/>
              </w:rPr>
              <w:t>153</w:t>
            </w:r>
          </w:hyperlink>
        </w:p>
        <w:p>
          <w:pPr>
            <w:pStyle w:val="Contents5"/>
            <w:tabs>
              <w:tab w:val="clear" w:pos="7892"/>
              <w:tab w:val="right" w:pos="9026" w:leader="dot"/>
            </w:tabs>
            <w:rPr/>
          </w:pPr>
          <w:hyperlink w:anchor="__RefHeading___Toc605450_1934241801">
            <w:r>
              <w:rPr>
                <w:webHidden/>
                <w:rStyle w:val="IndexLink"/>
                <w:rtl w:val="true"/>
              </w:rPr>
              <w:t>توضیح</w:t>
            </w:r>
            <w:r>
              <w:rPr>
                <w:rStyle w:val="IndexLink"/>
                <w:rtl w:val="true"/>
              </w:rPr>
              <w:tab/>
            </w:r>
            <w:r>
              <w:rPr>
                <w:rStyle w:val="IndexLink"/>
              </w:rPr>
              <w:t>153</w:t>
            </w:r>
          </w:hyperlink>
        </w:p>
        <w:p>
          <w:pPr>
            <w:pStyle w:val="Contents5"/>
            <w:tabs>
              <w:tab w:val="clear" w:pos="7892"/>
              <w:tab w:val="right" w:pos="9026" w:leader="dot"/>
            </w:tabs>
            <w:rPr/>
          </w:pPr>
          <w:hyperlink w:anchor="__RefHeading___Toc605452_1934241801">
            <w:r>
              <w:rPr>
                <w:webHidden/>
                <w:rStyle w:val="IndexLink"/>
                <w:rtl w:val="true"/>
              </w:rPr>
              <w:t xml:space="preserve">روایت </w:t>
            </w:r>
            <w:r>
              <w:rPr>
                <w:rStyle w:val="IndexLink"/>
              </w:rPr>
              <w:t>33</w:t>
            </w:r>
            <w:r>
              <w:rPr>
                <w:rStyle w:val="IndexLink"/>
                <w:rtl w:val="true"/>
              </w:rPr>
              <w:tab/>
            </w:r>
            <w:r>
              <w:rPr>
                <w:rStyle w:val="IndexLink"/>
              </w:rPr>
              <w:t>153</w:t>
            </w:r>
          </w:hyperlink>
        </w:p>
        <w:p>
          <w:pPr>
            <w:pStyle w:val="Contents5"/>
            <w:tabs>
              <w:tab w:val="clear" w:pos="7892"/>
              <w:tab w:val="right" w:pos="9026" w:leader="dot"/>
            </w:tabs>
            <w:rPr/>
          </w:pPr>
          <w:hyperlink w:anchor="__RefHeading___Toc605454_1934241801">
            <w:r>
              <w:rPr>
                <w:webHidden/>
                <w:rStyle w:val="IndexLink"/>
                <w:rtl w:val="true"/>
              </w:rPr>
              <w:t>«</w:t>
            </w:r>
            <w:r>
              <w:rPr>
                <w:rStyle w:val="IndexLink"/>
              </w:rPr>
              <w:t>34</w:t>
            </w:r>
            <w:r>
              <w:rPr>
                <w:rStyle w:val="IndexLink"/>
                <w:rtl w:val="true"/>
              </w:rPr>
              <w:t>»</w:t>
              <w:tab/>
            </w:r>
            <w:r>
              <w:rPr>
                <w:rStyle w:val="IndexLink"/>
              </w:rPr>
              <w:t>154</w:t>
            </w:r>
          </w:hyperlink>
        </w:p>
        <w:p>
          <w:pPr>
            <w:pStyle w:val="Contents5"/>
            <w:tabs>
              <w:tab w:val="clear" w:pos="7892"/>
              <w:tab w:val="right" w:pos="9026" w:leader="dot"/>
            </w:tabs>
            <w:rPr/>
          </w:pPr>
          <w:hyperlink w:anchor="__RefHeading___Toc605456_1934241801">
            <w:r>
              <w:rPr>
                <w:webHidden/>
                <w:rStyle w:val="IndexLink"/>
                <w:rtl w:val="true"/>
              </w:rPr>
              <w:t>بيان</w:t>
            </w:r>
            <w:r>
              <w:rPr>
                <w:rStyle w:val="IndexLink"/>
                <w:rtl w:val="true"/>
              </w:rPr>
              <w:tab/>
            </w:r>
            <w:r>
              <w:rPr>
                <w:rStyle w:val="IndexLink"/>
              </w:rPr>
              <w:t>154</w:t>
            </w:r>
          </w:hyperlink>
        </w:p>
        <w:p>
          <w:pPr>
            <w:pStyle w:val="Contents5"/>
            <w:tabs>
              <w:tab w:val="clear" w:pos="7892"/>
              <w:tab w:val="right" w:pos="9026" w:leader="dot"/>
            </w:tabs>
            <w:rPr/>
          </w:pPr>
          <w:hyperlink w:anchor="__RefHeading___Toc605458_1934241801">
            <w:r>
              <w:rPr>
                <w:webHidden/>
                <w:rStyle w:val="IndexLink"/>
                <w:rtl w:val="true"/>
              </w:rPr>
              <w:t>«</w:t>
            </w:r>
            <w:r>
              <w:rPr>
                <w:rStyle w:val="IndexLink"/>
              </w:rPr>
              <w:t>35</w:t>
            </w:r>
            <w:r>
              <w:rPr>
                <w:rStyle w:val="IndexLink"/>
                <w:rtl w:val="true"/>
              </w:rPr>
              <w:t>»</w:t>
              <w:tab/>
            </w:r>
            <w:r>
              <w:rPr>
                <w:rStyle w:val="IndexLink"/>
              </w:rPr>
              <w:t>154</w:t>
            </w:r>
          </w:hyperlink>
        </w:p>
        <w:p>
          <w:pPr>
            <w:pStyle w:val="Contents5"/>
            <w:tabs>
              <w:tab w:val="clear" w:pos="7892"/>
              <w:tab w:val="right" w:pos="9026" w:leader="dot"/>
            </w:tabs>
            <w:rPr/>
          </w:pPr>
          <w:hyperlink w:anchor="__RefHeading___Toc605460_1934241801">
            <w:r>
              <w:rPr>
                <w:webHidden/>
                <w:rStyle w:val="IndexLink"/>
                <w:rtl w:val="true"/>
              </w:rPr>
              <w:t>«</w:t>
            </w:r>
            <w:r>
              <w:rPr>
                <w:rStyle w:val="IndexLink"/>
              </w:rPr>
              <w:t>36</w:t>
            </w:r>
            <w:r>
              <w:rPr>
                <w:rStyle w:val="IndexLink"/>
                <w:rtl w:val="true"/>
              </w:rPr>
              <w:t>»</w:t>
              <w:tab/>
            </w:r>
            <w:r>
              <w:rPr>
                <w:rStyle w:val="IndexLink"/>
              </w:rPr>
              <w:t>154</w:t>
            </w:r>
          </w:hyperlink>
        </w:p>
        <w:p>
          <w:pPr>
            <w:pStyle w:val="Contents5"/>
            <w:tabs>
              <w:tab w:val="clear" w:pos="7892"/>
              <w:tab w:val="right" w:pos="9026" w:leader="dot"/>
            </w:tabs>
            <w:rPr/>
          </w:pPr>
          <w:hyperlink w:anchor="__RefHeading___Toc605462_1934241801">
            <w:r>
              <w:rPr>
                <w:webHidden/>
                <w:rStyle w:val="IndexLink"/>
                <w:rtl w:val="true"/>
              </w:rPr>
              <w:t xml:space="preserve">روایت </w:t>
            </w:r>
            <w:r>
              <w:rPr>
                <w:rStyle w:val="IndexLink"/>
              </w:rPr>
              <w:t>34</w:t>
            </w:r>
            <w:r>
              <w:rPr>
                <w:rStyle w:val="IndexLink"/>
                <w:rtl w:val="true"/>
              </w:rPr>
              <w:tab/>
            </w:r>
            <w:r>
              <w:rPr>
                <w:rStyle w:val="IndexLink"/>
              </w:rPr>
              <w:t>154</w:t>
            </w:r>
          </w:hyperlink>
        </w:p>
        <w:p>
          <w:pPr>
            <w:pStyle w:val="Contents5"/>
            <w:tabs>
              <w:tab w:val="clear" w:pos="7892"/>
              <w:tab w:val="right" w:pos="9026" w:leader="dot"/>
            </w:tabs>
            <w:rPr/>
          </w:pPr>
          <w:hyperlink w:anchor="__RefHeading___Toc605464_1934241801">
            <w:r>
              <w:rPr>
                <w:webHidden/>
                <w:rStyle w:val="IndexLink"/>
                <w:rtl w:val="true"/>
              </w:rPr>
              <w:t>توضیح</w:t>
            </w:r>
            <w:r>
              <w:rPr>
                <w:rStyle w:val="IndexLink"/>
                <w:rtl w:val="true"/>
              </w:rPr>
              <w:tab/>
            </w:r>
            <w:r>
              <w:rPr>
                <w:rStyle w:val="IndexLink"/>
              </w:rPr>
              <w:t>155</w:t>
            </w:r>
          </w:hyperlink>
        </w:p>
        <w:p>
          <w:pPr>
            <w:pStyle w:val="Contents5"/>
            <w:tabs>
              <w:tab w:val="clear" w:pos="7892"/>
              <w:tab w:val="right" w:pos="9026" w:leader="dot"/>
            </w:tabs>
            <w:rPr/>
          </w:pPr>
          <w:hyperlink w:anchor="__RefHeading___Toc605466_1934241801">
            <w:r>
              <w:rPr>
                <w:webHidden/>
                <w:rStyle w:val="IndexLink"/>
                <w:rtl w:val="true"/>
              </w:rPr>
              <w:t xml:space="preserve">روایت </w:t>
            </w:r>
            <w:r>
              <w:rPr>
                <w:rStyle w:val="IndexLink"/>
              </w:rPr>
              <w:t>35</w:t>
            </w:r>
            <w:r>
              <w:rPr>
                <w:rStyle w:val="IndexLink"/>
                <w:rtl w:val="true"/>
              </w:rPr>
              <w:tab/>
            </w:r>
            <w:r>
              <w:rPr>
                <w:rStyle w:val="IndexLink"/>
              </w:rPr>
              <w:t>155</w:t>
            </w:r>
          </w:hyperlink>
        </w:p>
        <w:p>
          <w:pPr>
            <w:pStyle w:val="Contents5"/>
            <w:tabs>
              <w:tab w:val="clear" w:pos="7892"/>
              <w:tab w:val="right" w:pos="9026" w:leader="dot"/>
            </w:tabs>
            <w:rPr/>
          </w:pPr>
          <w:hyperlink w:anchor="__RefHeading___Toc605468_1934241801">
            <w:r>
              <w:rPr>
                <w:webHidden/>
                <w:rStyle w:val="IndexLink"/>
                <w:rtl w:val="true"/>
              </w:rPr>
              <w:t xml:space="preserve">روایت </w:t>
            </w:r>
            <w:r>
              <w:rPr>
                <w:rStyle w:val="IndexLink"/>
              </w:rPr>
              <w:t>36</w:t>
            </w:r>
            <w:r>
              <w:rPr>
                <w:rStyle w:val="IndexLink"/>
                <w:rtl w:val="true"/>
              </w:rPr>
              <w:tab/>
            </w:r>
            <w:r>
              <w:rPr>
                <w:rStyle w:val="IndexLink"/>
              </w:rPr>
              <w:t>155</w:t>
            </w:r>
          </w:hyperlink>
        </w:p>
        <w:p>
          <w:pPr>
            <w:pStyle w:val="Contents5"/>
            <w:tabs>
              <w:tab w:val="clear" w:pos="7892"/>
              <w:tab w:val="right" w:pos="9026" w:leader="dot"/>
            </w:tabs>
            <w:rPr/>
          </w:pPr>
          <w:hyperlink w:anchor="__RefHeading___Toc605470_1934241801">
            <w:r>
              <w:rPr>
                <w:webHidden/>
                <w:rStyle w:val="IndexLink"/>
                <w:rtl w:val="true"/>
              </w:rPr>
              <w:t>بيان</w:t>
            </w:r>
            <w:r>
              <w:rPr>
                <w:rStyle w:val="IndexLink"/>
                <w:rtl w:val="true"/>
              </w:rPr>
              <w:tab/>
            </w:r>
            <w:r>
              <w:rPr>
                <w:rStyle w:val="IndexLink"/>
              </w:rPr>
              <w:t>156</w:t>
            </w:r>
          </w:hyperlink>
        </w:p>
        <w:p>
          <w:pPr>
            <w:pStyle w:val="Contents5"/>
            <w:tabs>
              <w:tab w:val="clear" w:pos="7892"/>
              <w:tab w:val="right" w:pos="9026" w:leader="dot"/>
            </w:tabs>
            <w:rPr/>
          </w:pPr>
          <w:hyperlink w:anchor="__RefHeading___Toc605472_1934241801">
            <w:r>
              <w:rPr>
                <w:webHidden/>
                <w:rStyle w:val="IndexLink"/>
                <w:rtl w:val="true"/>
              </w:rPr>
              <w:t>«</w:t>
            </w:r>
            <w:r>
              <w:rPr>
                <w:rStyle w:val="IndexLink"/>
              </w:rPr>
              <w:t>37</w:t>
            </w:r>
            <w:r>
              <w:rPr>
                <w:rStyle w:val="IndexLink"/>
                <w:rtl w:val="true"/>
              </w:rPr>
              <w:t>»</w:t>
              <w:tab/>
            </w:r>
            <w:r>
              <w:rPr>
                <w:rStyle w:val="IndexLink"/>
              </w:rPr>
              <w:t>156</w:t>
            </w:r>
          </w:hyperlink>
        </w:p>
        <w:p>
          <w:pPr>
            <w:pStyle w:val="Contents5"/>
            <w:tabs>
              <w:tab w:val="clear" w:pos="7892"/>
              <w:tab w:val="right" w:pos="9026" w:leader="dot"/>
            </w:tabs>
            <w:rPr/>
          </w:pPr>
          <w:hyperlink w:anchor="__RefHeading___Toc605474_1934241801">
            <w:r>
              <w:rPr>
                <w:webHidden/>
                <w:rStyle w:val="IndexLink"/>
                <w:rtl w:val="true"/>
              </w:rPr>
              <w:t>«</w:t>
            </w:r>
            <w:r>
              <w:rPr>
                <w:rStyle w:val="IndexLink"/>
              </w:rPr>
              <w:t>38</w:t>
            </w:r>
            <w:r>
              <w:rPr>
                <w:rStyle w:val="IndexLink"/>
                <w:rtl w:val="true"/>
              </w:rPr>
              <w:t>»</w:t>
              <w:tab/>
            </w:r>
            <w:r>
              <w:rPr>
                <w:rStyle w:val="IndexLink"/>
              </w:rPr>
              <w:t>156</w:t>
            </w:r>
          </w:hyperlink>
        </w:p>
        <w:p>
          <w:pPr>
            <w:pStyle w:val="Contents5"/>
            <w:tabs>
              <w:tab w:val="clear" w:pos="7892"/>
              <w:tab w:val="right" w:pos="9026" w:leader="dot"/>
            </w:tabs>
            <w:rPr/>
          </w:pPr>
          <w:hyperlink w:anchor="__RefHeading___Toc605476_1934241801">
            <w:r>
              <w:rPr>
                <w:webHidden/>
                <w:rStyle w:val="IndexLink"/>
                <w:rtl w:val="true"/>
              </w:rPr>
              <w:t>«</w:t>
            </w:r>
            <w:r>
              <w:rPr>
                <w:rStyle w:val="IndexLink"/>
              </w:rPr>
              <w:t>39</w:t>
            </w:r>
            <w:r>
              <w:rPr>
                <w:rStyle w:val="IndexLink"/>
                <w:rtl w:val="true"/>
              </w:rPr>
              <w:t>»</w:t>
              <w:tab/>
            </w:r>
            <w:r>
              <w:rPr>
                <w:rStyle w:val="IndexLink"/>
              </w:rPr>
              <w:t>156</w:t>
            </w:r>
          </w:hyperlink>
        </w:p>
        <w:p>
          <w:pPr>
            <w:pStyle w:val="Contents5"/>
            <w:tabs>
              <w:tab w:val="clear" w:pos="7892"/>
              <w:tab w:val="right" w:pos="9026" w:leader="dot"/>
            </w:tabs>
            <w:rPr/>
          </w:pPr>
          <w:hyperlink w:anchor="__RefHeading___Toc605478_1934241801">
            <w:r>
              <w:rPr>
                <w:webHidden/>
                <w:rStyle w:val="IndexLink"/>
                <w:rtl w:val="true"/>
              </w:rPr>
              <w:t>توضیح</w:t>
            </w:r>
            <w:r>
              <w:rPr>
                <w:rStyle w:val="IndexLink"/>
                <w:rtl w:val="true"/>
              </w:rPr>
              <w:tab/>
            </w:r>
            <w:r>
              <w:rPr>
                <w:rStyle w:val="IndexLink"/>
              </w:rPr>
              <w:t>156</w:t>
            </w:r>
          </w:hyperlink>
        </w:p>
        <w:p>
          <w:pPr>
            <w:pStyle w:val="Contents5"/>
            <w:tabs>
              <w:tab w:val="clear" w:pos="7892"/>
              <w:tab w:val="right" w:pos="9026" w:leader="dot"/>
            </w:tabs>
            <w:rPr/>
          </w:pPr>
          <w:hyperlink w:anchor="__RefHeading___Toc605480_1934241801">
            <w:r>
              <w:rPr>
                <w:webHidden/>
                <w:rStyle w:val="IndexLink"/>
                <w:rtl w:val="true"/>
              </w:rPr>
              <w:t xml:space="preserve">روایت </w:t>
            </w:r>
            <w:r>
              <w:rPr>
                <w:rStyle w:val="IndexLink"/>
              </w:rPr>
              <w:t>37</w:t>
            </w:r>
            <w:r>
              <w:rPr>
                <w:rStyle w:val="IndexLink"/>
                <w:rtl w:val="true"/>
              </w:rPr>
              <w:tab/>
            </w:r>
            <w:r>
              <w:rPr>
                <w:rStyle w:val="IndexLink"/>
              </w:rPr>
              <w:t>157</w:t>
            </w:r>
          </w:hyperlink>
        </w:p>
        <w:p>
          <w:pPr>
            <w:pStyle w:val="Contents5"/>
            <w:tabs>
              <w:tab w:val="clear" w:pos="7892"/>
              <w:tab w:val="right" w:pos="9026" w:leader="dot"/>
            </w:tabs>
            <w:rPr/>
          </w:pPr>
          <w:hyperlink w:anchor="__RefHeading___Toc605482_1934241801">
            <w:r>
              <w:rPr>
                <w:webHidden/>
                <w:rStyle w:val="IndexLink"/>
                <w:rtl w:val="true"/>
              </w:rPr>
              <w:t xml:space="preserve">روایت </w:t>
            </w:r>
            <w:r>
              <w:rPr>
                <w:rStyle w:val="IndexLink"/>
              </w:rPr>
              <w:t>38</w:t>
            </w:r>
            <w:r>
              <w:rPr>
                <w:rStyle w:val="IndexLink"/>
                <w:rtl w:val="true"/>
              </w:rPr>
              <w:tab/>
            </w:r>
            <w:r>
              <w:rPr>
                <w:rStyle w:val="IndexLink"/>
              </w:rPr>
              <w:t>157</w:t>
            </w:r>
          </w:hyperlink>
        </w:p>
        <w:p>
          <w:pPr>
            <w:pStyle w:val="Contents5"/>
            <w:tabs>
              <w:tab w:val="clear" w:pos="7892"/>
              <w:tab w:val="right" w:pos="9026" w:leader="dot"/>
            </w:tabs>
            <w:rPr/>
          </w:pPr>
          <w:hyperlink w:anchor="__RefHeading___Toc605484_1934241801">
            <w:r>
              <w:rPr>
                <w:webHidden/>
                <w:rStyle w:val="IndexLink"/>
                <w:rtl w:val="true"/>
              </w:rPr>
              <w:t xml:space="preserve">روایت </w:t>
            </w:r>
            <w:r>
              <w:rPr>
                <w:rStyle w:val="IndexLink"/>
              </w:rPr>
              <w:t>39</w:t>
            </w:r>
            <w:r>
              <w:rPr>
                <w:rStyle w:val="IndexLink"/>
                <w:rtl w:val="true"/>
              </w:rPr>
              <w:tab/>
            </w:r>
            <w:r>
              <w:rPr>
                <w:rStyle w:val="IndexLink"/>
              </w:rPr>
              <w:t>157</w:t>
            </w:r>
          </w:hyperlink>
        </w:p>
        <w:p>
          <w:pPr>
            <w:pStyle w:val="Contents5"/>
            <w:tabs>
              <w:tab w:val="clear" w:pos="7892"/>
              <w:tab w:val="right" w:pos="9026" w:leader="dot"/>
            </w:tabs>
            <w:rPr/>
          </w:pPr>
          <w:hyperlink w:anchor="__RefHeading___Toc605486_1934241801">
            <w:r>
              <w:rPr>
                <w:webHidden/>
                <w:rStyle w:val="IndexLink"/>
                <w:rtl w:val="true"/>
              </w:rPr>
              <w:t>«</w:t>
            </w:r>
            <w:r>
              <w:rPr>
                <w:rStyle w:val="IndexLink"/>
              </w:rPr>
              <w:t>40</w:t>
            </w:r>
            <w:r>
              <w:rPr>
                <w:rStyle w:val="IndexLink"/>
                <w:rtl w:val="true"/>
              </w:rPr>
              <w:t>»</w:t>
              <w:tab/>
            </w:r>
            <w:r>
              <w:rPr>
                <w:rStyle w:val="IndexLink"/>
              </w:rPr>
              <w:t>158</w:t>
            </w:r>
          </w:hyperlink>
        </w:p>
        <w:p>
          <w:pPr>
            <w:pStyle w:val="Contents5"/>
            <w:tabs>
              <w:tab w:val="clear" w:pos="7892"/>
              <w:tab w:val="right" w:pos="9026" w:leader="dot"/>
            </w:tabs>
            <w:rPr/>
          </w:pPr>
          <w:hyperlink w:anchor="__RefHeading___Toc605488_1934241801">
            <w:r>
              <w:rPr>
                <w:webHidden/>
                <w:rStyle w:val="IndexLink"/>
                <w:rtl w:val="true"/>
              </w:rPr>
              <w:t>بيان</w:t>
            </w:r>
            <w:r>
              <w:rPr>
                <w:rStyle w:val="IndexLink"/>
                <w:rtl w:val="true"/>
              </w:rPr>
              <w:tab/>
            </w:r>
            <w:r>
              <w:rPr>
                <w:rStyle w:val="IndexLink"/>
              </w:rPr>
              <w:t>158</w:t>
            </w:r>
          </w:hyperlink>
        </w:p>
        <w:p>
          <w:pPr>
            <w:pStyle w:val="Contents5"/>
            <w:tabs>
              <w:tab w:val="clear" w:pos="7892"/>
              <w:tab w:val="right" w:pos="9026" w:leader="dot"/>
            </w:tabs>
            <w:rPr/>
          </w:pPr>
          <w:hyperlink w:anchor="__RefHeading___Toc605490_1934241801">
            <w:r>
              <w:rPr>
                <w:webHidden/>
                <w:rStyle w:val="IndexLink"/>
                <w:rtl w:val="true"/>
              </w:rPr>
              <w:t>«</w:t>
            </w:r>
            <w:r>
              <w:rPr>
                <w:rStyle w:val="IndexLink"/>
              </w:rPr>
              <w:t>41</w:t>
            </w:r>
            <w:r>
              <w:rPr>
                <w:rStyle w:val="IndexLink"/>
                <w:rtl w:val="true"/>
              </w:rPr>
              <w:t>»</w:t>
              <w:tab/>
            </w:r>
            <w:r>
              <w:rPr>
                <w:rStyle w:val="IndexLink"/>
              </w:rPr>
              <w:t>158</w:t>
            </w:r>
          </w:hyperlink>
        </w:p>
        <w:p>
          <w:pPr>
            <w:pStyle w:val="Contents5"/>
            <w:tabs>
              <w:tab w:val="clear" w:pos="7892"/>
              <w:tab w:val="right" w:pos="9026" w:leader="dot"/>
            </w:tabs>
            <w:rPr/>
          </w:pPr>
          <w:hyperlink w:anchor="__RefHeading___Toc605492_1934241801">
            <w:r>
              <w:rPr>
                <w:webHidden/>
                <w:rStyle w:val="IndexLink"/>
                <w:rtl w:val="true"/>
              </w:rPr>
              <w:t xml:space="preserve">روایت </w:t>
            </w:r>
            <w:r>
              <w:rPr>
                <w:rStyle w:val="IndexLink"/>
              </w:rPr>
              <w:t>40</w:t>
            </w:r>
            <w:r>
              <w:rPr>
                <w:rStyle w:val="IndexLink"/>
                <w:rtl w:val="true"/>
              </w:rPr>
              <w:tab/>
            </w:r>
            <w:r>
              <w:rPr>
                <w:rStyle w:val="IndexLink"/>
              </w:rPr>
              <w:t>158</w:t>
            </w:r>
          </w:hyperlink>
        </w:p>
        <w:p>
          <w:pPr>
            <w:pStyle w:val="Contents5"/>
            <w:tabs>
              <w:tab w:val="clear" w:pos="7892"/>
              <w:tab w:val="right" w:pos="9026" w:leader="dot"/>
            </w:tabs>
            <w:rPr/>
          </w:pPr>
          <w:hyperlink w:anchor="__RefHeading___Toc605494_1934241801">
            <w:r>
              <w:rPr>
                <w:webHidden/>
                <w:rStyle w:val="IndexLink"/>
                <w:rtl w:val="true"/>
              </w:rPr>
              <w:t>توضیح</w:t>
            </w:r>
            <w:r>
              <w:rPr>
                <w:rStyle w:val="IndexLink"/>
                <w:rtl w:val="true"/>
              </w:rPr>
              <w:tab/>
            </w:r>
            <w:r>
              <w:rPr>
                <w:rStyle w:val="IndexLink"/>
              </w:rPr>
              <w:t>159</w:t>
            </w:r>
          </w:hyperlink>
        </w:p>
        <w:p>
          <w:pPr>
            <w:pStyle w:val="Contents5"/>
            <w:tabs>
              <w:tab w:val="clear" w:pos="7892"/>
              <w:tab w:val="right" w:pos="9026" w:leader="dot"/>
            </w:tabs>
            <w:rPr/>
          </w:pPr>
          <w:hyperlink w:anchor="__RefHeading___Toc605496_1934241801">
            <w:r>
              <w:rPr>
                <w:webHidden/>
                <w:rStyle w:val="IndexLink"/>
                <w:rtl w:val="true"/>
              </w:rPr>
              <w:t xml:space="preserve">روایت </w:t>
            </w:r>
            <w:r>
              <w:rPr>
                <w:rStyle w:val="IndexLink"/>
              </w:rPr>
              <w:t>41</w:t>
            </w:r>
            <w:r>
              <w:rPr>
                <w:rStyle w:val="IndexLink"/>
                <w:rtl w:val="true"/>
              </w:rPr>
              <w:tab/>
            </w:r>
            <w:r>
              <w:rPr>
                <w:rStyle w:val="IndexLink"/>
              </w:rPr>
              <w:t>159</w:t>
            </w:r>
          </w:hyperlink>
        </w:p>
        <w:p>
          <w:pPr>
            <w:pStyle w:val="Contents5"/>
            <w:tabs>
              <w:tab w:val="clear" w:pos="7892"/>
              <w:tab w:val="right" w:pos="9026" w:leader="dot"/>
            </w:tabs>
            <w:rPr/>
          </w:pPr>
          <w:hyperlink w:anchor="__RefHeading___Toc605498_1934241801">
            <w:r>
              <w:rPr>
                <w:webHidden/>
                <w:rStyle w:val="IndexLink"/>
                <w:rtl w:val="true"/>
              </w:rPr>
              <w:t>بيان</w:t>
            </w:r>
            <w:r>
              <w:rPr>
                <w:rStyle w:val="IndexLink"/>
                <w:rtl w:val="true"/>
              </w:rPr>
              <w:tab/>
            </w:r>
            <w:r>
              <w:rPr>
                <w:rStyle w:val="IndexLink"/>
              </w:rPr>
              <w:t>160</w:t>
            </w:r>
          </w:hyperlink>
        </w:p>
        <w:p>
          <w:pPr>
            <w:pStyle w:val="Contents5"/>
            <w:tabs>
              <w:tab w:val="clear" w:pos="7892"/>
              <w:tab w:val="right" w:pos="9026" w:leader="dot"/>
            </w:tabs>
            <w:rPr/>
          </w:pPr>
          <w:hyperlink w:anchor="__RefHeading___Toc605500_1934241801">
            <w:r>
              <w:rPr>
                <w:webHidden/>
                <w:rStyle w:val="IndexLink"/>
                <w:rtl w:val="true"/>
              </w:rPr>
              <w:t>«</w:t>
            </w:r>
            <w:r>
              <w:rPr>
                <w:rStyle w:val="IndexLink"/>
              </w:rPr>
              <w:t>42</w:t>
            </w:r>
            <w:r>
              <w:rPr>
                <w:rStyle w:val="IndexLink"/>
                <w:rtl w:val="true"/>
              </w:rPr>
              <w:t>»</w:t>
              <w:tab/>
            </w:r>
            <w:r>
              <w:rPr>
                <w:rStyle w:val="IndexLink"/>
              </w:rPr>
              <w:t>160</w:t>
            </w:r>
          </w:hyperlink>
        </w:p>
        <w:p>
          <w:pPr>
            <w:pStyle w:val="Contents5"/>
            <w:tabs>
              <w:tab w:val="clear" w:pos="7892"/>
              <w:tab w:val="right" w:pos="9026" w:leader="dot"/>
            </w:tabs>
            <w:rPr/>
          </w:pPr>
          <w:hyperlink w:anchor="__RefHeading___Toc605502_1934241801">
            <w:r>
              <w:rPr>
                <w:webHidden/>
                <w:rStyle w:val="IndexLink"/>
                <w:rtl w:val="true"/>
              </w:rPr>
              <w:t>«</w:t>
            </w:r>
            <w:r>
              <w:rPr>
                <w:rStyle w:val="IndexLink"/>
              </w:rPr>
              <w:t>43</w:t>
            </w:r>
            <w:r>
              <w:rPr>
                <w:rStyle w:val="IndexLink"/>
                <w:rtl w:val="true"/>
              </w:rPr>
              <w:t>»</w:t>
              <w:tab/>
            </w:r>
            <w:r>
              <w:rPr>
                <w:rStyle w:val="IndexLink"/>
              </w:rPr>
              <w:t>160</w:t>
            </w:r>
          </w:hyperlink>
        </w:p>
        <w:p>
          <w:pPr>
            <w:pStyle w:val="Contents5"/>
            <w:tabs>
              <w:tab w:val="clear" w:pos="7892"/>
              <w:tab w:val="right" w:pos="9026" w:leader="dot"/>
            </w:tabs>
            <w:rPr/>
          </w:pPr>
          <w:hyperlink w:anchor="__RefHeading___Toc605504_1934241801">
            <w:r>
              <w:rPr>
                <w:webHidden/>
                <w:rStyle w:val="IndexLink"/>
                <w:rtl w:val="true"/>
              </w:rPr>
              <w:t>بيان</w:t>
            </w:r>
            <w:r>
              <w:rPr>
                <w:rStyle w:val="IndexLink"/>
                <w:rtl w:val="true"/>
              </w:rPr>
              <w:tab/>
            </w:r>
            <w:r>
              <w:rPr>
                <w:rStyle w:val="IndexLink"/>
              </w:rPr>
              <w:t>160</w:t>
            </w:r>
          </w:hyperlink>
        </w:p>
        <w:p>
          <w:pPr>
            <w:pStyle w:val="Contents5"/>
            <w:tabs>
              <w:tab w:val="clear" w:pos="7892"/>
              <w:tab w:val="right" w:pos="9026" w:leader="dot"/>
            </w:tabs>
            <w:rPr/>
          </w:pPr>
          <w:hyperlink w:anchor="__RefHeading___Toc605506_1934241801">
            <w:r>
              <w:rPr>
                <w:webHidden/>
                <w:rStyle w:val="IndexLink"/>
                <w:rtl w:val="true"/>
              </w:rPr>
              <w:t>توضیح</w:t>
            </w:r>
            <w:r>
              <w:rPr>
                <w:rStyle w:val="IndexLink"/>
                <w:rtl w:val="true"/>
              </w:rPr>
              <w:tab/>
            </w:r>
            <w:r>
              <w:rPr>
                <w:rStyle w:val="IndexLink"/>
              </w:rPr>
              <w:t>160</w:t>
            </w:r>
          </w:hyperlink>
        </w:p>
        <w:p>
          <w:pPr>
            <w:pStyle w:val="Contents5"/>
            <w:tabs>
              <w:tab w:val="clear" w:pos="7892"/>
              <w:tab w:val="right" w:pos="9026" w:leader="dot"/>
            </w:tabs>
            <w:rPr/>
          </w:pPr>
          <w:hyperlink w:anchor="__RefHeading___Toc605508_1934241801">
            <w:r>
              <w:rPr>
                <w:webHidden/>
                <w:rStyle w:val="IndexLink"/>
                <w:rtl w:val="true"/>
              </w:rPr>
              <w:t xml:space="preserve">روایت </w:t>
            </w:r>
            <w:r>
              <w:rPr>
                <w:rStyle w:val="IndexLink"/>
              </w:rPr>
              <w:t>42</w:t>
            </w:r>
            <w:r>
              <w:rPr>
                <w:rStyle w:val="IndexLink"/>
                <w:rtl w:val="true"/>
              </w:rPr>
              <w:tab/>
            </w:r>
            <w:r>
              <w:rPr>
                <w:rStyle w:val="IndexLink"/>
              </w:rPr>
              <w:t>161</w:t>
            </w:r>
          </w:hyperlink>
        </w:p>
        <w:p>
          <w:pPr>
            <w:pStyle w:val="Contents5"/>
            <w:tabs>
              <w:tab w:val="clear" w:pos="7892"/>
              <w:tab w:val="right" w:pos="9026" w:leader="dot"/>
            </w:tabs>
            <w:rPr/>
          </w:pPr>
          <w:hyperlink w:anchor="__RefHeading___Toc605510_1934241801">
            <w:r>
              <w:rPr>
                <w:webHidden/>
                <w:rStyle w:val="IndexLink"/>
                <w:rtl w:val="true"/>
              </w:rPr>
              <w:t xml:space="preserve">روایت </w:t>
            </w:r>
            <w:r>
              <w:rPr>
                <w:rStyle w:val="IndexLink"/>
              </w:rPr>
              <w:t>43</w:t>
            </w:r>
            <w:r>
              <w:rPr>
                <w:rStyle w:val="IndexLink"/>
                <w:rtl w:val="true"/>
              </w:rPr>
              <w:tab/>
            </w:r>
            <w:r>
              <w:rPr>
                <w:rStyle w:val="IndexLink"/>
              </w:rPr>
              <w:t>161</w:t>
            </w:r>
          </w:hyperlink>
        </w:p>
        <w:p>
          <w:pPr>
            <w:pStyle w:val="Contents5"/>
            <w:tabs>
              <w:tab w:val="clear" w:pos="7892"/>
              <w:tab w:val="right" w:pos="9026" w:leader="dot"/>
            </w:tabs>
            <w:rPr/>
          </w:pPr>
          <w:hyperlink w:anchor="__RefHeading___Toc605512_1934241801">
            <w:r>
              <w:rPr>
                <w:webHidden/>
                <w:rStyle w:val="IndexLink"/>
                <w:rtl w:val="true"/>
              </w:rPr>
              <w:t>توضیح</w:t>
            </w:r>
            <w:r>
              <w:rPr>
                <w:rStyle w:val="IndexLink"/>
                <w:rtl w:val="true"/>
              </w:rPr>
              <w:tab/>
            </w:r>
            <w:r>
              <w:rPr>
                <w:rStyle w:val="IndexLink"/>
              </w:rPr>
              <w:t>161</w:t>
            </w:r>
          </w:hyperlink>
        </w:p>
        <w:p>
          <w:pPr>
            <w:pStyle w:val="Contents5"/>
            <w:tabs>
              <w:tab w:val="clear" w:pos="7892"/>
              <w:tab w:val="right" w:pos="9026" w:leader="dot"/>
            </w:tabs>
            <w:rPr/>
          </w:pPr>
          <w:hyperlink w:anchor="__RefHeading___Toc605514_1934241801">
            <w:r>
              <w:rPr>
                <w:webHidden/>
                <w:rStyle w:val="IndexLink"/>
                <w:rtl w:val="true"/>
              </w:rPr>
              <w:t>«</w:t>
            </w:r>
            <w:r>
              <w:rPr>
                <w:rStyle w:val="IndexLink"/>
              </w:rPr>
              <w:t>44</w:t>
            </w:r>
            <w:r>
              <w:rPr>
                <w:rStyle w:val="IndexLink"/>
                <w:rtl w:val="true"/>
              </w:rPr>
              <w:t>»</w:t>
              <w:tab/>
            </w:r>
            <w:r>
              <w:rPr>
                <w:rStyle w:val="IndexLink"/>
              </w:rPr>
              <w:t>162</w:t>
            </w:r>
          </w:hyperlink>
        </w:p>
        <w:p>
          <w:pPr>
            <w:pStyle w:val="Contents5"/>
            <w:tabs>
              <w:tab w:val="clear" w:pos="7892"/>
              <w:tab w:val="right" w:pos="9026" w:leader="dot"/>
            </w:tabs>
            <w:rPr/>
          </w:pPr>
          <w:hyperlink w:anchor="__RefHeading___Toc605516_1934241801">
            <w:r>
              <w:rPr>
                <w:webHidden/>
                <w:rStyle w:val="IndexLink"/>
                <w:rtl w:val="true"/>
              </w:rPr>
              <w:t>«</w:t>
            </w:r>
            <w:r>
              <w:rPr>
                <w:rStyle w:val="IndexLink"/>
              </w:rPr>
              <w:t>45</w:t>
            </w:r>
            <w:r>
              <w:rPr>
                <w:rStyle w:val="IndexLink"/>
                <w:rtl w:val="true"/>
              </w:rPr>
              <w:t>»</w:t>
              <w:tab/>
            </w:r>
            <w:r>
              <w:rPr>
                <w:rStyle w:val="IndexLink"/>
              </w:rPr>
              <w:t>162</w:t>
            </w:r>
          </w:hyperlink>
        </w:p>
        <w:p>
          <w:pPr>
            <w:pStyle w:val="Contents5"/>
            <w:tabs>
              <w:tab w:val="clear" w:pos="7892"/>
              <w:tab w:val="right" w:pos="9026" w:leader="dot"/>
            </w:tabs>
            <w:rPr/>
          </w:pPr>
          <w:hyperlink w:anchor="__RefHeading___Toc605518_1934241801">
            <w:r>
              <w:rPr>
                <w:webHidden/>
                <w:rStyle w:val="IndexLink"/>
                <w:rtl w:val="true"/>
              </w:rPr>
              <w:t>«</w:t>
            </w:r>
            <w:r>
              <w:rPr>
                <w:rStyle w:val="IndexLink"/>
              </w:rPr>
              <w:t>46</w:t>
            </w:r>
            <w:r>
              <w:rPr>
                <w:rStyle w:val="IndexLink"/>
                <w:rtl w:val="true"/>
              </w:rPr>
              <w:t>»</w:t>
              <w:tab/>
            </w:r>
            <w:r>
              <w:rPr>
                <w:rStyle w:val="IndexLink"/>
              </w:rPr>
              <w:t>162</w:t>
            </w:r>
          </w:hyperlink>
        </w:p>
        <w:p>
          <w:pPr>
            <w:pStyle w:val="Contents5"/>
            <w:tabs>
              <w:tab w:val="clear" w:pos="7892"/>
              <w:tab w:val="right" w:pos="9026" w:leader="dot"/>
            </w:tabs>
            <w:rPr/>
          </w:pPr>
          <w:hyperlink w:anchor="__RefHeading___Toc605520_1934241801">
            <w:r>
              <w:rPr>
                <w:webHidden/>
                <w:rStyle w:val="IndexLink"/>
                <w:rtl w:val="true"/>
              </w:rPr>
              <w:t>«</w:t>
            </w:r>
            <w:r>
              <w:rPr>
                <w:rStyle w:val="IndexLink"/>
              </w:rPr>
              <w:t>47</w:t>
            </w:r>
            <w:r>
              <w:rPr>
                <w:rStyle w:val="IndexLink"/>
                <w:rtl w:val="true"/>
              </w:rPr>
              <w:t>»</w:t>
              <w:tab/>
            </w:r>
            <w:r>
              <w:rPr>
                <w:rStyle w:val="IndexLink"/>
              </w:rPr>
              <w:t>162</w:t>
            </w:r>
          </w:hyperlink>
        </w:p>
        <w:p>
          <w:pPr>
            <w:pStyle w:val="Contents5"/>
            <w:tabs>
              <w:tab w:val="clear" w:pos="7892"/>
              <w:tab w:val="right" w:pos="9026" w:leader="dot"/>
            </w:tabs>
            <w:rPr/>
          </w:pPr>
          <w:hyperlink w:anchor="__RefHeading___Toc605522_1934241801">
            <w:r>
              <w:rPr>
                <w:webHidden/>
                <w:rStyle w:val="IndexLink"/>
                <w:rtl w:val="true"/>
              </w:rPr>
              <w:t xml:space="preserve">روایت </w:t>
            </w:r>
            <w:r>
              <w:rPr>
                <w:rStyle w:val="IndexLink"/>
              </w:rPr>
              <w:t>44</w:t>
            </w:r>
            <w:r>
              <w:rPr>
                <w:rStyle w:val="IndexLink"/>
                <w:rtl w:val="true"/>
              </w:rPr>
              <w:tab/>
            </w:r>
            <w:r>
              <w:rPr>
                <w:rStyle w:val="IndexLink"/>
              </w:rPr>
              <w:t>162</w:t>
            </w:r>
          </w:hyperlink>
        </w:p>
        <w:p>
          <w:pPr>
            <w:pStyle w:val="Contents5"/>
            <w:tabs>
              <w:tab w:val="clear" w:pos="7892"/>
              <w:tab w:val="right" w:pos="9026" w:leader="dot"/>
            </w:tabs>
            <w:rPr/>
          </w:pPr>
          <w:hyperlink w:anchor="__RefHeading___Toc605524_1934241801">
            <w:r>
              <w:rPr>
                <w:webHidden/>
                <w:rStyle w:val="IndexLink"/>
                <w:rtl w:val="true"/>
              </w:rPr>
              <w:t xml:space="preserve">روایت </w:t>
            </w:r>
            <w:r>
              <w:rPr>
                <w:rStyle w:val="IndexLink"/>
              </w:rPr>
              <w:t>45</w:t>
            </w:r>
            <w:r>
              <w:rPr>
                <w:rStyle w:val="IndexLink"/>
                <w:rtl w:val="true"/>
              </w:rPr>
              <w:tab/>
            </w:r>
            <w:r>
              <w:rPr>
                <w:rStyle w:val="IndexLink"/>
              </w:rPr>
              <w:t>162</w:t>
            </w:r>
          </w:hyperlink>
        </w:p>
        <w:p>
          <w:pPr>
            <w:pStyle w:val="Contents5"/>
            <w:tabs>
              <w:tab w:val="clear" w:pos="7892"/>
              <w:tab w:val="right" w:pos="9026" w:leader="dot"/>
            </w:tabs>
            <w:rPr/>
          </w:pPr>
          <w:hyperlink w:anchor="__RefHeading___Toc605526_1934241801">
            <w:r>
              <w:rPr>
                <w:webHidden/>
                <w:rStyle w:val="IndexLink"/>
                <w:rtl w:val="true"/>
              </w:rPr>
              <w:t xml:space="preserve">روایت </w:t>
            </w:r>
            <w:r>
              <w:rPr>
                <w:rStyle w:val="IndexLink"/>
              </w:rPr>
              <w:t>46</w:t>
            </w:r>
            <w:r>
              <w:rPr>
                <w:rStyle w:val="IndexLink"/>
                <w:rtl w:val="true"/>
              </w:rPr>
              <w:tab/>
            </w:r>
            <w:r>
              <w:rPr>
                <w:rStyle w:val="IndexLink"/>
              </w:rPr>
              <w:t>163</w:t>
            </w:r>
          </w:hyperlink>
        </w:p>
        <w:p>
          <w:pPr>
            <w:pStyle w:val="Contents5"/>
            <w:tabs>
              <w:tab w:val="clear" w:pos="7892"/>
              <w:tab w:val="right" w:pos="9026" w:leader="dot"/>
            </w:tabs>
            <w:rPr/>
          </w:pPr>
          <w:hyperlink w:anchor="__RefHeading___Toc605528_1934241801">
            <w:r>
              <w:rPr>
                <w:webHidden/>
                <w:rStyle w:val="IndexLink"/>
                <w:rtl w:val="true"/>
              </w:rPr>
              <w:t xml:space="preserve">روایت </w:t>
            </w:r>
            <w:r>
              <w:rPr>
                <w:rStyle w:val="IndexLink"/>
              </w:rPr>
              <w:t>47</w:t>
            </w:r>
            <w:r>
              <w:rPr>
                <w:rStyle w:val="IndexLink"/>
                <w:rtl w:val="true"/>
              </w:rPr>
              <w:tab/>
            </w:r>
            <w:r>
              <w:rPr>
                <w:rStyle w:val="IndexLink"/>
              </w:rPr>
              <w:t>163</w:t>
            </w:r>
          </w:hyperlink>
        </w:p>
        <w:p>
          <w:pPr>
            <w:pStyle w:val="Contents5"/>
            <w:tabs>
              <w:tab w:val="clear" w:pos="7892"/>
              <w:tab w:val="right" w:pos="9026" w:leader="dot"/>
            </w:tabs>
            <w:rPr/>
          </w:pPr>
          <w:hyperlink w:anchor="__RefHeading___Toc605530_1934241801">
            <w:r>
              <w:rPr>
                <w:webHidden/>
                <w:rStyle w:val="IndexLink"/>
                <w:rtl w:val="true"/>
              </w:rPr>
              <w:t>«</w:t>
            </w:r>
            <w:r>
              <w:rPr>
                <w:rStyle w:val="IndexLink"/>
              </w:rPr>
              <w:t>48</w:t>
            </w:r>
            <w:r>
              <w:rPr>
                <w:rStyle w:val="IndexLink"/>
                <w:rtl w:val="true"/>
              </w:rPr>
              <w:t>»</w:t>
              <w:tab/>
            </w:r>
            <w:r>
              <w:rPr>
                <w:rStyle w:val="IndexLink"/>
              </w:rPr>
              <w:t>164</w:t>
            </w:r>
          </w:hyperlink>
        </w:p>
        <w:p>
          <w:pPr>
            <w:pStyle w:val="Contents5"/>
            <w:tabs>
              <w:tab w:val="clear" w:pos="7892"/>
              <w:tab w:val="right" w:pos="9026" w:leader="dot"/>
            </w:tabs>
            <w:rPr/>
          </w:pPr>
          <w:hyperlink w:anchor="__RefHeading___Toc605532_1934241801">
            <w:r>
              <w:rPr>
                <w:webHidden/>
                <w:rStyle w:val="IndexLink"/>
                <w:rtl w:val="true"/>
              </w:rPr>
              <w:t>«</w:t>
            </w:r>
            <w:r>
              <w:rPr>
                <w:rStyle w:val="IndexLink"/>
              </w:rPr>
              <w:t>49</w:t>
            </w:r>
            <w:r>
              <w:rPr>
                <w:rStyle w:val="IndexLink"/>
                <w:rtl w:val="true"/>
              </w:rPr>
              <w:t>»</w:t>
              <w:tab/>
            </w:r>
            <w:r>
              <w:rPr>
                <w:rStyle w:val="IndexLink"/>
              </w:rPr>
              <w:t>164</w:t>
            </w:r>
          </w:hyperlink>
        </w:p>
        <w:p>
          <w:pPr>
            <w:pStyle w:val="Contents5"/>
            <w:tabs>
              <w:tab w:val="clear" w:pos="7892"/>
              <w:tab w:val="right" w:pos="9026" w:leader="dot"/>
            </w:tabs>
            <w:rPr/>
          </w:pPr>
          <w:hyperlink w:anchor="__RefHeading___Toc605534_1934241801">
            <w:r>
              <w:rPr>
                <w:webHidden/>
                <w:rStyle w:val="IndexLink"/>
                <w:rtl w:val="true"/>
              </w:rPr>
              <w:t>«</w:t>
            </w:r>
            <w:r>
              <w:rPr>
                <w:rStyle w:val="IndexLink"/>
              </w:rPr>
              <w:t>50</w:t>
            </w:r>
            <w:r>
              <w:rPr>
                <w:rStyle w:val="IndexLink"/>
                <w:rtl w:val="true"/>
              </w:rPr>
              <w:t>»</w:t>
              <w:tab/>
            </w:r>
            <w:r>
              <w:rPr>
                <w:rStyle w:val="IndexLink"/>
              </w:rPr>
              <w:t>164</w:t>
            </w:r>
          </w:hyperlink>
        </w:p>
        <w:p>
          <w:pPr>
            <w:pStyle w:val="Contents5"/>
            <w:tabs>
              <w:tab w:val="clear" w:pos="7892"/>
              <w:tab w:val="right" w:pos="9026" w:leader="dot"/>
            </w:tabs>
            <w:rPr/>
          </w:pPr>
          <w:hyperlink w:anchor="__RefHeading___Toc605536_1934241801">
            <w:r>
              <w:rPr>
                <w:webHidden/>
                <w:rStyle w:val="IndexLink"/>
                <w:rtl w:val="true"/>
              </w:rPr>
              <w:t>«</w:t>
            </w:r>
            <w:r>
              <w:rPr>
                <w:rStyle w:val="IndexLink"/>
              </w:rPr>
              <w:t>51</w:t>
            </w:r>
            <w:r>
              <w:rPr>
                <w:rStyle w:val="IndexLink"/>
                <w:rtl w:val="true"/>
              </w:rPr>
              <w:t>»</w:t>
              <w:tab/>
            </w:r>
            <w:r>
              <w:rPr>
                <w:rStyle w:val="IndexLink"/>
              </w:rPr>
              <w:t>164</w:t>
            </w:r>
          </w:hyperlink>
        </w:p>
        <w:p>
          <w:pPr>
            <w:pStyle w:val="Contents5"/>
            <w:tabs>
              <w:tab w:val="clear" w:pos="7892"/>
              <w:tab w:val="right" w:pos="9026" w:leader="dot"/>
            </w:tabs>
            <w:rPr/>
          </w:pPr>
          <w:hyperlink w:anchor="__RefHeading___Toc605538_1934241801">
            <w:r>
              <w:rPr>
                <w:webHidden/>
                <w:rStyle w:val="IndexLink"/>
                <w:rtl w:val="true"/>
              </w:rPr>
              <w:t>«</w:t>
            </w:r>
            <w:r>
              <w:rPr>
                <w:rStyle w:val="IndexLink"/>
              </w:rPr>
              <w:t>52</w:t>
            </w:r>
            <w:r>
              <w:rPr>
                <w:rStyle w:val="IndexLink"/>
                <w:rtl w:val="true"/>
              </w:rPr>
              <w:t>»</w:t>
              <w:tab/>
            </w:r>
            <w:r>
              <w:rPr>
                <w:rStyle w:val="IndexLink"/>
              </w:rPr>
              <w:t>164</w:t>
            </w:r>
          </w:hyperlink>
        </w:p>
        <w:p>
          <w:pPr>
            <w:pStyle w:val="Contents5"/>
            <w:tabs>
              <w:tab w:val="clear" w:pos="7892"/>
              <w:tab w:val="right" w:pos="9026" w:leader="dot"/>
            </w:tabs>
            <w:rPr/>
          </w:pPr>
          <w:hyperlink w:anchor="__RefHeading___Toc605540_1934241801">
            <w:r>
              <w:rPr>
                <w:webHidden/>
                <w:rStyle w:val="IndexLink"/>
                <w:rtl w:val="true"/>
              </w:rPr>
              <w:t xml:space="preserve">روایت </w:t>
            </w:r>
            <w:r>
              <w:rPr>
                <w:rStyle w:val="IndexLink"/>
              </w:rPr>
              <w:t>48</w:t>
            </w:r>
            <w:r>
              <w:rPr>
                <w:rStyle w:val="IndexLink"/>
                <w:rtl w:val="true"/>
              </w:rPr>
              <w:tab/>
            </w:r>
            <w:r>
              <w:rPr>
                <w:rStyle w:val="IndexLink"/>
              </w:rPr>
              <w:t>164</w:t>
            </w:r>
          </w:hyperlink>
        </w:p>
        <w:p>
          <w:pPr>
            <w:pStyle w:val="Contents5"/>
            <w:tabs>
              <w:tab w:val="clear" w:pos="7892"/>
              <w:tab w:val="right" w:pos="9026" w:leader="dot"/>
            </w:tabs>
            <w:rPr/>
          </w:pPr>
          <w:hyperlink w:anchor="__RefHeading___Toc605542_1934241801">
            <w:r>
              <w:rPr>
                <w:webHidden/>
                <w:rStyle w:val="IndexLink"/>
                <w:rtl w:val="true"/>
              </w:rPr>
              <w:t xml:space="preserve">روایت </w:t>
            </w:r>
            <w:r>
              <w:rPr>
                <w:rStyle w:val="IndexLink"/>
              </w:rPr>
              <w:t>49</w:t>
            </w:r>
            <w:r>
              <w:rPr>
                <w:rStyle w:val="IndexLink"/>
                <w:rtl w:val="true"/>
              </w:rPr>
              <w:tab/>
            </w:r>
            <w:r>
              <w:rPr>
                <w:rStyle w:val="IndexLink"/>
              </w:rPr>
              <w:t>165</w:t>
            </w:r>
          </w:hyperlink>
        </w:p>
        <w:p>
          <w:pPr>
            <w:pStyle w:val="Contents5"/>
            <w:tabs>
              <w:tab w:val="clear" w:pos="7892"/>
              <w:tab w:val="right" w:pos="9026" w:leader="dot"/>
            </w:tabs>
            <w:rPr/>
          </w:pPr>
          <w:hyperlink w:anchor="__RefHeading___Toc605544_1934241801">
            <w:r>
              <w:rPr>
                <w:webHidden/>
                <w:rStyle w:val="IndexLink"/>
                <w:rtl w:val="true"/>
              </w:rPr>
              <w:t xml:space="preserve">روایت </w:t>
            </w:r>
            <w:r>
              <w:rPr>
                <w:rStyle w:val="IndexLink"/>
              </w:rPr>
              <w:t>50</w:t>
            </w:r>
            <w:r>
              <w:rPr>
                <w:rStyle w:val="IndexLink"/>
                <w:rtl w:val="true"/>
              </w:rPr>
              <w:tab/>
            </w:r>
            <w:r>
              <w:rPr>
                <w:rStyle w:val="IndexLink"/>
              </w:rPr>
              <w:t>165</w:t>
            </w:r>
          </w:hyperlink>
        </w:p>
        <w:p>
          <w:pPr>
            <w:pStyle w:val="Contents5"/>
            <w:tabs>
              <w:tab w:val="clear" w:pos="7892"/>
              <w:tab w:val="right" w:pos="9026" w:leader="dot"/>
            </w:tabs>
            <w:rPr/>
          </w:pPr>
          <w:hyperlink w:anchor="__RefHeading___Toc605546_1934241801">
            <w:r>
              <w:rPr>
                <w:webHidden/>
                <w:rStyle w:val="IndexLink"/>
                <w:rtl w:val="true"/>
              </w:rPr>
              <w:t xml:space="preserve">روایت </w:t>
            </w:r>
            <w:r>
              <w:rPr>
                <w:rStyle w:val="IndexLink"/>
              </w:rPr>
              <w:t>51</w:t>
            </w:r>
            <w:r>
              <w:rPr>
                <w:rStyle w:val="IndexLink"/>
                <w:rtl w:val="true"/>
              </w:rPr>
              <w:tab/>
            </w:r>
            <w:r>
              <w:rPr>
                <w:rStyle w:val="IndexLink"/>
              </w:rPr>
              <w:t>165</w:t>
            </w:r>
          </w:hyperlink>
        </w:p>
        <w:p>
          <w:pPr>
            <w:pStyle w:val="Contents5"/>
            <w:tabs>
              <w:tab w:val="clear" w:pos="7892"/>
              <w:tab w:val="right" w:pos="9026" w:leader="dot"/>
            </w:tabs>
            <w:rPr/>
          </w:pPr>
          <w:hyperlink w:anchor="__RefHeading___Toc605548_1934241801">
            <w:r>
              <w:rPr>
                <w:webHidden/>
                <w:rStyle w:val="IndexLink"/>
                <w:rtl w:val="true"/>
              </w:rPr>
              <w:t xml:space="preserve">روایت </w:t>
            </w:r>
            <w:r>
              <w:rPr>
                <w:rStyle w:val="IndexLink"/>
              </w:rPr>
              <w:t>52</w:t>
            </w:r>
            <w:r>
              <w:rPr>
                <w:rStyle w:val="IndexLink"/>
                <w:rtl w:val="true"/>
              </w:rPr>
              <w:tab/>
            </w:r>
            <w:r>
              <w:rPr>
                <w:rStyle w:val="IndexLink"/>
              </w:rPr>
              <w:t>165</w:t>
            </w:r>
          </w:hyperlink>
        </w:p>
        <w:p>
          <w:pPr>
            <w:pStyle w:val="Contents5"/>
            <w:tabs>
              <w:tab w:val="clear" w:pos="7892"/>
              <w:tab w:val="right" w:pos="9026" w:leader="dot"/>
            </w:tabs>
            <w:rPr/>
          </w:pPr>
          <w:hyperlink w:anchor="__RefHeading___Toc605550_1934241801">
            <w:r>
              <w:rPr>
                <w:webHidden/>
                <w:rStyle w:val="IndexLink"/>
                <w:rtl w:val="true"/>
              </w:rPr>
              <w:t>«</w:t>
            </w:r>
            <w:r>
              <w:rPr>
                <w:rStyle w:val="IndexLink"/>
              </w:rPr>
              <w:t>53</w:t>
            </w:r>
            <w:r>
              <w:rPr>
                <w:rStyle w:val="IndexLink"/>
                <w:rtl w:val="true"/>
              </w:rPr>
              <w:t>»</w:t>
              <w:tab/>
            </w:r>
            <w:r>
              <w:rPr>
                <w:rStyle w:val="IndexLink"/>
              </w:rPr>
              <w:t>166</w:t>
            </w:r>
          </w:hyperlink>
        </w:p>
        <w:p>
          <w:pPr>
            <w:pStyle w:val="Contents5"/>
            <w:tabs>
              <w:tab w:val="clear" w:pos="7892"/>
              <w:tab w:val="right" w:pos="9026" w:leader="dot"/>
            </w:tabs>
            <w:rPr/>
          </w:pPr>
          <w:hyperlink w:anchor="__RefHeading___Toc605552_1934241801">
            <w:r>
              <w:rPr>
                <w:webHidden/>
                <w:rStyle w:val="IndexLink"/>
                <w:rtl w:val="true"/>
              </w:rPr>
              <w:t>بيان</w:t>
            </w:r>
            <w:r>
              <w:rPr>
                <w:rStyle w:val="IndexLink"/>
                <w:rtl w:val="true"/>
              </w:rPr>
              <w:tab/>
            </w:r>
            <w:r>
              <w:rPr>
                <w:rStyle w:val="IndexLink"/>
              </w:rPr>
              <w:t>166</w:t>
            </w:r>
          </w:hyperlink>
        </w:p>
        <w:p>
          <w:pPr>
            <w:pStyle w:val="Contents5"/>
            <w:tabs>
              <w:tab w:val="clear" w:pos="7892"/>
              <w:tab w:val="right" w:pos="9026" w:leader="dot"/>
            </w:tabs>
            <w:rPr/>
          </w:pPr>
          <w:hyperlink w:anchor="__RefHeading___Toc605554_1934241801">
            <w:r>
              <w:rPr>
                <w:webHidden/>
                <w:rStyle w:val="IndexLink"/>
                <w:rtl w:val="true"/>
              </w:rPr>
              <w:t>«</w:t>
            </w:r>
            <w:r>
              <w:rPr>
                <w:rStyle w:val="IndexLink"/>
              </w:rPr>
              <w:t>54</w:t>
            </w:r>
            <w:r>
              <w:rPr>
                <w:rStyle w:val="IndexLink"/>
                <w:rtl w:val="true"/>
              </w:rPr>
              <w:t>»</w:t>
              <w:tab/>
            </w:r>
            <w:r>
              <w:rPr>
                <w:rStyle w:val="IndexLink"/>
              </w:rPr>
              <w:t>166</w:t>
            </w:r>
          </w:hyperlink>
        </w:p>
        <w:p>
          <w:pPr>
            <w:pStyle w:val="Contents5"/>
            <w:tabs>
              <w:tab w:val="clear" w:pos="7892"/>
              <w:tab w:val="right" w:pos="9026" w:leader="dot"/>
            </w:tabs>
            <w:rPr/>
          </w:pPr>
          <w:hyperlink w:anchor="__RefHeading___Toc605556_1934241801">
            <w:r>
              <w:rPr>
                <w:webHidden/>
                <w:rStyle w:val="IndexLink"/>
                <w:rtl w:val="true"/>
              </w:rPr>
              <w:t xml:space="preserve">روایت </w:t>
            </w:r>
            <w:r>
              <w:rPr>
                <w:rStyle w:val="IndexLink"/>
              </w:rPr>
              <w:t>53</w:t>
            </w:r>
            <w:r>
              <w:rPr>
                <w:rStyle w:val="IndexLink"/>
                <w:rtl w:val="true"/>
              </w:rPr>
              <w:tab/>
            </w:r>
            <w:r>
              <w:rPr>
                <w:rStyle w:val="IndexLink"/>
              </w:rPr>
              <w:t>166</w:t>
            </w:r>
          </w:hyperlink>
        </w:p>
        <w:p>
          <w:pPr>
            <w:pStyle w:val="Contents5"/>
            <w:tabs>
              <w:tab w:val="clear" w:pos="7892"/>
              <w:tab w:val="right" w:pos="9026" w:leader="dot"/>
            </w:tabs>
            <w:rPr/>
          </w:pPr>
          <w:hyperlink w:anchor="__RefHeading___Toc605558_1934241801">
            <w:r>
              <w:rPr>
                <w:webHidden/>
                <w:rStyle w:val="IndexLink"/>
                <w:rtl w:val="true"/>
              </w:rPr>
              <w:t>توضیح</w:t>
            </w:r>
            <w:r>
              <w:rPr>
                <w:rStyle w:val="IndexLink"/>
                <w:rtl w:val="true"/>
              </w:rPr>
              <w:tab/>
            </w:r>
            <w:r>
              <w:rPr>
                <w:rStyle w:val="IndexLink"/>
              </w:rPr>
              <w:t>166</w:t>
            </w:r>
          </w:hyperlink>
        </w:p>
        <w:p>
          <w:pPr>
            <w:pStyle w:val="Contents5"/>
            <w:tabs>
              <w:tab w:val="clear" w:pos="7892"/>
              <w:tab w:val="right" w:pos="9026" w:leader="dot"/>
            </w:tabs>
            <w:rPr/>
          </w:pPr>
          <w:hyperlink w:anchor="__RefHeading___Toc605560_1934241801">
            <w:r>
              <w:rPr>
                <w:webHidden/>
                <w:rStyle w:val="IndexLink"/>
                <w:rtl w:val="true"/>
              </w:rPr>
              <w:t xml:space="preserve">روایت </w:t>
            </w:r>
            <w:r>
              <w:rPr>
                <w:rStyle w:val="IndexLink"/>
              </w:rPr>
              <w:t>54</w:t>
            </w:r>
            <w:r>
              <w:rPr>
                <w:rStyle w:val="IndexLink"/>
                <w:rtl w:val="true"/>
              </w:rPr>
              <w:tab/>
            </w:r>
            <w:r>
              <w:rPr>
                <w:rStyle w:val="IndexLink"/>
              </w:rPr>
              <w:t>167</w:t>
            </w:r>
          </w:hyperlink>
        </w:p>
        <w:p>
          <w:pPr>
            <w:pStyle w:val="Contents5"/>
            <w:tabs>
              <w:tab w:val="clear" w:pos="7892"/>
              <w:tab w:val="right" w:pos="9026" w:leader="dot"/>
            </w:tabs>
            <w:rPr/>
          </w:pPr>
          <w:hyperlink w:anchor="__RefHeading___Toc605562_1934241801">
            <w:r>
              <w:rPr>
                <w:webHidden/>
                <w:rStyle w:val="IndexLink"/>
                <w:rtl w:val="true"/>
              </w:rPr>
              <w:t>بيان</w:t>
            </w:r>
            <w:r>
              <w:rPr>
                <w:rStyle w:val="IndexLink"/>
                <w:rtl w:val="true"/>
              </w:rPr>
              <w:tab/>
            </w:r>
            <w:r>
              <w:rPr>
                <w:rStyle w:val="IndexLink"/>
              </w:rPr>
              <w:t>168</w:t>
            </w:r>
          </w:hyperlink>
        </w:p>
        <w:p>
          <w:pPr>
            <w:pStyle w:val="Contents5"/>
            <w:tabs>
              <w:tab w:val="clear" w:pos="7892"/>
              <w:tab w:val="right" w:pos="9026" w:leader="dot"/>
            </w:tabs>
            <w:rPr/>
          </w:pPr>
          <w:hyperlink w:anchor="__RefHeading___Toc605564_1934241801">
            <w:r>
              <w:rPr>
                <w:webHidden/>
                <w:rStyle w:val="IndexLink"/>
                <w:rtl w:val="true"/>
              </w:rPr>
              <w:t>«</w:t>
            </w:r>
            <w:r>
              <w:rPr>
                <w:rStyle w:val="IndexLink"/>
              </w:rPr>
              <w:t>55</w:t>
            </w:r>
            <w:r>
              <w:rPr>
                <w:rStyle w:val="IndexLink"/>
                <w:rtl w:val="true"/>
              </w:rPr>
              <w:t>»</w:t>
              <w:tab/>
            </w:r>
            <w:r>
              <w:rPr>
                <w:rStyle w:val="IndexLink"/>
              </w:rPr>
              <w:t>168</w:t>
            </w:r>
          </w:hyperlink>
        </w:p>
        <w:p>
          <w:pPr>
            <w:pStyle w:val="Contents5"/>
            <w:tabs>
              <w:tab w:val="clear" w:pos="7892"/>
              <w:tab w:val="right" w:pos="9026" w:leader="dot"/>
            </w:tabs>
            <w:rPr/>
          </w:pPr>
          <w:hyperlink w:anchor="__RefHeading___Toc605566_1934241801">
            <w:r>
              <w:rPr>
                <w:webHidden/>
                <w:rStyle w:val="IndexLink"/>
                <w:rtl w:val="true"/>
              </w:rPr>
              <w:t>«</w:t>
            </w:r>
            <w:r>
              <w:rPr>
                <w:rStyle w:val="IndexLink"/>
              </w:rPr>
              <w:t>56</w:t>
            </w:r>
            <w:r>
              <w:rPr>
                <w:rStyle w:val="IndexLink"/>
                <w:rtl w:val="true"/>
              </w:rPr>
              <w:t>»</w:t>
              <w:tab/>
            </w:r>
            <w:r>
              <w:rPr>
                <w:rStyle w:val="IndexLink"/>
              </w:rPr>
              <w:t>168</w:t>
            </w:r>
          </w:hyperlink>
        </w:p>
        <w:p>
          <w:pPr>
            <w:pStyle w:val="Contents5"/>
            <w:tabs>
              <w:tab w:val="clear" w:pos="7892"/>
              <w:tab w:val="right" w:pos="9026" w:leader="dot"/>
            </w:tabs>
            <w:rPr/>
          </w:pPr>
          <w:hyperlink w:anchor="__RefHeading___Toc605568_1934241801">
            <w:r>
              <w:rPr>
                <w:webHidden/>
                <w:rStyle w:val="IndexLink"/>
                <w:rtl w:val="true"/>
              </w:rPr>
              <w:t>توضیح</w:t>
            </w:r>
            <w:r>
              <w:rPr>
                <w:rStyle w:val="IndexLink"/>
                <w:rtl w:val="true"/>
              </w:rPr>
              <w:tab/>
            </w:r>
            <w:r>
              <w:rPr>
                <w:rStyle w:val="IndexLink"/>
              </w:rPr>
              <w:t>168</w:t>
            </w:r>
          </w:hyperlink>
        </w:p>
        <w:p>
          <w:pPr>
            <w:pStyle w:val="Contents5"/>
            <w:tabs>
              <w:tab w:val="clear" w:pos="7892"/>
              <w:tab w:val="right" w:pos="9026" w:leader="dot"/>
            </w:tabs>
            <w:rPr/>
          </w:pPr>
          <w:hyperlink w:anchor="__RefHeading___Toc605570_1934241801">
            <w:r>
              <w:rPr>
                <w:webHidden/>
                <w:rStyle w:val="IndexLink"/>
                <w:rtl w:val="true"/>
              </w:rPr>
              <w:t xml:space="preserve">روایت </w:t>
            </w:r>
            <w:r>
              <w:rPr>
                <w:rStyle w:val="IndexLink"/>
              </w:rPr>
              <w:t>55</w:t>
            </w:r>
            <w:r>
              <w:rPr>
                <w:rStyle w:val="IndexLink"/>
                <w:rtl w:val="true"/>
              </w:rPr>
              <w:tab/>
            </w:r>
            <w:r>
              <w:rPr>
                <w:rStyle w:val="IndexLink"/>
              </w:rPr>
              <w:t>169</w:t>
            </w:r>
          </w:hyperlink>
        </w:p>
        <w:p>
          <w:pPr>
            <w:pStyle w:val="Contents5"/>
            <w:tabs>
              <w:tab w:val="clear" w:pos="7892"/>
              <w:tab w:val="right" w:pos="9026" w:leader="dot"/>
            </w:tabs>
            <w:rPr/>
          </w:pPr>
          <w:hyperlink w:anchor="__RefHeading___Toc605572_1934241801">
            <w:r>
              <w:rPr>
                <w:webHidden/>
                <w:rStyle w:val="IndexLink"/>
                <w:rtl w:val="true"/>
              </w:rPr>
              <w:t xml:space="preserve">روایت </w:t>
            </w:r>
            <w:r>
              <w:rPr>
                <w:rStyle w:val="IndexLink"/>
              </w:rPr>
              <w:t>56</w:t>
            </w:r>
            <w:r>
              <w:rPr>
                <w:rStyle w:val="IndexLink"/>
                <w:rtl w:val="true"/>
              </w:rPr>
              <w:tab/>
            </w:r>
            <w:r>
              <w:rPr>
                <w:rStyle w:val="IndexLink"/>
              </w:rPr>
              <w:t>169</w:t>
            </w:r>
          </w:hyperlink>
        </w:p>
        <w:p>
          <w:pPr>
            <w:pStyle w:val="Contents5"/>
            <w:tabs>
              <w:tab w:val="clear" w:pos="7892"/>
              <w:tab w:val="right" w:pos="9026" w:leader="dot"/>
            </w:tabs>
            <w:rPr/>
          </w:pPr>
          <w:hyperlink w:anchor="__RefHeading___Toc605574_1934241801">
            <w:r>
              <w:rPr>
                <w:webHidden/>
                <w:rStyle w:val="IndexLink"/>
                <w:rtl w:val="true"/>
              </w:rPr>
              <w:t>«</w:t>
            </w:r>
            <w:r>
              <w:rPr>
                <w:rStyle w:val="IndexLink"/>
              </w:rPr>
              <w:t>57</w:t>
            </w:r>
            <w:r>
              <w:rPr>
                <w:rStyle w:val="IndexLink"/>
                <w:rtl w:val="true"/>
              </w:rPr>
              <w:t>»</w:t>
              <w:tab/>
            </w:r>
            <w:r>
              <w:rPr>
                <w:rStyle w:val="IndexLink"/>
              </w:rPr>
              <w:t>170</w:t>
            </w:r>
          </w:hyperlink>
        </w:p>
        <w:p>
          <w:pPr>
            <w:pStyle w:val="Contents5"/>
            <w:tabs>
              <w:tab w:val="clear" w:pos="7892"/>
              <w:tab w:val="right" w:pos="9026" w:leader="dot"/>
            </w:tabs>
            <w:rPr/>
          </w:pPr>
          <w:hyperlink w:anchor="__RefHeading___Toc605576_1934241801">
            <w:r>
              <w:rPr>
                <w:webHidden/>
                <w:rStyle w:val="IndexLink"/>
                <w:rtl w:val="true"/>
              </w:rPr>
              <w:t>«</w:t>
            </w:r>
            <w:r>
              <w:rPr>
                <w:rStyle w:val="IndexLink"/>
              </w:rPr>
              <w:t>58</w:t>
            </w:r>
            <w:r>
              <w:rPr>
                <w:rStyle w:val="IndexLink"/>
                <w:rtl w:val="true"/>
              </w:rPr>
              <w:t>»</w:t>
              <w:tab/>
            </w:r>
            <w:r>
              <w:rPr>
                <w:rStyle w:val="IndexLink"/>
              </w:rPr>
              <w:t>170</w:t>
            </w:r>
          </w:hyperlink>
        </w:p>
        <w:p>
          <w:pPr>
            <w:pStyle w:val="Contents5"/>
            <w:tabs>
              <w:tab w:val="clear" w:pos="7892"/>
              <w:tab w:val="right" w:pos="9026" w:leader="dot"/>
            </w:tabs>
            <w:rPr/>
          </w:pPr>
          <w:hyperlink w:anchor="__RefHeading___Toc605578_1934241801">
            <w:r>
              <w:rPr>
                <w:webHidden/>
                <w:rStyle w:val="IndexLink"/>
                <w:rtl w:val="true"/>
              </w:rPr>
              <w:t>«</w:t>
            </w:r>
            <w:r>
              <w:rPr>
                <w:rStyle w:val="IndexLink"/>
              </w:rPr>
              <w:t>59</w:t>
            </w:r>
            <w:r>
              <w:rPr>
                <w:rStyle w:val="IndexLink"/>
                <w:rtl w:val="true"/>
              </w:rPr>
              <w:t>»</w:t>
              <w:tab/>
            </w:r>
            <w:r>
              <w:rPr>
                <w:rStyle w:val="IndexLink"/>
              </w:rPr>
              <w:t>170</w:t>
            </w:r>
          </w:hyperlink>
        </w:p>
        <w:p>
          <w:pPr>
            <w:pStyle w:val="Contents5"/>
            <w:tabs>
              <w:tab w:val="clear" w:pos="7892"/>
              <w:tab w:val="right" w:pos="9026" w:leader="dot"/>
            </w:tabs>
            <w:rPr/>
          </w:pPr>
          <w:hyperlink w:anchor="__RefHeading___Toc605580_1934241801">
            <w:r>
              <w:rPr>
                <w:webHidden/>
                <w:rStyle w:val="IndexLink"/>
                <w:rtl w:val="true"/>
              </w:rPr>
              <w:t>بيان</w:t>
            </w:r>
            <w:r>
              <w:rPr>
                <w:rStyle w:val="IndexLink"/>
                <w:rtl w:val="true"/>
              </w:rPr>
              <w:tab/>
            </w:r>
            <w:r>
              <w:rPr>
                <w:rStyle w:val="IndexLink"/>
              </w:rPr>
              <w:t>170</w:t>
            </w:r>
          </w:hyperlink>
        </w:p>
        <w:p>
          <w:pPr>
            <w:pStyle w:val="Contents5"/>
            <w:tabs>
              <w:tab w:val="clear" w:pos="7892"/>
              <w:tab w:val="right" w:pos="9026" w:leader="dot"/>
            </w:tabs>
            <w:rPr/>
          </w:pPr>
          <w:hyperlink w:anchor="__RefHeading___Toc605582_1934241801">
            <w:r>
              <w:rPr>
                <w:webHidden/>
                <w:rStyle w:val="IndexLink"/>
                <w:rtl w:val="true"/>
              </w:rPr>
              <w:t xml:space="preserve">روایت </w:t>
            </w:r>
            <w:r>
              <w:rPr>
                <w:rStyle w:val="IndexLink"/>
              </w:rPr>
              <w:t>57</w:t>
            </w:r>
            <w:r>
              <w:rPr>
                <w:rStyle w:val="IndexLink"/>
                <w:rtl w:val="true"/>
              </w:rPr>
              <w:tab/>
            </w:r>
            <w:r>
              <w:rPr>
                <w:rStyle w:val="IndexLink"/>
              </w:rPr>
              <w:t>170</w:t>
            </w:r>
          </w:hyperlink>
        </w:p>
        <w:p>
          <w:pPr>
            <w:pStyle w:val="Contents5"/>
            <w:tabs>
              <w:tab w:val="clear" w:pos="7892"/>
              <w:tab w:val="right" w:pos="9026" w:leader="dot"/>
            </w:tabs>
            <w:rPr/>
          </w:pPr>
          <w:hyperlink w:anchor="__RefHeading___Toc605584_1934241801">
            <w:r>
              <w:rPr>
                <w:webHidden/>
                <w:rStyle w:val="IndexLink"/>
                <w:rtl w:val="true"/>
              </w:rPr>
              <w:t xml:space="preserve">روایت </w:t>
            </w:r>
            <w:r>
              <w:rPr>
                <w:rStyle w:val="IndexLink"/>
              </w:rPr>
              <w:t>58</w:t>
            </w:r>
            <w:r>
              <w:rPr>
                <w:rStyle w:val="IndexLink"/>
                <w:rtl w:val="true"/>
              </w:rPr>
              <w:tab/>
            </w:r>
            <w:r>
              <w:rPr>
                <w:rStyle w:val="IndexLink"/>
              </w:rPr>
              <w:t>170</w:t>
            </w:r>
          </w:hyperlink>
        </w:p>
        <w:p>
          <w:pPr>
            <w:pStyle w:val="Contents5"/>
            <w:tabs>
              <w:tab w:val="clear" w:pos="7892"/>
              <w:tab w:val="right" w:pos="9026" w:leader="dot"/>
            </w:tabs>
            <w:rPr/>
          </w:pPr>
          <w:hyperlink w:anchor="__RefHeading___Toc605586_1934241801">
            <w:r>
              <w:rPr>
                <w:webHidden/>
                <w:rStyle w:val="IndexLink"/>
                <w:rtl w:val="true"/>
              </w:rPr>
              <w:t xml:space="preserve">روایت </w:t>
            </w:r>
            <w:r>
              <w:rPr>
                <w:rStyle w:val="IndexLink"/>
              </w:rPr>
              <w:t>59</w:t>
            </w:r>
            <w:r>
              <w:rPr>
                <w:rStyle w:val="IndexLink"/>
                <w:rtl w:val="true"/>
              </w:rPr>
              <w:tab/>
            </w:r>
            <w:r>
              <w:rPr>
                <w:rStyle w:val="IndexLink"/>
              </w:rPr>
              <w:t>171</w:t>
            </w:r>
          </w:hyperlink>
        </w:p>
        <w:p>
          <w:pPr>
            <w:pStyle w:val="Contents5"/>
            <w:tabs>
              <w:tab w:val="clear" w:pos="7892"/>
              <w:tab w:val="right" w:pos="9026" w:leader="dot"/>
            </w:tabs>
            <w:rPr/>
          </w:pPr>
          <w:hyperlink w:anchor="__RefHeading___Toc605588_1934241801">
            <w:r>
              <w:rPr>
                <w:webHidden/>
                <w:rStyle w:val="IndexLink"/>
                <w:rtl w:val="true"/>
              </w:rPr>
              <w:t>توضیح</w:t>
            </w:r>
            <w:r>
              <w:rPr>
                <w:rStyle w:val="IndexLink"/>
                <w:rtl w:val="true"/>
              </w:rPr>
              <w:tab/>
            </w:r>
            <w:r>
              <w:rPr>
                <w:rStyle w:val="IndexLink"/>
              </w:rPr>
              <w:t>171</w:t>
            </w:r>
          </w:hyperlink>
        </w:p>
        <w:p>
          <w:pPr>
            <w:pStyle w:val="Contents5"/>
            <w:tabs>
              <w:tab w:val="clear" w:pos="7892"/>
              <w:tab w:val="right" w:pos="9026" w:leader="dot"/>
            </w:tabs>
            <w:rPr/>
          </w:pPr>
          <w:hyperlink w:anchor="__RefHeading___Toc605590_1934241801">
            <w:r>
              <w:rPr>
                <w:webHidden/>
                <w:rStyle w:val="IndexLink"/>
                <w:rtl w:val="true"/>
              </w:rPr>
              <w:t>«</w:t>
            </w:r>
            <w:r>
              <w:rPr>
                <w:rStyle w:val="IndexLink"/>
              </w:rPr>
              <w:t>60</w:t>
            </w:r>
            <w:r>
              <w:rPr>
                <w:rStyle w:val="IndexLink"/>
                <w:rtl w:val="true"/>
              </w:rPr>
              <w:t>»</w:t>
              <w:tab/>
            </w:r>
            <w:r>
              <w:rPr>
                <w:rStyle w:val="IndexLink"/>
              </w:rPr>
              <w:t>176</w:t>
            </w:r>
          </w:hyperlink>
        </w:p>
        <w:p>
          <w:pPr>
            <w:pStyle w:val="Contents5"/>
            <w:tabs>
              <w:tab w:val="clear" w:pos="7892"/>
              <w:tab w:val="right" w:pos="9026" w:leader="dot"/>
            </w:tabs>
            <w:rPr/>
          </w:pPr>
          <w:hyperlink w:anchor="__RefHeading___Toc605592_1934241801">
            <w:r>
              <w:rPr>
                <w:webHidden/>
                <w:rStyle w:val="IndexLink"/>
                <w:rtl w:val="true"/>
              </w:rPr>
              <w:t xml:space="preserve">روایت </w:t>
            </w:r>
            <w:r>
              <w:rPr>
                <w:rStyle w:val="IndexLink"/>
              </w:rPr>
              <w:t>60</w:t>
            </w:r>
            <w:r>
              <w:rPr>
                <w:rStyle w:val="IndexLink"/>
                <w:rtl w:val="true"/>
              </w:rPr>
              <w:tab/>
            </w:r>
            <w:r>
              <w:rPr>
                <w:rStyle w:val="IndexLink"/>
              </w:rPr>
              <w:t>177</w:t>
            </w:r>
          </w:hyperlink>
        </w:p>
        <w:p>
          <w:pPr>
            <w:pStyle w:val="Contents3"/>
            <w:tabs>
              <w:tab w:val="clear" w:pos="8459"/>
              <w:tab w:val="right" w:pos="9026" w:leader="dot"/>
            </w:tabs>
            <w:rPr/>
          </w:pPr>
          <w:hyperlink w:anchor="__RefHeading___Toc605594_1934241801">
            <w:r>
              <w:rPr>
                <w:webHidden/>
                <w:rStyle w:val="IndexLink"/>
                <w:rtl w:val="true"/>
              </w:rPr>
              <w:t xml:space="preserve">باب </w:t>
            </w:r>
            <w:r>
              <w:rPr>
                <w:rStyle w:val="IndexLink"/>
              </w:rPr>
              <w:t>4</w:t>
            </w:r>
            <w:r>
              <w:rPr>
                <w:rStyle w:val="IndexLink"/>
                <w:rtl w:val="true"/>
              </w:rPr>
              <w:t xml:space="preserve"> </w:t>
            </w:r>
            <w:r>
              <w:rPr>
                <w:rStyle w:val="IndexLink"/>
                <w:rtl w:val="true"/>
              </w:rPr>
              <w:t>غسل الحيض و الاستحاضة و النفاس عللها و آدابها و أحكامها</w:t>
            </w:r>
            <w:r>
              <w:rPr>
                <w:rStyle w:val="IndexLink"/>
                <w:rtl w:val="true"/>
              </w:rPr>
              <w:tab/>
            </w:r>
            <w:r>
              <w:rPr>
                <w:rStyle w:val="IndexLink"/>
              </w:rPr>
              <w:t>180</w:t>
            </w:r>
          </w:hyperlink>
        </w:p>
        <w:p>
          <w:pPr>
            <w:pStyle w:val="Contents4"/>
            <w:tabs>
              <w:tab w:val="clear" w:pos="8176"/>
              <w:tab w:val="right" w:pos="9026" w:leader="dot"/>
            </w:tabs>
            <w:rPr/>
          </w:pPr>
          <w:hyperlink w:anchor="__RefHeading___Toc605596_1934241801">
            <w:r>
              <w:rPr>
                <w:webHidden/>
                <w:rStyle w:val="IndexLink"/>
                <w:rtl w:val="true"/>
              </w:rPr>
              <w:t>الآيات</w:t>
            </w:r>
            <w:r>
              <w:rPr>
                <w:rStyle w:val="IndexLink"/>
                <w:rtl w:val="true"/>
              </w:rPr>
              <w:tab/>
            </w:r>
            <w:r>
              <w:rPr>
                <w:rStyle w:val="IndexLink"/>
              </w:rPr>
              <w:t>180</w:t>
            </w:r>
          </w:hyperlink>
        </w:p>
        <w:p>
          <w:pPr>
            <w:pStyle w:val="Contents4"/>
            <w:tabs>
              <w:tab w:val="clear" w:pos="8176"/>
              <w:tab w:val="right" w:pos="9026" w:leader="dot"/>
            </w:tabs>
            <w:rPr/>
          </w:pPr>
          <w:hyperlink w:anchor="__RefHeading___Toc605598_1934241801">
            <w:r>
              <w:rPr>
                <w:webHidden/>
                <w:rStyle w:val="IndexLink"/>
                <w:rtl w:val="true"/>
              </w:rPr>
              <w:t>تفسير</w:t>
            </w:r>
            <w:r>
              <w:rPr>
                <w:rStyle w:val="IndexLink"/>
                <w:rtl w:val="true"/>
              </w:rPr>
              <w:tab/>
            </w:r>
            <w:r>
              <w:rPr>
                <w:rStyle w:val="IndexLink"/>
              </w:rPr>
              <w:t>180</w:t>
            </w:r>
          </w:hyperlink>
        </w:p>
        <w:p>
          <w:pPr>
            <w:pStyle w:val="Contents3"/>
            <w:tabs>
              <w:tab w:val="clear" w:pos="8459"/>
              <w:tab w:val="right" w:pos="9026" w:leader="dot"/>
            </w:tabs>
            <w:rPr/>
          </w:pPr>
          <w:hyperlink w:anchor="__RefHeading___Toc605600_1934241801">
            <w:r>
              <w:rPr>
                <w:webHidden/>
                <w:rStyle w:val="IndexLink"/>
                <w:rtl w:val="true"/>
              </w:rPr>
              <w:t>باب چهارم</w:t>
            </w:r>
            <w:r>
              <w:rPr>
                <w:rStyle w:val="IndexLink"/>
                <w:rtl w:val="true"/>
              </w:rPr>
              <w:t xml:space="preserve">: </w:t>
            </w:r>
            <w:r>
              <w:rPr>
                <w:rStyle w:val="IndexLink"/>
                <w:rtl w:val="true"/>
              </w:rPr>
              <w:t>غسل حیض، استحاضه، نفاس و علل، آداب و احکام آن ها</w:t>
            </w:r>
            <w:r>
              <w:rPr>
                <w:rStyle w:val="IndexLink"/>
                <w:rtl w:val="true"/>
              </w:rPr>
              <w:tab/>
            </w:r>
            <w:r>
              <w:rPr>
                <w:rStyle w:val="IndexLink"/>
              </w:rPr>
              <w:t>180</w:t>
            </w:r>
          </w:hyperlink>
        </w:p>
        <w:p>
          <w:pPr>
            <w:pStyle w:val="Contents4"/>
            <w:tabs>
              <w:tab w:val="clear" w:pos="8176"/>
              <w:tab w:val="right" w:pos="9026" w:leader="dot"/>
            </w:tabs>
            <w:rPr/>
          </w:pPr>
          <w:hyperlink w:anchor="__RefHeading___Toc605602_1934241801">
            <w:r>
              <w:rPr>
                <w:webHidden/>
                <w:rStyle w:val="IndexLink"/>
                <w:rtl w:val="true"/>
              </w:rPr>
              <w:t>آیات</w:t>
            </w:r>
            <w:r>
              <w:rPr>
                <w:rStyle w:val="IndexLink"/>
                <w:rtl w:val="true"/>
              </w:rPr>
              <w:tab/>
            </w:r>
            <w:r>
              <w:rPr>
                <w:rStyle w:val="IndexLink"/>
              </w:rPr>
              <w:t>180</w:t>
            </w:r>
          </w:hyperlink>
        </w:p>
        <w:p>
          <w:pPr>
            <w:pStyle w:val="Contents4"/>
            <w:tabs>
              <w:tab w:val="clear" w:pos="8176"/>
              <w:tab w:val="right" w:pos="9026" w:leader="dot"/>
            </w:tabs>
            <w:rPr/>
          </w:pPr>
          <w:hyperlink w:anchor="__RefHeading___Toc605604_1934241801">
            <w:r>
              <w:rPr>
                <w:webHidden/>
                <w:rStyle w:val="IndexLink"/>
                <w:rtl w:val="true"/>
              </w:rPr>
              <w:t>تفسیر</w:t>
            </w:r>
            <w:r>
              <w:rPr>
                <w:rStyle w:val="IndexLink"/>
                <w:rtl w:val="true"/>
              </w:rPr>
              <w:tab/>
            </w:r>
            <w:r>
              <w:rPr>
                <w:rStyle w:val="IndexLink"/>
              </w:rPr>
              <w:t>180</w:t>
            </w:r>
          </w:hyperlink>
        </w:p>
        <w:p>
          <w:pPr>
            <w:pStyle w:val="Contents4"/>
            <w:tabs>
              <w:tab w:val="clear" w:pos="8176"/>
              <w:tab w:val="right" w:pos="9026" w:leader="dot"/>
            </w:tabs>
            <w:rPr/>
          </w:pPr>
          <w:hyperlink w:anchor="__RefHeading___Toc605606_1934241801">
            <w:r>
              <w:rPr>
                <w:webHidden/>
                <w:rStyle w:val="IndexLink"/>
                <w:rtl w:val="true"/>
              </w:rPr>
              <w:t>الأخبار</w:t>
            </w:r>
            <w:r>
              <w:rPr>
                <w:rStyle w:val="IndexLink"/>
                <w:rtl w:val="true"/>
              </w:rPr>
              <w:tab/>
            </w:r>
            <w:r>
              <w:rPr>
                <w:rStyle w:val="IndexLink"/>
              </w:rPr>
              <w:t>188</w:t>
            </w:r>
          </w:hyperlink>
        </w:p>
        <w:p>
          <w:pPr>
            <w:pStyle w:val="Contents5"/>
            <w:tabs>
              <w:tab w:val="clear" w:pos="7892"/>
              <w:tab w:val="right" w:pos="9026" w:leader="dot"/>
            </w:tabs>
            <w:rPr/>
          </w:pPr>
          <w:hyperlink w:anchor="__RefHeading___Toc605608_1934241801">
            <w:r>
              <w:rPr>
                <w:webHidden/>
                <w:rStyle w:val="IndexLink"/>
                <w:rtl w:val="true"/>
              </w:rPr>
              <w:t>«</w:t>
            </w:r>
            <w:r>
              <w:rPr>
                <w:rStyle w:val="IndexLink"/>
              </w:rPr>
              <w:t>1</w:t>
            </w:r>
            <w:r>
              <w:rPr>
                <w:rStyle w:val="IndexLink"/>
                <w:rtl w:val="true"/>
              </w:rPr>
              <w:t>»</w:t>
              <w:tab/>
            </w:r>
            <w:r>
              <w:rPr>
                <w:rStyle w:val="IndexLink"/>
              </w:rPr>
              <w:t>188</w:t>
            </w:r>
          </w:hyperlink>
        </w:p>
        <w:p>
          <w:pPr>
            <w:pStyle w:val="Contents4"/>
            <w:tabs>
              <w:tab w:val="clear" w:pos="8176"/>
              <w:tab w:val="right" w:pos="9026" w:leader="dot"/>
            </w:tabs>
            <w:rPr/>
          </w:pPr>
          <w:hyperlink w:anchor="__RefHeading___Toc605610_1934241801">
            <w:r>
              <w:rPr>
                <w:webHidden/>
                <w:rStyle w:val="IndexLink"/>
                <w:rtl w:val="true"/>
              </w:rPr>
              <w:t>روایات</w:t>
            </w:r>
            <w:r>
              <w:rPr>
                <w:rStyle w:val="IndexLink"/>
                <w:rtl w:val="true"/>
              </w:rPr>
              <w:tab/>
            </w:r>
            <w:r>
              <w:rPr>
                <w:rStyle w:val="IndexLink"/>
              </w:rPr>
              <w:t>189</w:t>
            </w:r>
          </w:hyperlink>
        </w:p>
        <w:p>
          <w:pPr>
            <w:pStyle w:val="Contents5"/>
            <w:tabs>
              <w:tab w:val="clear" w:pos="7892"/>
              <w:tab w:val="right" w:pos="9026" w:leader="dot"/>
            </w:tabs>
            <w:rPr/>
          </w:pPr>
          <w:hyperlink w:anchor="__RefHeading___Toc605612_1934241801">
            <w:r>
              <w:rPr>
                <w:webHidden/>
                <w:rStyle w:val="IndexLink"/>
                <w:rtl w:val="true"/>
              </w:rPr>
              <w:t xml:space="preserve">روایت </w:t>
            </w:r>
            <w:r>
              <w:rPr>
                <w:rStyle w:val="IndexLink"/>
              </w:rPr>
              <w:t>1</w:t>
            </w:r>
            <w:r>
              <w:rPr>
                <w:rStyle w:val="IndexLink"/>
                <w:rtl w:val="true"/>
              </w:rPr>
              <w:tab/>
            </w:r>
            <w:r>
              <w:rPr>
                <w:rStyle w:val="IndexLink"/>
              </w:rPr>
              <w:t>189</w:t>
            </w:r>
          </w:hyperlink>
        </w:p>
        <w:p>
          <w:pPr>
            <w:pStyle w:val="Contents5"/>
            <w:tabs>
              <w:tab w:val="clear" w:pos="7892"/>
              <w:tab w:val="right" w:pos="9026" w:leader="dot"/>
            </w:tabs>
            <w:rPr/>
          </w:pPr>
          <w:hyperlink w:anchor="__RefHeading___Toc605614_1934241801">
            <w:r>
              <w:rPr>
                <w:webHidden/>
                <w:rStyle w:val="IndexLink"/>
                <w:rtl w:val="true"/>
              </w:rPr>
              <w:t>«</w:t>
            </w:r>
            <w:r>
              <w:rPr>
                <w:rStyle w:val="IndexLink"/>
              </w:rPr>
              <w:t>2</w:t>
            </w:r>
            <w:r>
              <w:rPr>
                <w:rStyle w:val="IndexLink"/>
                <w:rtl w:val="true"/>
              </w:rPr>
              <w:t>»</w:t>
              <w:tab/>
            </w:r>
            <w:r>
              <w:rPr>
                <w:rStyle w:val="IndexLink"/>
              </w:rPr>
              <w:t>191</w:t>
            </w:r>
          </w:hyperlink>
        </w:p>
        <w:p>
          <w:pPr>
            <w:pStyle w:val="Contents5"/>
            <w:tabs>
              <w:tab w:val="clear" w:pos="7892"/>
              <w:tab w:val="right" w:pos="9026" w:leader="dot"/>
            </w:tabs>
            <w:rPr/>
          </w:pPr>
          <w:hyperlink w:anchor="__RefHeading___Toc605616_1934241801">
            <w:r>
              <w:rPr>
                <w:webHidden/>
                <w:rStyle w:val="IndexLink"/>
                <w:rtl w:val="true"/>
              </w:rPr>
              <w:t>بيان</w:t>
            </w:r>
            <w:r>
              <w:rPr>
                <w:rStyle w:val="IndexLink"/>
                <w:rtl w:val="true"/>
              </w:rPr>
              <w:tab/>
            </w:r>
            <w:r>
              <w:rPr>
                <w:rStyle w:val="IndexLink"/>
              </w:rPr>
              <w:t>191</w:t>
            </w:r>
          </w:hyperlink>
        </w:p>
        <w:p>
          <w:pPr>
            <w:pStyle w:val="Contents5"/>
            <w:tabs>
              <w:tab w:val="clear" w:pos="7892"/>
              <w:tab w:val="right" w:pos="9026" w:leader="dot"/>
            </w:tabs>
            <w:rPr/>
          </w:pPr>
          <w:hyperlink w:anchor="__RefHeading___Toc605618_1934241801">
            <w:r>
              <w:rPr>
                <w:webHidden/>
                <w:rStyle w:val="IndexLink"/>
                <w:rtl w:val="true"/>
              </w:rPr>
              <w:t xml:space="preserve">روایت </w:t>
            </w:r>
            <w:r>
              <w:rPr>
                <w:rStyle w:val="IndexLink"/>
              </w:rPr>
              <w:t>2</w:t>
            </w:r>
            <w:r>
              <w:rPr>
                <w:rStyle w:val="IndexLink"/>
                <w:rtl w:val="true"/>
              </w:rPr>
              <w:tab/>
            </w:r>
            <w:r>
              <w:rPr>
                <w:rStyle w:val="IndexLink"/>
              </w:rPr>
              <w:t>191</w:t>
            </w:r>
          </w:hyperlink>
        </w:p>
        <w:p>
          <w:pPr>
            <w:pStyle w:val="Contents5"/>
            <w:tabs>
              <w:tab w:val="clear" w:pos="7892"/>
              <w:tab w:val="right" w:pos="9026" w:leader="dot"/>
            </w:tabs>
            <w:rPr/>
          </w:pPr>
          <w:hyperlink w:anchor="__RefHeading___Toc605620_1934241801">
            <w:r>
              <w:rPr>
                <w:webHidden/>
                <w:rStyle w:val="IndexLink"/>
                <w:rtl w:val="true"/>
              </w:rPr>
              <w:t>توضیح</w:t>
            </w:r>
            <w:r>
              <w:rPr>
                <w:rStyle w:val="IndexLink"/>
                <w:rtl w:val="true"/>
              </w:rPr>
              <w:tab/>
            </w:r>
            <w:r>
              <w:rPr>
                <w:rStyle w:val="IndexLink"/>
              </w:rPr>
              <w:t>192</w:t>
            </w:r>
          </w:hyperlink>
        </w:p>
        <w:p>
          <w:pPr>
            <w:pStyle w:val="Contents5"/>
            <w:tabs>
              <w:tab w:val="clear" w:pos="7892"/>
              <w:tab w:val="right" w:pos="9026" w:leader="dot"/>
            </w:tabs>
            <w:rPr/>
          </w:pPr>
          <w:hyperlink w:anchor="__RefHeading___Toc605622_1934241801">
            <w:r>
              <w:rPr>
                <w:webHidden/>
                <w:rStyle w:val="IndexLink"/>
                <w:rtl w:val="true"/>
              </w:rPr>
              <w:t>«</w:t>
            </w:r>
            <w:r>
              <w:rPr>
                <w:rStyle w:val="IndexLink"/>
              </w:rPr>
              <w:t>3</w:t>
            </w:r>
            <w:r>
              <w:rPr>
                <w:rStyle w:val="IndexLink"/>
                <w:rtl w:val="true"/>
              </w:rPr>
              <w:t>»</w:t>
              <w:tab/>
            </w:r>
            <w:r>
              <w:rPr>
                <w:rStyle w:val="IndexLink"/>
              </w:rPr>
              <w:t>193</w:t>
            </w:r>
          </w:hyperlink>
        </w:p>
        <w:p>
          <w:pPr>
            <w:pStyle w:val="Contents5"/>
            <w:tabs>
              <w:tab w:val="clear" w:pos="7892"/>
              <w:tab w:val="right" w:pos="9026" w:leader="dot"/>
            </w:tabs>
            <w:rPr/>
          </w:pPr>
          <w:hyperlink w:anchor="__RefHeading___Toc605624_1934241801">
            <w:r>
              <w:rPr>
                <w:webHidden/>
                <w:rStyle w:val="IndexLink"/>
                <w:rtl w:val="true"/>
              </w:rPr>
              <w:t>توضيح</w:t>
            </w:r>
            <w:r>
              <w:rPr>
                <w:rStyle w:val="IndexLink"/>
                <w:rtl w:val="true"/>
              </w:rPr>
              <w:tab/>
            </w:r>
            <w:r>
              <w:rPr>
                <w:rStyle w:val="IndexLink"/>
              </w:rPr>
              <w:t>193</w:t>
            </w:r>
          </w:hyperlink>
        </w:p>
        <w:p>
          <w:pPr>
            <w:pStyle w:val="Contents5"/>
            <w:tabs>
              <w:tab w:val="clear" w:pos="7892"/>
              <w:tab w:val="right" w:pos="9026" w:leader="dot"/>
            </w:tabs>
            <w:rPr/>
          </w:pPr>
          <w:hyperlink w:anchor="__RefHeading___Toc605626_1934241801">
            <w:r>
              <w:rPr>
                <w:webHidden/>
                <w:rStyle w:val="IndexLink"/>
                <w:rtl w:val="true"/>
              </w:rPr>
              <w:t xml:space="preserve">روایت </w:t>
            </w:r>
            <w:r>
              <w:rPr>
                <w:rStyle w:val="IndexLink"/>
              </w:rPr>
              <w:t>3</w:t>
            </w:r>
            <w:r>
              <w:rPr>
                <w:rStyle w:val="IndexLink"/>
                <w:rtl w:val="true"/>
              </w:rPr>
              <w:tab/>
            </w:r>
            <w:r>
              <w:rPr>
                <w:rStyle w:val="IndexLink"/>
              </w:rPr>
              <w:t>193</w:t>
            </w:r>
          </w:hyperlink>
        </w:p>
        <w:p>
          <w:pPr>
            <w:pStyle w:val="Contents5"/>
            <w:tabs>
              <w:tab w:val="clear" w:pos="7892"/>
              <w:tab w:val="right" w:pos="9026" w:leader="dot"/>
            </w:tabs>
            <w:rPr/>
          </w:pPr>
          <w:hyperlink w:anchor="__RefHeading___Toc605628_1934241801">
            <w:r>
              <w:rPr>
                <w:webHidden/>
                <w:rStyle w:val="IndexLink"/>
                <w:rtl w:val="true"/>
              </w:rPr>
              <w:t>توضیح</w:t>
            </w:r>
            <w:r>
              <w:rPr>
                <w:rStyle w:val="IndexLink"/>
                <w:rtl w:val="true"/>
              </w:rPr>
              <w:tab/>
            </w:r>
            <w:r>
              <w:rPr>
                <w:rStyle w:val="IndexLink"/>
              </w:rPr>
              <w:t>194</w:t>
            </w:r>
          </w:hyperlink>
        </w:p>
        <w:p>
          <w:pPr>
            <w:pStyle w:val="Contents5"/>
            <w:tabs>
              <w:tab w:val="clear" w:pos="7892"/>
              <w:tab w:val="right" w:pos="9026" w:leader="dot"/>
            </w:tabs>
            <w:rPr/>
          </w:pPr>
          <w:hyperlink w:anchor="__RefHeading___Toc605630_1934241801">
            <w:r>
              <w:rPr>
                <w:webHidden/>
                <w:rStyle w:val="IndexLink"/>
                <w:rtl w:val="true"/>
              </w:rPr>
              <w:t>«</w:t>
            </w:r>
            <w:r>
              <w:rPr>
                <w:rStyle w:val="IndexLink"/>
              </w:rPr>
              <w:t>4</w:t>
            </w:r>
            <w:r>
              <w:rPr>
                <w:rStyle w:val="IndexLink"/>
                <w:rtl w:val="true"/>
              </w:rPr>
              <w:t>»</w:t>
              <w:tab/>
            </w:r>
            <w:r>
              <w:rPr>
                <w:rStyle w:val="IndexLink"/>
              </w:rPr>
              <w:t>195</w:t>
            </w:r>
          </w:hyperlink>
        </w:p>
        <w:p>
          <w:pPr>
            <w:pStyle w:val="Contents5"/>
            <w:tabs>
              <w:tab w:val="clear" w:pos="7892"/>
              <w:tab w:val="right" w:pos="9026" w:leader="dot"/>
            </w:tabs>
            <w:rPr/>
          </w:pPr>
          <w:hyperlink w:anchor="__RefHeading___Toc605632_1934241801">
            <w:r>
              <w:rPr>
                <w:webHidden/>
                <w:rStyle w:val="IndexLink"/>
                <w:rtl w:val="true"/>
              </w:rPr>
              <w:t xml:space="preserve">روایت </w:t>
            </w:r>
            <w:r>
              <w:rPr>
                <w:rStyle w:val="IndexLink"/>
              </w:rPr>
              <w:t>4</w:t>
            </w:r>
            <w:r>
              <w:rPr>
                <w:rStyle w:val="IndexLink"/>
                <w:rtl w:val="true"/>
              </w:rPr>
              <w:tab/>
            </w:r>
            <w:r>
              <w:rPr>
                <w:rStyle w:val="IndexLink"/>
              </w:rPr>
              <w:t>195</w:t>
            </w:r>
          </w:hyperlink>
        </w:p>
        <w:p>
          <w:pPr>
            <w:pStyle w:val="Contents5"/>
            <w:tabs>
              <w:tab w:val="clear" w:pos="7892"/>
              <w:tab w:val="right" w:pos="9026" w:leader="dot"/>
            </w:tabs>
            <w:rPr/>
          </w:pPr>
          <w:hyperlink w:anchor="__RefHeading___Toc605634_1934241801">
            <w:r>
              <w:rPr>
                <w:webHidden/>
                <w:rStyle w:val="IndexLink"/>
                <w:rtl w:val="true"/>
              </w:rPr>
              <w:t>بيان</w:t>
            </w:r>
            <w:r>
              <w:rPr>
                <w:rStyle w:val="IndexLink"/>
                <w:rtl w:val="true"/>
              </w:rPr>
              <w:tab/>
            </w:r>
            <w:r>
              <w:rPr>
                <w:rStyle w:val="IndexLink"/>
              </w:rPr>
              <w:t>196</w:t>
            </w:r>
          </w:hyperlink>
        </w:p>
        <w:p>
          <w:pPr>
            <w:pStyle w:val="Contents5"/>
            <w:tabs>
              <w:tab w:val="clear" w:pos="7892"/>
              <w:tab w:val="right" w:pos="9026" w:leader="dot"/>
            </w:tabs>
            <w:rPr/>
          </w:pPr>
          <w:hyperlink w:anchor="__RefHeading___Toc605636_1934241801">
            <w:r>
              <w:rPr>
                <w:webHidden/>
                <w:rStyle w:val="IndexLink"/>
                <w:rtl w:val="true"/>
              </w:rPr>
              <w:t>«</w:t>
            </w:r>
            <w:r>
              <w:rPr>
                <w:rStyle w:val="IndexLink"/>
              </w:rPr>
              <w:t>5</w:t>
            </w:r>
            <w:r>
              <w:rPr>
                <w:rStyle w:val="IndexLink"/>
                <w:rtl w:val="true"/>
              </w:rPr>
              <w:t>»</w:t>
              <w:tab/>
            </w:r>
            <w:r>
              <w:rPr>
                <w:rStyle w:val="IndexLink"/>
              </w:rPr>
              <w:t>196</w:t>
            </w:r>
          </w:hyperlink>
        </w:p>
        <w:p>
          <w:pPr>
            <w:pStyle w:val="Contents5"/>
            <w:tabs>
              <w:tab w:val="clear" w:pos="7892"/>
              <w:tab w:val="right" w:pos="9026" w:leader="dot"/>
            </w:tabs>
            <w:rPr/>
          </w:pPr>
          <w:hyperlink w:anchor="__RefHeading___Toc605638_1934241801">
            <w:r>
              <w:rPr>
                <w:webHidden/>
                <w:rStyle w:val="IndexLink"/>
                <w:rtl w:val="true"/>
              </w:rPr>
              <w:t>توضیح</w:t>
            </w:r>
            <w:r>
              <w:rPr>
                <w:rStyle w:val="IndexLink"/>
                <w:rtl w:val="true"/>
              </w:rPr>
              <w:tab/>
            </w:r>
            <w:r>
              <w:rPr>
                <w:rStyle w:val="IndexLink"/>
              </w:rPr>
              <w:t>196</w:t>
            </w:r>
          </w:hyperlink>
        </w:p>
        <w:p>
          <w:pPr>
            <w:pStyle w:val="Contents5"/>
            <w:tabs>
              <w:tab w:val="clear" w:pos="7892"/>
              <w:tab w:val="right" w:pos="9026" w:leader="dot"/>
            </w:tabs>
            <w:rPr/>
          </w:pPr>
          <w:hyperlink w:anchor="__RefHeading___Toc605640_1934241801">
            <w:r>
              <w:rPr>
                <w:webHidden/>
                <w:rStyle w:val="IndexLink"/>
                <w:rtl w:val="true"/>
              </w:rPr>
              <w:t xml:space="preserve">روایت </w:t>
            </w:r>
            <w:r>
              <w:rPr>
                <w:rStyle w:val="IndexLink"/>
              </w:rPr>
              <w:t>5</w:t>
            </w:r>
            <w:r>
              <w:rPr>
                <w:rStyle w:val="IndexLink"/>
                <w:rtl w:val="true"/>
              </w:rPr>
              <w:tab/>
            </w:r>
            <w:r>
              <w:rPr>
                <w:rStyle w:val="IndexLink"/>
              </w:rPr>
              <w:t>196</w:t>
            </w:r>
          </w:hyperlink>
        </w:p>
        <w:p>
          <w:pPr>
            <w:pStyle w:val="Contents5"/>
            <w:tabs>
              <w:tab w:val="clear" w:pos="7892"/>
              <w:tab w:val="right" w:pos="9026" w:leader="dot"/>
            </w:tabs>
            <w:rPr/>
          </w:pPr>
          <w:hyperlink w:anchor="__RefHeading___Toc605642_1934241801">
            <w:r>
              <w:rPr>
                <w:webHidden/>
                <w:rStyle w:val="IndexLink"/>
                <w:rtl w:val="true"/>
              </w:rPr>
              <w:t>بيان</w:t>
            </w:r>
            <w:r>
              <w:rPr>
                <w:rStyle w:val="IndexLink"/>
                <w:rtl w:val="true"/>
              </w:rPr>
              <w:tab/>
            </w:r>
            <w:r>
              <w:rPr>
                <w:rStyle w:val="IndexLink"/>
              </w:rPr>
              <w:t>198</w:t>
            </w:r>
          </w:hyperlink>
        </w:p>
        <w:p>
          <w:pPr>
            <w:pStyle w:val="Contents5"/>
            <w:tabs>
              <w:tab w:val="clear" w:pos="7892"/>
              <w:tab w:val="right" w:pos="9026" w:leader="dot"/>
            </w:tabs>
            <w:rPr/>
          </w:pPr>
          <w:hyperlink w:anchor="__RefHeading___Toc605644_1934241801">
            <w:r>
              <w:rPr>
                <w:webHidden/>
                <w:rStyle w:val="IndexLink"/>
                <w:rtl w:val="true"/>
              </w:rPr>
              <w:t>توضیح</w:t>
            </w:r>
            <w:r>
              <w:rPr>
                <w:rStyle w:val="IndexLink"/>
                <w:rtl w:val="true"/>
              </w:rPr>
              <w:tab/>
            </w:r>
            <w:r>
              <w:rPr>
                <w:rStyle w:val="IndexLink"/>
              </w:rPr>
              <w:t>198</w:t>
            </w:r>
          </w:hyperlink>
        </w:p>
        <w:p>
          <w:pPr>
            <w:pStyle w:val="Contents5"/>
            <w:tabs>
              <w:tab w:val="clear" w:pos="7892"/>
              <w:tab w:val="right" w:pos="9026" w:leader="dot"/>
            </w:tabs>
            <w:rPr/>
          </w:pPr>
          <w:hyperlink w:anchor="__RefHeading___Toc605646_1934241801">
            <w:r>
              <w:rPr>
                <w:webHidden/>
                <w:rStyle w:val="IndexLink"/>
                <w:rtl w:val="true"/>
              </w:rPr>
              <w:t>«</w:t>
            </w:r>
            <w:r>
              <w:rPr>
                <w:rStyle w:val="IndexLink"/>
              </w:rPr>
              <w:t>6</w:t>
            </w:r>
            <w:r>
              <w:rPr>
                <w:rStyle w:val="IndexLink"/>
                <w:rtl w:val="true"/>
              </w:rPr>
              <w:t>»</w:t>
              <w:tab/>
            </w:r>
            <w:r>
              <w:rPr>
                <w:rStyle w:val="IndexLink"/>
              </w:rPr>
              <w:t>199</w:t>
            </w:r>
          </w:hyperlink>
        </w:p>
        <w:p>
          <w:pPr>
            <w:pStyle w:val="Contents5"/>
            <w:tabs>
              <w:tab w:val="clear" w:pos="7892"/>
              <w:tab w:val="right" w:pos="9026" w:leader="dot"/>
            </w:tabs>
            <w:rPr/>
          </w:pPr>
          <w:hyperlink w:anchor="__RefHeading___Toc605648_1934241801">
            <w:r>
              <w:rPr>
                <w:webHidden/>
                <w:rStyle w:val="IndexLink"/>
                <w:rtl w:val="true"/>
              </w:rPr>
              <w:t>توضيح</w:t>
            </w:r>
            <w:r>
              <w:rPr>
                <w:rStyle w:val="IndexLink"/>
                <w:rtl w:val="true"/>
              </w:rPr>
              <w:tab/>
            </w:r>
            <w:r>
              <w:rPr>
                <w:rStyle w:val="IndexLink"/>
              </w:rPr>
              <w:t>199</w:t>
            </w:r>
          </w:hyperlink>
        </w:p>
        <w:p>
          <w:pPr>
            <w:pStyle w:val="Contents5"/>
            <w:tabs>
              <w:tab w:val="clear" w:pos="7892"/>
              <w:tab w:val="right" w:pos="9026" w:leader="dot"/>
            </w:tabs>
            <w:rPr/>
          </w:pPr>
          <w:hyperlink w:anchor="__RefHeading___Toc605650_1934241801">
            <w:r>
              <w:rPr>
                <w:webHidden/>
                <w:rStyle w:val="IndexLink"/>
                <w:rtl w:val="true"/>
              </w:rPr>
              <w:t>«</w:t>
            </w:r>
            <w:r>
              <w:rPr>
                <w:rStyle w:val="IndexLink"/>
              </w:rPr>
              <w:t>7</w:t>
            </w:r>
            <w:r>
              <w:rPr>
                <w:rStyle w:val="IndexLink"/>
                <w:rtl w:val="true"/>
              </w:rPr>
              <w:t>»</w:t>
              <w:tab/>
            </w:r>
            <w:r>
              <w:rPr>
                <w:rStyle w:val="IndexLink"/>
              </w:rPr>
              <w:t>199</w:t>
            </w:r>
          </w:hyperlink>
        </w:p>
        <w:p>
          <w:pPr>
            <w:pStyle w:val="Contents5"/>
            <w:tabs>
              <w:tab w:val="clear" w:pos="7892"/>
              <w:tab w:val="right" w:pos="9026" w:leader="dot"/>
            </w:tabs>
            <w:rPr/>
          </w:pPr>
          <w:hyperlink w:anchor="__RefHeading___Toc605652_1934241801">
            <w:r>
              <w:rPr>
                <w:webHidden/>
                <w:rStyle w:val="IndexLink"/>
                <w:rtl w:val="true"/>
              </w:rPr>
              <w:t xml:space="preserve">روایت </w:t>
            </w:r>
            <w:r>
              <w:rPr>
                <w:rStyle w:val="IndexLink"/>
              </w:rPr>
              <w:t>6</w:t>
            </w:r>
            <w:r>
              <w:rPr>
                <w:rStyle w:val="IndexLink"/>
                <w:rtl w:val="true"/>
              </w:rPr>
              <w:tab/>
            </w:r>
            <w:r>
              <w:rPr>
                <w:rStyle w:val="IndexLink"/>
              </w:rPr>
              <w:t>199</w:t>
            </w:r>
          </w:hyperlink>
        </w:p>
        <w:p>
          <w:pPr>
            <w:pStyle w:val="Contents5"/>
            <w:tabs>
              <w:tab w:val="clear" w:pos="7892"/>
              <w:tab w:val="right" w:pos="9026" w:leader="dot"/>
            </w:tabs>
            <w:rPr/>
          </w:pPr>
          <w:hyperlink w:anchor="__RefHeading___Toc605654_1934241801">
            <w:r>
              <w:rPr>
                <w:webHidden/>
                <w:rStyle w:val="IndexLink"/>
                <w:rtl w:val="true"/>
              </w:rPr>
              <w:t>توضیح</w:t>
            </w:r>
            <w:r>
              <w:rPr>
                <w:rStyle w:val="IndexLink"/>
                <w:rtl w:val="true"/>
              </w:rPr>
              <w:tab/>
            </w:r>
            <w:r>
              <w:rPr>
                <w:rStyle w:val="IndexLink"/>
              </w:rPr>
              <w:t>200</w:t>
            </w:r>
          </w:hyperlink>
        </w:p>
        <w:p>
          <w:pPr>
            <w:pStyle w:val="Contents5"/>
            <w:tabs>
              <w:tab w:val="clear" w:pos="7892"/>
              <w:tab w:val="right" w:pos="9026" w:leader="dot"/>
            </w:tabs>
            <w:rPr/>
          </w:pPr>
          <w:hyperlink w:anchor="__RefHeading___Toc605656_1934241801">
            <w:r>
              <w:rPr>
                <w:webHidden/>
                <w:rStyle w:val="IndexLink"/>
                <w:rtl w:val="true"/>
              </w:rPr>
              <w:t xml:space="preserve">روایت </w:t>
            </w:r>
            <w:r>
              <w:rPr>
                <w:rStyle w:val="IndexLink"/>
              </w:rPr>
              <w:t>7</w:t>
            </w:r>
            <w:r>
              <w:rPr>
                <w:rStyle w:val="IndexLink"/>
                <w:rtl w:val="true"/>
              </w:rPr>
              <w:tab/>
            </w:r>
            <w:r>
              <w:rPr>
                <w:rStyle w:val="IndexLink"/>
              </w:rPr>
              <w:t>200</w:t>
            </w:r>
          </w:hyperlink>
        </w:p>
        <w:p>
          <w:pPr>
            <w:pStyle w:val="Contents5"/>
            <w:tabs>
              <w:tab w:val="clear" w:pos="7892"/>
              <w:tab w:val="right" w:pos="9026" w:leader="dot"/>
            </w:tabs>
            <w:rPr/>
          </w:pPr>
          <w:hyperlink w:anchor="__RefHeading___Toc605658_1934241801">
            <w:r>
              <w:rPr>
                <w:webHidden/>
                <w:rStyle w:val="IndexLink"/>
                <w:rtl w:val="true"/>
              </w:rPr>
              <w:t>بيان</w:t>
            </w:r>
            <w:r>
              <w:rPr>
                <w:rStyle w:val="IndexLink"/>
                <w:rtl w:val="true"/>
              </w:rPr>
              <w:tab/>
            </w:r>
            <w:r>
              <w:rPr>
                <w:rStyle w:val="IndexLink"/>
              </w:rPr>
              <w:t>201</w:t>
            </w:r>
          </w:hyperlink>
        </w:p>
        <w:p>
          <w:pPr>
            <w:pStyle w:val="Contents5"/>
            <w:tabs>
              <w:tab w:val="clear" w:pos="7892"/>
              <w:tab w:val="right" w:pos="9026" w:leader="dot"/>
            </w:tabs>
            <w:rPr/>
          </w:pPr>
          <w:hyperlink w:anchor="__RefHeading___Toc605660_1934241801">
            <w:r>
              <w:rPr>
                <w:webHidden/>
                <w:rStyle w:val="IndexLink"/>
                <w:rtl w:val="true"/>
              </w:rPr>
              <w:t>توضیح</w:t>
            </w:r>
            <w:r>
              <w:rPr>
                <w:rStyle w:val="IndexLink"/>
                <w:rtl w:val="true"/>
              </w:rPr>
              <w:tab/>
            </w:r>
            <w:r>
              <w:rPr>
                <w:rStyle w:val="IndexLink"/>
              </w:rPr>
              <w:t>201</w:t>
            </w:r>
          </w:hyperlink>
        </w:p>
        <w:p>
          <w:pPr>
            <w:pStyle w:val="Contents5"/>
            <w:tabs>
              <w:tab w:val="clear" w:pos="7892"/>
              <w:tab w:val="right" w:pos="9026" w:leader="dot"/>
            </w:tabs>
            <w:rPr/>
          </w:pPr>
          <w:hyperlink w:anchor="__RefHeading___Toc605662_1934241801">
            <w:r>
              <w:rPr>
                <w:webHidden/>
                <w:rStyle w:val="IndexLink"/>
                <w:rtl w:val="true"/>
              </w:rPr>
              <w:t>«</w:t>
            </w:r>
            <w:r>
              <w:rPr>
                <w:rStyle w:val="IndexLink"/>
              </w:rPr>
              <w:t>8</w:t>
            </w:r>
            <w:r>
              <w:rPr>
                <w:rStyle w:val="IndexLink"/>
                <w:rtl w:val="true"/>
              </w:rPr>
              <w:t>»</w:t>
              <w:tab/>
            </w:r>
            <w:r>
              <w:rPr>
                <w:rStyle w:val="IndexLink"/>
              </w:rPr>
              <w:t>203</w:t>
            </w:r>
          </w:hyperlink>
        </w:p>
        <w:p>
          <w:pPr>
            <w:pStyle w:val="Contents5"/>
            <w:tabs>
              <w:tab w:val="clear" w:pos="7892"/>
              <w:tab w:val="right" w:pos="9026" w:leader="dot"/>
            </w:tabs>
            <w:rPr/>
          </w:pPr>
          <w:hyperlink w:anchor="__RefHeading___Toc605664_1934241801">
            <w:r>
              <w:rPr>
                <w:webHidden/>
                <w:rStyle w:val="IndexLink"/>
                <w:rtl w:val="true"/>
              </w:rPr>
              <w:t>بيان</w:t>
            </w:r>
            <w:r>
              <w:rPr>
                <w:rStyle w:val="IndexLink"/>
                <w:rtl w:val="true"/>
              </w:rPr>
              <w:tab/>
            </w:r>
            <w:r>
              <w:rPr>
                <w:rStyle w:val="IndexLink"/>
              </w:rPr>
              <w:t>203</w:t>
            </w:r>
          </w:hyperlink>
        </w:p>
        <w:p>
          <w:pPr>
            <w:pStyle w:val="Contents5"/>
            <w:tabs>
              <w:tab w:val="clear" w:pos="7892"/>
              <w:tab w:val="right" w:pos="9026" w:leader="dot"/>
            </w:tabs>
            <w:rPr/>
          </w:pPr>
          <w:hyperlink w:anchor="__RefHeading___Toc605666_1934241801">
            <w:r>
              <w:rPr>
                <w:webHidden/>
                <w:rStyle w:val="IndexLink"/>
                <w:rtl w:val="true"/>
              </w:rPr>
              <w:t xml:space="preserve">روایت </w:t>
            </w:r>
            <w:r>
              <w:rPr>
                <w:rStyle w:val="IndexLink"/>
              </w:rPr>
              <w:t>8</w:t>
            </w:r>
            <w:r>
              <w:rPr>
                <w:rStyle w:val="IndexLink"/>
                <w:rtl w:val="true"/>
              </w:rPr>
              <w:tab/>
            </w:r>
            <w:r>
              <w:rPr>
                <w:rStyle w:val="IndexLink"/>
              </w:rPr>
              <w:t>204</w:t>
            </w:r>
          </w:hyperlink>
        </w:p>
        <w:p>
          <w:pPr>
            <w:pStyle w:val="Contents5"/>
            <w:tabs>
              <w:tab w:val="clear" w:pos="7892"/>
              <w:tab w:val="right" w:pos="9026" w:leader="dot"/>
            </w:tabs>
            <w:rPr/>
          </w:pPr>
          <w:hyperlink w:anchor="__RefHeading___Toc605668_1934241801">
            <w:r>
              <w:rPr>
                <w:webHidden/>
                <w:rStyle w:val="IndexLink"/>
                <w:rtl w:val="true"/>
              </w:rPr>
              <w:t>توضیح</w:t>
            </w:r>
            <w:r>
              <w:rPr>
                <w:rStyle w:val="IndexLink"/>
                <w:rtl w:val="true"/>
              </w:rPr>
              <w:tab/>
            </w:r>
            <w:r>
              <w:rPr>
                <w:rStyle w:val="IndexLink"/>
              </w:rPr>
              <w:t>204</w:t>
            </w:r>
          </w:hyperlink>
        </w:p>
        <w:p>
          <w:pPr>
            <w:pStyle w:val="Contents5"/>
            <w:tabs>
              <w:tab w:val="clear" w:pos="7892"/>
              <w:tab w:val="right" w:pos="9026" w:leader="dot"/>
            </w:tabs>
            <w:rPr/>
          </w:pPr>
          <w:hyperlink w:anchor="__RefHeading___Toc605670_1934241801">
            <w:r>
              <w:rPr>
                <w:webHidden/>
                <w:rStyle w:val="IndexLink"/>
                <w:rtl w:val="true"/>
              </w:rPr>
              <w:t>«</w:t>
            </w:r>
            <w:r>
              <w:rPr>
                <w:rStyle w:val="IndexLink"/>
              </w:rPr>
              <w:t>9</w:t>
            </w:r>
            <w:r>
              <w:rPr>
                <w:rStyle w:val="IndexLink"/>
                <w:rtl w:val="true"/>
              </w:rPr>
              <w:t>»</w:t>
              <w:tab/>
            </w:r>
            <w:r>
              <w:rPr>
                <w:rStyle w:val="IndexLink"/>
              </w:rPr>
              <w:t>205</w:t>
            </w:r>
          </w:hyperlink>
        </w:p>
        <w:p>
          <w:pPr>
            <w:pStyle w:val="Contents5"/>
            <w:tabs>
              <w:tab w:val="clear" w:pos="7892"/>
              <w:tab w:val="right" w:pos="9026" w:leader="dot"/>
            </w:tabs>
            <w:rPr/>
          </w:pPr>
          <w:hyperlink w:anchor="__RefHeading___Toc605672_1934241801">
            <w:r>
              <w:rPr>
                <w:webHidden/>
                <w:rStyle w:val="IndexLink"/>
                <w:rtl w:val="true"/>
              </w:rPr>
              <w:t>بيان</w:t>
            </w:r>
            <w:r>
              <w:rPr>
                <w:rStyle w:val="IndexLink"/>
                <w:rtl w:val="true"/>
              </w:rPr>
              <w:tab/>
            </w:r>
            <w:r>
              <w:rPr>
                <w:rStyle w:val="IndexLink"/>
              </w:rPr>
              <w:t>205</w:t>
            </w:r>
          </w:hyperlink>
        </w:p>
        <w:p>
          <w:pPr>
            <w:pStyle w:val="Contents5"/>
            <w:tabs>
              <w:tab w:val="clear" w:pos="7892"/>
              <w:tab w:val="right" w:pos="9026" w:leader="dot"/>
            </w:tabs>
            <w:rPr/>
          </w:pPr>
          <w:hyperlink w:anchor="__RefHeading___Toc605674_1934241801">
            <w:r>
              <w:rPr>
                <w:webHidden/>
                <w:rStyle w:val="IndexLink"/>
                <w:rtl w:val="true"/>
              </w:rPr>
              <w:t>«</w:t>
            </w:r>
            <w:r>
              <w:rPr>
                <w:rStyle w:val="IndexLink"/>
              </w:rPr>
              <w:t>10</w:t>
            </w:r>
            <w:r>
              <w:rPr>
                <w:rStyle w:val="IndexLink"/>
                <w:rtl w:val="true"/>
              </w:rPr>
              <w:t>»</w:t>
              <w:tab/>
            </w:r>
            <w:r>
              <w:rPr>
                <w:rStyle w:val="IndexLink"/>
              </w:rPr>
              <w:t>205</w:t>
            </w:r>
          </w:hyperlink>
        </w:p>
        <w:p>
          <w:pPr>
            <w:pStyle w:val="Contents5"/>
            <w:tabs>
              <w:tab w:val="clear" w:pos="7892"/>
              <w:tab w:val="right" w:pos="9026" w:leader="dot"/>
            </w:tabs>
            <w:rPr/>
          </w:pPr>
          <w:hyperlink w:anchor="__RefHeading___Toc605676_1934241801">
            <w:r>
              <w:rPr>
                <w:webHidden/>
                <w:rStyle w:val="IndexLink"/>
                <w:rtl w:val="true"/>
              </w:rPr>
              <w:t xml:space="preserve">روایت </w:t>
            </w:r>
            <w:r>
              <w:rPr>
                <w:rStyle w:val="IndexLink"/>
              </w:rPr>
              <w:t>9</w:t>
            </w:r>
            <w:r>
              <w:rPr>
                <w:rStyle w:val="IndexLink"/>
                <w:rtl w:val="true"/>
              </w:rPr>
              <w:tab/>
            </w:r>
            <w:r>
              <w:rPr>
                <w:rStyle w:val="IndexLink"/>
              </w:rPr>
              <w:t>205</w:t>
            </w:r>
          </w:hyperlink>
        </w:p>
        <w:p>
          <w:pPr>
            <w:pStyle w:val="Contents5"/>
            <w:tabs>
              <w:tab w:val="clear" w:pos="7892"/>
              <w:tab w:val="right" w:pos="9026" w:leader="dot"/>
            </w:tabs>
            <w:rPr/>
          </w:pPr>
          <w:hyperlink w:anchor="__RefHeading___Toc605678_1934241801">
            <w:r>
              <w:rPr>
                <w:webHidden/>
                <w:rStyle w:val="IndexLink"/>
                <w:rtl w:val="true"/>
              </w:rPr>
              <w:t>توضیح</w:t>
            </w:r>
            <w:r>
              <w:rPr>
                <w:rStyle w:val="IndexLink"/>
                <w:rtl w:val="true"/>
              </w:rPr>
              <w:tab/>
            </w:r>
            <w:r>
              <w:rPr>
                <w:rStyle w:val="IndexLink"/>
              </w:rPr>
              <w:t>206</w:t>
            </w:r>
          </w:hyperlink>
        </w:p>
        <w:p>
          <w:pPr>
            <w:pStyle w:val="Contents5"/>
            <w:tabs>
              <w:tab w:val="clear" w:pos="7892"/>
              <w:tab w:val="right" w:pos="9026" w:leader="dot"/>
            </w:tabs>
            <w:rPr/>
          </w:pPr>
          <w:hyperlink w:anchor="__RefHeading___Toc605680_1934241801">
            <w:r>
              <w:rPr>
                <w:webHidden/>
                <w:rStyle w:val="IndexLink"/>
                <w:rtl w:val="true"/>
              </w:rPr>
              <w:t xml:space="preserve">روایت </w:t>
            </w:r>
            <w:r>
              <w:rPr>
                <w:rStyle w:val="IndexLink"/>
              </w:rPr>
              <w:t>10</w:t>
            </w:r>
            <w:r>
              <w:rPr>
                <w:rStyle w:val="IndexLink"/>
                <w:rtl w:val="true"/>
              </w:rPr>
              <w:tab/>
            </w:r>
            <w:r>
              <w:rPr>
                <w:rStyle w:val="IndexLink"/>
              </w:rPr>
              <w:t>206</w:t>
            </w:r>
          </w:hyperlink>
        </w:p>
        <w:p>
          <w:pPr>
            <w:pStyle w:val="Contents5"/>
            <w:tabs>
              <w:tab w:val="clear" w:pos="7892"/>
              <w:tab w:val="right" w:pos="9026" w:leader="dot"/>
            </w:tabs>
            <w:rPr/>
          </w:pPr>
          <w:hyperlink w:anchor="__RefHeading___Toc605682_1934241801">
            <w:r>
              <w:rPr>
                <w:webHidden/>
                <w:rStyle w:val="IndexLink"/>
                <w:rtl w:val="true"/>
              </w:rPr>
              <w:t>«</w:t>
            </w:r>
            <w:r>
              <w:rPr>
                <w:rStyle w:val="IndexLink"/>
              </w:rPr>
              <w:t>11</w:t>
            </w:r>
            <w:r>
              <w:rPr>
                <w:rStyle w:val="IndexLink"/>
                <w:rtl w:val="true"/>
              </w:rPr>
              <w:t>»</w:t>
              <w:tab/>
            </w:r>
            <w:r>
              <w:rPr>
                <w:rStyle w:val="IndexLink"/>
              </w:rPr>
              <w:t>207</w:t>
            </w:r>
          </w:hyperlink>
        </w:p>
        <w:p>
          <w:pPr>
            <w:pStyle w:val="Contents5"/>
            <w:tabs>
              <w:tab w:val="clear" w:pos="7892"/>
              <w:tab w:val="right" w:pos="9026" w:leader="dot"/>
            </w:tabs>
            <w:rPr/>
          </w:pPr>
          <w:hyperlink w:anchor="__RefHeading___Toc605684_1934241801">
            <w:r>
              <w:rPr>
                <w:webHidden/>
                <w:rStyle w:val="IndexLink"/>
                <w:rtl w:val="true"/>
              </w:rPr>
              <w:t xml:space="preserve">روایت </w:t>
            </w:r>
            <w:r>
              <w:rPr>
                <w:rStyle w:val="IndexLink"/>
              </w:rPr>
              <w:t>11</w:t>
            </w:r>
            <w:r>
              <w:rPr>
                <w:rStyle w:val="IndexLink"/>
                <w:rtl w:val="true"/>
              </w:rPr>
              <w:tab/>
            </w:r>
            <w:r>
              <w:rPr>
                <w:rStyle w:val="IndexLink"/>
              </w:rPr>
              <w:t>208</w:t>
            </w:r>
          </w:hyperlink>
        </w:p>
        <w:p>
          <w:pPr>
            <w:pStyle w:val="Contents5"/>
            <w:tabs>
              <w:tab w:val="clear" w:pos="7892"/>
              <w:tab w:val="right" w:pos="9026" w:leader="dot"/>
            </w:tabs>
            <w:rPr/>
          </w:pPr>
          <w:hyperlink w:anchor="__RefHeading___Toc605686_1934241801">
            <w:r>
              <w:rPr>
                <w:webHidden/>
                <w:rStyle w:val="IndexLink"/>
                <w:rtl w:val="true"/>
              </w:rPr>
              <w:t>«</w:t>
            </w:r>
            <w:r>
              <w:rPr>
                <w:rStyle w:val="IndexLink"/>
              </w:rPr>
              <w:t>12</w:t>
            </w:r>
            <w:r>
              <w:rPr>
                <w:rStyle w:val="IndexLink"/>
                <w:rtl w:val="true"/>
              </w:rPr>
              <w:t>»</w:t>
              <w:tab/>
            </w:r>
            <w:r>
              <w:rPr>
                <w:rStyle w:val="IndexLink"/>
              </w:rPr>
              <w:t>209</w:t>
            </w:r>
          </w:hyperlink>
        </w:p>
        <w:p>
          <w:pPr>
            <w:pStyle w:val="Contents5"/>
            <w:tabs>
              <w:tab w:val="clear" w:pos="7892"/>
              <w:tab w:val="right" w:pos="9026" w:leader="dot"/>
            </w:tabs>
            <w:rPr/>
          </w:pPr>
          <w:hyperlink w:anchor="__RefHeading___Toc605688_1934241801">
            <w:r>
              <w:rPr>
                <w:webHidden/>
                <w:rStyle w:val="IndexLink"/>
                <w:rtl w:val="true"/>
              </w:rPr>
              <w:t xml:space="preserve">روایت </w:t>
            </w:r>
            <w:r>
              <w:rPr>
                <w:rStyle w:val="IndexLink"/>
              </w:rPr>
              <w:t>12</w:t>
            </w:r>
            <w:r>
              <w:rPr>
                <w:rStyle w:val="IndexLink"/>
                <w:rtl w:val="true"/>
              </w:rPr>
              <w:tab/>
            </w:r>
            <w:r>
              <w:rPr>
                <w:rStyle w:val="IndexLink"/>
              </w:rPr>
              <w:t>210</w:t>
            </w:r>
          </w:hyperlink>
        </w:p>
        <w:p>
          <w:pPr>
            <w:pStyle w:val="Contents5"/>
            <w:tabs>
              <w:tab w:val="clear" w:pos="7892"/>
              <w:tab w:val="right" w:pos="9026" w:leader="dot"/>
            </w:tabs>
            <w:rPr/>
          </w:pPr>
          <w:hyperlink w:anchor="__RefHeading___Toc605690_1934241801">
            <w:r>
              <w:rPr>
                <w:webHidden/>
                <w:rStyle w:val="IndexLink"/>
                <w:rtl w:val="true"/>
              </w:rPr>
              <w:t>بيان</w:t>
            </w:r>
            <w:r>
              <w:rPr>
                <w:rStyle w:val="IndexLink"/>
                <w:rtl w:val="true"/>
              </w:rPr>
              <w:tab/>
            </w:r>
            <w:r>
              <w:rPr>
                <w:rStyle w:val="IndexLink"/>
              </w:rPr>
              <w:t>215</w:t>
            </w:r>
          </w:hyperlink>
        </w:p>
        <w:p>
          <w:pPr>
            <w:pStyle w:val="Contents5"/>
            <w:tabs>
              <w:tab w:val="clear" w:pos="7892"/>
              <w:tab w:val="right" w:pos="9026" w:leader="dot"/>
            </w:tabs>
            <w:rPr/>
          </w:pPr>
          <w:hyperlink w:anchor="__RefHeading___Toc605692_1934241801">
            <w:r>
              <w:rPr>
                <w:webHidden/>
                <w:rStyle w:val="IndexLink"/>
                <w:rtl w:val="true"/>
              </w:rPr>
              <w:t>توضیح</w:t>
            </w:r>
            <w:r>
              <w:rPr>
                <w:rStyle w:val="IndexLink"/>
                <w:rtl w:val="true"/>
              </w:rPr>
              <w:tab/>
            </w:r>
            <w:r>
              <w:rPr>
                <w:rStyle w:val="IndexLink"/>
              </w:rPr>
              <w:t>215</w:t>
            </w:r>
          </w:hyperlink>
        </w:p>
        <w:p>
          <w:pPr>
            <w:pStyle w:val="Contents5"/>
            <w:tabs>
              <w:tab w:val="clear" w:pos="7892"/>
              <w:tab w:val="right" w:pos="9026" w:leader="dot"/>
            </w:tabs>
            <w:rPr/>
          </w:pPr>
          <w:hyperlink w:anchor="__RefHeading___Toc605694_1934241801">
            <w:r>
              <w:rPr>
                <w:webHidden/>
                <w:rStyle w:val="IndexLink"/>
                <w:rtl w:val="true"/>
              </w:rPr>
              <w:t>«</w:t>
            </w:r>
            <w:r>
              <w:rPr>
                <w:rStyle w:val="IndexLink"/>
              </w:rPr>
              <w:t>13</w:t>
            </w:r>
            <w:r>
              <w:rPr>
                <w:rStyle w:val="IndexLink"/>
                <w:rtl w:val="true"/>
              </w:rPr>
              <w:t>»</w:t>
              <w:tab/>
            </w:r>
            <w:r>
              <w:rPr>
                <w:rStyle w:val="IndexLink"/>
              </w:rPr>
              <w:t>223</w:t>
            </w:r>
          </w:hyperlink>
        </w:p>
        <w:p>
          <w:pPr>
            <w:pStyle w:val="Contents5"/>
            <w:tabs>
              <w:tab w:val="clear" w:pos="7892"/>
              <w:tab w:val="right" w:pos="9026" w:leader="dot"/>
            </w:tabs>
            <w:rPr/>
          </w:pPr>
          <w:hyperlink w:anchor="__RefHeading___Toc605696_1934241801">
            <w:r>
              <w:rPr>
                <w:webHidden/>
                <w:rStyle w:val="IndexLink"/>
                <w:rtl w:val="true"/>
              </w:rPr>
              <w:t>«</w:t>
            </w:r>
            <w:r>
              <w:rPr>
                <w:rStyle w:val="IndexLink"/>
              </w:rPr>
              <w:t>14</w:t>
            </w:r>
            <w:r>
              <w:rPr>
                <w:rStyle w:val="IndexLink"/>
                <w:rtl w:val="true"/>
              </w:rPr>
              <w:t>»</w:t>
              <w:tab/>
            </w:r>
            <w:r>
              <w:rPr>
                <w:rStyle w:val="IndexLink"/>
              </w:rPr>
              <w:t>223</w:t>
            </w:r>
          </w:hyperlink>
        </w:p>
        <w:p>
          <w:pPr>
            <w:pStyle w:val="Contents5"/>
            <w:tabs>
              <w:tab w:val="clear" w:pos="7892"/>
              <w:tab w:val="right" w:pos="9026" w:leader="dot"/>
            </w:tabs>
            <w:rPr/>
          </w:pPr>
          <w:hyperlink w:anchor="__RefHeading___Toc605698_1934241801">
            <w:r>
              <w:rPr>
                <w:webHidden/>
                <w:rStyle w:val="IndexLink"/>
                <w:rtl w:val="true"/>
              </w:rPr>
              <w:t xml:space="preserve">روایت </w:t>
            </w:r>
            <w:r>
              <w:rPr>
                <w:rStyle w:val="IndexLink"/>
              </w:rPr>
              <w:t>13</w:t>
            </w:r>
            <w:r>
              <w:rPr>
                <w:rStyle w:val="IndexLink"/>
                <w:rtl w:val="true"/>
              </w:rPr>
              <w:tab/>
            </w:r>
            <w:r>
              <w:rPr>
                <w:rStyle w:val="IndexLink"/>
              </w:rPr>
              <w:t>223</w:t>
            </w:r>
          </w:hyperlink>
        </w:p>
        <w:p>
          <w:pPr>
            <w:pStyle w:val="Contents5"/>
            <w:tabs>
              <w:tab w:val="clear" w:pos="7892"/>
              <w:tab w:val="right" w:pos="9026" w:leader="dot"/>
            </w:tabs>
            <w:rPr/>
          </w:pPr>
          <w:hyperlink w:anchor="__RefHeading___Toc605700_1934241801">
            <w:r>
              <w:rPr>
                <w:webHidden/>
                <w:rStyle w:val="IndexLink"/>
                <w:rtl w:val="true"/>
              </w:rPr>
              <w:t xml:space="preserve">روایت </w:t>
            </w:r>
            <w:r>
              <w:rPr>
                <w:rStyle w:val="IndexLink"/>
              </w:rPr>
              <w:t>14</w:t>
            </w:r>
            <w:r>
              <w:rPr>
                <w:rStyle w:val="IndexLink"/>
                <w:rtl w:val="true"/>
              </w:rPr>
              <w:tab/>
            </w:r>
            <w:r>
              <w:rPr>
                <w:rStyle w:val="IndexLink"/>
              </w:rPr>
              <w:t>223</w:t>
            </w:r>
          </w:hyperlink>
        </w:p>
        <w:p>
          <w:pPr>
            <w:pStyle w:val="Contents5"/>
            <w:tabs>
              <w:tab w:val="clear" w:pos="7892"/>
              <w:tab w:val="right" w:pos="9026" w:leader="dot"/>
            </w:tabs>
            <w:rPr/>
          </w:pPr>
          <w:hyperlink w:anchor="__RefHeading___Toc605702_1934241801">
            <w:r>
              <w:rPr>
                <w:webHidden/>
                <w:rStyle w:val="IndexLink"/>
                <w:rtl w:val="true"/>
              </w:rPr>
              <w:t>تبيين</w:t>
            </w:r>
            <w:r>
              <w:rPr>
                <w:rStyle w:val="IndexLink"/>
                <w:rtl w:val="true"/>
              </w:rPr>
              <w:tab/>
            </w:r>
            <w:r>
              <w:rPr>
                <w:rStyle w:val="IndexLink"/>
              </w:rPr>
              <w:t>225</w:t>
            </w:r>
          </w:hyperlink>
        </w:p>
        <w:p>
          <w:pPr>
            <w:pStyle w:val="Contents5"/>
            <w:tabs>
              <w:tab w:val="clear" w:pos="7892"/>
              <w:tab w:val="right" w:pos="9026" w:leader="dot"/>
            </w:tabs>
            <w:rPr/>
          </w:pPr>
          <w:hyperlink w:anchor="__RefHeading___Toc605704_1934241801">
            <w:r>
              <w:rPr>
                <w:webHidden/>
                <w:rStyle w:val="IndexLink"/>
                <w:rtl w:val="true"/>
              </w:rPr>
              <w:t>توضیح</w:t>
            </w:r>
            <w:r>
              <w:rPr>
                <w:rStyle w:val="IndexLink"/>
                <w:rtl w:val="true"/>
              </w:rPr>
              <w:tab/>
            </w:r>
            <w:r>
              <w:rPr>
                <w:rStyle w:val="IndexLink"/>
              </w:rPr>
              <w:t>226</w:t>
            </w:r>
          </w:hyperlink>
        </w:p>
        <w:p>
          <w:pPr>
            <w:pStyle w:val="Contents5"/>
            <w:tabs>
              <w:tab w:val="clear" w:pos="7892"/>
              <w:tab w:val="right" w:pos="9026" w:leader="dot"/>
            </w:tabs>
            <w:rPr/>
          </w:pPr>
          <w:hyperlink w:anchor="__RefHeading___Toc605706_1934241801">
            <w:r>
              <w:rPr>
                <w:webHidden/>
                <w:rStyle w:val="IndexLink"/>
                <w:rtl w:val="true"/>
              </w:rPr>
              <w:t>«</w:t>
            </w:r>
            <w:r>
              <w:rPr>
                <w:rStyle w:val="IndexLink"/>
              </w:rPr>
              <w:t>15</w:t>
            </w:r>
            <w:r>
              <w:rPr>
                <w:rStyle w:val="IndexLink"/>
                <w:rtl w:val="true"/>
              </w:rPr>
              <w:t>»</w:t>
              <w:tab/>
            </w:r>
            <w:r>
              <w:rPr>
                <w:rStyle w:val="IndexLink"/>
              </w:rPr>
              <w:t>229</w:t>
            </w:r>
          </w:hyperlink>
        </w:p>
        <w:p>
          <w:pPr>
            <w:pStyle w:val="Contents5"/>
            <w:tabs>
              <w:tab w:val="clear" w:pos="7892"/>
              <w:tab w:val="right" w:pos="9026" w:leader="dot"/>
            </w:tabs>
            <w:rPr/>
          </w:pPr>
          <w:hyperlink w:anchor="__RefHeading___Toc605708_1934241801">
            <w:r>
              <w:rPr>
                <w:webHidden/>
                <w:rStyle w:val="IndexLink"/>
                <w:rtl w:val="true"/>
              </w:rPr>
              <w:t>بيان</w:t>
            </w:r>
            <w:r>
              <w:rPr>
                <w:rStyle w:val="IndexLink"/>
                <w:rtl w:val="true"/>
              </w:rPr>
              <w:tab/>
            </w:r>
            <w:r>
              <w:rPr>
                <w:rStyle w:val="IndexLink"/>
              </w:rPr>
              <w:t>229</w:t>
            </w:r>
          </w:hyperlink>
        </w:p>
        <w:p>
          <w:pPr>
            <w:pStyle w:val="Contents5"/>
            <w:tabs>
              <w:tab w:val="clear" w:pos="7892"/>
              <w:tab w:val="right" w:pos="9026" w:leader="dot"/>
            </w:tabs>
            <w:rPr/>
          </w:pPr>
          <w:hyperlink w:anchor="__RefHeading___Toc605710_1934241801">
            <w:r>
              <w:rPr>
                <w:webHidden/>
                <w:rStyle w:val="IndexLink"/>
                <w:rtl w:val="true"/>
              </w:rPr>
              <w:t>«</w:t>
            </w:r>
            <w:r>
              <w:rPr>
                <w:rStyle w:val="IndexLink"/>
              </w:rPr>
              <w:t>16</w:t>
            </w:r>
            <w:r>
              <w:rPr>
                <w:rStyle w:val="IndexLink"/>
                <w:rtl w:val="true"/>
              </w:rPr>
              <w:t>»</w:t>
              <w:tab/>
            </w:r>
            <w:r>
              <w:rPr>
                <w:rStyle w:val="IndexLink"/>
              </w:rPr>
              <w:t>229</w:t>
            </w:r>
          </w:hyperlink>
        </w:p>
        <w:p>
          <w:pPr>
            <w:pStyle w:val="Contents5"/>
            <w:tabs>
              <w:tab w:val="clear" w:pos="7892"/>
              <w:tab w:val="right" w:pos="9026" w:leader="dot"/>
            </w:tabs>
            <w:rPr/>
          </w:pPr>
          <w:hyperlink w:anchor="__RefHeading___Toc605712_1934241801">
            <w:r>
              <w:rPr>
                <w:webHidden/>
                <w:rStyle w:val="IndexLink"/>
                <w:rtl w:val="true"/>
              </w:rPr>
              <w:t xml:space="preserve">روایت </w:t>
            </w:r>
            <w:r>
              <w:rPr>
                <w:rStyle w:val="IndexLink"/>
              </w:rPr>
              <w:t>15</w:t>
            </w:r>
            <w:r>
              <w:rPr>
                <w:rStyle w:val="IndexLink"/>
                <w:rtl w:val="true"/>
              </w:rPr>
              <w:tab/>
            </w:r>
            <w:r>
              <w:rPr>
                <w:rStyle w:val="IndexLink"/>
              </w:rPr>
              <w:t>229</w:t>
            </w:r>
          </w:hyperlink>
        </w:p>
        <w:p>
          <w:pPr>
            <w:pStyle w:val="Contents5"/>
            <w:tabs>
              <w:tab w:val="clear" w:pos="7892"/>
              <w:tab w:val="right" w:pos="9026" w:leader="dot"/>
            </w:tabs>
            <w:rPr/>
          </w:pPr>
          <w:hyperlink w:anchor="__RefHeading___Toc605714_1934241801">
            <w:r>
              <w:rPr>
                <w:webHidden/>
                <w:rStyle w:val="IndexLink"/>
                <w:rtl w:val="true"/>
              </w:rPr>
              <w:t>توضیح</w:t>
            </w:r>
            <w:r>
              <w:rPr>
                <w:rStyle w:val="IndexLink"/>
                <w:rtl w:val="true"/>
              </w:rPr>
              <w:tab/>
            </w:r>
            <w:r>
              <w:rPr>
                <w:rStyle w:val="IndexLink"/>
              </w:rPr>
              <w:t>229</w:t>
            </w:r>
          </w:hyperlink>
        </w:p>
        <w:p>
          <w:pPr>
            <w:pStyle w:val="Contents5"/>
            <w:tabs>
              <w:tab w:val="clear" w:pos="7892"/>
              <w:tab w:val="right" w:pos="9026" w:leader="dot"/>
            </w:tabs>
            <w:rPr/>
          </w:pPr>
          <w:hyperlink w:anchor="__RefHeading___Toc605716_1934241801">
            <w:r>
              <w:rPr>
                <w:webHidden/>
                <w:rStyle w:val="IndexLink"/>
                <w:rtl w:val="true"/>
              </w:rPr>
              <w:t xml:space="preserve">روایت </w:t>
            </w:r>
            <w:r>
              <w:rPr>
                <w:rStyle w:val="IndexLink"/>
              </w:rPr>
              <w:t>16</w:t>
            </w:r>
            <w:r>
              <w:rPr>
                <w:rStyle w:val="IndexLink"/>
                <w:rtl w:val="true"/>
              </w:rPr>
              <w:tab/>
            </w:r>
            <w:r>
              <w:rPr>
                <w:rStyle w:val="IndexLink"/>
              </w:rPr>
              <w:t>229</w:t>
            </w:r>
          </w:hyperlink>
        </w:p>
        <w:p>
          <w:pPr>
            <w:pStyle w:val="Contents5"/>
            <w:tabs>
              <w:tab w:val="clear" w:pos="7892"/>
              <w:tab w:val="right" w:pos="9026" w:leader="dot"/>
            </w:tabs>
            <w:rPr/>
          </w:pPr>
          <w:hyperlink w:anchor="__RefHeading___Toc605718_1934241801">
            <w:r>
              <w:rPr>
                <w:webHidden/>
                <w:rStyle w:val="IndexLink"/>
                <w:rtl w:val="true"/>
              </w:rPr>
              <w:t>توضيح</w:t>
            </w:r>
            <w:r>
              <w:rPr>
                <w:rStyle w:val="IndexLink"/>
                <w:rtl w:val="true"/>
              </w:rPr>
              <w:tab/>
            </w:r>
            <w:r>
              <w:rPr>
                <w:rStyle w:val="IndexLink"/>
              </w:rPr>
              <w:t>230</w:t>
            </w:r>
          </w:hyperlink>
        </w:p>
        <w:p>
          <w:pPr>
            <w:pStyle w:val="Contents5"/>
            <w:tabs>
              <w:tab w:val="clear" w:pos="7892"/>
              <w:tab w:val="right" w:pos="9026" w:leader="dot"/>
            </w:tabs>
            <w:rPr/>
          </w:pPr>
          <w:hyperlink w:anchor="__RefHeading___Toc605720_1934241801">
            <w:r>
              <w:rPr>
                <w:webHidden/>
                <w:rStyle w:val="IndexLink"/>
                <w:rtl w:val="true"/>
              </w:rPr>
              <w:t>«</w:t>
            </w:r>
            <w:r>
              <w:rPr>
                <w:rStyle w:val="IndexLink"/>
              </w:rPr>
              <w:t>17</w:t>
            </w:r>
            <w:r>
              <w:rPr>
                <w:rStyle w:val="IndexLink"/>
                <w:rtl w:val="true"/>
              </w:rPr>
              <w:t>»</w:t>
              <w:tab/>
            </w:r>
            <w:r>
              <w:rPr>
                <w:rStyle w:val="IndexLink"/>
              </w:rPr>
              <w:t>230</w:t>
            </w:r>
          </w:hyperlink>
        </w:p>
        <w:p>
          <w:pPr>
            <w:pStyle w:val="Contents5"/>
            <w:tabs>
              <w:tab w:val="clear" w:pos="7892"/>
              <w:tab w:val="right" w:pos="9026" w:leader="dot"/>
            </w:tabs>
            <w:rPr/>
          </w:pPr>
          <w:hyperlink w:anchor="__RefHeading___Toc605722_1934241801">
            <w:r>
              <w:rPr>
                <w:webHidden/>
                <w:rStyle w:val="IndexLink"/>
                <w:rtl w:val="true"/>
              </w:rPr>
              <w:t>«</w:t>
            </w:r>
            <w:r>
              <w:rPr>
                <w:rStyle w:val="IndexLink"/>
              </w:rPr>
              <w:t>18</w:t>
            </w:r>
            <w:r>
              <w:rPr>
                <w:rStyle w:val="IndexLink"/>
                <w:rtl w:val="true"/>
              </w:rPr>
              <w:t>»</w:t>
              <w:tab/>
            </w:r>
            <w:r>
              <w:rPr>
                <w:rStyle w:val="IndexLink"/>
              </w:rPr>
              <w:t>230</w:t>
            </w:r>
          </w:hyperlink>
        </w:p>
        <w:p>
          <w:pPr>
            <w:pStyle w:val="Contents5"/>
            <w:tabs>
              <w:tab w:val="clear" w:pos="7892"/>
              <w:tab w:val="right" w:pos="9026" w:leader="dot"/>
            </w:tabs>
            <w:rPr/>
          </w:pPr>
          <w:hyperlink w:anchor="__RefHeading___Toc605724_1934241801">
            <w:r>
              <w:rPr>
                <w:webHidden/>
                <w:rStyle w:val="IndexLink"/>
                <w:rtl w:val="true"/>
              </w:rPr>
              <w:t>توضیح</w:t>
            </w:r>
            <w:r>
              <w:rPr>
                <w:rStyle w:val="IndexLink"/>
                <w:rtl w:val="true"/>
              </w:rPr>
              <w:tab/>
            </w:r>
            <w:r>
              <w:rPr>
                <w:rStyle w:val="IndexLink"/>
              </w:rPr>
              <w:t>230</w:t>
            </w:r>
          </w:hyperlink>
        </w:p>
        <w:p>
          <w:pPr>
            <w:pStyle w:val="Contents5"/>
            <w:tabs>
              <w:tab w:val="clear" w:pos="7892"/>
              <w:tab w:val="right" w:pos="9026" w:leader="dot"/>
            </w:tabs>
            <w:rPr/>
          </w:pPr>
          <w:hyperlink w:anchor="__RefHeading___Toc605726_1934241801">
            <w:r>
              <w:rPr>
                <w:webHidden/>
                <w:rStyle w:val="IndexLink"/>
                <w:rtl w:val="true"/>
              </w:rPr>
              <w:t xml:space="preserve">روایت </w:t>
            </w:r>
            <w:r>
              <w:rPr>
                <w:rStyle w:val="IndexLink"/>
              </w:rPr>
              <w:t>17</w:t>
            </w:r>
            <w:r>
              <w:rPr>
                <w:rStyle w:val="IndexLink"/>
                <w:rtl w:val="true"/>
              </w:rPr>
              <w:tab/>
            </w:r>
            <w:r>
              <w:rPr>
                <w:rStyle w:val="IndexLink"/>
              </w:rPr>
              <w:t>231</w:t>
            </w:r>
          </w:hyperlink>
        </w:p>
        <w:p>
          <w:pPr>
            <w:pStyle w:val="Contents5"/>
            <w:tabs>
              <w:tab w:val="clear" w:pos="7892"/>
              <w:tab w:val="right" w:pos="9026" w:leader="dot"/>
            </w:tabs>
            <w:rPr/>
          </w:pPr>
          <w:hyperlink w:anchor="__RefHeading___Toc605728_1934241801">
            <w:r>
              <w:rPr>
                <w:webHidden/>
                <w:rStyle w:val="IndexLink"/>
                <w:rtl w:val="true"/>
              </w:rPr>
              <w:t xml:space="preserve">روایت </w:t>
            </w:r>
            <w:r>
              <w:rPr>
                <w:rStyle w:val="IndexLink"/>
              </w:rPr>
              <w:t>18</w:t>
            </w:r>
            <w:r>
              <w:rPr>
                <w:rStyle w:val="IndexLink"/>
                <w:rtl w:val="true"/>
              </w:rPr>
              <w:tab/>
            </w:r>
            <w:r>
              <w:rPr>
                <w:rStyle w:val="IndexLink"/>
              </w:rPr>
              <w:t>231</w:t>
            </w:r>
          </w:hyperlink>
        </w:p>
        <w:p>
          <w:pPr>
            <w:pStyle w:val="Contents5"/>
            <w:tabs>
              <w:tab w:val="clear" w:pos="7892"/>
              <w:tab w:val="right" w:pos="9026" w:leader="dot"/>
            </w:tabs>
            <w:rPr/>
          </w:pPr>
          <w:hyperlink w:anchor="__RefHeading___Toc605730_1934241801">
            <w:r>
              <w:rPr>
                <w:webHidden/>
                <w:rStyle w:val="IndexLink"/>
                <w:rtl w:val="true"/>
              </w:rPr>
              <w:t>بيان</w:t>
            </w:r>
            <w:r>
              <w:rPr>
                <w:rStyle w:val="IndexLink"/>
                <w:rtl w:val="true"/>
              </w:rPr>
              <w:tab/>
            </w:r>
            <w:r>
              <w:rPr>
                <w:rStyle w:val="IndexLink"/>
              </w:rPr>
              <w:t>232</w:t>
            </w:r>
          </w:hyperlink>
        </w:p>
        <w:p>
          <w:pPr>
            <w:pStyle w:val="Contents5"/>
            <w:tabs>
              <w:tab w:val="clear" w:pos="7892"/>
              <w:tab w:val="right" w:pos="9026" w:leader="dot"/>
            </w:tabs>
            <w:rPr/>
          </w:pPr>
          <w:hyperlink w:anchor="__RefHeading___Toc605732_1934241801">
            <w:r>
              <w:rPr>
                <w:webHidden/>
                <w:rStyle w:val="IndexLink"/>
                <w:rtl w:val="true"/>
              </w:rPr>
              <w:t>توضیح</w:t>
            </w:r>
            <w:r>
              <w:rPr>
                <w:rStyle w:val="IndexLink"/>
                <w:rtl w:val="true"/>
              </w:rPr>
              <w:tab/>
            </w:r>
            <w:r>
              <w:rPr>
                <w:rStyle w:val="IndexLink"/>
              </w:rPr>
              <w:t>232</w:t>
            </w:r>
          </w:hyperlink>
        </w:p>
        <w:p>
          <w:pPr>
            <w:pStyle w:val="Contents5"/>
            <w:tabs>
              <w:tab w:val="clear" w:pos="7892"/>
              <w:tab w:val="right" w:pos="9026" w:leader="dot"/>
            </w:tabs>
            <w:rPr/>
          </w:pPr>
          <w:hyperlink w:anchor="__RefHeading___Toc605734_1934241801">
            <w:r>
              <w:rPr>
                <w:webHidden/>
                <w:rStyle w:val="IndexLink"/>
                <w:rtl w:val="true"/>
              </w:rPr>
              <w:t>«</w:t>
            </w:r>
            <w:r>
              <w:rPr>
                <w:rStyle w:val="IndexLink"/>
              </w:rPr>
              <w:t>19</w:t>
            </w:r>
            <w:r>
              <w:rPr>
                <w:rStyle w:val="IndexLink"/>
                <w:rtl w:val="true"/>
              </w:rPr>
              <w:t>»</w:t>
              <w:tab/>
            </w:r>
            <w:r>
              <w:rPr>
                <w:rStyle w:val="IndexLink"/>
              </w:rPr>
              <w:t>234</w:t>
            </w:r>
          </w:hyperlink>
        </w:p>
        <w:p>
          <w:pPr>
            <w:pStyle w:val="Contents5"/>
            <w:tabs>
              <w:tab w:val="clear" w:pos="7892"/>
              <w:tab w:val="right" w:pos="9026" w:leader="dot"/>
            </w:tabs>
            <w:rPr/>
          </w:pPr>
          <w:hyperlink w:anchor="__RefHeading___Toc605736_1934241801">
            <w:r>
              <w:rPr>
                <w:webHidden/>
                <w:rStyle w:val="IndexLink"/>
                <w:rtl w:val="true"/>
              </w:rPr>
              <w:t>«</w:t>
            </w:r>
            <w:r>
              <w:rPr>
                <w:rStyle w:val="IndexLink"/>
              </w:rPr>
              <w:t>20</w:t>
            </w:r>
            <w:r>
              <w:rPr>
                <w:rStyle w:val="IndexLink"/>
                <w:rtl w:val="true"/>
              </w:rPr>
              <w:t>»</w:t>
              <w:tab/>
            </w:r>
            <w:r>
              <w:rPr>
                <w:rStyle w:val="IndexLink"/>
              </w:rPr>
              <w:t>234</w:t>
            </w:r>
          </w:hyperlink>
        </w:p>
        <w:p>
          <w:pPr>
            <w:pStyle w:val="Contents5"/>
            <w:tabs>
              <w:tab w:val="clear" w:pos="7892"/>
              <w:tab w:val="right" w:pos="9026" w:leader="dot"/>
            </w:tabs>
            <w:rPr/>
          </w:pPr>
          <w:hyperlink w:anchor="__RefHeading___Toc605738_1934241801">
            <w:r>
              <w:rPr>
                <w:webHidden/>
                <w:rStyle w:val="IndexLink"/>
                <w:rtl w:val="true"/>
              </w:rPr>
              <w:t>أقول</w:t>
            </w:r>
            <w:r>
              <w:rPr>
                <w:rStyle w:val="IndexLink"/>
                <w:rtl w:val="true"/>
              </w:rPr>
              <w:tab/>
            </w:r>
            <w:r>
              <w:rPr>
                <w:rStyle w:val="IndexLink"/>
              </w:rPr>
              <w:t>234</w:t>
            </w:r>
          </w:hyperlink>
        </w:p>
        <w:p>
          <w:pPr>
            <w:pStyle w:val="Contents5"/>
            <w:tabs>
              <w:tab w:val="clear" w:pos="7892"/>
              <w:tab w:val="right" w:pos="9026" w:leader="dot"/>
            </w:tabs>
            <w:rPr/>
          </w:pPr>
          <w:hyperlink w:anchor="__RefHeading___Toc605740_1934241801">
            <w:r>
              <w:rPr>
                <w:webHidden/>
                <w:rStyle w:val="IndexLink"/>
                <w:rtl w:val="true"/>
              </w:rPr>
              <w:t>«</w:t>
            </w:r>
            <w:r>
              <w:rPr>
                <w:rStyle w:val="IndexLink"/>
              </w:rPr>
              <w:t>21</w:t>
            </w:r>
            <w:r>
              <w:rPr>
                <w:rStyle w:val="IndexLink"/>
                <w:rtl w:val="true"/>
              </w:rPr>
              <w:t>»</w:t>
              <w:tab/>
            </w:r>
            <w:r>
              <w:rPr>
                <w:rStyle w:val="IndexLink"/>
              </w:rPr>
              <w:t>234</w:t>
            </w:r>
          </w:hyperlink>
        </w:p>
        <w:p>
          <w:pPr>
            <w:pStyle w:val="Contents5"/>
            <w:tabs>
              <w:tab w:val="clear" w:pos="7892"/>
              <w:tab w:val="right" w:pos="9026" w:leader="dot"/>
            </w:tabs>
            <w:rPr/>
          </w:pPr>
          <w:hyperlink w:anchor="__RefHeading___Toc605742_1934241801">
            <w:r>
              <w:rPr>
                <w:webHidden/>
                <w:rStyle w:val="IndexLink"/>
                <w:rtl w:val="true"/>
              </w:rPr>
              <w:t xml:space="preserve">روایت </w:t>
            </w:r>
            <w:r>
              <w:rPr>
                <w:rStyle w:val="IndexLink"/>
              </w:rPr>
              <w:t>19</w:t>
            </w:r>
            <w:r>
              <w:rPr>
                <w:rStyle w:val="IndexLink"/>
                <w:rtl w:val="true"/>
              </w:rPr>
              <w:tab/>
            </w:r>
            <w:r>
              <w:rPr>
                <w:rStyle w:val="IndexLink"/>
              </w:rPr>
              <w:t>234</w:t>
            </w:r>
          </w:hyperlink>
        </w:p>
        <w:p>
          <w:pPr>
            <w:pStyle w:val="Contents5"/>
            <w:tabs>
              <w:tab w:val="clear" w:pos="7892"/>
              <w:tab w:val="right" w:pos="9026" w:leader="dot"/>
            </w:tabs>
            <w:rPr/>
          </w:pPr>
          <w:hyperlink w:anchor="__RefHeading___Toc605744_1934241801">
            <w:r>
              <w:rPr>
                <w:webHidden/>
                <w:rStyle w:val="IndexLink"/>
                <w:rtl w:val="true"/>
              </w:rPr>
              <w:t xml:space="preserve">روایت </w:t>
            </w:r>
            <w:r>
              <w:rPr>
                <w:rStyle w:val="IndexLink"/>
              </w:rPr>
              <w:t>20</w:t>
            </w:r>
            <w:r>
              <w:rPr>
                <w:rStyle w:val="IndexLink"/>
                <w:rtl w:val="true"/>
              </w:rPr>
              <w:tab/>
            </w:r>
            <w:r>
              <w:rPr>
                <w:rStyle w:val="IndexLink"/>
              </w:rPr>
              <w:t>234</w:t>
            </w:r>
          </w:hyperlink>
        </w:p>
        <w:p>
          <w:pPr>
            <w:pStyle w:val="Contents5"/>
            <w:tabs>
              <w:tab w:val="clear" w:pos="7892"/>
              <w:tab w:val="right" w:pos="9026" w:leader="dot"/>
            </w:tabs>
            <w:rPr/>
          </w:pPr>
          <w:hyperlink w:anchor="__RefHeading___Toc605746_1934241801">
            <w:r>
              <w:rPr>
                <w:webHidden/>
                <w:rStyle w:val="IndexLink"/>
                <w:rtl w:val="true"/>
              </w:rPr>
              <w:t>می گویم</w:t>
            </w:r>
            <w:r>
              <w:rPr>
                <w:rStyle w:val="IndexLink"/>
                <w:rtl w:val="true"/>
              </w:rPr>
              <w:tab/>
            </w:r>
            <w:r>
              <w:rPr>
                <w:rStyle w:val="IndexLink"/>
              </w:rPr>
              <w:t>235</w:t>
            </w:r>
          </w:hyperlink>
        </w:p>
        <w:p>
          <w:pPr>
            <w:pStyle w:val="Contents5"/>
            <w:tabs>
              <w:tab w:val="clear" w:pos="7892"/>
              <w:tab w:val="right" w:pos="9026" w:leader="dot"/>
            </w:tabs>
            <w:rPr/>
          </w:pPr>
          <w:hyperlink w:anchor="__RefHeading___Toc605748_1934241801">
            <w:r>
              <w:rPr>
                <w:webHidden/>
                <w:rStyle w:val="IndexLink"/>
                <w:rtl w:val="true"/>
              </w:rPr>
              <w:t xml:space="preserve">روایت </w:t>
            </w:r>
            <w:r>
              <w:rPr>
                <w:rStyle w:val="IndexLink"/>
              </w:rPr>
              <w:t>21</w:t>
            </w:r>
            <w:r>
              <w:rPr>
                <w:rStyle w:val="IndexLink"/>
                <w:rtl w:val="true"/>
              </w:rPr>
              <w:tab/>
            </w:r>
            <w:r>
              <w:rPr>
                <w:rStyle w:val="IndexLink"/>
              </w:rPr>
              <w:t>235</w:t>
            </w:r>
          </w:hyperlink>
        </w:p>
        <w:p>
          <w:pPr>
            <w:pStyle w:val="Contents5"/>
            <w:tabs>
              <w:tab w:val="clear" w:pos="7892"/>
              <w:tab w:val="right" w:pos="9026" w:leader="dot"/>
            </w:tabs>
            <w:rPr/>
          </w:pPr>
          <w:hyperlink w:anchor="__RefHeading___Toc605750_1934241801">
            <w:r>
              <w:rPr>
                <w:webHidden/>
                <w:rStyle w:val="IndexLink"/>
                <w:rtl w:val="true"/>
              </w:rPr>
              <w:t>إيضاح</w:t>
            </w:r>
            <w:r>
              <w:rPr>
                <w:rStyle w:val="IndexLink"/>
                <w:rtl w:val="true"/>
              </w:rPr>
              <w:tab/>
            </w:r>
            <w:r>
              <w:rPr>
                <w:rStyle w:val="IndexLink"/>
              </w:rPr>
              <w:t>236</w:t>
            </w:r>
          </w:hyperlink>
        </w:p>
        <w:p>
          <w:pPr>
            <w:pStyle w:val="Contents5"/>
            <w:tabs>
              <w:tab w:val="clear" w:pos="7892"/>
              <w:tab w:val="right" w:pos="9026" w:leader="dot"/>
            </w:tabs>
            <w:rPr/>
          </w:pPr>
          <w:hyperlink w:anchor="__RefHeading___Toc605752_1934241801">
            <w:r>
              <w:rPr>
                <w:webHidden/>
                <w:rStyle w:val="IndexLink"/>
                <w:rtl w:val="true"/>
              </w:rPr>
              <w:t>«</w:t>
            </w:r>
            <w:r>
              <w:rPr>
                <w:rStyle w:val="IndexLink"/>
              </w:rPr>
              <w:t>22</w:t>
            </w:r>
            <w:r>
              <w:rPr>
                <w:rStyle w:val="IndexLink"/>
                <w:rtl w:val="true"/>
              </w:rPr>
              <w:t>»</w:t>
              <w:tab/>
            </w:r>
            <w:r>
              <w:rPr>
                <w:rStyle w:val="IndexLink"/>
              </w:rPr>
              <w:t>236</w:t>
            </w:r>
          </w:hyperlink>
        </w:p>
        <w:p>
          <w:pPr>
            <w:pStyle w:val="Contents5"/>
            <w:tabs>
              <w:tab w:val="clear" w:pos="7892"/>
              <w:tab w:val="right" w:pos="9026" w:leader="dot"/>
            </w:tabs>
            <w:rPr/>
          </w:pPr>
          <w:hyperlink w:anchor="__RefHeading___Toc605754_1934241801">
            <w:r>
              <w:rPr>
                <w:webHidden/>
                <w:rStyle w:val="IndexLink"/>
                <w:rtl w:val="true"/>
              </w:rPr>
              <w:t>«</w:t>
            </w:r>
            <w:r>
              <w:rPr>
                <w:rStyle w:val="IndexLink"/>
              </w:rPr>
              <w:t>23</w:t>
            </w:r>
            <w:r>
              <w:rPr>
                <w:rStyle w:val="IndexLink"/>
                <w:rtl w:val="true"/>
              </w:rPr>
              <w:t>»</w:t>
              <w:tab/>
            </w:r>
            <w:r>
              <w:rPr>
                <w:rStyle w:val="IndexLink"/>
              </w:rPr>
              <w:t>236</w:t>
            </w:r>
          </w:hyperlink>
        </w:p>
        <w:p>
          <w:pPr>
            <w:pStyle w:val="Contents5"/>
            <w:tabs>
              <w:tab w:val="clear" w:pos="7892"/>
              <w:tab w:val="right" w:pos="9026" w:leader="dot"/>
            </w:tabs>
            <w:rPr/>
          </w:pPr>
          <w:hyperlink w:anchor="__RefHeading___Toc605756_1934241801">
            <w:r>
              <w:rPr>
                <w:webHidden/>
                <w:rStyle w:val="IndexLink"/>
                <w:rtl w:val="true"/>
              </w:rPr>
              <w:t>توضیح</w:t>
            </w:r>
            <w:r>
              <w:rPr>
                <w:rStyle w:val="IndexLink"/>
                <w:rtl w:val="true"/>
              </w:rPr>
              <w:tab/>
            </w:r>
            <w:r>
              <w:rPr>
                <w:rStyle w:val="IndexLink"/>
              </w:rPr>
              <w:t>236</w:t>
            </w:r>
          </w:hyperlink>
        </w:p>
        <w:p>
          <w:pPr>
            <w:pStyle w:val="Contents5"/>
            <w:tabs>
              <w:tab w:val="clear" w:pos="7892"/>
              <w:tab w:val="right" w:pos="9026" w:leader="dot"/>
            </w:tabs>
            <w:rPr/>
          </w:pPr>
          <w:hyperlink w:anchor="__RefHeading___Toc605758_1934241801">
            <w:r>
              <w:rPr>
                <w:webHidden/>
                <w:rStyle w:val="IndexLink"/>
                <w:rtl w:val="true"/>
              </w:rPr>
              <w:t xml:space="preserve">روایت </w:t>
            </w:r>
            <w:r>
              <w:rPr>
                <w:rStyle w:val="IndexLink"/>
              </w:rPr>
              <w:t>22</w:t>
            </w:r>
            <w:r>
              <w:rPr>
                <w:rStyle w:val="IndexLink"/>
                <w:rtl w:val="true"/>
              </w:rPr>
              <w:tab/>
            </w:r>
            <w:r>
              <w:rPr>
                <w:rStyle w:val="IndexLink"/>
              </w:rPr>
              <w:t>237</w:t>
            </w:r>
          </w:hyperlink>
        </w:p>
        <w:p>
          <w:pPr>
            <w:pStyle w:val="Contents5"/>
            <w:tabs>
              <w:tab w:val="clear" w:pos="7892"/>
              <w:tab w:val="right" w:pos="9026" w:leader="dot"/>
            </w:tabs>
            <w:rPr/>
          </w:pPr>
          <w:hyperlink w:anchor="__RefHeading___Toc605760_1934241801">
            <w:r>
              <w:rPr>
                <w:webHidden/>
                <w:rStyle w:val="IndexLink"/>
                <w:rtl w:val="true"/>
              </w:rPr>
              <w:t xml:space="preserve">روایت </w:t>
            </w:r>
            <w:r>
              <w:rPr>
                <w:rStyle w:val="IndexLink"/>
              </w:rPr>
              <w:t>23</w:t>
            </w:r>
            <w:r>
              <w:rPr>
                <w:rStyle w:val="IndexLink"/>
                <w:rtl w:val="true"/>
              </w:rPr>
              <w:tab/>
            </w:r>
            <w:r>
              <w:rPr>
                <w:rStyle w:val="IndexLink"/>
              </w:rPr>
              <w:t>237</w:t>
            </w:r>
          </w:hyperlink>
        </w:p>
        <w:p>
          <w:pPr>
            <w:pStyle w:val="Contents5"/>
            <w:tabs>
              <w:tab w:val="clear" w:pos="7892"/>
              <w:tab w:val="right" w:pos="9026" w:leader="dot"/>
            </w:tabs>
            <w:rPr/>
          </w:pPr>
          <w:hyperlink w:anchor="__RefHeading___Toc605762_1934241801">
            <w:r>
              <w:rPr>
                <w:webHidden/>
                <w:rStyle w:val="IndexLink"/>
                <w:rtl w:val="true"/>
              </w:rPr>
              <w:t>بيان</w:t>
            </w:r>
            <w:r>
              <w:rPr>
                <w:rStyle w:val="IndexLink"/>
                <w:rtl w:val="true"/>
              </w:rPr>
              <w:tab/>
            </w:r>
            <w:r>
              <w:rPr>
                <w:rStyle w:val="IndexLink"/>
              </w:rPr>
              <w:t>238</w:t>
            </w:r>
          </w:hyperlink>
        </w:p>
        <w:p>
          <w:pPr>
            <w:pStyle w:val="Contents5"/>
            <w:tabs>
              <w:tab w:val="clear" w:pos="7892"/>
              <w:tab w:val="right" w:pos="9026" w:leader="dot"/>
            </w:tabs>
            <w:rPr/>
          </w:pPr>
          <w:hyperlink w:anchor="__RefHeading___Toc605764_1934241801">
            <w:r>
              <w:rPr>
                <w:webHidden/>
                <w:rStyle w:val="IndexLink"/>
                <w:rtl w:val="true"/>
              </w:rPr>
              <w:t>«</w:t>
            </w:r>
            <w:r>
              <w:rPr>
                <w:rStyle w:val="IndexLink"/>
              </w:rPr>
              <w:t>24</w:t>
            </w:r>
            <w:r>
              <w:rPr>
                <w:rStyle w:val="IndexLink"/>
                <w:rtl w:val="true"/>
              </w:rPr>
              <w:t>»</w:t>
              <w:tab/>
            </w:r>
            <w:r>
              <w:rPr>
                <w:rStyle w:val="IndexLink"/>
              </w:rPr>
              <w:t>238</w:t>
            </w:r>
          </w:hyperlink>
        </w:p>
        <w:p>
          <w:pPr>
            <w:pStyle w:val="Contents5"/>
            <w:tabs>
              <w:tab w:val="clear" w:pos="7892"/>
              <w:tab w:val="right" w:pos="9026" w:leader="dot"/>
            </w:tabs>
            <w:rPr/>
          </w:pPr>
          <w:hyperlink w:anchor="__RefHeading___Toc605766_1934241801">
            <w:r>
              <w:rPr>
                <w:webHidden/>
                <w:rStyle w:val="IndexLink"/>
                <w:rtl w:val="true"/>
              </w:rPr>
              <w:t>توضیح</w:t>
            </w:r>
            <w:r>
              <w:rPr>
                <w:rStyle w:val="IndexLink"/>
                <w:rtl w:val="true"/>
              </w:rPr>
              <w:tab/>
            </w:r>
            <w:r>
              <w:rPr>
                <w:rStyle w:val="IndexLink"/>
              </w:rPr>
              <w:t>238</w:t>
            </w:r>
          </w:hyperlink>
        </w:p>
        <w:p>
          <w:pPr>
            <w:pStyle w:val="Contents5"/>
            <w:tabs>
              <w:tab w:val="clear" w:pos="7892"/>
              <w:tab w:val="right" w:pos="9026" w:leader="dot"/>
            </w:tabs>
            <w:rPr/>
          </w:pPr>
          <w:hyperlink w:anchor="__RefHeading___Toc605768_1934241801">
            <w:r>
              <w:rPr>
                <w:webHidden/>
                <w:rStyle w:val="IndexLink"/>
                <w:rtl w:val="true"/>
              </w:rPr>
              <w:t xml:space="preserve">روایت </w:t>
            </w:r>
            <w:r>
              <w:rPr>
                <w:rStyle w:val="IndexLink"/>
              </w:rPr>
              <w:t>24</w:t>
            </w:r>
            <w:r>
              <w:rPr>
                <w:rStyle w:val="IndexLink"/>
                <w:rtl w:val="true"/>
              </w:rPr>
              <w:tab/>
            </w:r>
            <w:r>
              <w:rPr>
                <w:rStyle w:val="IndexLink"/>
              </w:rPr>
              <w:t>239</w:t>
            </w:r>
          </w:hyperlink>
        </w:p>
        <w:p>
          <w:pPr>
            <w:pStyle w:val="Contents5"/>
            <w:tabs>
              <w:tab w:val="clear" w:pos="7892"/>
              <w:tab w:val="right" w:pos="9026" w:leader="dot"/>
            </w:tabs>
            <w:rPr/>
          </w:pPr>
          <w:hyperlink w:anchor="__RefHeading___Toc605770_1934241801">
            <w:r>
              <w:rPr>
                <w:webHidden/>
                <w:rStyle w:val="IndexLink"/>
                <w:rtl w:val="true"/>
              </w:rPr>
              <w:t>«</w:t>
            </w:r>
            <w:r>
              <w:rPr>
                <w:rStyle w:val="IndexLink"/>
              </w:rPr>
              <w:t>25</w:t>
            </w:r>
            <w:r>
              <w:rPr>
                <w:rStyle w:val="IndexLink"/>
                <w:rtl w:val="true"/>
              </w:rPr>
              <w:t>»</w:t>
              <w:tab/>
            </w:r>
            <w:r>
              <w:rPr>
                <w:rStyle w:val="IndexLink"/>
              </w:rPr>
              <w:t>240</w:t>
            </w:r>
          </w:hyperlink>
        </w:p>
        <w:p>
          <w:pPr>
            <w:pStyle w:val="Contents5"/>
            <w:tabs>
              <w:tab w:val="clear" w:pos="7892"/>
              <w:tab w:val="right" w:pos="9026" w:leader="dot"/>
            </w:tabs>
            <w:rPr/>
          </w:pPr>
          <w:hyperlink w:anchor="__RefHeading___Toc605772_1934241801">
            <w:r>
              <w:rPr>
                <w:webHidden/>
                <w:rStyle w:val="IndexLink"/>
                <w:rtl w:val="true"/>
              </w:rPr>
              <w:t>«</w:t>
            </w:r>
            <w:r>
              <w:rPr>
                <w:rStyle w:val="IndexLink"/>
              </w:rPr>
              <w:t>26</w:t>
            </w:r>
            <w:r>
              <w:rPr>
                <w:rStyle w:val="IndexLink"/>
                <w:rtl w:val="true"/>
              </w:rPr>
              <w:t>»</w:t>
              <w:tab/>
            </w:r>
            <w:r>
              <w:rPr>
                <w:rStyle w:val="IndexLink"/>
              </w:rPr>
              <w:t>240</w:t>
            </w:r>
          </w:hyperlink>
        </w:p>
        <w:p>
          <w:pPr>
            <w:pStyle w:val="Contents5"/>
            <w:tabs>
              <w:tab w:val="clear" w:pos="7892"/>
              <w:tab w:val="right" w:pos="9026" w:leader="dot"/>
            </w:tabs>
            <w:rPr/>
          </w:pPr>
          <w:hyperlink w:anchor="__RefHeading___Toc605774_1934241801">
            <w:r>
              <w:rPr>
                <w:webHidden/>
                <w:rStyle w:val="IndexLink"/>
                <w:rtl w:val="true"/>
              </w:rPr>
              <w:t>«</w:t>
            </w:r>
            <w:r>
              <w:rPr>
                <w:rStyle w:val="IndexLink"/>
              </w:rPr>
              <w:t>27</w:t>
            </w:r>
            <w:r>
              <w:rPr>
                <w:rStyle w:val="IndexLink"/>
                <w:rtl w:val="true"/>
              </w:rPr>
              <w:t>»</w:t>
              <w:tab/>
            </w:r>
            <w:r>
              <w:rPr>
                <w:rStyle w:val="IndexLink"/>
              </w:rPr>
              <w:t>240</w:t>
            </w:r>
          </w:hyperlink>
        </w:p>
        <w:p>
          <w:pPr>
            <w:pStyle w:val="Contents5"/>
            <w:tabs>
              <w:tab w:val="clear" w:pos="7892"/>
              <w:tab w:val="right" w:pos="9026" w:leader="dot"/>
            </w:tabs>
            <w:rPr/>
          </w:pPr>
          <w:hyperlink w:anchor="__RefHeading___Toc605776_1934241801">
            <w:r>
              <w:rPr>
                <w:webHidden/>
                <w:rStyle w:val="IndexLink"/>
                <w:rtl w:val="true"/>
              </w:rPr>
              <w:t xml:space="preserve">روایت </w:t>
            </w:r>
            <w:r>
              <w:rPr>
                <w:rStyle w:val="IndexLink"/>
              </w:rPr>
              <w:t>25</w:t>
            </w:r>
            <w:r>
              <w:rPr>
                <w:rStyle w:val="IndexLink"/>
                <w:rtl w:val="true"/>
              </w:rPr>
              <w:tab/>
            </w:r>
            <w:r>
              <w:rPr>
                <w:rStyle w:val="IndexLink"/>
              </w:rPr>
              <w:t>240</w:t>
            </w:r>
          </w:hyperlink>
        </w:p>
        <w:p>
          <w:pPr>
            <w:pStyle w:val="Contents5"/>
            <w:tabs>
              <w:tab w:val="clear" w:pos="7892"/>
              <w:tab w:val="right" w:pos="9026" w:leader="dot"/>
            </w:tabs>
            <w:rPr/>
          </w:pPr>
          <w:hyperlink w:anchor="__RefHeading___Toc605778_1934241801">
            <w:r>
              <w:rPr>
                <w:webHidden/>
                <w:rStyle w:val="IndexLink"/>
                <w:rtl w:val="true"/>
              </w:rPr>
              <w:t xml:space="preserve">روایت </w:t>
            </w:r>
            <w:r>
              <w:rPr>
                <w:rStyle w:val="IndexLink"/>
              </w:rPr>
              <w:t>26</w:t>
            </w:r>
            <w:r>
              <w:rPr>
                <w:rStyle w:val="IndexLink"/>
                <w:rtl w:val="true"/>
              </w:rPr>
              <w:tab/>
            </w:r>
            <w:r>
              <w:rPr>
                <w:rStyle w:val="IndexLink"/>
              </w:rPr>
              <w:t>240</w:t>
            </w:r>
          </w:hyperlink>
        </w:p>
        <w:p>
          <w:pPr>
            <w:pStyle w:val="Contents5"/>
            <w:tabs>
              <w:tab w:val="clear" w:pos="7892"/>
              <w:tab w:val="right" w:pos="9026" w:leader="dot"/>
            </w:tabs>
            <w:rPr/>
          </w:pPr>
          <w:hyperlink w:anchor="__RefHeading___Toc605780_1934241801">
            <w:r>
              <w:rPr>
                <w:webHidden/>
                <w:rStyle w:val="IndexLink"/>
                <w:rtl w:val="true"/>
              </w:rPr>
              <w:t xml:space="preserve">روایت </w:t>
            </w:r>
            <w:r>
              <w:rPr>
                <w:rStyle w:val="IndexLink"/>
              </w:rPr>
              <w:t>27</w:t>
            </w:r>
            <w:r>
              <w:rPr>
                <w:rStyle w:val="IndexLink"/>
                <w:rtl w:val="true"/>
              </w:rPr>
              <w:tab/>
            </w:r>
            <w:r>
              <w:rPr>
                <w:rStyle w:val="IndexLink"/>
              </w:rPr>
              <w:t>241</w:t>
            </w:r>
          </w:hyperlink>
        </w:p>
        <w:p>
          <w:pPr>
            <w:pStyle w:val="Contents5"/>
            <w:tabs>
              <w:tab w:val="clear" w:pos="7892"/>
              <w:tab w:val="right" w:pos="9026" w:leader="dot"/>
            </w:tabs>
            <w:rPr/>
          </w:pPr>
          <w:hyperlink w:anchor="__RefHeading___Toc605782_1934241801">
            <w:r>
              <w:rPr>
                <w:webHidden/>
                <w:rStyle w:val="IndexLink"/>
                <w:rtl w:val="true"/>
              </w:rPr>
              <w:t>«</w:t>
            </w:r>
            <w:r>
              <w:rPr>
                <w:rStyle w:val="IndexLink"/>
              </w:rPr>
              <w:t>28</w:t>
            </w:r>
            <w:r>
              <w:rPr>
                <w:rStyle w:val="IndexLink"/>
                <w:rtl w:val="true"/>
              </w:rPr>
              <w:t>»</w:t>
              <w:tab/>
            </w:r>
            <w:r>
              <w:rPr>
                <w:rStyle w:val="IndexLink"/>
              </w:rPr>
              <w:t>242</w:t>
            </w:r>
          </w:hyperlink>
        </w:p>
        <w:p>
          <w:pPr>
            <w:pStyle w:val="Contents5"/>
            <w:tabs>
              <w:tab w:val="clear" w:pos="7892"/>
              <w:tab w:val="right" w:pos="9026" w:leader="dot"/>
            </w:tabs>
            <w:rPr/>
          </w:pPr>
          <w:hyperlink w:anchor="__RefHeading___Toc605784_1934241801">
            <w:r>
              <w:rPr>
                <w:webHidden/>
                <w:rStyle w:val="IndexLink"/>
                <w:rtl w:val="true"/>
              </w:rPr>
              <w:t>«</w:t>
            </w:r>
            <w:r>
              <w:rPr>
                <w:rStyle w:val="IndexLink"/>
              </w:rPr>
              <w:t>29</w:t>
            </w:r>
            <w:r>
              <w:rPr>
                <w:rStyle w:val="IndexLink"/>
                <w:rtl w:val="true"/>
              </w:rPr>
              <w:t>»</w:t>
              <w:tab/>
            </w:r>
            <w:r>
              <w:rPr>
                <w:rStyle w:val="IndexLink"/>
              </w:rPr>
              <w:t>242</w:t>
            </w:r>
          </w:hyperlink>
        </w:p>
        <w:p>
          <w:pPr>
            <w:pStyle w:val="Contents5"/>
            <w:tabs>
              <w:tab w:val="clear" w:pos="7892"/>
              <w:tab w:val="right" w:pos="9026" w:leader="dot"/>
            </w:tabs>
            <w:rPr/>
          </w:pPr>
          <w:hyperlink w:anchor="__RefHeading___Toc605786_1934241801">
            <w:r>
              <w:rPr>
                <w:webHidden/>
                <w:rStyle w:val="IndexLink"/>
                <w:rtl w:val="true"/>
              </w:rPr>
              <w:t>«</w:t>
            </w:r>
            <w:r>
              <w:rPr>
                <w:rStyle w:val="IndexLink"/>
              </w:rPr>
              <w:t>30</w:t>
            </w:r>
            <w:r>
              <w:rPr>
                <w:rStyle w:val="IndexLink"/>
                <w:rtl w:val="true"/>
              </w:rPr>
              <w:t>»</w:t>
              <w:tab/>
            </w:r>
            <w:r>
              <w:rPr>
                <w:rStyle w:val="IndexLink"/>
              </w:rPr>
              <w:t>242</w:t>
            </w:r>
          </w:hyperlink>
        </w:p>
        <w:p>
          <w:pPr>
            <w:pStyle w:val="Contents5"/>
            <w:tabs>
              <w:tab w:val="clear" w:pos="7892"/>
              <w:tab w:val="right" w:pos="9026" w:leader="dot"/>
            </w:tabs>
            <w:rPr/>
          </w:pPr>
          <w:hyperlink w:anchor="__RefHeading___Toc605788_1934241801">
            <w:r>
              <w:rPr>
                <w:webHidden/>
                <w:rStyle w:val="IndexLink"/>
                <w:rtl w:val="true"/>
              </w:rPr>
              <w:t>بيان</w:t>
            </w:r>
            <w:r>
              <w:rPr>
                <w:rStyle w:val="IndexLink"/>
                <w:rtl w:val="true"/>
              </w:rPr>
              <w:tab/>
            </w:r>
            <w:r>
              <w:rPr>
                <w:rStyle w:val="IndexLink"/>
              </w:rPr>
              <w:t>242</w:t>
            </w:r>
          </w:hyperlink>
        </w:p>
        <w:p>
          <w:pPr>
            <w:pStyle w:val="Contents5"/>
            <w:tabs>
              <w:tab w:val="clear" w:pos="7892"/>
              <w:tab w:val="right" w:pos="9026" w:leader="dot"/>
            </w:tabs>
            <w:rPr/>
          </w:pPr>
          <w:hyperlink w:anchor="__RefHeading___Toc605790_1934241801">
            <w:r>
              <w:rPr>
                <w:webHidden/>
                <w:rStyle w:val="IndexLink"/>
                <w:rtl w:val="true"/>
              </w:rPr>
              <w:t>«</w:t>
            </w:r>
            <w:r>
              <w:rPr>
                <w:rStyle w:val="IndexLink"/>
              </w:rPr>
              <w:t>31</w:t>
            </w:r>
            <w:r>
              <w:rPr>
                <w:rStyle w:val="IndexLink"/>
                <w:rtl w:val="true"/>
              </w:rPr>
              <w:t>»</w:t>
              <w:tab/>
            </w:r>
            <w:r>
              <w:rPr>
                <w:rStyle w:val="IndexLink"/>
              </w:rPr>
              <w:t>242</w:t>
            </w:r>
          </w:hyperlink>
        </w:p>
        <w:p>
          <w:pPr>
            <w:pStyle w:val="Contents5"/>
            <w:tabs>
              <w:tab w:val="clear" w:pos="7892"/>
              <w:tab w:val="right" w:pos="9026" w:leader="dot"/>
            </w:tabs>
            <w:rPr/>
          </w:pPr>
          <w:hyperlink w:anchor="__RefHeading___Toc605792_1934241801">
            <w:r>
              <w:rPr>
                <w:webHidden/>
                <w:rStyle w:val="IndexLink"/>
                <w:rtl w:val="true"/>
              </w:rPr>
              <w:t xml:space="preserve">روایت </w:t>
            </w:r>
            <w:r>
              <w:rPr>
                <w:rStyle w:val="IndexLink"/>
              </w:rPr>
              <w:t>28</w:t>
            </w:r>
            <w:r>
              <w:rPr>
                <w:rStyle w:val="IndexLink"/>
                <w:rtl w:val="true"/>
              </w:rPr>
              <w:tab/>
            </w:r>
            <w:r>
              <w:rPr>
                <w:rStyle w:val="IndexLink"/>
              </w:rPr>
              <w:t>242</w:t>
            </w:r>
          </w:hyperlink>
        </w:p>
        <w:p>
          <w:pPr>
            <w:pStyle w:val="Contents5"/>
            <w:tabs>
              <w:tab w:val="clear" w:pos="7892"/>
              <w:tab w:val="right" w:pos="9026" w:leader="dot"/>
            </w:tabs>
            <w:rPr/>
          </w:pPr>
          <w:hyperlink w:anchor="__RefHeading___Toc605794_1934241801">
            <w:r>
              <w:rPr>
                <w:webHidden/>
                <w:rStyle w:val="IndexLink"/>
                <w:rtl w:val="true"/>
              </w:rPr>
              <w:t xml:space="preserve">روایت </w:t>
            </w:r>
            <w:r>
              <w:rPr>
                <w:rStyle w:val="IndexLink"/>
              </w:rPr>
              <w:t>29</w:t>
            </w:r>
            <w:r>
              <w:rPr>
                <w:rStyle w:val="IndexLink"/>
                <w:rtl w:val="true"/>
              </w:rPr>
              <w:tab/>
            </w:r>
            <w:r>
              <w:rPr>
                <w:rStyle w:val="IndexLink"/>
              </w:rPr>
              <w:t>242</w:t>
            </w:r>
          </w:hyperlink>
        </w:p>
        <w:p>
          <w:pPr>
            <w:pStyle w:val="Contents5"/>
            <w:tabs>
              <w:tab w:val="clear" w:pos="7892"/>
              <w:tab w:val="right" w:pos="9026" w:leader="dot"/>
            </w:tabs>
            <w:rPr/>
          </w:pPr>
          <w:hyperlink w:anchor="__RefHeading___Toc605796_1934241801">
            <w:r>
              <w:rPr>
                <w:webHidden/>
                <w:rStyle w:val="IndexLink"/>
                <w:rtl w:val="true"/>
              </w:rPr>
              <w:t xml:space="preserve">روایت </w:t>
            </w:r>
            <w:r>
              <w:rPr>
                <w:rStyle w:val="IndexLink"/>
              </w:rPr>
              <w:t>30</w:t>
            </w:r>
            <w:r>
              <w:rPr>
                <w:rStyle w:val="IndexLink"/>
                <w:rtl w:val="true"/>
              </w:rPr>
              <w:tab/>
            </w:r>
            <w:r>
              <w:rPr>
                <w:rStyle w:val="IndexLink"/>
              </w:rPr>
              <w:t>243</w:t>
            </w:r>
          </w:hyperlink>
        </w:p>
        <w:p>
          <w:pPr>
            <w:pStyle w:val="Contents5"/>
            <w:tabs>
              <w:tab w:val="clear" w:pos="7892"/>
              <w:tab w:val="right" w:pos="9026" w:leader="dot"/>
            </w:tabs>
            <w:rPr/>
          </w:pPr>
          <w:hyperlink w:anchor="__RefHeading___Toc605798_1934241801">
            <w:r>
              <w:rPr>
                <w:webHidden/>
                <w:rStyle w:val="IndexLink"/>
                <w:rtl w:val="true"/>
              </w:rPr>
              <w:t>توضیح</w:t>
            </w:r>
            <w:r>
              <w:rPr>
                <w:rStyle w:val="IndexLink"/>
                <w:rtl w:val="true"/>
              </w:rPr>
              <w:tab/>
            </w:r>
            <w:r>
              <w:rPr>
                <w:rStyle w:val="IndexLink"/>
              </w:rPr>
              <w:t>243</w:t>
            </w:r>
          </w:hyperlink>
        </w:p>
        <w:p>
          <w:pPr>
            <w:pStyle w:val="Contents5"/>
            <w:tabs>
              <w:tab w:val="clear" w:pos="7892"/>
              <w:tab w:val="right" w:pos="9026" w:leader="dot"/>
            </w:tabs>
            <w:rPr/>
          </w:pPr>
          <w:hyperlink w:anchor="__RefHeading___Toc605800_1934241801">
            <w:r>
              <w:rPr>
                <w:webHidden/>
                <w:rStyle w:val="IndexLink"/>
                <w:rtl w:val="true"/>
              </w:rPr>
              <w:t xml:space="preserve">روایت </w:t>
            </w:r>
            <w:r>
              <w:rPr>
                <w:rStyle w:val="IndexLink"/>
              </w:rPr>
              <w:t>31</w:t>
            </w:r>
            <w:r>
              <w:rPr>
                <w:rStyle w:val="IndexLink"/>
                <w:rtl w:val="true"/>
              </w:rPr>
              <w:tab/>
            </w:r>
            <w:r>
              <w:rPr>
                <w:rStyle w:val="IndexLink"/>
              </w:rPr>
              <w:t>243</w:t>
            </w:r>
          </w:hyperlink>
        </w:p>
        <w:p>
          <w:pPr>
            <w:pStyle w:val="Contents5"/>
            <w:tabs>
              <w:tab w:val="clear" w:pos="7892"/>
              <w:tab w:val="right" w:pos="9026" w:leader="dot"/>
            </w:tabs>
            <w:rPr/>
          </w:pPr>
          <w:hyperlink w:anchor="__RefHeading___Toc605802_1934241801">
            <w:r>
              <w:rPr>
                <w:webHidden/>
                <w:rStyle w:val="IndexLink"/>
                <w:rtl w:val="true"/>
              </w:rPr>
              <w:t>«</w:t>
            </w:r>
            <w:r>
              <w:rPr>
                <w:rStyle w:val="IndexLink"/>
              </w:rPr>
              <w:t>32</w:t>
            </w:r>
            <w:r>
              <w:rPr>
                <w:rStyle w:val="IndexLink"/>
                <w:rtl w:val="true"/>
              </w:rPr>
              <w:t>»</w:t>
              <w:tab/>
            </w:r>
            <w:r>
              <w:rPr>
                <w:rStyle w:val="IndexLink"/>
              </w:rPr>
              <w:t>244</w:t>
            </w:r>
          </w:hyperlink>
        </w:p>
        <w:p>
          <w:pPr>
            <w:pStyle w:val="Contents5"/>
            <w:tabs>
              <w:tab w:val="clear" w:pos="7892"/>
              <w:tab w:val="right" w:pos="9026" w:leader="dot"/>
            </w:tabs>
            <w:rPr/>
          </w:pPr>
          <w:hyperlink w:anchor="__RefHeading___Toc605804_1934241801">
            <w:r>
              <w:rPr>
                <w:webHidden/>
                <w:rStyle w:val="IndexLink"/>
                <w:rtl w:val="true"/>
              </w:rPr>
              <w:t>بيان</w:t>
            </w:r>
            <w:r>
              <w:rPr>
                <w:rStyle w:val="IndexLink"/>
                <w:rtl w:val="true"/>
              </w:rPr>
              <w:tab/>
            </w:r>
            <w:r>
              <w:rPr>
                <w:rStyle w:val="IndexLink"/>
              </w:rPr>
              <w:t>244</w:t>
            </w:r>
          </w:hyperlink>
        </w:p>
        <w:p>
          <w:pPr>
            <w:pStyle w:val="Contents5"/>
            <w:tabs>
              <w:tab w:val="clear" w:pos="7892"/>
              <w:tab w:val="right" w:pos="9026" w:leader="dot"/>
            </w:tabs>
            <w:rPr/>
          </w:pPr>
          <w:hyperlink w:anchor="__RefHeading___Toc605806_1934241801">
            <w:r>
              <w:rPr>
                <w:webHidden/>
                <w:rStyle w:val="IndexLink"/>
                <w:rtl w:val="true"/>
              </w:rPr>
              <w:t xml:space="preserve">روایت </w:t>
            </w:r>
            <w:r>
              <w:rPr>
                <w:rStyle w:val="IndexLink"/>
              </w:rPr>
              <w:t>32</w:t>
            </w:r>
            <w:r>
              <w:rPr>
                <w:rStyle w:val="IndexLink"/>
                <w:rtl w:val="true"/>
              </w:rPr>
              <w:tab/>
            </w:r>
            <w:r>
              <w:rPr>
                <w:rStyle w:val="IndexLink"/>
              </w:rPr>
              <w:t>244</w:t>
            </w:r>
          </w:hyperlink>
        </w:p>
        <w:p>
          <w:pPr>
            <w:pStyle w:val="Contents5"/>
            <w:tabs>
              <w:tab w:val="clear" w:pos="7892"/>
              <w:tab w:val="right" w:pos="9026" w:leader="dot"/>
            </w:tabs>
            <w:rPr/>
          </w:pPr>
          <w:hyperlink w:anchor="__RefHeading___Toc605808_1934241801">
            <w:r>
              <w:rPr>
                <w:webHidden/>
                <w:rStyle w:val="IndexLink"/>
                <w:rtl w:val="true"/>
              </w:rPr>
              <w:t>توضیح</w:t>
            </w:r>
            <w:r>
              <w:rPr>
                <w:rStyle w:val="IndexLink"/>
                <w:rtl w:val="true"/>
              </w:rPr>
              <w:tab/>
            </w:r>
            <w:r>
              <w:rPr>
                <w:rStyle w:val="IndexLink"/>
              </w:rPr>
              <w:t>245</w:t>
            </w:r>
          </w:hyperlink>
        </w:p>
        <w:p>
          <w:pPr>
            <w:pStyle w:val="Contents5"/>
            <w:tabs>
              <w:tab w:val="clear" w:pos="7892"/>
              <w:tab w:val="right" w:pos="9026" w:leader="dot"/>
            </w:tabs>
            <w:rPr/>
          </w:pPr>
          <w:hyperlink w:anchor="__RefHeading___Toc605810_1934241801">
            <w:r>
              <w:rPr>
                <w:webHidden/>
                <w:rStyle w:val="IndexLink"/>
                <w:rtl w:val="true"/>
              </w:rPr>
              <w:t>«</w:t>
            </w:r>
            <w:r>
              <w:rPr>
                <w:rStyle w:val="IndexLink"/>
              </w:rPr>
              <w:t>33</w:t>
            </w:r>
            <w:r>
              <w:rPr>
                <w:rStyle w:val="IndexLink"/>
                <w:rtl w:val="true"/>
              </w:rPr>
              <w:t>»</w:t>
              <w:tab/>
            </w:r>
            <w:r>
              <w:rPr>
                <w:rStyle w:val="IndexLink"/>
              </w:rPr>
              <w:t>248</w:t>
            </w:r>
          </w:hyperlink>
        </w:p>
        <w:p>
          <w:pPr>
            <w:pStyle w:val="Contents5"/>
            <w:tabs>
              <w:tab w:val="clear" w:pos="7892"/>
              <w:tab w:val="right" w:pos="9026" w:leader="dot"/>
            </w:tabs>
            <w:rPr/>
          </w:pPr>
          <w:hyperlink w:anchor="__RefHeading___Toc605812_1934241801">
            <w:r>
              <w:rPr>
                <w:webHidden/>
                <w:rStyle w:val="IndexLink"/>
                <w:rtl w:val="true"/>
              </w:rPr>
              <w:t>بيان</w:t>
            </w:r>
            <w:r>
              <w:rPr>
                <w:rStyle w:val="IndexLink"/>
                <w:rtl w:val="true"/>
              </w:rPr>
              <w:tab/>
            </w:r>
            <w:r>
              <w:rPr>
                <w:rStyle w:val="IndexLink"/>
              </w:rPr>
              <w:t>248</w:t>
            </w:r>
          </w:hyperlink>
        </w:p>
        <w:p>
          <w:pPr>
            <w:pStyle w:val="Contents5"/>
            <w:tabs>
              <w:tab w:val="clear" w:pos="7892"/>
              <w:tab w:val="right" w:pos="9026" w:leader="dot"/>
            </w:tabs>
            <w:rPr/>
          </w:pPr>
          <w:hyperlink w:anchor="__RefHeading___Toc605814_1934241801">
            <w:r>
              <w:rPr>
                <w:webHidden/>
                <w:rStyle w:val="IndexLink"/>
                <w:rtl w:val="true"/>
              </w:rPr>
              <w:t>«</w:t>
            </w:r>
            <w:r>
              <w:rPr>
                <w:rStyle w:val="IndexLink"/>
              </w:rPr>
              <w:t>34</w:t>
            </w:r>
            <w:r>
              <w:rPr>
                <w:rStyle w:val="IndexLink"/>
                <w:rtl w:val="true"/>
              </w:rPr>
              <w:t>»</w:t>
              <w:tab/>
            </w:r>
            <w:r>
              <w:rPr>
                <w:rStyle w:val="IndexLink"/>
              </w:rPr>
              <w:t>248</w:t>
            </w:r>
          </w:hyperlink>
        </w:p>
        <w:p>
          <w:pPr>
            <w:pStyle w:val="Contents5"/>
            <w:tabs>
              <w:tab w:val="clear" w:pos="7892"/>
              <w:tab w:val="right" w:pos="9026" w:leader="dot"/>
            </w:tabs>
            <w:rPr/>
          </w:pPr>
          <w:hyperlink w:anchor="__RefHeading___Toc605816_1934241801">
            <w:r>
              <w:rPr>
                <w:webHidden/>
                <w:rStyle w:val="IndexLink"/>
                <w:rtl w:val="true"/>
              </w:rPr>
              <w:t>بيان</w:t>
            </w:r>
            <w:r>
              <w:rPr>
                <w:rStyle w:val="IndexLink"/>
                <w:rtl w:val="true"/>
              </w:rPr>
              <w:tab/>
            </w:r>
            <w:r>
              <w:rPr>
                <w:rStyle w:val="IndexLink"/>
              </w:rPr>
              <w:t>248</w:t>
            </w:r>
          </w:hyperlink>
        </w:p>
        <w:p>
          <w:pPr>
            <w:pStyle w:val="Contents5"/>
            <w:tabs>
              <w:tab w:val="clear" w:pos="7892"/>
              <w:tab w:val="right" w:pos="9026" w:leader="dot"/>
            </w:tabs>
            <w:rPr/>
          </w:pPr>
          <w:hyperlink w:anchor="__RefHeading___Toc605818_1934241801">
            <w:r>
              <w:rPr>
                <w:webHidden/>
                <w:rStyle w:val="IndexLink"/>
                <w:rtl w:val="true"/>
              </w:rPr>
              <w:t>«</w:t>
            </w:r>
            <w:r>
              <w:rPr>
                <w:rStyle w:val="IndexLink"/>
              </w:rPr>
              <w:t>35</w:t>
            </w:r>
            <w:r>
              <w:rPr>
                <w:rStyle w:val="IndexLink"/>
                <w:rtl w:val="true"/>
              </w:rPr>
              <w:t>»</w:t>
              <w:tab/>
            </w:r>
            <w:r>
              <w:rPr>
                <w:rStyle w:val="IndexLink"/>
              </w:rPr>
              <w:t>248</w:t>
            </w:r>
          </w:hyperlink>
        </w:p>
        <w:p>
          <w:pPr>
            <w:pStyle w:val="Contents5"/>
            <w:tabs>
              <w:tab w:val="clear" w:pos="7892"/>
              <w:tab w:val="right" w:pos="9026" w:leader="dot"/>
            </w:tabs>
            <w:rPr/>
          </w:pPr>
          <w:hyperlink w:anchor="__RefHeading___Toc605820_1934241801">
            <w:r>
              <w:rPr>
                <w:webHidden/>
                <w:rStyle w:val="IndexLink"/>
                <w:rtl w:val="true"/>
              </w:rPr>
              <w:t xml:space="preserve">روایت </w:t>
            </w:r>
            <w:r>
              <w:rPr>
                <w:rStyle w:val="IndexLink"/>
              </w:rPr>
              <w:t>33</w:t>
            </w:r>
            <w:r>
              <w:rPr>
                <w:rStyle w:val="IndexLink"/>
                <w:rtl w:val="true"/>
              </w:rPr>
              <w:tab/>
            </w:r>
            <w:r>
              <w:rPr>
                <w:rStyle w:val="IndexLink"/>
              </w:rPr>
              <w:t>248</w:t>
            </w:r>
          </w:hyperlink>
        </w:p>
        <w:p>
          <w:pPr>
            <w:pStyle w:val="Contents5"/>
            <w:tabs>
              <w:tab w:val="clear" w:pos="7892"/>
              <w:tab w:val="right" w:pos="9026" w:leader="dot"/>
            </w:tabs>
            <w:rPr/>
          </w:pPr>
          <w:hyperlink w:anchor="__RefHeading___Toc605822_1934241801">
            <w:r>
              <w:rPr>
                <w:webHidden/>
                <w:rStyle w:val="IndexLink"/>
                <w:rtl w:val="true"/>
              </w:rPr>
              <w:t>توضیح</w:t>
            </w:r>
            <w:r>
              <w:rPr>
                <w:rStyle w:val="IndexLink"/>
                <w:rtl w:val="true"/>
              </w:rPr>
              <w:tab/>
            </w:r>
            <w:r>
              <w:rPr>
                <w:rStyle w:val="IndexLink"/>
              </w:rPr>
              <w:t>249</w:t>
            </w:r>
          </w:hyperlink>
        </w:p>
        <w:p>
          <w:pPr>
            <w:pStyle w:val="Contents5"/>
            <w:tabs>
              <w:tab w:val="clear" w:pos="7892"/>
              <w:tab w:val="right" w:pos="9026" w:leader="dot"/>
            </w:tabs>
            <w:rPr/>
          </w:pPr>
          <w:hyperlink w:anchor="__RefHeading___Toc605824_1934241801">
            <w:r>
              <w:rPr>
                <w:webHidden/>
                <w:rStyle w:val="IndexLink"/>
                <w:rtl w:val="true"/>
              </w:rPr>
              <w:t xml:space="preserve">روایت </w:t>
            </w:r>
            <w:r>
              <w:rPr>
                <w:rStyle w:val="IndexLink"/>
              </w:rPr>
              <w:t>34</w:t>
            </w:r>
            <w:r>
              <w:rPr>
                <w:rStyle w:val="IndexLink"/>
                <w:rtl w:val="true"/>
              </w:rPr>
              <w:tab/>
            </w:r>
            <w:r>
              <w:rPr>
                <w:rStyle w:val="IndexLink"/>
              </w:rPr>
              <w:t>249</w:t>
            </w:r>
          </w:hyperlink>
        </w:p>
        <w:p>
          <w:pPr>
            <w:pStyle w:val="Contents5"/>
            <w:tabs>
              <w:tab w:val="clear" w:pos="7892"/>
              <w:tab w:val="right" w:pos="9026" w:leader="dot"/>
            </w:tabs>
            <w:rPr/>
          </w:pPr>
          <w:hyperlink w:anchor="__RefHeading___Toc605826_1934241801">
            <w:r>
              <w:rPr>
                <w:webHidden/>
                <w:rStyle w:val="IndexLink"/>
                <w:rtl w:val="true"/>
              </w:rPr>
              <w:t>توضیح</w:t>
            </w:r>
            <w:r>
              <w:rPr>
                <w:rStyle w:val="IndexLink"/>
                <w:rtl w:val="true"/>
              </w:rPr>
              <w:tab/>
            </w:r>
            <w:r>
              <w:rPr>
                <w:rStyle w:val="IndexLink"/>
              </w:rPr>
              <w:t>249</w:t>
            </w:r>
          </w:hyperlink>
        </w:p>
        <w:p>
          <w:pPr>
            <w:pStyle w:val="Contents5"/>
            <w:tabs>
              <w:tab w:val="clear" w:pos="7892"/>
              <w:tab w:val="right" w:pos="9026" w:leader="dot"/>
            </w:tabs>
            <w:rPr/>
          </w:pPr>
          <w:hyperlink w:anchor="__RefHeading___Toc605828_1934241801">
            <w:r>
              <w:rPr>
                <w:webHidden/>
                <w:rStyle w:val="IndexLink"/>
                <w:rtl w:val="true"/>
              </w:rPr>
              <w:t xml:space="preserve">روایت </w:t>
            </w:r>
            <w:r>
              <w:rPr>
                <w:rStyle w:val="IndexLink"/>
              </w:rPr>
              <w:t>35</w:t>
            </w:r>
            <w:r>
              <w:rPr>
                <w:rStyle w:val="IndexLink"/>
                <w:rtl w:val="true"/>
              </w:rPr>
              <w:tab/>
            </w:r>
            <w:r>
              <w:rPr>
                <w:rStyle w:val="IndexLink"/>
              </w:rPr>
              <w:t>249</w:t>
            </w:r>
          </w:hyperlink>
        </w:p>
        <w:p>
          <w:pPr>
            <w:pStyle w:val="Contents5"/>
            <w:tabs>
              <w:tab w:val="clear" w:pos="7892"/>
              <w:tab w:val="right" w:pos="9026" w:leader="dot"/>
            </w:tabs>
            <w:rPr/>
          </w:pPr>
          <w:hyperlink w:anchor="__RefHeading___Toc605830_1934241801">
            <w:r>
              <w:rPr>
                <w:webHidden/>
                <w:rStyle w:val="IndexLink"/>
                <w:rtl w:val="true"/>
              </w:rPr>
              <w:t>«</w:t>
            </w:r>
            <w:r>
              <w:rPr>
                <w:rStyle w:val="IndexLink"/>
              </w:rPr>
              <w:t>36</w:t>
            </w:r>
            <w:r>
              <w:rPr>
                <w:rStyle w:val="IndexLink"/>
                <w:rtl w:val="true"/>
              </w:rPr>
              <w:t>»</w:t>
              <w:tab/>
            </w:r>
            <w:r>
              <w:rPr>
                <w:rStyle w:val="IndexLink"/>
              </w:rPr>
              <w:t>250</w:t>
            </w:r>
          </w:hyperlink>
        </w:p>
        <w:p>
          <w:pPr>
            <w:pStyle w:val="Contents5"/>
            <w:tabs>
              <w:tab w:val="clear" w:pos="7892"/>
              <w:tab w:val="right" w:pos="9026" w:leader="dot"/>
            </w:tabs>
            <w:rPr/>
          </w:pPr>
          <w:hyperlink w:anchor="__RefHeading___Toc605832_1934241801">
            <w:r>
              <w:rPr>
                <w:webHidden/>
                <w:rStyle w:val="IndexLink"/>
                <w:rtl w:val="true"/>
              </w:rPr>
              <w:t>«</w:t>
            </w:r>
            <w:r>
              <w:rPr>
                <w:rStyle w:val="IndexLink"/>
              </w:rPr>
              <w:t>37</w:t>
            </w:r>
            <w:r>
              <w:rPr>
                <w:rStyle w:val="IndexLink"/>
                <w:rtl w:val="true"/>
              </w:rPr>
              <w:t>»</w:t>
              <w:tab/>
            </w:r>
            <w:r>
              <w:rPr>
                <w:rStyle w:val="IndexLink"/>
              </w:rPr>
              <w:t>250</w:t>
            </w:r>
          </w:hyperlink>
        </w:p>
        <w:p>
          <w:pPr>
            <w:pStyle w:val="Contents5"/>
            <w:tabs>
              <w:tab w:val="clear" w:pos="7892"/>
              <w:tab w:val="right" w:pos="9026" w:leader="dot"/>
            </w:tabs>
            <w:rPr/>
          </w:pPr>
          <w:hyperlink w:anchor="__RefHeading___Toc605834_1934241801">
            <w:r>
              <w:rPr>
                <w:webHidden/>
                <w:rStyle w:val="IndexLink"/>
                <w:rtl w:val="true"/>
              </w:rPr>
              <w:t>«</w:t>
            </w:r>
            <w:r>
              <w:rPr>
                <w:rStyle w:val="IndexLink"/>
              </w:rPr>
              <w:t>38</w:t>
            </w:r>
            <w:r>
              <w:rPr>
                <w:rStyle w:val="IndexLink"/>
                <w:rtl w:val="true"/>
              </w:rPr>
              <w:t>»</w:t>
              <w:tab/>
            </w:r>
            <w:r>
              <w:rPr>
                <w:rStyle w:val="IndexLink"/>
              </w:rPr>
              <w:t>250</w:t>
            </w:r>
          </w:hyperlink>
        </w:p>
        <w:p>
          <w:pPr>
            <w:pStyle w:val="Contents5"/>
            <w:tabs>
              <w:tab w:val="clear" w:pos="7892"/>
              <w:tab w:val="right" w:pos="9026" w:leader="dot"/>
            </w:tabs>
            <w:rPr/>
          </w:pPr>
          <w:hyperlink w:anchor="__RefHeading___Toc605836_1934241801">
            <w:r>
              <w:rPr>
                <w:webHidden/>
                <w:rStyle w:val="IndexLink"/>
                <w:rtl w:val="true"/>
              </w:rPr>
              <w:t xml:space="preserve">روایت </w:t>
            </w:r>
            <w:r>
              <w:rPr>
                <w:rStyle w:val="IndexLink"/>
              </w:rPr>
              <w:t>36</w:t>
            </w:r>
            <w:r>
              <w:rPr>
                <w:rStyle w:val="IndexLink"/>
                <w:rtl w:val="true"/>
              </w:rPr>
              <w:tab/>
            </w:r>
            <w:r>
              <w:rPr>
                <w:rStyle w:val="IndexLink"/>
              </w:rPr>
              <w:t>250</w:t>
            </w:r>
          </w:hyperlink>
        </w:p>
        <w:p>
          <w:pPr>
            <w:pStyle w:val="Contents5"/>
            <w:tabs>
              <w:tab w:val="clear" w:pos="7892"/>
              <w:tab w:val="right" w:pos="9026" w:leader="dot"/>
            </w:tabs>
            <w:rPr/>
          </w:pPr>
          <w:hyperlink w:anchor="__RefHeading___Toc605838_1934241801">
            <w:r>
              <w:rPr>
                <w:webHidden/>
                <w:rStyle w:val="IndexLink"/>
                <w:rtl w:val="true"/>
              </w:rPr>
              <w:t xml:space="preserve">روایت </w:t>
            </w:r>
            <w:r>
              <w:rPr>
                <w:rStyle w:val="IndexLink"/>
              </w:rPr>
              <w:t>37</w:t>
            </w:r>
            <w:r>
              <w:rPr>
                <w:rStyle w:val="IndexLink"/>
                <w:rtl w:val="true"/>
              </w:rPr>
              <w:tab/>
            </w:r>
            <w:r>
              <w:rPr>
                <w:rStyle w:val="IndexLink"/>
              </w:rPr>
              <w:t>251</w:t>
            </w:r>
          </w:hyperlink>
        </w:p>
        <w:p>
          <w:pPr>
            <w:pStyle w:val="Contents5"/>
            <w:tabs>
              <w:tab w:val="clear" w:pos="7892"/>
              <w:tab w:val="right" w:pos="9026" w:leader="dot"/>
            </w:tabs>
            <w:rPr/>
          </w:pPr>
          <w:hyperlink w:anchor="__RefHeading___Toc605840_1934241801">
            <w:r>
              <w:rPr>
                <w:webHidden/>
                <w:rStyle w:val="IndexLink"/>
                <w:rtl w:val="true"/>
              </w:rPr>
              <w:t xml:space="preserve">روایت </w:t>
            </w:r>
            <w:r>
              <w:rPr>
                <w:rStyle w:val="IndexLink"/>
              </w:rPr>
              <w:t>38</w:t>
            </w:r>
            <w:r>
              <w:rPr>
                <w:rStyle w:val="IndexLink"/>
                <w:rtl w:val="true"/>
              </w:rPr>
              <w:tab/>
            </w:r>
            <w:r>
              <w:rPr>
                <w:rStyle w:val="IndexLink"/>
              </w:rPr>
              <w:t>251</w:t>
            </w:r>
          </w:hyperlink>
        </w:p>
        <w:p>
          <w:pPr>
            <w:pStyle w:val="Contents5"/>
            <w:tabs>
              <w:tab w:val="clear" w:pos="7892"/>
              <w:tab w:val="right" w:pos="9026" w:leader="dot"/>
            </w:tabs>
            <w:rPr/>
          </w:pPr>
          <w:hyperlink w:anchor="__RefHeading___Toc605842_1934241801">
            <w:r>
              <w:rPr>
                <w:webHidden/>
                <w:rStyle w:val="IndexLink"/>
                <w:rtl w:val="true"/>
              </w:rPr>
              <w:t>رفع إشكال و تبيين إجمال</w:t>
            </w:r>
            <w:r>
              <w:rPr>
                <w:rStyle w:val="IndexLink"/>
                <w:rtl w:val="true"/>
              </w:rPr>
              <w:tab/>
            </w:r>
            <w:r>
              <w:rPr>
                <w:rStyle w:val="IndexLink"/>
              </w:rPr>
              <w:t>252</w:t>
            </w:r>
          </w:hyperlink>
        </w:p>
        <w:p>
          <w:pPr>
            <w:pStyle w:val="Contents5"/>
            <w:tabs>
              <w:tab w:val="clear" w:pos="7892"/>
              <w:tab w:val="right" w:pos="9026" w:leader="dot"/>
            </w:tabs>
            <w:rPr/>
          </w:pPr>
          <w:hyperlink w:anchor="__RefHeading___Toc605844_1934241801">
            <w:r>
              <w:rPr>
                <w:webHidden/>
                <w:rStyle w:val="IndexLink"/>
                <w:rtl w:val="true"/>
              </w:rPr>
              <w:t>«</w:t>
            </w:r>
            <w:r>
              <w:rPr>
                <w:rStyle w:val="IndexLink"/>
              </w:rPr>
              <w:t>39</w:t>
            </w:r>
            <w:r>
              <w:rPr>
                <w:rStyle w:val="IndexLink"/>
                <w:rtl w:val="true"/>
              </w:rPr>
              <w:t>»</w:t>
              <w:tab/>
            </w:r>
            <w:r>
              <w:rPr>
                <w:rStyle w:val="IndexLink"/>
              </w:rPr>
              <w:t>258</w:t>
            </w:r>
          </w:hyperlink>
        </w:p>
        <w:p>
          <w:pPr>
            <w:pStyle w:val="Contents5"/>
            <w:tabs>
              <w:tab w:val="clear" w:pos="7892"/>
              <w:tab w:val="right" w:pos="9026" w:leader="dot"/>
            </w:tabs>
            <w:rPr/>
          </w:pPr>
          <w:hyperlink w:anchor="__RefHeading___Toc605846_1934241801">
            <w:r>
              <w:rPr>
                <w:webHidden/>
                <w:rStyle w:val="IndexLink"/>
                <w:rtl w:val="true"/>
              </w:rPr>
              <w:t>توضيح</w:t>
            </w:r>
            <w:r>
              <w:rPr>
                <w:rStyle w:val="IndexLink"/>
                <w:rtl w:val="true"/>
              </w:rPr>
              <w:tab/>
            </w:r>
            <w:r>
              <w:rPr>
                <w:rStyle w:val="IndexLink"/>
              </w:rPr>
              <w:t>258</w:t>
            </w:r>
          </w:hyperlink>
        </w:p>
        <w:p>
          <w:pPr>
            <w:pStyle w:val="Contents5"/>
            <w:tabs>
              <w:tab w:val="clear" w:pos="7892"/>
              <w:tab w:val="right" w:pos="9026" w:leader="dot"/>
            </w:tabs>
            <w:rPr/>
          </w:pPr>
          <w:hyperlink w:anchor="__RefHeading___Toc605848_1934241801">
            <w:r>
              <w:rPr>
                <w:webHidden/>
                <w:rStyle w:val="IndexLink"/>
                <w:rtl w:val="true"/>
              </w:rPr>
              <w:t xml:space="preserve">روایت </w:t>
            </w:r>
            <w:r>
              <w:rPr>
                <w:rStyle w:val="IndexLink"/>
              </w:rPr>
              <w:t>39</w:t>
            </w:r>
            <w:r>
              <w:rPr>
                <w:rStyle w:val="IndexLink"/>
                <w:rtl w:val="true"/>
              </w:rPr>
              <w:tab/>
            </w:r>
            <w:r>
              <w:rPr>
                <w:rStyle w:val="IndexLink"/>
              </w:rPr>
              <w:t>259</w:t>
            </w:r>
          </w:hyperlink>
        </w:p>
        <w:p>
          <w:pPr>
            <w:pStyle w:val="Contents5"/>
            <w:tabs>
              <w:tab w:val="clear" w:pos="7892"/>
              <w:tab w:val="right" w:pos="9026" w:leader="dot"/>
            </w:tabs>
            <w:rPr/>
          </w:pPr>
          <w:hyperlink w:anchor="__RefHeading___Toc605850_1934241801">
            <w:r>
              <w:rPr>
                <w:webHidden/>
                <w:rStyle w:val="IndexLink"/>
                <w:rtl w:val="true"/>
              </w:rPr>
              <w:t>توضیح</w:t>
            </w:r>
            <w:r>
              <w:rPr>
                <w:rStyle w:val="IndexLink"/>
                <w:rtl w:val="true"/>
              </w:rPr>
              <w:tab/>
            </w:r>
            <w:r>
              <w:rPr>
                <w:rStyle w:val="IndexLink"/>
              </w:rPr>
              <w:t>259</w:t>
            </w:r>
          </w:hyperlink>
        </w:p>
        <w:p>
          <w:pPr>
            <w:pStyle w:val="Contents5"/>
            <w:tabs>
              <w:tab w:val="clear" w:pos="7892"/>
              <w:tab w:val="right" w:pos="9026" w:leader="dot"/>
            </w:tabs>
            <w:rPr/>
          </w:pPr>
          <w:hyperlink w:anchor="__RefHeading___Toc605852_1934241801">
            <w:r>
              <w:rPr>
                <w:webHidden/>
                <w:rStyle w:val="IndexLink"/>
                <w:rtl w:val="true"/>
              </w:rPr>
              <w:t>«</w:t>
            </w:r>
            <w:r>
              <w:rPr>
                <w:rStyle w:val="IndexLink"/>
              </w:rPr>
              <w:t>40</w:t>
            </w:r>
            <w:r>
              <w:rPr>
                <w:rStyle w:val="IndexLink"/>
                <w:rtl w:val="true"/>
              </w:rPr>
              <w:t>»</w:t>
              <w:tab/>
            </w:r>
            <w:r>
              <w:rPr>
                <w:rStyle w:val="IndexLink"/>
              </w:rPr>
              <w:t>262</w:t>
            </w:r>
          </w:hyperlink>
        </w:p>
        <w:p>
          <w:pPr>
            <w:pStyle w:val="Contents5"/>
            <w:tabs>
              <w:tab w:val="clear" w:pos="7892"/>
              <w:tab w:val="right" w:pos="9026" w:leader="dot"/>
            </w:tabs>
            <w:rPr/>
          </w:pPr>
          <w:hyperlink w:anchor="__RefHeading___Toc605854_1934241801">
            <w:r>
              <w:rPr>
                <w:webHidden/>
                <w:rStyle w:val="IndexLink"/>
                <w:rtl w:val="true"/>
              </w:rPr>
              <w:t>توضيح</w:t>
            </w:r>
            <w:r>
              <w:rPr>
                <w:rStyle w:val="IndexLink"/>
                <w:rtl w:val="true"/>
              </w:rPr>
              <w:tab/>
            </w:r>
            <w:r>
              <w:rPr>
                <w:rStyle w:val="IndexLink"/>
              </w:rPr>
              <w:t>262</w:t>
            </w:r>
          </w:hyperlink>
        </w:p>
        <w:p>
          <w:pPr>
            <w:pStyle w:val="Contents5"/>
            <w:tabs>
              <w:tab w:val="clear" w:pos="7892"/>
              <w:tab w:val="right" w:pos="9026" w:leader="dot"/>
            </w:tabs>
            <w:rPr/>
          </w:pPr>
          <w:hyperlink w:anchor="__RefHeading___Toc605856_1934241801">
            <w:r>
              <w:rPr>
                <w:webHidden/>
                <w:rStyle w:val="IndexLink"/>
                <w:rtl w:val="true"/>
              </w:rPr>
              <w:t>«</w:t>
            </w:r>
            <w:r>
              <w:rPr>
                <w:rStyle w:val="IndexLink"/>
              </w:rPr>
              <w:t>41</w:t>
            </w:r>
            <w:r>
              <w:rPr>
                <w:rStyle w:val="IndexLink"/>
                <w:rtl w:val="true"/>
              </w:rPr>
              <w:t>»</w:t>
              <w:tab/>
            </w:r>
            <w:r>
              <w:rPr>
                <w:rStyle w:val="IndexLink"/>
              </w:rPr>
              <w:t>262</w:t>
            </w:r>
          </w:hyperlink>
        </w:p>
        <w:p>
          <w:pPr>
            <w:pStyle w:val="Contents5"/>
            <w:tabs>
              <w:tab w:val="clear" w:pos="7892"/>
              <w:tab w:val="right" w:pos="9026" w:leader="dot"/>
            </w:tabs>
            <w:rPr/>
          </w:pPr>
          <w:hyperlink w:anchor="__RefHeading___Toc605858_1934241801">
            <w:r>
              <w:rPr>
                <w:webHidden/>
                <w:rStyle w:val="IndexLink"/>
                <w:rtl w:val="true"/>
              </w:rPr>
              <w:t xml:space="preserve">روایت </w:t>
            </w:r>
            <w:r>
              <w:rPr>
                <w:rStyle w:val="IndexLink"/>
              </w:rPr>
              <w:t>40</w:t>
            </w:r>
            <w:r>
              <w:rPr>
                <w:rStyle w:val="IndexLink"/>
                <w:rtl w:val="true"/>
              </w:rPr>
              <w:tab/>
            </w:r>
            <w:r>
              <w:rPr>
                <w:rStyle w:val="IndexLink"/>
              </w:rPr>
              <w:t>262</w:t>
            </w:r>
          </w:hyperlink>
        </w:p>
        <w:p>
          <w:pPr>
            <w:pStyle w:val="Contents5"/>
            <w:tabs>
              <w:tab w:val="clear" w:pos="7892"/>
              <w:tab w:val="right" w:pos="9026" w:leader="dot"/>
            </w:tabs>
            <w:rPr/>
          </w:pPr>
          <w:hyperlink w:anchor="__RefHeading___Toc605860_1934241801">
            <w:r>
              <w:rPr>
                <w:webHidden/>
                <w:rStyle w:val="IndexLink"/>
                <w:rtl w:val="true"/>
              </w:rPr>
              <w:t>توضیح</w:t>
            </w:r>
            <w:r>
              <w:rPr>
                <w:rStyle w:val="IndexLink"/>
                <w:rtl w:val="true"/>
              </w:rPr>
              <w:tab/>
            </w:r>
            <w:r>
              <w:rPr>
                <w:rStyle w:val="IndexLink"/>
              </w:rPr>
              <w:t>263</w:t>
            </w:r>
          </w:hyperlink>
        </w:p>
        <w:p>
          <w:pPr>
            <w:pStyle w:val="Contents5"/>
            <w:tabs>
              <w:tab w:val="clear" w:pos="7892"/>
              <w:tab w:val="right" w:pos="9026" w:leader="dot"/>
            </w:tabs>
            <w:rPr/>
          </w:pPr>
          <w:hyperlink w:anchor="__RefHeading___Toc605862_1934241801">
            <w:r>
              <w:rPr>
                <w:webHidden/>
                <w:rStyle w:val="IndexLink"/>
                <w:rtl w:val="true"/>
              </w:rPr>
              <w:t xml:space="preserve">روایت </w:t>
            </w:r>
            <w:r>
              <w:rPr>
                <w:rStyle w:val="IndexLink"/>
              </w:rPr>
              <w:t>41</w:t>
            </w:r>
            <w:r>
              <w:rPr>
                <w:rStyle w:val="IndexLink"/>
                <w:rtl w:val="true"/>
              </w:rPr>
              <w:tab/>
            </w:r>
            <w:r>
              <w:rPr>
                <w:rStyle w:val="IndexLink"/>
              </w:rPr>
              <w:t>263</w:t>
            </w:r>
          </w:hyperlink>
        </w:p>
        <w:p>
          <w:pPr>
            <w:pStyle w:val="Contents5"/>
            <w:tabs>
              <w:tab w:val="clear" w:pos="7892"/>
              <w:tab w:val="right" w:pos="9026" w:leader="dot"/>
            </w:tabs>
            <w:rPr/>
          </w:pPr>
          <w:hyperlink w:anchor="__RefHeading___Toc605864_1934241801">
            <w:r>
              <w:rPr>
                <w:webHidden/>
                <w:rStyle w:val="IndexLink"/>
                <w:rtl w:val="true"/>
              </w:rPr>
              <w:t>بيان</w:t>
            </w:r>
            <w:r>
              <w:rPr>
                <w:rStyle w:val="IndexLink"/>
                <w:rtl w:val="true"/>
              </w:rPr>
              <w:tab/>
            </w:r>
            <w:r>
              <w:rPr>
                <w:rStyle w:val="IndexLink"/>
              </w:rPr>
              <w:t>266</w:t>
            </w:r>
          </w:hyperlink>
        </w:p>
        <w:p>
          <w:pPr>
            <w:pStyle w:val="Contents5"/>
            <w:tabs>
              <w:tab w:val="clear" w:pos="7892"/>
              <w:tab w:val="right" w:pos="9026" w:leader="dot"/>
            </w:tabs>
            <w:rPr/>
          </w:pPr>
          <w:hyperlink w:anchor="__RefHeading___Toc605866_1934241801">
            <w:r>
              <w:rPr>
                <w:webHidden/>
                <w:rStyle w:val="IndexLink"/>
                <w:rtl w:val="true"/>
              </w:rPr>
              <w:t>«</w:t>
            </w:r>
            <w:r>
              <w:rPr>
                <w:rStyle w:val="IndexLink"/>
              </w:rPr>
              <w:t>42</w:t>
            </w:r>
            <w:r>
              <w:rPr>
                <w:rStyle w:val="IndexLink"/>
                <w:rtl w:val="true"/>
              </w:rPr>
              <w:t>»</w:t>
              <w:tab/>
            </w:r>
            <w:r>
              <w:rPr>
                <w:rStyle w:val="IndexLink"/>
              </w:rPr>
              <w:t>266</w:t>
            </w:r>
          </w:hyperlink>
        </w:p>
        <w:p>
          <w:pPr>
            <w:pStyle w:val="Contents5"/>
            <w:tabs>
              <w:tab w:val="clear" w:pos="7892"/>
              <w:tab w:val="right" w:pos="9026" w:leader="dot"/>
            </w:tabs>
            <w:rPr/>
          </w:pPr>
          <w:hyperlink w:anchor="__RefHeading___Toc605868_1934241801">
            <w:r>
              <w:rPr>
                <w:webHidden/>
                <w:rStyle w:val="IndexLink"/>
                <w:rtl w:val="true"/>
              </w:rPr>
              <w:t>توضیح</w:t>
            </w:r>
            <w:r>
              <w:rPr>
                <w:rStyle w:val="IndexLink"/>
                <w:rtl w:val="true"/>
              </w:rPr>
              <w:tab/>
            </w:r>
            <w:r>
              <w:rPr>
                <w:rStyle w:val="IndexLink"/>
              </w:rPr>
              <w:t>266</w:t>
            </w:r>
          </w:hyperlink>
        </w:p>
        <w:p>
          <w:pPr>
            <w:pStyle w:val="Contents5"/>
            <w:tabs>
              <w:tab w:val="clear" w:pos="7892"/>
              <w:tab w:val="right" w:pos="9026" w:leader="dot"/>
            </w:tabs>
            <w:rPr/>
          </w:pPr>
          <w:hyperlink w:anchor="__RefHeading___Toc605870_1934241801">
            <w:r>
              <w:rPr>
                <w:webHidden/>
                <w:rStyle w:val="IndexLink"/>
                <w:rtl w:val="true"/>
              </w:rPr>
              <w:t xml:space="preserve">روایت </w:t>
            </w:r>
            <w:r>
              <w:rPr>
                <w:rStyle w:val="IndexLink"/>
              </w:rPr>
              <w:t>42</w:t>
            </w:r>
            <w:r>
              <w:rPr>
                <w:rStyle w:val="IndexLink"/>
                <w:rtl w:val="true"/>
              </w:rPr>
              <w:tab/>
            </w:r>
            <w:r>
              <w:rPr>
                <w:rStyle w:val="IndexLink"/>
              </w:rPr>
              <w:t>267</w:t>
            </w:r>
          </w:hyperlink>
        </w:p>
        <w:p>
          <w:pPr>
            <w:pStyle w:val="Contents5"/>
            <w:tabs>
              <w:tab w:val="clear" w:pos="7892"/>
              <w:tab w:val="right" w:pos="9026" w:leader="dot"/>
            </w:tabs>
            <w:rPr/>
          </w:pPr>
          <w:hyperlink w:anchor="__RefHeading___Toc605872_1934241801">
            <w:r>
              <w:rPr>
                <w:webHidden/>
                <w:rStyle w:val="IndexLink"/>
                <w:rtl w:val="true"/>
              </w:rPr>
              <w:t>أقول</w:t>
            </w:r>
            <w:r>
              <w:rPr>
                <w:rStyle w:val="IndexLink"/>
                <w:rtl w:val="true"/>
              </w:rPr>
              <w:tab/>
            </w:r>
            <w:r>
              <w:rPr>
                <w:rStyle w:val="IndexLink"/>
              </w:rPr>
              <w:t>268</w:t>
            </w:r>
          </w:hyperlink>
        </w:p>
        <w:p>
          <w:pPr>
            <w:pStyle w:val="Contents5"/>
            <w:tabs>
              <w:tab w:val="clear" w:pos="7892"/>
              <w:tab w:val="right" w:pos="9026" w:leader="dot"/>
            </w:tabs>
            <w:rPr/>
          </w:pPr>
          <w:hyperlink w:anchor="__RefHeading___Toc605874_1934241801">
            <w:r>
              <w:rPr>
                <w:webHidden/>
                <w:rStyle w:val="IndexLink"/>
                <w:rtl w:val="true"/>
              </w:rPr>
              <w:t>می گویم</w:t>
            </w:r>
            <w:r>
              <w:rPr>
                <w:rStyle w:val="IndexLink"/>
                <w:rtl w:val="true"/>
              </w:rPr>
              <w:tab/>
            </w:r>
            <w:r>
              <w:rPr>
                <w:rStyle w:val="IndexLink"/>
              </w:rPr>
              <w:t>268</w:t>
            </w:r>
          </w:hyperlink>
        </w:p>
        <w:p>
          <w:pPr>
            <w:pStyle w:val="Contents3"/>
            <w:tabs>
              <w:tab w:val="clear" w:pos="8459"/>
              <w:tab w:val="right" w:pos="9026" w:leader="dot"/>
            </w:tabs>
            <w:rPr/>
          </w:pPr>
          <w:hyperlink w:anchor="__RefHeading___Toc605876_1934241801">
            <w:r>
              <w:rPr>
                <w:webHidden/>
                <w:rStyle w:val="IndexLink"/>
                <w:rtl w:val="true"/>
              </w:rPr>
              <w:t xml:space="preserve">باب </w:t>
            </w:r>
            <w:r>
              <w:rPr>
                <w:rStyle w:val="IndexLink"/>
              </w:rPr>
              <w:t>5</w:t>
            </w:r>
            <w:r>
              <w:rPr>
                <w:rStyle w:val="IndexLink"/>
                <w:rtl w:val="true"/>
              </w:rPr>
              <w:t xml:space="preserve"> </w:t>
            </w:r>
            <w:r>
              <w:rPr>
                <w:rStyle w:val="IndexLink"/>
                <w:rtl w:val="true"/>
              </w:rPr>
              <w:t>فضل غسل الجمعة و آدابها و أحكامها</w:t>
            </w:r>
            <w:r>
              <w:rPr>
                <w:rStyle w:val="IndexLink"/>
                <w:rtl w:val="true"/>
              </w:rPr>
              <w:tab/>
            </w:r>
            <w:r>
              <w:rPr>
                <w:rStyle w:val="IndexLink"/>
              </w:rPr>
              <w:t>269</w:t>
            </w:r>
          </w:hyperlink>
        </w:p>
        <w:p>
          <w:pPr>
            <w:pStyle w:val="Contents4"/>
            <w:tabs>
              <w:tab w:val="clear" w:pos="8176"/>
              <w:tab w:val="right" w:pos="9026" w:leader="dot"/>
            </w:tabs>
            <w:rPr/>
          </w:pPr>
          <w:hyperlink w:anchor="__RefHeading___Toc605878_1934241801">
            <w:r>
              <w:rPr>
                <w:webHidden/>
                <w:rStyle w:val="IndexLink"/>
                <w:rtl w:val="true"/>
              </w:rPr>
              <w:t>روايات</w:t>
            </w:r>
            <w:r>
              <w:rPr>
                <w:rStyle w:val="IndexLink"/>
                <w:rtl w:val="true"/>
              </w:rPr>
              <w:tab/>
            </w:r>
            <w:r>
              <w:rPr>
                <w:rStyle w:val="IndexLink"/>
              </w:rPr>
              <w:t>269</w:t>
            </w:r>
          </w:hyperlink>
        </w:p>
        <w:p>
          <w:pPr>
            <w:pStyle w:val="Contents5"/>
            <w:tabs>
              <w:tab w:val="clear" w:pos="7892"/>
              <w:tab w:val="right" w:pos="9026" w:leader="dot"/>
            </w:tabs>
            <w:rPr/>
          </w:pPr>
          <w:hyperlink w:anchor="__RefHeading___Toc605880_1934241801">
            <w:r>
              <w:rPr>
                <w:webHidden/>
                <w:rStyle w:val="IndexLink"/>
                <w:rtl w:val="true"/>
              </w:rPr>
              <w:t>«</w:t>
            </w:r>
            <w:r>
              <w:rPr>
                <w:rStyle w:val="IndexLink"/>
              </w:rPr>
              <w:t>1</w:t>
            </w:r>
            <w:r>
              <w:rPr>
                <w:rStyle w:val="IndexLink"/>
                <w:rtl w:val="true"/>
              </w:rPr>
              <w:t>»</w:t>
              <w:tab/>
            </w:r>
            <w:r>
              <w:rPr>
                <w:rStyle w:val="IndexLink"/>
              </w:rPr>
              <w:t>269</w:t>
            </w:r>
          </w:hyperlink>
        </w:p>
        <w:p>
          <w:pPr>
            <w:pStyle w:val="Contents5"/>
            <w:tabs>
              <w:tab w:val="clear" w:pos="7892"/>
              <w:tab w:val="right" w:pos="9026" w:leader="dot"/>
            </w:tabs>
            <w:rPr/>
          </w:pPr>
          <w:hyperlink w:anchor="__RefHeading___Toc605882_1934241801">
            <w:r>
              <w:rPr>
                <w:webHidden/>
                <w:rStyle w:val="IndexLink"/>
                <w:rtl w:val="true"/>
              </w:rPr>
              <w:t>بيان</w:t>
            </w:r>
            <w:r>
              <w:rPr>
                <w:rStyle w:val="IndexLink"/>
                <w:rtl w:val="true"/>
              </w:rPr>
              <w:tab/>
            </w:r>
            <w:r>
              <w:rPr>
                <w:rStyle w:val="IndexLink"/>
              </w:rPr>
              <w:t>269</w:t>
            </w:r>
          </w:hyperlink>
        </w:p>
        <w:p>
          <w:pPr>
            <w:pStyle w:val="Contents5"/>
            <w:tabs>
              <w:tab w:val="clear" w:pos="7892"/>
              <w:tab w:val="right" w:pos="9026" w:leader="dot"/>
            </w:tabs>
            <w:rPr/>
          </w:pPr>
          <w:hyperlink w:anchor="__RefHeading___Toc605884_1934241801">
            <w:r>
              <w:rPr>
                <w:webHidden/>
                <w:rStyle w:val="IndexLink"/>
                <w:rtl w:val="true"/>
              </w:rPr>
              <w:t>«</w:t>
            </w:r>
            <w:r>
              <w:rPr>
                <w:rStyle w:val="IndexLink"/>
              </w:rPr>
              <w:t>2</w:t>
            </w:r>
            <w:r>
              <w:rPr>
                <w:rStyle w:val="IndexLink"/>
                <w:rtl w:val="true"/>
              </w:rPr>
              <w:t>»</w:t>
              <w:tab/>
            </w:r>
            <w:r>
              <w:rPr>
                <w:rStyle w:val="IndexLink"/>
              </w:rPr>
              <w:t>269</w:t>
            </w:r>
          </w:hyperlink>
        </w:p>
        <w:p>
          <w:pPr>
            <w:pStyle w:val="Contents5"/>
            <w:tabs>
              <w:tab w:val="clear" w:pos="7892"/>
              <w:tab w:val="right" w:pos="9026" w:leader="dot"/>
            </w:tabs>
            <w:rPr/>
          </w:pPr>
          <w:hyperlink w:anchor="__RefHeading___Toc605886_1934241801">
            <w:r>
              <w:rPr>
                <w:webHidden/>
                <w:rStyle w:val="IndexLink"/>
                <w:rtl w:val="true"/>
              </w:rPr>
              <w:t>بيان</w:t>
            </w:r>
            <w:r>
              <w:rPr>
                <w:rStyle w:val="IndexLink"/>
                <w:rtl w:val="true"/>
              </w:rPr>
              <w:tab/>
            </w:r>
            <w:r>
              <w:rPr>
                <w:rStyle w:val="IndexLink"/>
              </w:rPr>
              <w:t>269</w:t>
            </w:r>
          </w:hyperlink>
        </w:p>
        <w:p>
          <w:pPr>
            <w:pStyle w:val="Contents5"/>
            <w:tabs>
              <w:tab w:val="clear" w:pos="7892"/>
              <w:tab w:val="right" w:pos="9026" w:leader="dot"/>
            </w:tabs>
            <w:rPr/>
          </w:pPr>
          <w:hyperlink w:anchor="__RefHeading___Toc605888_1934241801">
            <w:r>
              <w:rPr>
                <w:webHidden/>
                <w:rStyle w:val="IndexLink"/>
                <w:rtl w:val="true"/>
              </w:rPr>
              <w:t>«</w:t>
            </w:r>
            <w:r>
              <w:rPr>
                <w:rStyle w:val="IndexLink"/>
              </w:rPr>
              <w:t>3</w:t>
            </w:r>
            <w:r>
              <w:rPr>
                <w:rStyle w:val="IndexLink"/>
                <w:rtl w:val="true"/>
              </w:rPr>
              <w:t>»</w:t>
              <w:tab/>
            </w:r>
            <w:r>
              <w:rPr>
                <w:rStyle w:val="IndexLink"/>
              </w:rPr>
              <w:t>269</w:t>
            </w:r>
          </w:hyperlink>
        </w:p>
        <w:p>
          <w:pPr>
            <w:pStyle w:val="Contents3"/>
            <w:tabs>
              <w:tab w:val="clear" w:pos="8459"/>
              <w:tab w:val="right" w:pos="9026" w:leader="dot"/>
            </w:tabs>
            <w:rPr/>
          </w:pPr>
          <w:hyperlink w:anchor="__RefHeading___Toc605890_1934241801">
            <w:r>
              <w:rPr>
                <w:webHidden/>
                <w:rStyle w:val="IndexLink"/>
                <w:rtl w:val="true"/>
              </w:rPr>
              <w:t xml:space="preserve">باب پنجم </w:t>
            </w:r>
            <w:r>
              <w:rPr>
                <w:rStyle w:val="IndexLink"/>
                <w:rtl w:val="true"/>
              </w:rPr>
              <w:t xml:space="preserve">: </w:t>
            </w:r>
            <w:r>
              <w:rPr>
                <w:rStyle w:val="IndexLink"/>
                <w:rtl w:val="true"/>
              </w:rPr>
              <w:t>فضیلت غسل جمعه و آداب و احکام مربوط به آن</w:t>
            </w:r>
            <w:r>
              <w:rPr>
                <w:rStyle w:val="IndexLink"/>
                <w:rtl w:val="true"/>
              </w:rPr>
              <w:tab/>
            </w:r>
            <w:r>
              <w:rPr>
                <w:rStyle w:val="IndexLink"/>
              </w:rPr>
              <w:t>269</w:t>
            </w:r>
          </w:hyperlink>
        </w:p>
        <w:p>
          <w:pPr>
            <w:pStyle w:val="Contents4"/>
            <w:tabs>
              <w:tab w:val="clear" w:pos="8176"/>
              <w:tab w:val="right" w:pos="9026" w:leader="dot"/>
            </w:tabs>
            <w:rPr/>
          </w:pPr>
          <w:hyperlink w:anchor="__RefHeading___Toc605892_1934241801">
            <w:r>
              <w:rPr>
                <w:webHidden/>
                <w:rStyle w:val="IndexLink"/>
                <w:rtl w:val="true"/>
              </w:rPr>
              <w:t>روایات</w:t>
            </w:r>
            <w:r>
              <w:rPr>
                <w:rStyle w:val="IndexLink"/>
                <w:rtl w:val="true"/>
              </w:rPr>
              <w:tab/>
            </w:r>
            <w:r>
              <w:rPr>
                <w:rStyle w:val="IndexLink"/>
              </w:rPr>
              <w:t>269</w:t>
            </w:r>
          </w:hyperlink>
        </w:p>
        <w:p>
          <w:pPr>
            <w:pStyle w:val="Contents5"/>
            <w:tabs>
              <w:tab w:val="clear" w:pos="7892"/>
              <w:tab w:val="right" w:pos="9026" w:leader="dot"/>
            </w:tabs>
            <w:rPr/>
          </w:pPr>
          <w:hyperlink w:anchor="__RefHeading___Toc605894_1934241801">
            <w:r>
              <w:rPr>
                <w:webHidden/>
                <w:rStyle w:val="IndexLink"/>
                <w:rtl w:val="true"/>
              </w:rPr>
              <w:t xml:space="preserve">روایت </w:t>
            </w:r>
            <w:r>
              <w:rPr>
                <w:rStyle w:val="IndexLink"/>
              </w:rPr>
              <w:t>1</w:t>
            </w:r>
            <w:r>
              <w:rPr>
                <w:rStyle w:val="IndexLink"/>
                <w:rtl w:val="true"/>
              </w:rPr>
              <w:tab/>
            </w:r>
            <w:r>
              <w:rPr>
                <w:rStyle w:val="IndexLink"/>
              </w:rPr>
              <w:t>269</w:t>
            </w:r>
          </w:hyperlink>
        </w:p>
        <w:p>
          <w:pPr>
            <w:pStyle w:val="Contents5"/>
            <w:tabs>
              <w:tab w:val="clear" w:pos="7892"/>
              <w:tab w:val="right" w:pos="9026" w:leader="dot"/>
            </w:tabs>
            <w:rPr/>
          </w:pPr>
          <w:hyperlink w:anchor="__RefHeading___Toc605896_1934241801">
            <w:r>
              <w:rPr>
                <w:webHidden/>
                <w:rStyle w:val="IndexLink"/>
                <w:rtl w:val="true"/>
              </w:rPr>
              <w:t>توضیح</w:t>
            </w:r>
            <w:r>
              <w:rPr>
                <w:rStyle w:val="IndexLink"/>
                <w:rtl w:val="true"/>
              </w:rPr>
              <w:tab/>
            </w:r>
            <w:r>
              <w:rPr>
                <w:rStyle w:val="IndexLink"/>
              </w:rPr>
              <w:t>269</w:t>
            </w:r>
          </w:hyperlink>
        </w:p>
        <w:p>
          <w:pPr>
            <w:pStyle w:val="Contents5"/>
            <w:tabs>
              <w:tab w:val="clear" w:pos="7892"/>
              <w:tab w:val="right" w:pos="9026" w:leader="dot"/>
            </w:tabs>
            <w:rPr/>
          </w:pPr>
          <w:hyperlink w:anchor="__RefHeading___Toc605898_1934241801">
            <w:r>
              <w:rPr>
                <w:webHidden/>
                <w:rStyle w:val="IndexLink"/>
                <w:rtl w:val="true"/>
              </w:rPr>
              <w:t xml:space="preserve">روایت </w:t>
            </w:r>
            <w:r>
              <w:rPr>
                <w:rStyle w:val="IndexLink"/>
              </w:rPr>
              <w:t>2</w:t>
            </w:r>
            <w:r>
              <w:rPr>
                <w:rStyle w:val="IndexLink"/>
                <w:rtl w:val="true"/>
              </w:rPr>
              <w:tab/>
            </w:r>
            <w:r>
              <w:rPr>
                <w:rStyle w:val="IndexLink"/>
              </w:rPr>
              <w:t>269</w:t>
            </w:r>
          </w:hyperlink>
        </w:p>
        <w:p>
          <w:pPr>
            <w:pStyle w:val="Contents5"/>
            <w:tabs>
              <w:tab w:val="clear" w:pos="7892"/>
              <w:tab w:val="right" w:pos="9026" w:leader="dot"/>
            </w:tabs>
            <w:rPr/>
          </w:pPr>
          <w:hyperlink w:anchor="__RefHeading___Toc605900_1934241801">
            <w:r>
              <w:rPr>
                <w:webHidden/>
                <w:rStyle w:val="IndexLink"/>
                <w:rtl w:val="true"/>
              </w:rPr>
              <w:t>توضیح</w:t>
            </w:r>
            <w:r>
              <w:rPr>
                <w:rStyle w:val="IndexLink"/>
                <w:rtl w:val="true"/>
              </w:rPr>
              <w:tab/>
            </w:r>
            <w:r>
              <w:rPr>
                <w:rStyle w:val="IndexLink"/>
              </w:rPr>
              <w:t>270</w:t>
            </w:r>
          </w:hyperlink>
        </w:p>
        <w:p>
          <w:pPr>
            <w:pStyle w:val="Contents5"/>
            <w:tabs>
              <w:tab w:val="clear" w:pos="7892"/>
              <w:tab w:val="right" w:pos="9026" w:leader="dot"/>
            </w:tabs>
            <w:rPr/>
          </w:pPr>
          <w:hyperlink w:anchor="__RefHeading___Toc605902_1934241801">
            <w:r>
              <w:rPr>
                <w:webHidden/>
                <w:rStyle w:val="IndexLink"/>
                <w:rtl w:val="true"/>
              </w:rPr>
              <w:t xml:space="preserve">روایت </w:t>
            </w:r>
            <w:r>
              <w:rPr>
                <w:rStyle w:val="IndexLink"/>
              </w:rPr>
              <w:t>3</w:t>
            </w:r>
            <w:r>
              <w:rPr>
                <w:rStyle w:val="IndexLink"/>
                <w:rtl w:val="true"/>
              </w:rPr>
              <w:tab/>
            </w:r>
            <w:r>
              <w:rPr>
                <w:rStyle w:val="IndexLink"/>
              </w:rPr>
              <w:t>270</w:t>
            </w:r>
          </w:hyperlink>
        </w:p>
        <w:p>
          <w:pPr>
            <w:pStyle w:val="Contents5"/>
            <w:tabs>
              <w:tab w:val="clear" w:pos="7892"/>
              <w:tab w:val="right" w:pos="9026" w:leader="dot"/>
            </w:tabs>
            <w:rPr/>
          </w:pPr>
          <w:hyperlink w:anchor="__RefHeading___Toc605904_1934241801">
            <w:r>
              <w:rPr>
                <w:webHidden/>
                <w:rStyle w:val="IndexLink"/>
                <w:rtl w:val="true"/>
              </w:rPr>
              <w:t>«</w:t>
            </w:r>
            <w:r>
              <w:rPr>
                <w:rStyle w:val="IndexLink"/>
              </w:rPr>
              <w:t>4</w:t>
            </w:r>
            <w:r>
              <w:rPr>
                <w:rStyle w:val="IndexLink"/>
                <w:rtl w:val="true"/>
              </w:rPr>
              <w:t>»</w:t>
              <w:tab/>
            </w:r>
            <w:r>
              <w:rPr>
                <w:rStyle w:val="IndexLink"/>
              </w:rPr>
              <w:t>271</w:t>
            </w:r>
          </w:hyperlink>
        </w:p>
        <w:p>
          <w:pPr>
            <w:pStyle w:val="Contents5"/>
            <w:tabs>
              <w:tab w:val="clear" w:pos="7892"/>
              <w:tab w:val="right" w:pos="9026" w:leader="dot"/>
            </w:tabs>
            <w:rPr/>
          </w:pPr>
          <w:hyperlink w:anchor="__RefHeading___Toc605906_1934241801">
            <w:r>
              <w:rPr>
                <w:webHidden/>
                <w:rStyle w:val="IndexLink"/>
                <w:rtl w:val="true"/>
              </w:rPr>
              <w:t>بيان</w:t>
            </w:r>
            <w:r>
              <w:rPr>
                <w:rStyle w:val="IndexLink"/>
                <w:rtl w:val="true"/>
              </w:rPr>
              <w:tab/>
            </w:r>
            <w:r>
              <w:rPr>
                <w:rStyle w:val="IndexLink"/>
              </w:rPr>
              <w:t>271</w:t>
            </w:r>
          </w:hyperlink>
        </w:p>
        <w:p>
          <w:pPr>
            <w:pStyle w:val="Contents5"/>
            <w:tabs>
              <w:tab w:val="clear" w:pos="7892"/>
              <w:tab w:val="right" w:pos="9026" w:leader="dot"/>
            </w:tabs>
            <w:rPr/>
          </w:pPr>
          <w:hyperlink w:anchor="__RefHeading___Toc605908_1934241801">
            <w:r>
              <w:rPr>
                <w:webHidden/>
                <w:rStyle w:val="IndexLink"/>
                <w:rtl w:val="true"/>
              </w:rPr>
              <w:t>«</w:t>
            </w:r>
            <w:r>
              <w:rPr>
                <w:rStyle w:val="IndexLink"/>
              </w:rPr>
              <w:t>5</w:t>
            </w:r>
            <w:r>
              <w:rPr>
                <w:rStyle w:val="IndexLink"/>
                <w:rtl w:val="true"/>
              </w:rPr>
              <w:t>»</w:t>
              <w:tab/>
            </w:r>
            <w:r>
              <w:rPr>
                <w:rStyle w:val="IndexLink"/>
              </w:rPr>
              <w:t>271</w:t>
            </w:r>
          </w:hyperlink>
        </w:p>
        <w:p>
          <w:pPr>
            <w:pStyle w:val="Contents5"/>
            <w:tabs>
              <w:tab w:val="clear" w:pos="7892"/>
              <w:tab w:val="right" w:pos="9026" w:leader="dot"/>
            </w:tabs>
            <w:rPr/>
          </w:pPr>
          <w:hyperlink w:anchor="__RefHeading___Toc605910_1934241801">
            <w:r>
              <w:rPr>
                <w:webHidden/>
                <w:rStyle w:val="IndexLink"/>
                <w:rtl w:val="true"/>
              </w:rPr>
              <w:t>«</w:t>
            </w:r>
            <w:r>
              <w:rPr>
                <w:rStyle w:val="IndexLink"/>
              </w:rPr>
              <w:t>6</w:t>
            </w:r>
            <w:r>
              <w:rPr>
                <w:rStyle w:val="IndexLink"/>
                <w:rtl w:val="true"/>
              </w:rPr>
              <w:t>»</w:t>
              <w:tab/>
            </w:r>
            <w:r>
              <w:rPr>
                <w:rStyle w:val="IndexLink"/>
              </w:rPr>
              <w:t>271</w:t>
            </w:r>
          </w:hyperlink>
        </w:p>
        <w:p>
          <w:pPr>
            <w:pStyle w:val="Contents5"/>
            <w:tabs>
              <w:tab w:val="clear" w:pos="7892"/>
              <w:tab w:val="right" w:pos="9026" w:leader="dot"/>
            </w:tabs>
            <w:rPr/>
          </w:pPr>
          <w:hyperlink w:anchor="__RefHeading___Toc605912_1934241801">
            <w:r>
              <w:rPr>
                <w:webHidden/>
                <w:rStyle w:val="IndexLink"/>
                <w:rtl w:val="true"/>
              </w:rPr>
              <w:t>بيان</w:t>
            </w:r>
            <w:r>
              <w:rPr>
                <w:rStyle w:val="IndexLink"/>
                <w:rtl w:val="true"/>
              </w:rPr>
              <w:tab/>
            </w:r>
            <w:r>
              <w:rPr>
                <w:rStyle w:val="IndexLink"/>
              </w:rPr>
              <w:t>271</w:t>
            </w:r>
          </w:hyperlink>
        </w:p>
        <w:p>
          <w:pPr>
            <w:pStyle w:val="Contents5"/>
            <w:tabs>
              <w:tab w:val="clear" w:pos="7892"/>
              <w:tab w:val="right" w:pos="9026" w:leader="dot"/>
            </w:tabs>
            <w:rPr/>
          </w:pPr>
          <w:hyperlink w:anchor="__RefHeading___Toc605914_1934241801">
            <w:r>
              <w:rPr>
                <w:webHidden/>
                <w:rStyle w:val="IndexLink"/>
                <w:rtl w:val="true"/>
              </w:rPr>
              <w:t xml:space="preserve">روایت </w:t>
            </w:r>
            <w:r>
              <w:rPr>
                <w:rStyle w:val="IndexLink"/>
              </w:rPr>
              <w:t>4</w:t>
            </w:r>
            <w:r>
              <w:rPr>
                <w:rStyle w:val="IndexLink"/>
                <w:rtl w:val="true"/>
              </w:rPr>
              <w:tab/>
            </w:r>
            <w:r>
              <w:rPr>
                <w:rStyle w:val="IndexLink"/>
              </w:rPr>
              <w:t>271</w:t>
            </w:r>
          </w:hyperlink>
        </w:p>
        <w:p>
          <w:pPr>
            <w:pStyle w:val="Contents5"/>
            <w:tabs>
              <w:tab w:val="clear" w:pos="7892"/>
              <w:tab w:val="right" w:pos="9026" w:leader="dot"/>
            </w:tabs>
            <w:rPr/>
          </w:pPr>
          <w:hyperlink w:anchor="__RefHeading___Toc605916_1934241801">
            <w:r>
              <w:rPr>
                <w:webHidden/>
                <w:rStyle w:val="IndexLink"/>
                <w:rtl w:val="true"/>
              </w:rPr>
              <w:t>توضیح</w:t>
            </w:r>
            <w:r>
              <w:rPr>
                <w:rStyle w:val="IndexLink"/>
                <w:rtl w:val="true"/>
              </w:rPr>
              <w:tab/>
            </w:r>
            <w:r>
              <w:rPr>
                <w:rStyle w:val="IndexLink"/>
              </w:rPr>
              <w:t>272</w:t>
            </w:r>
          </w:hyperlink>
        </w:p>
        <w:p>
          <w:pPr>
            <w:pStyle w:val="Contents5"/>
            <w:tabs>
              <w:tab w:val="clear" w:pos="7892"/>
              <w:tab w:val="right" w:pos="9026" w:leader="dot"/>
            </w:tabs>
            <w:rPr/>
          </w:pPr>
          <w:hyperlink w:anchor="__RefHeading___Toc605918_1934241801">
            <w:r>
              <w:rPr>
                <w:webHidden/>
                <w:rStyle w:val="IndexLink"/>
                <w:rtl w:val="true"/>
              </w:rPr>
              <w:t xml:space="preserve">روایت </w:t>
            </w:r>
            <w:r>
              <w:rPr>
                <w:rStyle w:val="IndexLink"/>
              </w:rPr>
              <w:t>5</w:t>
            </w:r>
            <w:r>
              <w:rPr>
                <w:rStyle w:val="IndexLink"/>
                <w:rtl w:val="true"/>
              </w:rPr>
              <w:tab/>
            </w:r>
            <w:r>
              <w:rPr>
                <w:rStyle w:val="IndexLink"/>
              </w:rPr>
              <w:t>272</w:t>
            </w:r>
          </w:hyperlink>
        </w:p>
        <w:p>
          <w:pPr>
            <w:pStyle w:val="Contents5"/>
            <w:tabs>
              <w:tab w:val="clear" w:pos="7892"/>
              <w:tab w:val="right" w:pos="9026" w:leader="dot"/>
            </w:tabs>
            <w:rPr/>
          </w:pPr>
          <w:hyperlink w:anchor="__RefHeading___Toc605920_1934241801">
            <w:r>
              <w:rPr>
                <w:webHidden/>
                <w:rStyle w:val="IndexLink"/>
                <w:rtl w:val="true"/>
              </w:rPr>
              <w:t xml:space="preserve">روایت </w:t>
            </w:r>
            <w:r>
              <w:rPr>
                <w:rStyle w:val="IndexLink"/>
              </w:rPr>
              <w:t>6</w:t>
            </w:r>
            <w:r>
              <w:rPr>
                <w:rStyle w:val="IndexLink"/>
                <w:rtl w:val="true"/>
              </w:rPr>
              <w:tab/>
            </w:r>
            <w:r>
              <w:rPr>
                <w:rStyle w:val="IndexLink"/>
              </w:rPr>
              <w:t>272</w:t>
            </w:r>
          </w:hyperlink>
        </w:p>
        <w:p>
          <w:pPr>
            <w:pStyle w:val="Contents5"/>
            <w:tabs>
              <w:tab w:val="clear" w:pos="7892"/>
              <w:tab w:val="right" w:pos="9026" w:leader="dot"/>
            </w:tabs>
            <w:rPr/>
          </w:pPr>
          <w:hyperlink w:anchor="__RefHeading___Toc605922_1934241801">
            <w:r>
              <w:rPr>
                <w:webHidden/>
                <w:rStyle w:val="IndexLink"/>
                <w:rtl w:val="true"/>
              </w:rPr>
              <w:t>توضیح</w:t>
            </w:r>
            <w:r>
              <w:rPr>
                <w:rStyle w:val="IndexLink"/>
                <w:rtl w:val="true"/>
              </w:rPr>
              <w:tab/>
            </w:r>
            <w:r>
              <w:rPr>
                <w:rStyle w:val="IndexLink"/>
              </w:rPr>
              <w:t>272</w:t>
            </w:r>
          </w:hyperlink>
        </w:p>
        <w:p>
          <w:pPr>
            <w:pStyle w:val="Contents5"/>
            <w:tabs>
              <w:tab w:val="clear" w:pos="7892"/>
              <w:tab w:val="right" w:pos="9026" w:leader="dot"/>
            </w:tabs>
            <w:rPr/>
          </w:pPr>
          <w:hyperlink w:anchor="__RefHeading___Toc605924_1934241801">
            <w:r>
              <w:rPr>
                <w:webHidden/>
                <w:rStyle w:val="IndexLink"/>
                <w:rtl w:val="true"/>
              </w:rPr>
              <w:t>«</w:t>
            </w:r>
            <w:r>
              <w:rPr>
                <w:rStyle w:val="IndexLink"/>
              </w:rPr>
              <w:t>7</w:t>
            </w:r>
            <w:r>
              <w:rPr>
                <w:rStyle w:val="IndexLink"/>
                <w:rtl w:val="true"/>
              </w:rPr>
              <w:t>»</w:t>
              <w:tab/>
            </w:r>
            <w:r>
              <w:rPr>
                <w:rStyle w:val="IndexLink"/>
              </w:rPr>
              <w:t>273</w:t>
            </w:r>
          </w:hyperlink>
        </w:p>
        <w:p>
          <w:pPr>
            <w:pStyle w:val="Contents5"/>
            <w:tabs>
              <w:tab w:val="clear" w:pos="7892"/>
              <w:tab w:val="right" w:pos="9026" w:leader="dot"/>
            </w:tabs>
            <w:rPr/>
          </w:pPr>
          <w:hyperlink w:anchor="__RefHeading___Toc605926_1934241801">
            <w:r>
              <w:rPr>
                <w:webHidden/>
                <w:rStyle w:val="IndexLink"/>
                <w:rtl w:val="true"/>
              </w:rPr>
              <w:t>«</w:t>
            </w:r>
            <w:r>
              <w:rPr>
                <w:rStyle w:val="IndexLink"/>
              </w:rPr>
              <w:t>8</w:t>
            </w:r>
            <w:r>
              <w:rPr>
                <w:rStyle w:val="IndexLink"/>
                <w:rtl w:val="true"/>
              </w:rPr>
              <w:t>»</w:t>
              <w:tab/>
            </w:r>
            <w:r>
              <w:rPr>
                <w:rStyle w:val="IndexLink"/>
              </w:rPr>
              <w:t>273</w:t>
            </w:r>
          </w:hyperlink>
        </w:p>
        <w:p>
          <w:pPr>
            <w:pStyle w:val="Contents5"/>
            <w:tabs>
              <w:tab w:val="clear" w:pos="7892"/>
              <w:tab w:val="right" w:pos="9026" w:leader="dot"/>
            </w:tabs>
            <w:rPr/>
          </w:pPr>
          <w:hyperlink w:anchor="__RefHeading___Toc605928_1934241801">
            <w:r>
              <w:rPr>
                <w:webHidden/>
                <w:rStyle w:val="IndexLink"/>
                <w:rtl w:val="true"/>
              </w:rPr>
              <w:t>بيان</w:t>
            </w:r>
            <w:r>
              <w:rPr>
                <w:rStyle w:val="IndexLink"/>
                <w:rtl w:val="true"/>
              </w:rPr>
              <w:tab/>
            </w:r>
            <w:r>
              <w:rPr>
                <w:rStyle w:val="IndexLink"/>
              </w:rPr>
              <w:t>273</w:t>
            </w:r>
          </w:hyperlink>
        </w:p>
        <w:p>
          <w:pPr>
            <w:pStyle w:val="Contents5"/>
            <w:tabs>
              <w:tab w:val="clear" w:pos="7892"/>
              <w:tab w:val="right" w:pos="9026" w:leader="dot"/>
            </w:tabs>
            <w:rPr/>
          </w:pPr>
          <w:hyperlink w:anchor="__RefHeading___Toc605930_1934241801">
            <w:r>
              <w:rPr>
                <w:webHidden/>
                <w:rStyle w:val="IndexLink"/>
                <w:rtl w:val="true"/>
              </w:rPr>
              <w:t>«</w:t>
            </w:r>
            <w:r>
              <w:rPr>
                <w:rStyle w:val="IndexLink"/>
              </w:rPr>
              <w:t>9</w:t>
            </w:r>
            <w:r>
              <w:rPr>
                <w:rStyle w:val="IndexLink"/>
                <w:rtl w:val="true"/>
              </w:rPr>
              <w:t>»</w:t>
              <w:tab/>
            </w:r>
            <w:r>
              <w:rPr>
                <w:rStyle w:val="IndexLink"/>
              </w:rPr>
              <w:t>273</w:t>
            </w:r>
          </w:hyperlink>
        </w:p>
        <w:p>
          <w:pPr>
            <w:pStyle w:val="Contents5"/>
            <w:tabs>
              <w:tab w:val="clear" w:pos="7892"/>
              <w:tab w:val="right" w:pos="9026" w:leader="dot"/>
            </w:tabs>
            <w:rPr/>
          </w:pPr>
          <w:hyperlink w:anchor="__RefHeading___Toc605932_1934241801">
            <w:r>
              <w:rPr>
                <w:webHidden/>
                <w:rStyle w:val="IndexLink"/>
                <w:rtl w:val="true"/>
              </w:rPr>
              <w:t xml:space="preserve">روایت </w:t>
            </w:r>
            <w:r>
              <w:rPr>
                <w:rStyle w:val="IndexLink"/>
              </w:rPr>
              <w:t>7</w:t>
            </w:r>
            <w:r>
              <w:rPr>
                <w:rStyle w:val="IndexLink"/>
                <w:rtl w:val="true"/>
              </w:rPr>
              <w:tab/>
            </w:r>
            <w:r>
              <w:rPr>
                <w:rStyle w:val="IndexLink"/>
              </w:rPr>
              <w:t>273</w:t>
            </w:r>
          </w:hyperlink>
        </w:p>
        <w:p>
          <w:pPr>
            <w:pStyle w:val="Contents5"/>
            <w:tabs>
              <w:tab w:val="clear" w:pos="7892"/>
              <w:tab w:val="right" w:pos="9026" w:leader="dot"/>
            </w:tabs>
            <w:rPr/>
          </w:pPr>
          <w:hyperlink w:anchor="__RefHeading___Toc605934_1934241801">
            <w:r>
              <w:rPr>
                <w:webHidden/>
                <w:rStyle w:val="IndexLink"/>
                <w:rtl w:val="true"/>
              </w:rPr>
              <w:t xml:space="preserve">روایت </w:t>
            </w:r>
            <w:r>
              <w:rPr>
                <w:rStyle w:val="IndexLink"/>
              </w:rPr>
              <w:t>8</w:t>
            </w:r>
            <w:r>
              <w:rPr>
                <w:rStyle w:val="IndexLink"/>
                <w:rtl w:val="true"/>
              </w:rPr>
              <w:tab/>
            </w:r>
            <w:r>
              <w:rPr>
                <w:rStyle w:val="IndexLink"/>
              </w:rPr>
              <w:t>273</w:t>
            </w:r>
          </w:hyperlink>
        </w:p>
        <w:p>
          <w:pPr>
            <w:pStyle w:val="Contents5"/>
            <w:tabs>
              <w:tab w:val="clear" w:pos="7892"/>
              <w:tab w:val="right" w:pos="9026" w:leader="dot"/>
            </w:tabs>
            <w:rPr/>
          </w:pPr>
          <w:hyperlink w:anchor="__RefHeading___Toc605936_1934241801">
            <w:r>
              <w:rPr>
                <w:webHidden/>
                <w:rStyle w:val="IndexLink"/>
                <w:rtl w:val="true"/>
              </w:rPr>
              <w:t>توضیح</w:t>
            </w:r>
            <w:r>
              <w:rPr>
                <w:rStyle w:val="IndexLink"/>
                <w:rtl w:val="true"/>
              </w:rPr>
              <w:tab/>
            </w:r>
            <w:r>
              <w:rPr>
                <w:rStyle w:val="IndexLink"/>
              </w:rPr>
              <w:t>274</w:t>
            </w:r>
          </w:hyperlink>
        </w:p>
        <w:p>
          <w:pPr>
            <w:pStyle w:val="Contents5"/>
            <w:tabs>
              <w:tab w:val="clear" w:pos="7892"/>
              <w:tab w:val="right" w:pos="9026" w:leader="dot"/>
            </w:tabs>
            <w:rPr/>
          </w:pPr>
          <w:hyperlink w:anchor="__RefHeading___Toc605938_1934241801">
            <w:r>
              <w:rPr>
                <w:webHidden/>
                <w:rStyle w:val="IndexLink"/>
                <w:rtl w:val="true"/>
              </w:rPr>
              <w:t xml:space="preserve">روایت </w:t>
            </w:r>
            <w:r>
              <w:rPr>
                <w:rStyle w:val="IndexLink"/>
              </w:rPr>
              <w:t>9</w:t>
            </w:r>
            <w:r>
              <w:rPr>
                <w:rStyle w:val="IndexLink"/>
                <w:rtl w:val="true"/>
              </w:rPr>
              <w:tab/>
            </w:r>
            <w:r>
              <w:rPr>
                <w:rStyle w:val="IndexLink"/>
              </w:rPr>
              <w:t>274</w:t>
            </w:r>
          </w:hyperlink>
        </w:p>
        <w:p>
          <w:pPr>
            <w:pStyle w:val="Contents5"/>
            <w:tabs>
              <w:tab w:val="clear" w:pos="7892"/>
              <w:tab w:val="right" w:pos="9026" w:leader="dot"/>
            </w:tabs>
            <w:rPr/>
          </w:pPr>
          <w:hyperlink w:anchor="__RefHeading___Toc605940_1934241801">
            <w:r>
              <w:rPr>
                <w:webHidden/>
                <w:rStyle w:val="IndexLink"/>
                <w:rtl w:val="true"/>
              </w:rPr>
              <w:t>«</w:t>
            </w:r>
            <w:r>
              <w:rPr>
                <w:rStyle w:val="IndexLink"/>
              </w:rPr>
              <w:t>10</w:t>
            </w:r>
            <w:r>
              <w:rPr>
                <w:rStyle w:val="IndexLink"/>
                <w:rtl w:val="true"/>
              </w:rPr>
              <w:t>»</w:t>
              <w:tab/>
            </w:r>
            <w:r>
              <w:rPr>
                <w:rStyle w:val="IndexLink"/>
              </w:rPr>
              <w:t>275</w:t>
            </w:r>
          </w:hyperlink>
        </w:p>
        <w:p>
          <w:pPr>
            <w:pStyle w:val="Contents5"/>
            <w:tabs>
              <w:tab w:val="clear" w:pos="7892"/>
              <w:tab w:val="right" w:pos="9026" w:leader="dot"/>
            </w:tabs>
            <w:rPr/>
          </w:pPr>
          <w:hyperlink w:anchor="__RefHeading___Toc605942_1934241801">
            <w:r>
              <w:rPr>
                <w:webHidden/>
                <w:rStyle w:val="IndexLink"/>
                <w:rtl w:val="true"/>
              </w:rPr>
              <w:t>بيان</w:t>
            </w:r>
            <w:r>
              <w:rPr>
                <w:rStyle w:val="IndexLink"/>
                <w:rtl w:val="true"/>
              </w:rPr>
              <w:tab/>
            </w:r>
            <w:r>
              <w:rPr>
                <w:rStyle w:val="IndexLink"/>
              </w:rPr>
              <w:t>275</w:t>
            </w:r>
          </w:hyperlink>
        </w:p>
        <w:p>
          <w:pPr>
            <w:pStyle w:val="Contents5"/>
            <w:tabs>
              <w:tab w:val="clear" w:pos="7892"/>
              <w:tab w:val="right" w:pos="9026" w:leader="dot"/>
            </w:tabs>
            <w:rPr/>
          </w:pPr>
          <w:hyperlink w:anchor="__RefHeading___Toc605944_1934241801">
            <w:r>
              <w:rPr>
                <w:webHidden/>
                <w:rStyle w:val="IndexLink"/>
                <w:rtl w:val="true"/>
              </w:rPr>
              <w:t xml:space="preserve">روایت </w:t>
            </w:r>
            <w:r>
              <w:rPr>
                <w:rStyle w:val="IndexLink"/>
              </w:rPr>
              <w:t>10</w:t>
            </w:r>
            <w:r>
              <w:rPr>
                <w:rStyle w:val="IndexLink"/>
                <w:rtl w:val="true"/>
              </w:rPr>
              <w:tab/>
            </w:r>
            <w:r>
              <w:rPr>
                <w:rStyle w:val="IndexLink"/>
              </w:rPr>
              <w:t>275</w:t>
            </w:r>
          </w:hyperlink>
        </w:p>
        <w:p>
          <w:pPr>
            <w:pStyle w:val="Contents5"/>
            <w:tabs>
              <w:tab w:val="clear" w:pos="7892"/>
              <w:tab w:val="right" w:pos="9026" w:leader="dot"/>
            </w:tabs>
            <w:rPr/>
          </w:pPr>
          <w:hyperlink w:anchor="__RefHeading___Toc605946_1934241801">
            <w:r>
              <w:rPr>
                <w:webHidden/>
                <w:rStyle w:val="IndexLink"/>
                <w:rtl w:val="true"/>
              </w:rPr>
              <w:t>توضیح</w:t>
            </w:r>
            <w:r>
              <w:rPr>
                <w:rStyle w:val="IndexLink"/>
                <w:rtl w:val="true"/>
              </w:rPr>
              <w:tab/>
            </w:r>
            <w:r>
              <w:rPr>
                <w:rStyle w:val="IndexLink"/>
              </w:rPr>
              <w:t>276</w:t>
            </w:r>
          </w:hyperlink>
        </w:p>
        <w:p>
          <w:pPr>
            <w:pStyle w:val="Contents5"/>
            <w:tabs>
              <w:tab w:val="clear" w:pos="7892"/>
              <w:tab w:val="right" w:pos="9026" w:leader="dot"/>
            </w:tabs>
            <w:rPr/>
          </w:pPr>
          <w:hyperlink w:anchor="__RefHeading___Toc605948_1934241801">
            <w:r>
              <w:rPr>
                <w:webHidden/>
                <w:rStyle w:val="IndexLink"/>
                <w:rtl w:val="true"/>
              </w:rPr>
              <w:t>«</w:t>
            </w:r>
            <w:r>
              <w:rPr>
                <w:rStyle w:val="IndexLink"/>
              </w:rPr>
              <w:t>11</w:t>
            </w:r>
            <w:r>
              <w:rPr>
                <w:rStyle w:val="IndexLink"/>
                <w:rtl w:val="true"/>
              </w:rPr>
              <w:t>»</w:t>
              <w:tab/>
            </w:r>
            <w:r>
              <w:rPr>
                <w:rStyle w:val="IndexLink"/>
              </w:rPr>
              <w:t>279</w:t>
            </w:r>
          </w:hyperlink>
        </w:p>
        <w:p>
          <w:pPr>
            <w:pStyle w:val="Contents5"/>
            <w:tabs>
              <w:tab w:val="clear" w:pos="7892"/>
              <w:tab w:val="right" w:pos="9026" w:leader="dot"/>
            </w:tabs>
            <w:rPr/>
          </w:pPr>
          <w:hyperlink w:anchor="__RefHeading___Toc605950_1934241801">
            <w:r>
              <w:rPr>
                <w:webHidden/>
                <w:rStyle w:val="IndexLink"/>
                <w:rtl w:val="true"/>
              </w:rPr>
              <w:t>«</w:t>
            </w:r>
            <w:r>
              <w:rPr>
                <w:rStyle w:val="IndexLink"/>
              </w:rPr>
              <w:t>12</w:t>
            </w:r>
            <w:r>
              <w:rPr>
                <w:rStyle w:val="IndexLink"/>
                <w:rtl w:val="true"/>
              </w:rPr>
              <w:t>»</w:t>
              <w:tab/>
            </w:r>
            <w:r>
              <w:rPr>
                <w:rStyle w:val="IndexLink"/>
              </w:rPr>
              <w:t>279</w:t>
            </w:r>
          </w:hyperlink>
        </w:p>
        <w:p>
          <w:pPr>
            <w:pStyle w:val="Contents5"/>
            <w:tabs>
              <w:tab w:val="clear" w:pos="7892"/>
              <w:tab w:val="right" w:pos="9026" w:leader="dot"/>
            </w:tabs>
            <w:rPr/>
          </w:pPr>
          <w:hyperlink w:anchor="__RefHeading___Toc605952_1934241801">
            <w:r>
              <w:rPr>
                <w:webHidden/>
                <w:rStyle w:val="IndexLink"/>
                <w:rtl w:val="true"/>
              </w:rPr>
              <w:t>بيان</w:t>
            </w:r>
            <w:r>
              <w:rPr>
                <w:rStyle w:val="IndexLink"/>
                <w:rtl w:val="true"/>
              </w:rPr>
              <w:tab/>
            </w:r>
            <w:r>
              <w:rPr>
                <w:rStyle w:val="IndexLink"/>
              </w:rPr>
              <w:t>279</w:t>
            </w:r>
          </w:hyperlink>
        </w:p>
        <w:p>
          <w:pPr>
            <w:pStyle w:val="Contents5"/>
            <w:tabs>
              <w:tab w:val="clear" w:pos="7892"/>
              <w:tab w:val="right" w:pos="9026" w:leader="dot"/>
            </w:tabs>
            <w:rPr/>
          </w:pPr>
          <w:hyperlink w:anchor="__RefHeading___Toc605954_1934241801">
            <w:r>
              <w:rPr>
                <w:webHidden/>
                <w:rStyle w:val="IndexLink"/>
                <w:rtl w:val="true"/>
              </w:rPr>
              <w:t>«</w:t>
            </w:r>
            <w:r>
              <w:rPr>
                <w:rStyle w:val="IndexLink"/>
              </w:rPr>
              <w:t>13</w:t>
            </w:r>
            <w:r>
              <w:rPr>
                <w:rStyle w:val="IndexLink"/>
                <w:rtl w:val="true"/>
              </w:rPr>
              <w:t>»</w:t>
              <w:tab/>
            </w:r>
            <w:r>
              <w:rPr>
                <w:rStyle w:val="IndexLink"/>
              </w:rPr>
              <w:t>279</w:t>
            </w:r>
          </w:hyperlink>
        </w:p>
        <w:p>
          <w:pPr>
            <w:pStyle w:val="Contents5"/>
            <w:tabs>
              <w:tab w:val="clear" w:pos="7892"/>
              <w:tab w:val="right" w:pos="9026" w:leader="dot"/>
            </w:tabs>
            <w:rPr/>
          </w:pPr>
          <w:hyperlink w:anchor="__RefHeading___Toc605956_1934241801">
            <w:r>
              <w:rPr>
                <w:webHidden/>
                <w:rStyle w:val="IndexLink"/>
                <w:rtl w:val="true"/>
              </w:rPr>
              <w:t>«</w:t>
            </w:r>
            <w:r>
              <w:rPr>
                <w:rStyle w:val="IndexLink"/>
              </w:rPr>
              <w:t>14</w:t>
            </w:r>
            <w:r>
              <w:rPr>
                <w:rStyle w:val="IndexLink"/>
                <w:rtl w:val="true"/>
              </w:rPr>
              <w:t>»</w:t>
              <w:tab/>
            </w:r>
            <w:r>
              <w:rPr>
                <w:rStyle w:val="IndexLink"/>
              </w:rPr>
              <w:t>279</w:t>
            </w:r>
          </w:hyperlink>
        </w:p>
        <w:p>
          <w:pPr>
            <w:pStyle w:val="Contents5"/>
            <w:tabs>
              <w:tab w:val="clear" w:pos="7892"/>
              <w:tab w:val="right" w:pos="9026" w:leader="dot"/>
            </w:tabs>
            <w:rPr/>
          </w:pPr>
          <w:hyperlink w:anchor="__RefHeading___Toc605958_1934241801">
            <w:r>
              <w:rPr>
                <w:webHidden/>
                <w:rStyle w:val="IndexLink"/>
                <w:rtl w:val="true"/>
              </w:rPr>
              <w:t xml:space="preserve">روایت </w:t>
            </w:r>
            <w:r>
              <w:rPr>
                <w:rStyle w:val="IndexLink"/>
              </w:rPr>
              <w:t>11</w:t>
            </w:r>
            <w:r>
              <w:rPr>
                <w:rStyle w:val="IndexLink"/>
                <w:rtl w:val="true"/>
              </w:rPr>
              <w:tab/>
            </w:r>
            <w:r>
              <w:rPr>
                <w:rStyle w:val="IndexLink"/>
              </w:rPr>
              <w:t>279</w:t>
            </w:r>
          </w:hyperlink>
        </w:p>
        <w:p>
          <w:pPr>
            <w:pStyle w:val="Contents5"/>
            <w:tabs>
              <w:tab w:val="clear" w:pos="7892"/>
              <w:tab w:val="right" w:pos="9026" w:leader="dot"/>
            </w:tabs>
            <w:rPr/>
          </w:pPr>
          <w:hyperlink w:anchor="__RefHeading___Toc605960_1934241801">
            <w:r>
              <w:rPr>
                <w:webHidden/>
                <w:rStyle w:val="IndexLink"/>
                <w:rtl w:val="true"/>
              </w:rPr>
              <w:t xml:space="preserve">روایت </w:t>
            </w:r>
            <w:r>
              <w:rPr>
                <w:rStyle w:val="IndexLink"/>
              </w:rPr>
              <w:t>12</w:t>
            </w:r>
            <w:r>
              <w:rPr>
                <w:rStyle w:val="IndexLink"/>
                <w:rtl w:val="true"/>
              </w:rPr>
              <w:tab/>
            </w:r>
            <w:r>
              <w:rPr>
                <w:rStyle w:val="IndexLink"/>
              </w:rPr>
              <w:t>280</w:t>
            </w:r>
          </w:hyperlink>
        </w:p>
        <w:p>
          <w:pPr>
            <w:pStyle w:val="Contents5"/>
            <w:tabs>
              <w:tab w:val="clear" w:pos="7892"/>
              <w:tab w:val="right" w:pos="9026" w:leader="dot"/>
            </w:tabs>
            <w:rPr/>
          </w:pPr>
          <w:hyperlink w:anchor="__RefHeading___Toc605962_1934241801">
            <w:r>
              <w:rPr>
                <w:webHidden/>
                <w:rStyle w:val="IndexLink"/>
                <w:rtl w:val="true"/>
              </w:rPr>
              <w:t>توضیح</w:t>
            </w:r>
            <w:r>
              <w:rPr>
                <w:rStyle w:val="IndexLink"/>
                <w:rtl w:val="true"/>
              </w:rPr>
              <w:tab/>
            </w:r>
            <w:r>
              <w:rPr>
                <w:rStyle w:val="IndexLink"/>
              </w:rPr>
              <w:t>280</w:t>
            </w:r>
          </w:hyperlink>
        </w:p>
        <w:p>
          <w:pPr>
            <w:pStyle w:val="Contents5"/>
            <w:tabs>
              <w:tab w:val="clear" w:pos="7892"/>
              <w:tab w:val="right" w:pos="9026" w:leader="dot"/>
            </w:tabs>
            <w:rPr/>
          </w:pPr>
          <w:hyperlink w:anchor="__RefHeading___Toc605964_1934241801">
            <w:r>
              <w:rPr>
                <w:webHidden/>
                <w:rStyle w:val="IndexLink"/>
                <w:rtl w:val="true"/>
              </w:rPr>
              <w:t xml:space="preserve">روایت </w:t>
            </w:r>
            <w:r>
              <w:rPr>
                <w:rStyle w:val="IndexLink"/>
              </w:rPr>
              <w:t>13</w:t>
            </w:r>
            <w:r>
              <w:rPr>
                <w:rStyle w:val="IndexLink"/>
                <w:rtl w:val="true"/>
              </w:rPr>
              <w:tab/>
            </w:r>
            <w:r>
              <w:rPr>
                <w:rStyle w:val="IndexLink"/>
              </w:rPr>
              <w:t>280</w:t>
            </w:r>
          </w:hyperlink>
        </w:p>
        <w:p>
          <w:pPr>
            <w:pStyle w:val="Contents5"/>
            <w:tabs>
              <w:tab w:val="clear" w:pos="7892"/>
              <w:tab w:val="right" w:pos="9026" w:leader="dot"/>
            </w:tabs>
            <w:rPr/>
          </w:pPr>
          <w:hyperlink w:anchor="__RefHeading___Toc605966_1934241801">
            <w:r>
              <w:rPr>
                <w:webHidden/>
                <w:rStyle w:val="IndexLink"/>
                <w:rtl w:val="true"/>
              </w:rPr>
              <w:t xml:space="preserve">روایت </w:t>
            </w:r>
            <w:r>
              <w:rPr>
                <w:rStyle w:val="IndexLink"/>
              </w:rPr>
              <w:t>14</w:t>
            </w:r>
            <w:r>
              <w:rPr>
                <w:rStyle w:val="IndexLink"/>
                <w:rtl w:val="true"/>
              </w:rPr>
              <w:tab/>
            </w:r>
            <w:r>
              <w:rPr>
                <w:rStyle w:val="IndexLink"/>
              </w:rPr>
              <w:t>280</w:t>
            </w:r>
          </w:hyperlink>
        </w:p>
        <w:p>
          <w:pPr>
            <w:pStyle w:val="Contents5"/>
            <w:tabs>
              <w:tab w:val="clear" w:pos="7892"/>
              <w:tab w:val="right" w:pos="9026" w:leader="dot"/>
            </w:tabs>
            <w:rPr/>
          </w:pPr>
          <w:hyperlink w:anchor="__RefHeading___Toc605968_1934241801">
            <w:r>
              <w:rPr>
                <w:webHidden/>
                <w:rStyle w:val="IndexLink"/>
                <w:rtl w:val="true"/>
              </w:rPr>
              <w:t>«</w:t>
            </w:r>
            <w:r>
              <w:rPr>
                <w:rStyle w:val="IndexLink"/>
              </w:rPr>
              <w:t>15</w:t>
            </w:r>
            <w:r>
              <w:rPr>
                <w:rStyle w:val="IndexLink"/>
                <w:rtl w:val="true"/>
              </w:rPr>
              <w:t>»</w:t>
              <w:tab/>
            </w:r>
            <w:r>
              <w:rPr>
                <w:rStyle w:val="IndexLink"/>
              </w:rPr>
              <w:t>281</w:t>
            </w:r>
          </w:hyperlink>
        </w:p>
        <w:p>
          <w:pPr>
            <w:pStyle w:val="Contents5"/>
            <w:tabs>
              <w:tab w:val="clear" w:pos="7892"/>
              <w:tab w:val="right" w:pos="9026" w:leader="dot"/>
            </w:tabs>
            <w:rPr/>
          </w:pPr>
          <w:hyperlink w:anchor="__RefHeading___Toc605970_1934241801">
            <w:r>
              <w:rPr>
                <w:webHidden/>
                <w:rStyle w:val="IndexLink"/>
                <w:rtl w:val="true"/>
              </w:rPr>
              <w:t xml:space="preserve">روایت </w:t>
            </w:r>
            <w:r>
              <w:rPr>
                <w:rStyle w:val="IndexLink"/>
              </w:rPr>
              <w:t>15</w:t>
            </w:r>
            <w:r>
              <w:rPr>
                <w:rStyle w:val="IndexLink"/>
                <w:rtl w:val="true"/>
              </w:rPr>
              <w:tab/>
            </w:r>
            <w:r>
              <w:rPr>
                <w:rStyle w:val="IndexLink"/>
              </w:rPr>
              <w:t>281</w:t>
            </w:r>
          </w:hyperlink>
        </w:p>
        <w:p>
          <w:pPr>
            <w:pStyle w:val="Contents5"/>
            <w:tabs>
              <w:tab w:val="clear" w:pos="7892"/>
              <w:tab w:val="right" w:pos="9026" w:leader="dot"/>
            </w:tabs>
            <w:rPr/>
          </w:pPr>
          <w:hyperlink w:anchor="__RefHeading___Toc605972_1934241801">
            <w:r>
              <w:rPr>
                <w:webHidden/>
                <w:rStyle w:val="IndexLink"/>
                <w:rtl w:val="true"/>
              </w:rPr>
              <w:t>«</w:t>
            </w:r>
            <w:r>
              <w:rPr>
                <w:rStyle w:val="IndexLink"/>
              </w:rPr>
              <w:t>16</w:t>
            </w:r>
            <w:r>
              <w:rPr>
                <w:rStyle w:val="IndexLink"/>
                <w:rtl w:val="true"/>
              </w:rPr>
              <w:t>»</w:t>
              <w:tab/>
            </w:r>
            <w:r>
              <w:rPr>
                <w:rStyle w:val="IndexLink"/>
              </w:rPr>
              <w:t>283</w:t>
            </w:r>
          </w:hyperlink>
        </w:p>
        <w:p>
          <w:pPr>
            <w:pStyle w:val="Contents5"/>
            <w:tabs>
              <w:tab w:val="clear" w:pos="7892"/>
              <w:tab w:val="right" w:pos="9026" w:leader="dot"/>
            </w:tabs>
            <w:rPr/>
          </w:pPr>
          <w:hyperlink w:anchor="__RefHeading___Toc605974_1934241801">
            <w:r>
              <w:rPr>
                <w:webHidden/>
                <w:rStyle w:val="IndexLink"/>
                <w:rtl w:val="true"/>
              </w:rPr>
              <w:t>«</w:t>
            </w:r>
            <w:r>
              <w:rPr>
                <w:rStyle w:val="IndexLink"/>
              </w:rPr>
              <w:t>17</w:t>
            </w:r>
            <w:r>
              <w:rPr>
                <w:rStyle w:val="IndexLink"/>
                <w:rtl w:val="true"/>
              </w:rPr>
              <w:t>»</w:t>
              <w:tab/>
            </w:r>
            <w:r>
              <w:rPr>
                <w:rStyle w:val="IndexLink"/>
              </w:rPr>
              <w:t>283</w:t>
            </w:r>
          </w:hyperlink>
        </w:p>
        <w:p>
          <w:pPr>
            <w:pStyle w:val="Contents5"/>
            <w:tabs>
              <w:tab w:val="clear" w:pos="7892"/>
              <w:tab w:val="right" w:pos="9026" w:leader="dot"/>
            </w:tabs>
            <w:rPr/>
          </w:pPr>
          <w:hyperlink w:anchor="__RefHeading___Toc605976_1934241801">
            <w:r>
              <w:rPr>
                <w:webHidden/>
                <w:rStyle w:val="IndexLink"/>
                <w:rtl w:val="true"/>
              </w:rPr>
              <w:t>«</w:t>
            </w:r>
            <w:r>
              <w:rPr>
                <w:rStyle w:val="IndexLink"/>
              </w:rPr>
              <w:t>18</w:t>
            </w:r>
            <w:r>
              <w:rPr>
                <w:rStyle w:val="IndexLink"/>
                <w:rtl w:val="true"/>
              </w:rPr>
              <w:t>»</w:t>
              <w:tab/>
            </w:r>
            <w:r>
              <w:rPr>
                <w:rStyle w:val="IndexLink"/>
              </w:rPr>
              <w:t>283</w:t>
            </w:r>
          </w:hyperlink>
        </w:p>
        <w:p>
          <w:pPr>
            <w:pStyle w:val="Contents5"/>
            <w:tabs>
              <w:tab w:val="clear" w:pos="7892"/>
              <w:tab w:val="right" w:pos="9026" w:leader="dot"/>
            </w:tabs>
            <w:rPr/>
          </w:pPr>
          <w:hyperlink w:anchor="__RefHeading___Toc605978_1934241801">
            <w:r>
              <w:rPr>
                <w:webHidden/>
                <w:rStyle w:val="IndexLink"/>
                <w:rtl w:val="true"/>
              </w:rPr>
              <w:t>«</w:t>
            </w:r>
            <w:r>
              <w:rPr>
                <w:rStyle w:val="IndexLink"/>
              </w:rPr>
              <w:t>19</w:t>
            </w:r>
            <w:r>
              <w:rPr>
                <w:rStyle w:val="IndexLink"/>
                <w:rtl w:val="true"/>
              </w:rPr>
              <w:t>»</w:t>
              <w:tab/>
            </w:r>
            <w:r>
              <w:rPr>
                <w:rStyle w:val="IndexLink"/>
              </w:rPr>
              <w:t>283</w:t>
            </w:r>
          </w:hyperlink>
        </w:p>
        <w:p>
          <w:pPr>
            <w:pStyle w:val="Contents5"/>
            <w:tabs>
              <w:tab w:val="clear" w:pos="7892"/>
              <w:tab w:val="right" w:pos="9026" w:leader="dot"/>
            </w:tabs>
            <w:rPr/>
          </w:pPr>
          <w:hyperlink w:anchor="__RefHeading___Toc605980_1934241801">
            <w:r>
              <w:rPr>
                <w:webHidden/>
                <w:rStyle w:val="IndexLink"/>
                <w:rtl w:val="true"/>
              </w:rPr>
              <w:t>«</w:t>
            </w:r>
            <w:r>
              <w:rPr>
                <w:rStyle w:val="IndexLink"/>
              </w:rPr>
              <w:t>20</w:t>
            </w:r>
            <w:r>
              <w:rPr>
                <w:rStyle w:val="IndexLink"/>
                <w:rtl w:val="true"/>
              </w:rPr>
              <w:t>»</w:t>
              <w:tab/>
            </w:r>
            <w:r>
              <w:rPr>
                <w:rStyle w:val="IndexLink"/>
              </w:rPr>
              <w:t>283</w:t>
            </w:r>
          </w:hyperlink>
        </w:p>
        <w:p>
          <w:pPr>
            <w:pStyle w:val="Contents5"/>
            <w:tabs>
              <w:tab w:val="clear" w:pos="7892"/>
              <w:tab w:val="right" w:pos="9026" w:leader="dot"/>
            </w:tabs>
            <w:rPr/>
          </w:pPr>
          <w:hyperlink w:anchor="__RefHeading___Toc605982_1934241801">
            <w:r>
              <w:rPr>
                <w:webHidden/>
                <w:rStyle w:val="IndexLink"/>
                <w:rtl w:val="true"/>
              </w:rPr>
              <w:t>بيان</w:t>
            </w:r>
            <w:r>
              <w:rPr>
                <w:rStyle w:val="IndexLink"/>
                <w:rtl w:val="true"/>
              </w:rPr>
              <w:tab/>
            </w:r>
            <w:r>
              <w:rPr>
                <w:rStyle w:val="IndexLink"/>
              </w:rPr>
              <w:t>283</w:t>
            </w:r>
          </w:hyperlink>
        </w:p>
        <w:p>
          <w:pPr>
            <w:pStyle w:val="Contents5"/>
            <w:tabs>
              <w:tab w:val="clear" w:pos="7892"/>
              <w:tab w:val="right" w:pos="9026" w:leader="dot"/>
            </w:tabs>
            <w:rPr/>
          </w:pPr>
          <w:hyperlink w:anchor="__RefHeading___Toc605984_1934241801">
            <w:r>
              <w:rPr>
                <w:webHidden/>
                <w:rStyle w:val="IndexLink"/>
                <w:rtl w:val="true"/>
              </w:rPr>
              <w:t xml:space="preserve">روایت </w:t>
            </w:r>
            <w:r>
              <w:rPr>
                <w:rStyle w:val="IndexLink"/>
              </w:rPr>
              <w:t>16</w:t>
            </w:r>
            <w:r>
              <w:rPr>
                <w:rStyle w:val="IndexLink"/>
                <w:rtl w:val="true"/>
              </w:rPr>
              <w:tab/>
            </w:r>
            <w:r>
              <w:rPr>
                <w:rStyle w:val="IndexLink"/>
              </w:rPr>
              <w:t>283</w:t>
            </w:r>
          </w:hyperlink>
        </w:p>
        <w:p>
          <w:pPr>
            <w:pStyle w:val="Contents5"/>
            <w:tabs>
              <w:tab w:val="clear" w:pos="7892"/>
              <w:tab w:val="right" w:pos="9026" w:leader="dot"/>
            </w:tabs>
            <w:rPr/>
          </w:pPr>
          <w:hyperlink w:anchor="__RefHeading___Toc605986_1934241801">
            <w:r>
              <w:rPr>
                <w:webHidden/>
                <w:rStyle w:val="IndexLink"/>
                <w:rtl w:val="true"/>
              </w:rPr>
              <w:t xml:space="preserve">روایت </w:t>
            </w:r>
            <w:r>
              <w:rPr>
                <w:rStyle w:val="IndexLink"/>
              </w:rPr>
              <w:t>17</w:t>
            </w:r>
            <w:r>
              <w:rPr>
                <w:rStyle w:val="IndexLink"/>
                <w:rtl w:val="true"/>
              </w:rPr>
              <w:tab/>
            </w:r>
            <w:r>
              <w:rPr>
                <w:rStyle w:val="IndexLink"/>
              </w:rPr>
              <w:t>283</w:t>
            </w:r>
          </w:hyperlink>
        </w:p>
        <w:p>
          <w:pPr>
            <w:pStyle w:val="Contents5"/>
            <w:tabs>
              <w:tab w:val="clear" w:pos="7892"/>
              <w:tab w:val="right" w:pos="9026" w:leader="dot"/>
            </w:tabs>
            <w:rPr/>
          </w:pPr>
          <w:hyperlink w:anchor="__RefHeading___Toc605988_1934241801">
            <w:r>
              <w:rPr>
                <w:webHidden/>
                <w:rStyle w:val="IndexLink"/>
                <w:rtl w:val="true"/>
              </w:rPr>
              <w:t xml:space="preserve">روایت </w:t>
            </w:r>
            <w:r>
              <w:rPr>
                <w:rStyle w:val="IndexLink"/>
              </w:rPr>
              <w:t>18</w:t>
            </w:r>
            <w:r>
              <w:rPr>
                <w:rStyle w:val="IndexLink"/>
                <w:rtl w:val="true"/>
              </w:rPr>
              <w:tab/>
            </w:r>
            <w:r>
              <w:rPr>
                <w:rStyle w:val="IndexLink"/>
              </w:rPr>
              <w:t>284</w:t>
            </w:r>
          </w:hyperlink>
        </w:p>
        <w:p>
          <w:pPr>
            <w:pStyle w:val="Contents5"/>
            <w:tabs>
              <w:tab w:val="clear" w:pos="7892"/>
              <w:tab w:val="right" w:pos="9026" w:leader="dot"/>
            </w:tabs>
            <w:rPr/>
          </w:pPr>
          <w:hyperlink w:anchor="__RefHeading___Toc605990_1934241801">
            <w:r>
              <w:rPr>
                <w:webHidden/>
                <w:rStyle w:val="IndexLink"/>
                <w:rtl w:val="true"/>
              </w:rPr>
              <w:t xml:space="preserve">روایت </w:t>
            </w:r>
            <w:r>
              <w:rPr>
                <w:rStyle w:val="IndexLink"/>
              </w:rPr>
              <w:t>19</w:t>
            </w:r>
            <w:r>
              <w:rPr>
                <w:rStyle w:val="IndexLink"/>
                <w:rtl w:val="true"/>
              </w:rPr>
              <w:tab/>
            </w:r>
            <w:r>
              <w:rPr>
                <w:rStyle w:val="IndexLink"/>
              </w:rPr>
              <w:t>284</w:t>
            </w:r>
          </w:hyperlink>
        </w:p>
        <w:p>
          <w:pPr>
            <w:pStyle w:val="Contents5"/>
            <w:tabs>
              <w:tab w:val="clear" w:pos="7892"/>
              <w:tab w:val="right" w:pos="9026" w:leader="dot"/>
            </w:tabs>
            <w:rPr/>
          </w:pPr>
          <w:hyperlink w:anchor="__RefHeading___Toc605992_1934241801">
            <w:r>
              <w:rPr>
                <w:webHidden/>
                <w:rStyle w:val="IndexLink"/>
                <w:rtl w:val="true"/>
              </w:rPr>
              <w:t xml:space="preserve">روایت </w:t>
            </w:r>
            <w:r>
              <w:rPr>
                <w:rStyle w:val="IndexLink"/>
              </w:rPr>
              <w:t>20</w:t>
            </w:r>
            <w:r>
              <w:rPr>
                <w:rStyle w:val="IndexLink"/>
                <w:rtl w:val="true"/>
              </w:rPr>
              <w:tab/>
            </w:r>
            <w:r>
              <w:rPr>
                <w:rStyle w:val="IndexLink"/>
              </w:rPr>
              <w:t>284</w:t>
            </w:r>
          </w:hyperlink>
        </w:p>
        <w:p>
          <w:pPr>
            <w:pStyle w:val="Contents5"/>
            <w:tabs>
              <w:tab w:val="clear" w:pos="7892"/>
              <w:tab w:val="right" w:pos="9026" w:leader="dot"/>
            </w:tabs>
            <w:rPr/>
          </w:pPr>
          <w:hyperlink w:anchor="__RefHeading___Toc605994_1934241801">
            <w:r>
              <w:rPr>
                <w:webHidden/>
                <w:rStyle w:val="IndexLink"/>
                <w:rtl w:val="true"/>
              </w:rPr>
              <w:t>توضیح</w:t>
            </w:r>
            <w:r>
              <w:rPr>
                <w:rStyle w:val="IndexLink"/>
                <w:rtl w:val="true"/>
              </w:rPr>
              <w:tab/>
            </w:r>
            <w:r>
              <w:rPr>
                <w:rStyle w:val="IndexLink"/>
              </w:rPr>
              <w:t>284</w:t>
            </w:r>
          </w:hyperlink>
        </w:p>
        <w:p>
          <w:pPr>
            <w:pStyle w:val="Contents5"/>
            <w:tabs>
              <w:tab w:val="clear" w:pos="7892"/>
              <w:tab w:val="right" w:pos="9026" w:leader="dot"/>
            </w:tabs>
            <w:rPr/>
          </w:pPr>
          <w:hyperlink w:anchor="__RefHeading___Toc605996_1934241801">
            <w:r>
              <w:rPr>
                <w:webHidden/>
                <w:rStyle w:val="IndexLink"/>
                <w:rtl w:val="true"/>
              </w:rPr>
              <w:t>«</w:t>
            </w:r>
            <w:r>
              <w:rPr>
                <w:rStyle w:val="IndexLink"/>
              </w:rPr>
              <w:t>21</w:t>
            </w:r>
            <w:r>
              <w:rPr>
                <w:rStyle w:val="IndexLink"/>
                <w:rtl w:val="true"/>
              </w:rPr>
              <w:t>»</w:t>
              <w:tab/>
            </w:r>
            <w:r>
              <w:rPr>
                <w:rStyle w:val="IndexLink"/>
              </w:rPr>
              <w:t>285</w:t>
            </w:r>
          </w:hyperlink>
        </w:p>
        <w:p>
          <w:pPr>
            <w:pStyle w:val="Contents5"/>
            <w:tabs>
              <w:tab w:val="clear" w:pos="7892"/>
              <w:tab w:val="right" w:pos="9026" w:leader="dot"/>
            </w:tabs>
            <w:rPr/>
          </w:pPr>
          <w:hyperlink w:anchor="__RefHeading___Toc605998_1934241801">
            <w:r>
              <w:rPr>
                <w:webHidden/>
                <w:rStyle w:val="IndexLink"/>
                <w:rtl w:val="true"/>
              </w:rPr>
              <w:t>«</w:t>
            </w:r>
            <w:r>
              <w:rPr>
                <w:rStyle w:val="IndexLink"/>
              </w:rPr>
              <w:t>22</w:t>
            </w:r>
            <w:r>
              <w:rPr>
                <w:rStyle w:val="IndexLink"/>
                <w:rtl w:val="true"/>
              </w:rPr>
              <w:t>»</w:t>
              <w:tab/>
            </w:r>
            <w:r>
              <w:rPr>
                <w:rStyle w:val="IndexLink"/>
              </w:rPr>
              <w:t>285</w:t>
            </w:r>
          </w:hyperlink>
        </w:p>
        <w:p>
          <w:pPr>
            <w:pStyle w:val="Contents5"/>
            <w:tabs>
              <w:tab w:val="clear" w:pos="7892"/>
              <w:tab w:val="right" w:pos="9026" w:leader="dot"/>
            </w:tabs>
            <w:rPr/>
          </w:pPr>
          <w:hyperlink w:anchor="__RefHeading___Toc606000_1934241801">
            <w:r>
              <w:rPr>
                <w:webHidden/>
                <w:rStyle w:val="IndexLink"/>
                <w:rtl w:val="true"/>
              </w:rPr>
              <w:t xml:space="preserve">روایت </w:t>
            </w:r>
            <w:r>
              <w:rPr>
                <w:rStyle w:val="IndexLink"/>
              </w:rPr>
              <w:t>21</w:t>
            </w:r>
            <w:r>
              <w:rPr>
                <w:rStyle w:val="IndexLink"/>
                <w:rtl w:val="true"/>
              </w:rPr>
              <w:tab/>
            </w:r>
            <w:r>
              <w:rPr>
                <w:rStyle w:val="IndexLink"/>
              </w:rPr>
              <w:t>285</w:t>
            </w:r>
          </w:hyperlink>
        </w:p>
        <w:p>
          <w:pPr>
            <w:pStyle w:val="Contents5"/>
            <w:tabs>
              <w:tab w:val="clear" w:pos="7892"/>
              <w:tab w:val="right" w:pos="9026" w:leader="dot"/>
            </w:tabs>
            <w:rPr/>
          </w:pPr>
          <w:hyperlink w:anchor="__RefHeading___Toc606002_1934241801">
            <w:r>
              <w:rPr>
                <w:webHidden/>
                <w:rStyle w:val="IndexLink"/>
                <w:rtl w:val="true"/>
              </w:rPr>
              <w:t xml:space="preserve">روایت </w:t>
            </w:r>
            <w:r>
              <w:rPr>
                <w:rStyle w:val="IndexLink"/>
              </w:rPr>
              <w:t>22</w:t>
            </w:r>
            <w:r>
              <w:rPr>
                <w:rStyle w:val="IndexLink"/>
                <w:rtl w:val="true"/>
              </w:rPr>
              <w:tab/>
            </w:r>
            <w:r>
              <w:rPr>
                <w:rStyle w:val="IndexLink"/>
              </w:rPr>
              <w:t>285</w:t>
            </w:r>
          </w:hyperlink>
        </w:p>
        <w:p>
          <w:pPr>
            <w:pStyle w:val="Contents3"/>
            <w:tabs>
              <w:tab w:val="clear" w:pos="8459"/>
              <w:tab w:val="right" w:pos="9026" w:leader="dot"/>
            </w:tabs>
            <w:rPr/>
          </w:pPr>
          <w:hyperlink w:anchor="__RefHeading___Toc606004_1934241801">
            <w:r>
              <w:rPr>
                <w:webHidden/>
                <w:rStyle w:val="IndexLink"/>
                <w:rtl w:val="true"/>
              </w:rPr>
              <w:t xml:space="preserve">باب </w:t>
            </w:r>
            <w:r>
              <w:rPr>
                <w:rStyle w:val="IndexLink"/>
              </w:rPr>
              <w:t>6</w:t>
            </w:r>
            <w:r>
              <w:rPr>
                <w:rStyle w:val="IndexLink"/>
                <w:rtl w:val="true"/>
              </w:rPr>
              <w:t xml:space="preserve"> </w:t>
            </w:r>
            <w:r>
              <w:rPr>
                <w:rStyle w:val="IndexLink"/>
                <w:rtl w:val="true"/>
              </w:rPr>
              <w:t>التيمم و آدابه و أحكامه</w:t>
            </w:r>
            <w:r>
              <w:rPr>
                <w:rStyle w:val="IndexLink"/>
                <w:rtl w:val="true"/>
              </w:rPr>
              <w:tab/>
            </w:r>
            <w:r>
              <w:rPr>
                <w:rStyle w:val="IndexLink"/>
              </w:rPr>
              <w:t>286</w:t>
            </w:r>
          </w:hyperlink>
        </w:p>
        <w:p>
          <w:pPr>
            <w:pStyle w:val="Contents4"/>
            <w:tabs>
              <w:tab w:val="clear" w:pos="8176"/>
              <w:tab w:val="right" w:pos="9026" w:leader="dot"/>
            </w:tabs>
            <w:rPr/>
          </w:pPr>
          <w:hyperlink w:anchor="__RefHeading___Toc606006_1934241801">
            <w:r>
              <w:rPr>
                <w:webHidden/>
                <w:rStyle w:val="IndexLink"/>
                <w:rtl w:val="true"/>
              </w:rPr>
              <w:t>الآيات</w:t>
            </w:r>
            <w:r>
              <w:rPr>
                <w:rStyle w:val="IndexLink"/>
                <w:rtl w:val="true"/>
              </w:rPr>
              <w:tab/>
            </w:r>
            <w:r>
              <w:rPr>
                <w:rStyle w:val="IndexLink"/>
              </w:rPr>
              <w:t>286</w:t>
            </w:r>
          </w:hyperlink>
        </w:p>
        <w:p>
          <w:pPr>
            <w:pStyle w:val="Contents4"/>
            <w:tabs>
              <w:tab w:val="clear" w:pos="8176"/>
              <w:tab w:val="right" w:pos="9026" w:leader="dot"/>
            </w:tabs>
            <w:rPr/>
          </w:pPr>
          <w:hyperlink w:anchor="__RefHeading___Toc606008_1934241801">
            <w:r>
              <w:rPr>
                <w:webHidden/>
                <w:rStyle w:val="IndexLink"/>
                <w:rtl w:val="true"/>
              </w:rPr>
              <w:t>تفسير</w:t>
            </w:r>
            <w:r>
              <w:rPr>
                <w:rStyle w:val="IndexLink"/>
                <w:rtl w:val="true"/>
              </w:rPr>
              <w:tab/>
            </w:r>
            <w:r>
              <w:rPr>
                <w:rStyle w:val="IndexLink"/>
              </w:rPr>
              <w:t>286</w:t>
            </w:r>
          </w:hyperlink>
        </w:p>
        <w:p>
          <w:pPr>
            <w:pStyle w:val="Contents3"/>
            <w:tabs>
              <w:tab w:val="clear" w:pos="8459"/>
              <w:tab w:val="right" w:pos="9026" w:leader="dot"/>
            </w:tabs>
            <w:rPr/>
          </w:pPr>
          <w:hyperlink w:anchor="__RefHeading___Toc606010_1934241801">
            <w:r>
              <w:rPr>
                <w:webHidden/>
                <w:rStyle w:val="IndexLink"/>
                <w:rtl w:val="true"/>
              </w:rPr>
              <w:t>باب ششم</w:t>
            </w:r>
            <w:r>
              <w:rPr>
                <w:rStyle w:val="IndexLink"/>
                <w:rtl w:val="true"/>
              </w:rPr>
              <w:t xml:space="preserve">: </w:t>
            </w:r>
            <w:r>
              <w:rPr>
                <w:rStyle w:val="IndexLink"/>
                <w:rtl w:val="true"/>
              </w:rPr>
              <w:t>تیمّم و آداب و احکام آن</w:t>
            </w:r>
            <w:r>
              <w:rPr>
                <w:rStyle w:val="IndexLink"/>
                <w:rtl w:val="true"/>
              </w:rPr>
              <w:tab/>
            </w:r>
            <w:r>
              <w:rPr>
                <w:rStyle w:val="IndexLink"/>
              </w:rPr>
              <w:t>286</w:t>
            </w:r>
          </w:hyperlink>
        </w:p>
        <w:p>
          <w:pPr>
            <w:pStyle w:val="Contents4"/>
            <w:tabs>
              <w:tab w:val="clear" w:pos="8176"/>
              <w:tab w:val="right" w:pos="9026" w:leader="dot"/>
            </w:tabs>
            <w:rPr/>
          </w:pPr>
          <w:hyperlink w:anchor="__RefHeading___Toc606012_1934241801">
            <w:r>
              <w:rPr>
                <w:webHidden/>
                <w:rStyle w:val="IndexLink"/>
                <w:rtl w:val="true"/>
              </w:rPr>
              <w:t>آیات</w:t>
            </w:r>
            <w:r>
              <w:rPr>
                <w:rStyle w:val="IndexLink"/>
                <w:rtl w:val="true"/>
              </w:rPr>
              <w:tab/>
            </w:r>
            <w:r>
              <w:rPr>
                <w:rStyle w:val="IndexLink"/>
              </w:rPr>
              <w:t>286</w:t>
            </w:r>
          </w:hyperlink>
        </w:p>
        <w:p>
          <w:pPr>
            <w:pStyle w:val="Contents4"/>
            <w:tabs>
              <w:tab w:val="clear" w:pos="8176"/>
              <w:tab w:val="right" w:pos="9026" w:leader="dot"/>
            </w:tabs>
            <w:rPr/>
          </w:pPr>
          <w:hyperlink w:anchor="__RefHeading___Toc606014_1934241801">
            <w:r>
              <w:rPr>
                <w:webHidden/>
                <w:rStyle w:val="IndexLink"/>
                <w:rtl w:val="true"/>
              </w:rPr>
              <w:t>تفسیر</w:t>
            </w:r>
            <w:r>
              <w:rPr>
                <w:rStyle w:val="IndexLink"/>
                <w:rtl w:val="true"/>
              </w:rPr>
              <w:tab/>
            </w:r>
            <w:r>
              <w:rPr>
                <w:rStyle w:val="IndexLink"/>
              </w:rPr>
              <w:t>287</w:t>
            </w:r>
          </w:hyperlink>
        </w:p>
        <w:p>
          <w:pPr>
            <w:pStyle w:val="Contents4"/>
            <w:tabs>
              <w:tab w:val="clear" w:pos="8176"/>
              <w:tab w:val="right" w:pos="9026" w:leader="dot"/>
            </w:tabs>
            <w:rPr/>
          </w:pPr>
          <w:hyperlink w:anchor="__RefHeading___Toc606016_1934241801">
            <w:r>
              <w:rPr>
                <w:webHidden/>
                <w:rStyle w:val="IndexLink"/>
                <w:rtl w:val="true"/>
              </w:rPr>
              <w:t>الأخبار</w:t>
            </w:r>
            <w:r>
              <w:rPr>
                <w:rStyle w:val="IndexLink"/>
                <w:rtl w:val="true"/>
              </w:rPr>
              <w:tab/>
            </w:r>
            <w:r>
              <w:rPr>
                <w:rStyle w:val="IndexLink"/>
              </w:rPr>
              <w:t>311</w:t>
            </w:r>
          </w:hyperlink>
        </w:p>
        <w:p>
          <w:pPr>
            <w:pStyle w:val="Contents5"/>
            <w:tabs>
              <w:tab w:val="clear" w:pos="7892"/>
              <w:tab w:val="right" w:pos="9026" w:leader="dot"/>
            </w:tabs>
            <w:rPr/>
          </w:pPr>
          <w:hyperlink w:anchor="__RefHeading___Toc606018_1934241801">
            <w:r>
              <w:rPr>
                <w:webHidden/>
                <w:rStyle w:val="IndexLink"/>
                <w:rtl w:val="true"/>
              </w:rPr>
              <w:t>«</w:t>
            </w:r>
            <w:r>
              <w:rPr>
                <w:rStyle w:val="IndexLink"/>
              </w:rPr>
              <w:t>1</w:t>
            </w:r>
            <w:r>
              <w:rPr>
                <w:rStyle w:val="IndexLink"/>
                <w:rtl w:val="true"/>
              </w:rPr>
              <w:t>»</w:t>
              <w:tab/>
            </w:r>
            <w:r>
              <w:rPr>
                <w:rStyle w:val="IndexLink"/>
              </w:rPr>
              <w:t>311</w:t>
            </w:r>
          </w:hyperlink>
        </w:p>
        <w:p>
          <w:pPr>
            <w:pStyle w:val="Contents5"/>
            <w:tabs>
              <w:tab w:val="clear" w:pos="7892"/>
              <w:tab w:val="right" w:pos="9026" w:leader="dot"/>
            </w:tabs>
            <w:rPr/>
          </w:pPr>
          <w:hyperlink w:anchor="__RefHeading___Toc606020_1934241801">
            <w:r>
              <w:rPr>
                <w:webHidden/>
                <w:rStyle w:val="IndexLink"/>
                <w:rtl w:val="true"/>
              </w:rPr>
              <w:t>«</w:t>
            </w:r>
            <w:r>
              <w:rPr>
                <w:rStyle w:val="IndexLink"/>
              </w:rPr>
              <w:t>2</w:t>
            </w:r>
            <w:r>
              <w:rPr>
                <w:rStyle w:val="IndexLink"/>
                <w:rtl w:val="true"/>
              </w:rPr>
              <w:t>»</w:t>
              <w:tab/>
            </w:r>
            <w:r>
              <w:rPr>
                <w:rStyle w:val="IndexLink"/>
              </w:rPr>
              <w:t>311</w:t>
            </w:r>
          </w:hyperlink>
        </w:p>
        <w:p>
          <w:pPr>
            <w:pStyle w:val="Contents4"/>
            <w:tabs>
              <w:tab w:val="clear" w:pos="8176"/>
              <w:tab w:val="right" w:pos="9026" w:leader="dot"/>
            </w:tabs>
            <w:rPr/>
          </w:pPr>
          <w:hyperlink w:anchor="__RefHeading___Toc606022_1934241801">
            <w:r>
              <w:rPr>
                <w:webHidden/>
                <w:rStyle w:val="IndexLink"/>
                <w:rtl w:val="true"/>
              </w:rPr>
              <w:t>روایات</w:t>
            </w:r>
            <w:r>
              <w:rPr>
                <w:rStyle w:val="IndexLink"/>
                <w:rtl w:val="true"/>
              </w:rPr>
              <w:tab/>
            </w:r>
            <w:r>
              <w:rPr>
                <w:rStyle w:val="IndexLink"/>
              </w:rPr>
              <w:t>311</w:t>
            </w:r>
          </w:hyperlink>
        </w:p>
        <w:p>
          <w:pPr>
            <w:pStyle w:val="Contents5"/>
            <w:tabs>
              <w:tab w:val="clear" w:pos="7892"/>
              <w:tab w:val="right" w:pos="9026" w:leader="dot"/>
            </w:tabs>
            <w:rPr/>
          </w:pPr>
          <w:hyperlink w:anchor="__RefHeading___Toc606024_1934241801">
            <w:r>
              <w:rPr>
                <w:webHidden/>
                <w:rStyle w:val="IndexLink"/>
                <w:rtl w:val="true"/>
              </w:rPr>
              <w:t xml:space="preserve">روایت </w:t>
            </w:r>
            <w:r>
              <w:rPr>
                <w:rStyle w:val="IndexLink"/>
              </w:rPr>
              <w:t>1</w:t>
            </w:r>
            <w:r>
              <w:rPr>
                <w:rStyle w:val="IndexLink"/>
                <w:rtl w:val="true"/>
              </w:rPr>
              <w:tab/>
            </w:r>
            <w:r>
              <w:rPr>
                <w:rStyle w:val="IndexLink"/>
              </w:rPr>
              <w:t>311</w:t>
            </w:r>
          </w:hyperlink>
        </w:p>
        <w:p>
          <w:pPr>
            <w:pStyle w:val="Contents5"/>
            <w:tabs>
              <w:tab w:val="clear" w:pos="7892"/>
              <w:tab w:val="right" w:pos="9026" w:leader="dot"/>
            </w:tabs>
            <w:rPr/>
          </w:pPr>
          <w:hyperlink w:anchor="__RefHeading___Toc606026_1934241801">
            <w:r>
              <w:rPr>
                <w:webHidden/>
                <w:rStyle w:val="IndexLink"/>
                <w:rtl w:val="true"/>
              </w:rPr>
              <w:t xml:space="preserve">روایت </w:t>
            </w:r>
            <w:r>
              <w:rPr>
                <w:rStyle w:val="IndexLink"/>
              </w:rPr>
              <w:t>2</w:t>
            </w:r>
            <w:r>
              <w:rPr>
                <w:rStyle w:val="IndexLink"/>
                <w:rtl w:val="true"/>
              </w:rPr>
              <w:tab/>
            </w:r>
            <w:r>
              <w:rPr>
                <w:rStyle w:val="IndexLink"/>
              </w:rPr>
              <w:t>312</w:t>
            </w:r>
          </w:hyperlink>
        </w:p>
        <w:p>
          <w:pPr>
            <w:pStyle w:val="Contents5"/>
            <w:tabs>
              <w:tab w:val="clear" w:pos="7892"/>
              <w:tab w:val="right" w:pos="9026" w:leader="dot"/>
            </w:tabs>
            <w:rPr/>
          </w:pPr>
          <w:hyperlink w:anchor="__RefHeading___Toc606028_1934241801">
            <w:r>
              <w:rPr>
                <w:webHidden/>
                <w:rStyle w:val="IndexLink"/>
                <w:rtl w:val="true"/>
              </w:rPr>
              <w:t>«</w:t>
            </w:r>
            <w:r>
              <w:rPr>
                <w:rStyle w:val="IndexLink"/>
              </w:rPr>
              <w:t>3</w:t>
            </w:r>
            <w:r>
              <w:rPr>
                <w:rStyle w:val="IndexLink"/>
                <w:rtl w:val="true"/>
              </w:rPr>
              <w:t>»</w:t>
              <w:tab/>
            </w:r>
            <w:r>
              <w:rPr>
                <w:rStyle w:val="IndexLink"/>
              </w:rPr>
              <w:t>313</w:t>
            </w:r>
          </w:hyperlink>
        </w:p>
        <w:p>
          <w:pPr>
            <w:pStyle w:val="Contents5"/>
            <w:tabs>
              <w:tab w:val="clear" w:pos="7892"/>
              <w:tab w:val="right" w:pos="9026" w:leader="dot"/>
            </w:tabs>
            <w:rPr/>
          </w:pPr>
          <w:hyperlink w:anchor="__RefHeading___Toc606030_1934241801">
            <w:r>
              <w:rPr>
                <w:webHidden/>
                <w:rStyle w:val="IndexLink"/>
                <w:rtl w:val="true"/>
              </w:rPr>
              <w:t>بيان</w:t>
            </w:r>
            <w:r>
              <w:rPr>
                <w:rStyle w:val="IndexLink"/>
                <w:rtl w:val="true"/>
              </w:rPr>
              <w:tab/>
            </w:r>
            <w:r>
              <w:rPr>
                <w:rStyle w:val="IndexLink"/>
              </w:rPr>
              <w:t>313</w:t>
            </w:r>
          </w:hyperlink>
        </w:p>
        <w:p>
          <w:pPr>
            <w:pStyle w:val="Contents5"/>
            <w:tabs>
              <w:tab w:val="clear" w:pos="7892"/>
              <w:tab w:val="right" w:pos="9026" w:leader="dot"/>
            </w:tabs>
            <w:rPr/>
          </w:pPr>
          <w:hyperlink w:anchor="__RefHeading___Toc606032_1934241801">
            <w:r>
              <w:rPr>
                <w:webHidden/>
                <w:rStyle w:val="IndexLink"/>
                <w:rtl w:val="true"/>
              </w:rPr>
              <w:t>«</w:t>
            </w:r>
            <w:r>
              <w:rPr>
                <w:rStyle w:val="IndexLink"/>
              </w:rPr>
              <w:t>4</w:t>
            </w:r>
            <w:r>
              <w:rPr>
                <w:rStyle w:val="IndexLink"/>
                <w:rtl w:val="true"/>
              </w:rPr>
              <w:t>»</w:t>
              <w:tab/>
            </w:r>
            <w:r>
              <w:rPr>
                <w:rStyle w:val="IndexLink"/>
              </w:rPr>
              <w:t>313</w:t>
            </w:r>
          </w:hyperlink>
        </w:p>
        <w:p>
          <w:pPr>
            <w:pStyle w:val="Contents5"/>
            <w:tabs>
              <w:tab w:val="clear" w:pos="7892"/>
              <w:tab w:val="right" w:pos="9026" w:leader="dot"/>
            </w:tabs>
            <w:rPr/>
          </w:pPr>
          <w:hyperlink w:anchor="__RefHeading___Toc606034_1934241801">
            <w:r>
              <w:rPr>
                <w:webHidden/>
                <w:rStyle w:val="IndexLink"/>
                <w:rtl w:val="true"/>
              </w:rPr>
              <w:t xml:space="preserve">روایت </w:t>
            </w:r>
            <w:r>
              <w:rPr>
                <w:rStyle w:val="IndexLink"/>
              </w:rPr>
              <w:t>3</w:t>
            </w:r>
            <w:r>
              <w:rPr>
                <w:rStyle w:val="IndexLink"/>
                <w:rtl w:val="true"/>
              </w:rPr>
              <w:tab/>
            </w:r>
            <w:r>
              <w:rPr>
                <w:rStyle w:val="IndexLink"/>
              </w:rPr>
              <w:t>313</w:t>
            </w:r>
          </w:hyperlink>
        </w:p>
        <w:p>
          <w:pPr>
            <w:pStyle w:val="Contents5"/>
            <w:tabs>
              <w:tab w:val="clear" w:pos="7892"/>
              <w:tab w:val="right" w:pos="9026" w:leader="dot"/>
            </w:tabs>
            <w:rPr/>
          </w:pPr>
          <w:hyperlink w:anchor="__RefHeading___Toc606036_1934241801">
            <w:r>
              <w:rPr>
                <w:webHidden/>
                <w:rStyle w:val="IndexLink"/>
                <w:rtl w:val="true"/>
              </w:rPr>
              <w:t>توضیح</w:t>
            </w:r>
            <w:r>
              <w:rPr>
                <w:rStyle w:val="IndexLink"/>
                <w:rtl w:val="true"/>
              </w:rPr>
              <w:tab/>
            </w:r>
            <w:r>
              <w:rPr>
                <w:rStyle w:val="IndexLink"/>
              </w:rPr>
              <w:t>313</w:t>
            </w:r>
          </w:hyperlink>
        </w:p>
        <w:p>
          <w:pPr>
            <w:pStyle w:val="Contents5"/>
            <w:tabs>
              <w:tab w:val="clear" w:pos="7892"/>
              <w:tab w:val="right" w:pos="9026" w:leader="dot"/>
            </w:tabs>
            <w:rPr/>
          </w:pPr>
          <w:hyperlink w:anchor="__RefHeading___Toc606038_1934241801">
            <w:r>
              <w:rPr>
                <w:webHidden/>
                <w:rStyle w:val="IndexLink"/>
                <w:rtl w:val="true"/>
              </w:rPr>
              <w:t xml:space="preserve">روایت </w:t>
            </w:r>
            <w:r>
              <w:rPr>
                <w:rStyle w:val="IndexLink"/>
              </w:rPr>
              <w:t>4</w:t>
            </w:r>
            <w:r>
              <w:rPr>
                <w:rStyle w:val="IndexLink"/>
                <w:rtl w:val="true"/>
              </w:rPr>
              <w:tab/>
            </w:r>
            <w:r>
              <w:rPr>
                <w:rStyle w:val="IndexLink"/>
              </w:rPr>
              <w:t>314</w:t>
            </w:r>
          </w:hyperlink>
        </w:p>
        <w:p>
          <w:pPr>
            <w:pStyle w:val="Contents5"/>
            <w:tabs>
              <w:tab w:val="clear" w:pos="7892"/>
              <w:tab w:val="right" w:pos="9026" w:leader="dot"/>
            </w:tabs>
            <w:rPr/>
          </w:pPr>
          <w:hyperlink w:anchor="__RefHeading___Toc606040_1934241801">
            <w:r>
              <w:rPr>
                <w:webHidden/>
                <w:rStyle w:val="IndexLink"/>
                <w:rtl w:val="true"/>
              </w:rPr>
              <w:t>«</w:t>
            </w:r>
            <w:r>
              <w:rPr>
                <w:rStyle w:val="IndexLink"/>
              </w:rPr>
              <w:t>5</w:t>
            </w:r>
            <w:r>
              <w:rPr>
                <w:rStyle w:val="IndexLink"/>
                <w:rtl w:val="true"/>
              </w:rPr>
              <w:t>»</w:t>
              <w:tab/>
            </w:r>
            <w:r>
              <w:rPr>
                <w:rStyle w:val="IndexLink"/>
              </w:rPr>
              <w:t>315</w:t>
            </w:r>
          </w:hyperlink>
        </w:p>
        <w:p>
          <w:pPr>
            <w:pStyle w:val="Contents5"/>
            <w:tabs>
              <w:tab w:val="clear" w:pos="7892"/>
              <w:tab w:val="right" w:pos="9026" w:leader="dot"/>
            </w:tabs>
            <w:rPr/>
          </w:pPr>
          <w:hyperlink w:anchor="__RefHeading___Toc606042_1934241801">
            <w:r>
              <w:rPr>
                <w:webHidden/>
                <w:rStyle w:val="IndexLink"/>
                <w:rtl w:val="true"/>
              </w:rPr>
              <w:t>إيضاح</w:t>
            </w:r>
            <w:r>
              <w:rPr>
                <w:rStyle w:val="IndexLink"/>
                <w:rtl w:val="true"/>
              </w:rPr>
              <w:tab/>
            </w:r>
            <w:r>
              <w:rPr>
                <w:rStyle w:val="IndexLink"/>
              </w:rPr>
              <w:t>315</w:t>
            </w:r>
          </w:hyperlink>
        </w:p>
        <w:p>
          <w:pPr>
            <w:pStyle w:val="Contents5"/>
            <w:tabs>
              <w:tab w:val="clear" w:pos="7892"/>
              <w:tab w:val="right" w:pos="9026" w:leader="dot"/>
            </w:tabs>
            <w:rPr/>
          </w:pPr>
          <w:hyperlink w:anchor="__RefHeading___Toc606044_1934241801">
            <w:r>
              <w:rPr>
                <w:webHidden/>
                <w:rStyle w:val="IndexLink"/>
                <w:rtl w:val="true"/>
              </w:rPr>
              <w:t xml:space="preserve">روایت </w:t>
            </w:r>
            <w:r>
              <w:rPr>
                <w:rStyle w:val="IndexLink"/>
              </w:rPr>
              <w:t>5</w:t>
            </w:r>
            <w:r>
              <w:rPr>
                <w:rStyle w:val="IndexLink"/>
                <w:rtl w:val="true"/>
              </w:rPr>
              <w:tab/>
            </w:r>
            <w:r>
              <w:rPr>
                <w:rStyle w:val="IndexLink"/>
              </w:rPr>
              <w:t>315</w:t>
            </w:r>
          </w:hyperlink>
        </w:p>
        <w:p>
          <w:pPr>
            <w:pStyle w:val="Contents5"/>
            <w:tabs>
              <w:tab w:val="clear" w:pos="7892"/>
              <w:tab w:val="right" w:pos="9026" w:leader="dot"/>
            </w:tabs>
            <w:rPr/>
          </w:pPr>
          <w:hyperlink w:anchor="__RefHeading___Toc606046_1934241801">
            <w:r>
              <w:rPr>
                <w:webHidden/>
                <w:rStyle w:val="IndexLink"/>
                <w:rtl w:val="true"/>
              </w:rPr>
              <w:t>توضیح</w:t>
            </w:r>
            <w:r>
              <w:rPr>
                <w:rStyle w:val="IndexLink"/>
                <w:rtl w:val="true"/>
              </w:rPr>
              <w:tab/>
            </w:r>
            <w:r>
              <w:rPr>
                <w:rStyle w:val="IndexLink"/>
              </w:rPr>
              <w:t>315</w:t>
            </w:r>
          </w:hyperlink>
        </w:p>
        <w:p>
          <w:pPr>
            <w:pStyle w:val="Contents5"/>
            <w:tabs>
              <w:tab w:val="clear" w:pos="7892"/>
              <w:tab w:val="right" w:pos="9026" w:leader="dot"/>
            </w:tabs>
            <w:rPr/>
          </w:pPr>
          <w:hyperlink w:anchor="__RefHeading___Toc606048_1934241801">
            <w:r>
              <w:rPr>
                <w:webHidden/>
                <w:rStyle w:val="IndexLink"/>
                <w:rtl w:val="true"/>
              </w:rPr>
              <w:t>«</w:t>
            </w:r>
            <w:r>
              <w:rPr>
                <w:rStyle w:val="IndexLink"/>
              </w:rPr>
              <w:t>6</w:t>
            </w:r>
            <w:r>
              <w:rPr>
                <w:rStyle w:val="IndexLink"/>
                <w:rtl w:val="true"/>
              </w:rPr>
              <w:t>»</w:t>
              <w:tab/>
            </w:r>
            <w:r>
              <w:rPr>
                <w:rStyle w:val="IndexLink"/>
              </w:rPr>
              <w:t>317</w:t>
            </w:r>
          </w:hyperlink>
        </w:p>
        <w:p>
          <w:pPr>
            <w:pStyle w:val="Contents5"/>
            <w:tabs>
              <w:tab w:val="clear" w:pos="7892"/>
              <w:tab w:val="right" w:pos="9026" w:leader="dot"/>
            </w:tabs>
            <w:rPr/>
          </w:pPr>
          <w:hyperlink w:anchor="__RefHeading___Toc606050_1934241801">
            <w:r>
              <w:rPr>
                <w:webHidden/>
                <w:rStyle w:val="IndexLink"/>
                <w:rtl w:val="true"/>
              </w:rPr>
              <w:t>«</w:t>
            </w:r>
            <w:r>
              <w:rPr>
                <w:rStyle w:val="IndexLink"/>
              </w:rPr>
              <w:t>7</w:t>
            </w:r>
            <w:r>
              <w:rPr>
                <w:rStyle w:val="IndexLink"/>
                <w:rtl w:val="true"/>
              </w:rPr>
              <w:t>»</w:t>
              <w:tab/>
            </w:r>
            <w:r>
              <w:rPr>
                <w:rStyle w:val="IndexLink"/>
              </w:rPr>
              <w:t>317</w:t>
            </w:r>
          </w:hyperlink>
        </w:p>
        <w:p>
          <w:pPr>
            <w:pStyle w:val="Contents5"/>
            <w:tabs>
              <w:tab w:val="clear" w:pos="7892"/>
              <w:tab w:val="right" w:pos="9026" w:leader="dot"/>
            </w:tabs>
            <w:rPr/>
          </w:pPr>
          <w:hyperlink w:anchor="__RefHeading___Toc606052_1934241801">
            <w:r>
              <w:rPr>
                <w:webHidden/>
                <w:rStyle w:val="IndexLink"/>
                <w:rtl w:val="true"/>
              </w:rPr>
              <w:t xml:space="preserve">روایت </w:t>
            </w:r>
            <w:r>
              <w:rPr>
                <w:rStyle w:val="IndexLink"/>
              </w:rPr>
              <w:t>6</w:t>
            </w:r>
            <w:r>
              <w:rPr>
                <w:rStyle w:val="IndexLink"/>
                <w:rtl w:val="true"/>
              </w:rPr>
              <w:tab/>
            </w:r>
            <w:r>
              <w:rPr>
                <w:rStyle w:val="IndexLink"/>
              </w:rPr>
              <w:t>317</w:t>
            </w:r>
          </w:hyperlink>
        </w:p>
        <w:p>
          <w:pPr>
            <w:pStyle w:val="Contents5"/>
            <w:tabs>
              <w:tab w:val="clear" w:pos="7892"/>
              <w:tab w:val="right" w:pos="9026" w:leader="dot"/>
            </w:tabs>
            <w:rPr/>
          </w:pPr>
          <w:hyperlink w:anchor="__RefHeading___Toc606054_1934241801">
            <w:r>
              <w:rPr>
                <w:webHidden/>
                <w:rStyle w:val="IndexLink"/>
                <w:rtl w:val="true"/>
              </w:rPr>
              <w:t xml:space="preserve">روایت </w:t>
            </w:r>
            <w:r>
              <w:rPr>
                <w:rStyle w:val="IndexLink"/>
              </w:rPr>
              <w:t>7</w:t>
            </w:r>
            <w:r>
              <w:rPr>
                <w:rStyle w:val="IndexLink"/>
                <w:rtl w:val="true"/>
              </w:rPr>
              <w:tab/>
            </w:r>
            <w:r>
              <w:rPr>
                <w:rStyle w:val="IndexLink"/>
              </w:rPr>
              <w:t>317</w:t>
            </w:r>
          </w:hyperlink>
        </w:p>
        <w:p>
          <w:pPr>
            <w:pStyle w:val="Contents5"/>
            <w:tabs>
              <w:tab w:val="clear" w:pos="7892"/>
              <w:tab w:val="right" w:pos="9026" w:leader="dot"/>
            </w:tabs>
            <w:rPr/>
          </w:pPr>
          <w:hyperlink w:anchor="__RefHeading___Toc606056_1934241801">
            <w:r>
              <w:rPr>
                <w:webHidden/>
                <w:rStyle w:val="IndexLink"/>
                <w:rtl w:val="true"/>
              </w:rPr>
              <w:t>تبيين</w:t>
            </w:r>
            <w:r>
              <w:rPr>
                <w:rStyle w:val="IndexLink"/>
                <w:rtl w:val="true"/>
              </w:rPr>
              <w:tab/>
            </w:r>
            <w:r>
              <w:rPr>
                <w:rStyle w:val="IndexLink"/>
              </w:rPr>
              <w:t>321</w:t>
            </w:r>
          </w:hyperlink>
        </w:p>
        <w:p>
          <w:pPr>
            <w:pStyle w:val="Contents5"/>
            <w:tabs>
              <w:tab w:val="clear" w:pos="7892"/>
              <w:tab w:val="right" w:pos="9026" w:leader="dot"/>
            </w:tabs>
            <w:rPr/>
          </w:pPr>
          <w:hyperlink w:anchor="__RefHeading___Toc606058_1934241801">
            <w:r>
              <w:rPr>
                <w:webHidden/>
                <w:rStyle w:val="IndexLink"/>
                <w:rtl w:val="true"/>
              </w:rPr>
              <w:t>توضیح</w:t>
            </w:r>
            <w:r>
              <w:rPr>
                <w:rStyle w:val="IndexLink"/>
                <w:rtl w:val="true"/>
              </w:rPr>
              <w:tab/>
            </w:r>
            <w:r>
              <w:rPr>
                <w:rStyle w:val="IndexLink"/>
              </w:rPr>
              <w:t>321</w:t>
            </w:r>
          </w:hyperlink>
        </w:p>
        <w:p>
          <w:pPr>
            <w:pStyle w:val="Contents5"/>
            <w:tabs>
              <w:tab w:val="clear" w:pos="7892"/>
              <w:tab w:val="right" w:pos="9026" w:leader="dot"/>
            </w:tabs>
            <w:rPr/>
          </w:pPr>
          <w:hyperlink w:anchor="__RefHeading___Toc606060_1934241801">
            <w:r>
              <w:rPr>
                <w:webHidden/>
                <w:rStyle w:val="IndexLink"/>
                <w:rtl w:val="true"/>
              </w:rPr>
              <w:t>شرح</w:t>
            </w:r>
            <w:r>
              <w:rPr>
                <w:rStyle w:val="IndexLink"/>
                <w:rtl w:val="true"/>
              </w:rPr>
              <w:tab/>
            </w:r>
            <w:r>
              <w:rPr>
                <w:rStyle w:val="IndexLink"/>
              </w:rPr>
              <w:t>322</w:t>
            </w:r>
          </w:hyperlink>
        </w:p>
        <w:p>
          <w:pPr>
            <w:pStyle w:val="Contents5"/>
            <w:tabs>
              <w:tab w:val="clear" w:pos="7892"/>
              <w:tab w:val="right" w:pos="9026" w:leader="dot"/>
            </w:tabs>
            <w:rPr/>
          </w:pPr>
          <w:hyperlink w:anchor="__RefHeading___Toc606062_1934241801">
            <w:r>
              <w:rPr>
                <w:webHidden/>
                <w:rStyle w:val="IndexLink"/>
                <w:rtl w:val="true"/>
              </w:rPr>
              <w:t>«</w:t>
            </w:r>
            <w:r>
              <w:rPr>
                <w:rStyle w:val="IndexLink"/>
              </w:rPr>
              <w:t>8</w:t>
            </w:r>
            <w:r>
              <w:rPr>
                <w:rStyle w:val="IndexLink"/>
                <w:rtl w:val="true"/>
              </w:rPr>
              <w:t>»</w:t>
              <w:tab/>
            </w:r>
            <w:r>
              <w:rPr>
                <w:rStyle w:val="IndexLink"/>
              </w:rPr>
              <w:t>326</w:t>
            </w:r>
          </w:hyperlink>
        </w:p>
        <w:p>
          <w:pPr>
            <w:pStyle w:val="Contents5"/>
            <w:tabs>
              <w:tab w:val="clear" w:pos="7892"/>
              <w:tab w:val="right" w:pos="9026" w:leader="dot"/>
            </w:tabs>
            <w:rPr/>
          </w:pPr>
          <w:hyperlink w:anchor="__RefHeading___Toc606064_1934241801">
            <w:r>
              <w:rPr>
                <w:webHidden/>
                <w:rStyle w:val="IndexLink"/>
                <w:rtl w:val="true"/>
              </w:rPr>
              <w:t>«</w:t>
            </w:r>
            <w:r>
              <w:rPr>
                <w:rStyle w:val="IndexLink"/>
              </w:rPr>
              <w:t>9</w:t>
            </w:r>
            <w:r>
              <w:rPr>
                <w:rStyle w:val="IndexLink"/>
                <w:rtl w:val="true"/>
              </w:rPr>
              <w:t>»</w:t>
              <w:tab/>
            </w:r>
            <w:r>
              <w:rPr>
                <w:rStyle w:val="IndexLink"/>
              </w:rPr>
              <w:t>326</w:t>
            </w:r>
          </w:hyperlink>
        </w:p>
        <w:p>
          <w:pPr>
            <w:pStyle w:val="Contents5"/>
            <w:tabs>
              <w:tab w:val="clear" w:pos="7892"/>
              <w:tab w:val="right" w:pos="9026" w:leader="dot"/>
            </w:tabs>
            <w:rPr/>
          </w:pPr>
          <w:hyperlink w:anchor="__RefHeading___Toc606066_1934241801">
            <w:r>
              <w:rPr>
                <w:webHidden/>
                <w:rStyle w:val="IndexLink"/>
                <w:rtl w:val="true"/>
              </w:rPr>
              <w:t>بيان</w:t>
            </w:r>
            <w:r>
              <w:rPr>
                <w:rStyle w:val="IndexLink"/>
                <w:rtl w:val="true"/>
              </w:rPr>
              <w:tab/>
            </w:r>
            <w:r>
              <w:rPr>
                <w:rStyle w:val="IndexLink"/>
              </w:rPr>
              <w:t>326</w:t>
            </w:r>
          </w:hyperlink>
        </w:p>
        <w:p>
          <w:pPr>
            <w:pStyle w:val="Contents5"/>
            <w:tabs>
              <w:tab w:val="clear" w:pos="7892"/>
              <w:tab w:val="right" w:pos="9026" w:leader="dot"/>
            </w:tabs>
            <w:rPr/>
          </w:pPr>
          <w:hyperlink w:anchor="__RefHeading___Toc606068_1934241801">
            <w:r>
              <w:rPr>
                <w:webHidden/>
                <w:rStyle w:val="IndexLink"/>
                <w:rtl w:val="true"/>
              </w:rPr>
              <w:t xml:space="preserve">روایت </w:t>
            </w:r>
            <w:r>
              <w:rPr>
                <w:rStyle w:val="IndexLink"/>
              </w:rPr>
              <w:t>8</w:t>
            </w:r>
            <w:r>
              <w:rPr>
                <w:rStyle w:val="IndexLink"/>
                <w:rtl w:val="true"/>
              </w:rPr>
              <w:tab/>
            </w:r>
            <w:r>
              <w:rPr>
                <w:rStyle w:val="IndexLink"/>
              </w:rPr>
              <w:t>326</w:t>
            </w:r>
          </w:hyperlink>
        </w:p>
        <w:p>
          <w:pPr>
            <w:pStyle w:val="Contents5"/>
            <w:tabs>
              <w:tab w:val="clear" w:pos="7892"/>
              <w:tab w:val="right" w:pos="9026" w:leader="dot"/>
            </w:tabs>
            <w:rPr/>
          </w:pPr>
          <w:hyperlink w:anchor="__RefHeading___Toc606070_1934241801">
            <w:r>
              <w:rPr>
                <w:webHidden/>
                <w:rStyle w:val="IndexLink"/>
                <w:rtl w:val="true"/>
              </w:rPr>
              <w:t xml:space="preserve">روایت </w:t>
            </w:r>
            <w:r>
              <w:rPr>
                <w:rStyle w:val="IndexLink"/>
              </w:rPr>
              <w:t>9</w:t>
            </w:r>
            <w:r>
              <w:rPr>
                <w:rStyle w:val="IndexLink"/>
                <w:rtl w:val="true"/>
              </w:rPr>
              <w:tab/>
            </w:r>
            <w:r>
              <w:rPr>
                <w:rStyle w:val="IndexLink"/>
              </w:rPr>
              <w:t>327</w:t>
            </w:r>
          </w:hyperlink>
        </w:p>
        <w:p>
          <w:pPr>
            <w:pStyle w:val="Contents5"/>
            <w:tabs>
              <w:tab w:val="clear" w:pos="7892"/>
              <w:tab w:val="right" w:pos="9026" w:leader="dot"/>
            </w:tabs>
            <w:rPr/>
          </w:pPr>
          <w:hyperlink w:anchor="__RefHeading___Toc606072_1934241801">
            <w:r>
              <w:rPr>
                <w:webHidden/>
                <w:rStyle w:val="IndexLink"/>
                <w:rtl w:val="true"/>
              </w:rPr>
              <w:t>توضیح</w:t>
            </w:r>
            <w:r>
              <w:rPr>
                <w:rStyle w:val="IndexLink"/>
                <w:rtl w:val="true"/>
              </w:rPr>
              <w:tab/>
            </w:r>
            <w:r>
              <w:rPr>
                <w:rStyle w:val="IndexLink"/>
              </w:rPr>
              <w:t>327</w:t>
            </w:r>
          </w:hyperlink>
        </w:p>
        <w:p>
          <w:pPr>
            <w:pStyle w:val="Contents5"/>
            <w:tabs>
              <w:tab w:val="clear" w:pos="7892"/>
              <w:tab w:val="right" w:pos="9026" w:leader="dot"/>
            </w:tabs>
            <w:rPr/>
          </w:pPr>
          <w:hyperlink w:anchor="__RefHeading___Toc606074_1934241801">
            <w:r>
              <w:rPr>
                <w:webHidden/>
                <w:rStyle w:val="IndexLink"/>
                <w:rtl w:val="true"/>
              </w:rPr>
              <w:t>«</w:t>
            </w:r>
            <w:r>
              <w:rPr>
                <w:rStyle w:val="IndexLink"/>
              </w:rPr>
              <w:t>10</w:t>
            </w:r>
            <w:r>
              <w:rPr>
                <w:rStyle w:val="IndexLink"/>
                <w:rtl w:val="true"/>
              </w:rPr>
              <w:t>»</w:t>
              <w:tab/>
            </w:r>
            <w:r>
              <w:rPr>
                <w:rStyle w:val="IndexLink"/>
              </w:rPr>
              <w:t>328</w:t>
            </w:r>
          </w:hyperlink>
        </w:p>
        <w:p>
          <w:pPr>
            <w:pStyle w:val="Contents5"/>
            <w:tabs>
              <w:tab w:val="clear" w:pos="7892"/>
              <w:tab w:val="right" w:pos="9026" w:leader="dot"/>
            </w:tabs>
            <w:rPr/>
          </w:pPr>
          <w:hyperlink w:anchor="__RefHeading___Toc606076_1934241801">
            <w:r>
              <w:rPr>
                <w:webHidden/>
                <w:rStyle w:val="IndexLink"/>
                <w:rtl w:val="true"/>
              </w:rPr>
              <w:t>إيضاح</w:t>
            </w:r>
            <w:r>
              <w:rPr>
                <w:rStyle w:val="IndexLink"/>
                <w:rtl w:val="true"/>
              </w:rPr>
              <w:tab/>
            </w:r>
            <w:r>
              <w:rPr>
                <w:rStyle w:val="IndexLink"/>
              </w:rPr>
              <w:t>328</w:t>
            </w:r>
          </w:hyperlink>
        </w:p>
        <w:p>
          <w:pPr>
            <w:pStyle w:val="Contents5"/>
            <w:tabs>
              <w:tab w:val="clear" w:pos="7892"/>
              <w:tab w:val="right" w:pos="9026" w:leader="dot"/>
            </w:tabs>
            <w:rPr/>
          </w:pPr>
          <w:hyperlink w:anchor="__RefHeading___Toc606078_1934241801">
            <w:r>
              <w:rPr>
                <w:webHidden/>
                <w:rStyle w:val="IndexLink"/>
                <w:rtl w:val="true"/>
              </w:rPr>
              <w:t>«</w:t>
            </w:r>
            <w:r>
              <w:rPr>
                <w:rStyle w:val="IndexLink"/>
              </w:rPr>
              <w:t>11</w:t>
            </w:r>
            <w:r>
              <w:rPr>
                <w:rStyle w:val="IndexLink"/>
                <w:rtl w:val="true"/>
              </w:rPr>
              <w:t>»</w:t>
              <w:tab/>
            </w:r>
            <w:r>
              <w:rPr>
                <w:rStyle w:val="IndexLink"/>
              </w:rPr>
              <w:t>328</w:t>
            </w:r>
          </w:hyperlink>
        </w:p>
        <w:p>
          <w:pPr>
            <w:pStyle w:val="Contents5"/>
            <w:tabs>
              <w:tab w:val="clear" w:pos="7892"/>
              <w:tab w:val="right" w:pos="9026" w:leader="dot"/>
            </w:tabs>
            <w:rPr/>
          </w:pPr>
          <w:hyperlink w:anchor="__RefHeading___Toc606080_1934241801">
            <w:r>
              <w:rPr>
                <w:webHidden/>
                <w:rStyle w:val="IndexLink"/>
                <w:rtl w:val="true"/>
              </w:rPr>
              <w:t xml:space="preserve">روایت </w:t>
            </w:r>
            <w:r>
              <w:rPr>
                <w:rStyle w:val="IndexLink"/>
              </w:rPr>
              <w:t>10</w:t>
            </w:r>
            <w:r>
              <w:rPr>
                <w:rStyle w:val="IndexLink"/>
                <w:rtl w:val="true"/>
              </w:rPr>
              <w:tab/>
            </w:r>
            <w:r>
              <w:rPr>
                <w:rStyle w:val="IndexLink"/>
              </w:rPr>
              <w:t>328</w:t>
            </w:r>
          </w:hyperlink>
        </w:p>
        <w:p>
          <w:pPr>
            <w:pStyle w:val="Contents5"/>
            <w:tabs>
              <w:tab w:val="clear" w:pos="7892"/>
              <w:tab w:val="right" w:pos="9026" w:leader="dot"/>
            </w:tabs>
            <w:rPr/>
          </w:pPr>
          <w:hyperlink w:anchor="__RefHeading___Toc606082_1934241801">
            <w:r>
              <w:rPr>
                <w:webHidden/>
                <w:rStyle w:val="IndexLink"/>
                <w:rtl w:val="true"/>
              </w:rPr>
              <w:t>توضیح</w:t>
            </w:r>
            <w:r>
              <w:rPr>
                <w:rStyle w:val="IndexLink"/>
                <w:rtl w:val="true"/>
              </w:rPr>
              <w:tab/>
            </w:r>
            <w:r>
              <w:rPr>
                <w:rStyle w:val="IndexLink"/>
              </w:rPr>
              <w:t>328</w:t>
            </w:r>
          </w:hyperlink>
        </w:p>
        <w:p>
          <w:pPr>
            <w:pStyle w:val="Contents5"/>
            <w:tabs>
              <w:tab w:val="clear" w:pos="7892"/>
              <w:tab w:val="right" w:pos="9026" w:leader="dot"/>
            </w:tabs>
            <w:rPr/>
          </w:pPr>
          <w:hyperlink w:anchor="__RefHeading___Toc606084_1934241801">
            <w:r>
              <w:rPr>
                <w:webHidden/>
                <w:rStyle w:val="IndexLink"/>
                <w:rtl w:val="true"/>
              </w:rPr>
              <w:t xml:space="preserve">روایت </w:t>
            </w:r>
            <w:r>
              <w:rPr>
                <w:rStyle w:val="IndexLink"/>
              </w:rPr>
              <w:t>11</w:t>
            </w:r>
            <w:r>
              <w:rPr>
                <w:rStyle w:val="IndexLink"/>
                <w:rtl w:val="true"/>
              </w:rPr>
              <w:tab/>
            </w:r>
            <w:r>
              <w:rPr>
                <w:rStyle w:val="IndexLink"/>
              </w:rPr>
              <w:t>329</w:t>
            </w:r>
          </w:hyperlink>
        </w:p>
        <w:p>
          <w:pPr>
            <w:pStyle w:val="Contents5"/>
            <w:tabs>
              <w:tab w:val="clear" w:pos="7892"/>
              <w:tab w:val="right" w:pos="9026" w:leader="dot"/>
            </w:tabs>
            <w:rPr/>
          </w:pPr>
          <w:hyperlink w:anchor="__RefHeading___Toc606086_1934241801">
            <w:r>
              <w:rPr>
                <w:webHidden/>
                <w:rStyle w:val="IndexLink"/>
                <w:rtl w:val="true"/>
              </w:rPr>
              <w:t>«</w:t>
            </w:r>
            <w:r>
              <w:rPr>
                <w:rStyle w:val="IndexLink"/>
              </w:rPr>
              <w:t>12</w:t>
            </w:r>
            <w:r>
              <w:rPr>
                <w:rStyle w:val="IndexLink"/>
                <w:rtl w:val="true"/>
              </w:rPr>
              <w:t>»</w:t>
              <w:tab/>
            </w:r>
            <w:r>
              <w:rPr>
                <w:rStyle w:val="IndexLink"/>
              </w:rPr>
              <w:t>330</w:t>
            </w:r>
          </w:hyperlink>
        </w:p>
        <w:p>
          <w:pPr>
            <w:pStyle w:val="Contents5"/>
            <w:tabs>
              <w:tab w:val="clear" w:pos="7892"/>
              <w:tab w:val="right" w:pos="9026" w:leader="dot"/>
            </w:tabs>
            <w:rPr/>
          </w:pPr>
          <w:hyperlink w:anchor="__RefHeading___Toc606088_1934241801">
            <w:r>
              <w:rPr>
                <w:webHidden/>
                <w:rStyle w:val="IndexLink"/>
                <w:rtl w:val="true"/>
              </w:rPr>
              <w:t>«</w:t>
            </w:r>
            <w:r>
              <w:rPr>
                <w:rStyle w:val="IndexLink"/>
              </w:rPr>
              <w:t>13</w:t>
            </w:r>
            <w:r>
              <w:rPr>
                <w:rStyle w:val="IndexLink"/>
                <w:rtl w:val="true"/>
              </w:rPr>
              <w:t>»</w:t>
              <w:tab/>
            </w:r>
            <w:r>
              <w:rPr>
                <w:rStyle w:val="IndexLink"/>
              </w:rPr>
              <w:t>330</w:t>
            </w:r>
          </w:hyperlink>
        </w:p>
        <w:p>
          <w:pPr>
            <w:pStyle w:val="Contents5"/>
            <w:tabs>
              <w:tab w:val="clear" w:pos="7892"/>
              <w:tab w:val="right" w:pos="9026" w:leader="dot"/>
            </w:tabs>
            <w:rPr/>
          </w:pPr>
          <w:hyperlink w:anchor="__RefHeading___Toc606090_1934241801">
            <w:r>
              <w:rPr>
                <w:webHidden/>
                <w:rStyle w:val="IndexLink"/>
                <w:rtl w:val="true"/>
              </w:rPr>
              <w:t>بيان</w:t>
            </w:r>
            <w:r>
              <w:rPr>
                <w:rStyle w:val="IndexLink"/>
                <w:rtl w:val="true"/>
              </w:rPr>
              <w:tab/>
            </w:r>
            <w:r>
              <w:rPr>
                <w:rStyle w:val="IndexLink"/>
              </w:rPr>
              <w:t>330</w:t>
            </w:r>
          </w:hyperlink>
        </w:p>
        <w:p>
          <w:pPr>
            <w:pStyle w:val="Contents5"/>
            <w:tabs>
              <w:tab w:val="clear" w:pos="7892"/>
              <w:tab w:val="right" w:pos="9026" w:leader="dot"/>
            </w:tabs>
            <w:rPr/>
          </w:pPr>
          <w:hyperlink w:anchor="__RefHeading___Toc606092_1934241801">
            <w:r>
              <w:rPr>
                <w:webHidden/>
                <w:rStyle w:val="IndexLink"/>
                <w:rtl w:val="true"/>
              </w:rPr>
              <w:t xml:space="preserve">روایت </w:t>
            </w:r>
            <w:r>
              <w:rPr>
                <w:rStyle w:val="IndexLink"/>
              </w:rPr>
              <w:t>12</w:t>
            </w:r>
            <w:r>
              <w:rPr>
                <w:rStyle w:val="IndexLink"/>
                <w:rtl w:val="true"/>
              </w:rPr>
              <w:tab/>
            </w:r>
            <w:r>
              <w:rPr>
                <w:rStyle w:val="IndexLink"/>
              </w:rPr>
              <w:t>330</w:t>
            </w:r>
          </w:hyperlink>
        </w:p>
        <w:p>
          <w:pPr>
            <w:pStyle w:val="Contents5"/>
            <w:tabs>
              <w:tab w:val="clear" w:pos="7892"/>
              <w:tab w:val="right" w:pos="9026" w:leader="dot"/>
            </w:tabs>
            <w:rPr/>
          </w:pPr>
          <w:hyperlink w:anchor="__RefHeading___Toc606094_1934241801">
            <w:r>
              <w:rPr>
                <w:webHidden/>
                <w:rStyle w:val="IndexLink"/>
                <w:rtl w:val="true"/>
              </w:rPr>
              <w:t xml:space="preserve">روایت </w:t>
            </w:r>
            <w:r>
              <w:rPr>
                <w:rStyle w:val="IndexLink"/>
              </w:rPr>
              <w:t>13</w:t>
            </w:r>
            <w:r>
              <w:rPr>
                <w:rStyle w:val="IndexLink"/>
                <w:rtl w:val="true"/>
              </w:rPr>
              <w:tab/>
            </w:r>
            <w:r>
              <w:rPr>
                <w:rStyle w:val="IndexLink"/>
              </w:rPr>
              <w:t>330</w:t>
            </w:r>
          </w:hyperlink>
        </w:p>
        <w:p>
          <w:pPr>
            <w:pStyle w:val="Contents5"/>
            <w:tabs>
              <w:tab w:val="clear" w:pos="7892"/>
              <w:tab w:val="right" w:pos="9026" w:leader="dot"/>
            </w:tabs>
            <w:rPr/>
          </w:pPr>
          <w:hyperlink w:anchor="__RefHeading___Toc606096_1934241801">
            <w:r>
              <w:rPr>
                <w:webHidden/>
                <w:rStyle w:val="IndexLink"/>
                <w:rtl w:val="true"/>
              </w:rPr>
              <w:t>توضیح</w:t>
            </w:r>
            <w:r>
              <w:rPr>
                <w:rStyle w:val="IndexLink"/>
                <w:rtl w:val="true"/>
              </w:rPr>
              <w:tab/>
            </w:r>
            <w:r>
              <w:rPr>
                <w:rStyle w:val="IndexLink"/>
              </w:rPr>
              <w:t>330</w:t>
            </w:r>
          </w:hyperlink>
        </w:p>
        <w:p>
          <w:pPr>
            <w:pStyle w:val="Contents5"/>
            <w:tabs>
              <w:tab w:val="clear" w:pos="7892"/>
              <w:tab w:val="right" w:pos="9026" w:leader="dot"/>
            </w:tabs>
            <w:rPr/>
          </w:pPr>
          <w:hyperlink w:anchor="__RefHeading___Toc606098_1934241801">
            <w:r>
              <w:rPr>
                <w:webHidden/>
                <w:rStyle w:val="IndexLink"/>
                <w:rtl w:val="true"/>
              </w:rPr>
              <w:t>«</w:t>
            </w:r>
            <w:r>
              <w:rPr>
                <w:rStyle w:val="IndexLink"/>
              </w:rPr>
              <w:t>14</w:t>
            </w:r>
            <w:r>
              <w:rPr>
                <w:rStyle w:val="IndexLink"/>
                <w:rtl w:val="true"/>
              </w:rPr>
              <w:t>»</w:t>
              <w:tab/>
            </w:r>
            <w:r>
              <w:rPr>
                <w:rStyle w:val="IndexLink"/>
              </w:rPr>
              <w:t>332</w:t>
            </w:r>
          </w:hyperlink>
        </w:p>
        <w:p>
          <w:pPr>
            <w:pStyle w:val="Contents5"/>
            <w:tabs>
              <w:tab w:val="clear" w:pos="7892"/>
              <w:tab w:val="right" w:pos="9026" w:leader="dot"/>
            </w:tabs>
            <w:rPr/>
          </w:pPr>
          <w:hyperlink w:anchor="__RefHeading___Toc606100_1934241801">
            <w:r>
              <w:rPr>
                <w:webHidden/>
                <w:rStyle w:val="IndexLink"/>
                <w:rtl w:val="true"/>
              </w:rPr>
              <w:t>بيان</w:t>
            </w:r>
            <w:r>
              <w:rPr>
                <w:rStyle w:val="IndexLink"/>
                <w:rtl w:val="true"/>
              </w:rPr>
              <w:tab/>
            </w:r>
            <w:r>
              <w:rPr>
                <w:rStyle w:val="IndexLink"/>
              </w:rPr>
              <w:t>332</w:t>
            </w:r>
          </w:hyperlink>
        </w:p>
        <w:p>
          <w:pPr>
            <w:pStyle w:val="Contents5"/>
            <w:tabs>
              <w:tab w:val="clear" w:pos="7892"/>
              <w:tab w:val="right" w:pos="9026" w:leader="dot"/>
            </w:tabs>
            <w:rPr/>
          </w:pPr>
          <w:hyperlink w:anchor="__RefHeading___Toc606102_1934241801">
            <w:r>
              <w:rPr>
                <w:webHidden/>
                <w:rStyle w:val="IndexLink"/>
                <w:rtl w:val="true"/>
              </w:rPr>
              <w:t xml:space="preserve">روایت </w:t>
            </w:r>
            <w:r>
              <w:rPr>
                <w:rStyle w:val="IndexLink"/>
              </w:rPr>
              <w:t>14</w:t>
            </w:r>
            <w:r>
              <w:rPr>
                <w:rStyle w:val="IndexLink"/>
                <w:rtl w:val="true"/>
              </w:rPr>
              <w:tab/>
            </w:r>
            <w:r>
              <w:rPr>
                <w:rStyle w:val="IndexLink"/>
              </w:rPr>
              <w:t>332</w:t>
            </w:r>
          </w:hyperlink>
        </w:p>
        <w:p>
          <w:pPr>
            <w:pStyle w:val="Contents5"/>
            <w:tabs>
              <w:tab w:val="clear" w:pos="7892"/>
              <w:tab w:val="right" w:pos="9026" w:leader="dot"/>
            </w:tabs>
            <w:rPr/>
          </w:pPr>
          <w:hyperlink w:anchor="__RefHeading___Toc606104_1934241801">
            <w:r>
              <w:rPr>
                <w:webHidden/>
                <w:rStyle w:val="IndexLink"/>
                <w:rtl w:val="true"/>
              </w:rPr>
              <w:t>توضیح</w:t>
            </w:r>
            <w:r>
              <w:rPr>
                <w:rStyle w:val="IndexLink"/>
                <w:rtl w:val="true"/>
              </w:rPr>
              <w:tab/>
            </w:r>
            <w:r>
              <w:rPr>
                <w:rStyle w:val="IndexLink"/>
              </w:rPr>
              <w:t>333</w:t>
            </w:r>
          </w:hyperlink>
        </w:p>
        <w:p>
          <w:pPr>
            <w:pStyle w:val="Contents5"/>
            <w:tabs>
              <w:tab w:val="clear" w:pos="7892"/>
              <w:tab w:val="right" w:pos="9026" w:leader="dot"/>
            </w:tabs>
            <w:rPr/>
          </w:pPr>
          <w:hyperlink w:anchor="__RefHeading___Toc606106_1934241801">
            <w:r>
              <w:rPr>
                <w:webHidden/>
                <w:rStyle w:val="IndexLink"/>
                <w:rtl w:val="true"/>
              </w:rPr>
              <w:t>«</w:t>
            </w:r>
            <w:r>
              <w:rPr>
                <w:rStyle w:val="IndexLink"/>
              </w:rPr>
              <w:t>15</w:t>
            </w:r>
            <w:r>
              <w:rPr>
                <w:rStyle w:val="IndexLink"/>
                <w:rtl w:val="true"/>
              </w:rPr>
              <w:t>»</w:t>
              <w:tab/>
            </w:r>
            <w:r>
              <w:rPr>
                <w:rStyle w:val="IndexLink"/>
              </w:rPr>
              <w:t>334</w:t>
            </w:r>
          </w:hyperlink>
        </w:p>
        <w:p>
          <w:pPr>
            <w:pStyle w:val="Contents5"/>
            <w:tabs>
              <w:tab w:val="clear" w:pos="7892"/>
              <w:tab w:val="right" w:pos="9026" w:leader="dot"/>
            </w:tabs>
            <w:rPr/>
          </w:pPr>
          <w:hyperlink w:anchor="__RefHeading___Toc606108_1934241801">
            <w:r>
              <w:rPr>
                <w:webHidden/>
                <w:rStyle w:val="IndexLink"/>
                <w:rtl w:val="true"/>
              </w:rPr>
              <w:t>بيان</w:t>
            </w:r>
            <w:r>
              <w:rPr>
                <w:rStyle w:val="IndexLink"/>
                <w:rtl w:val="true"/>
              </w:rPr>
              <w:tab/>
            </w:r>
            <w:r>
              <w:rPr>
                <w:rStyle w:val="IndexLink"/>
              </w:rPr>
              <w:t>334</w:t>
            </w:r>
          </w:hyperlink>
        </w:p>
        <w:p>
          <w:pPr>
            <w:pStyle w:val="Contents5"/>
            <w:tabs>
              <w:tab w:val="clear" w:pos="7892"/>
              <w:tab w:val="right" w:pos="9026" w:leader="dot"/>
            </w:tabs>
            <w:rPr/>
          </w:pPr>
          <w:hyperlink w:anchor="__RefHeading___Toc606110_1934241801">
            <w:r>
              <w:rPr>
                <w:webHidden/>
                <w:rStyle w:val="IndexLink"/>
                <w:rtl w:val="true"/>
              </w:rPr>
              <w:t xml:space="preserve">روایت </w:t>
            </w:r>
            <w:r>
              <w:rPr>
                <w:rStyle w:val="IndexLink"/>
              </w:rPr>
              <w:t>15</w:t>
            </w:r>
            <w:r>
              <w:rPr>
                <w:rStyle w:val="IndexLink"/>
                <w:rtl w:val="true"/>
              </w:rPr>
              <w:tab/>
            </w:r>
            <w:r>
              <w:rPr>
                <w:rStyle w:val="IndexLink"/>
              </w:rPr>
              <w:t>335</w:t>
            </w:r>
          </w:hyperlink>
        </w:p>
        <w:p>
          <w:pPr>
            <w:pStyle w:val="Contents5"/>
            <w:tabs>
              <w:tab w:val="clear" w:pos="7892"/>
              <w:tab w:val="right" w:pos="9026" w:leader="dot"/>
            </w:tabs>
            <w:rPr/>
          </w:pPr>
          <w:hyperlink w:anchor="__RefHeading___Toc606112_1934241801">
            <w:r>
              <w:rPr>
                <w:webHidden/>
                <w:rStyle w:val="IndexLink"/>
                <w:rtl w:val="true"/>
              </w:rPr>
              <w:t>توضیح</w:t>
            </w:r>
            <w:r>
              <w:rPr>
                <w:rStyle w:val="IndexLink"/>
                <w:rtl w:val="true"/>
              </w:rPr>
              <w:tab/>
            </w:r>
            <w:r>
              <w:rPr>
                <w:rStyle w:val="IndexLink"/>
              </w:rPr>
              <w:t>335</w:t>
            </w:r>
          </w:hyperlink>
        </w:p>
        <w:p>
          <w:pPr>
            <w:pStyle w:val="Contents5"/>
            <w:tabs>
              <w:tab w:val="clear" w:pos="7892"/>
              <w:tab w:val="right" w:pos="9026" w:leader="dot"/>
            </w:tabs>
            <w:rPr/>
          </w:pPr>
          <w:hyperlink w:anchor="__RefHeading___Toc606114_1934241801">
            <w:r>
              <w:rPr>
                <w:webHidden/>
                <w:rStyle w:val="IndexLink"/>
                <w:rtl w:val="true"/>
              </w:rPr>
              <w:t>«</w:t>
            </w:r>
            <w:r>
              <w:rPr>
                <w:rStyle w:val="IndexLink"/>
              </w:rPr>
              <w:t>16</w:t>
            </w:r>
            <w:r>
              <w:rPr>
                <w:rStyle w:val="IndexLink"/>
                <w:rtl w:val="true"/>
              </w:rPr>
              <w:t>»</w:t>
              <w:tab/>
            </w:r>
            <w:r>
              <w:rPr>
                <w:rStyle w:val="IndexLink"/>
              </w:rPr>
              <w:t>336</w:t>
            </w:r>
          </w:hyperlink>
        </w:p>
        <w:p>
          <w:pPr>
            <w:pStyle w:val="Contents5"/>
            <w:tabs>
              <w:tab w:val="clear" w:pos="7892"/>
              <w:tab w:val="right" w:pos="9026" w:leader="dot"/>
            </w:tabs>
            <w:rPr/>
          </w:pPr>
          <w:hyperlink w:anchor="__RefHeading___Toc606116_1934241801">
            <w:r>
              <w:rPr>
                <w:webHidden/>
                <w:rStyle w:val="IndexLink"/>
                <w:rtl w:val="true"/>
              </w:rPr>
              <w:t>«</w:t>
            </w:r>
            <w:r>
              <w:rPr>
                <w:rStyle w:val="IndexLink"/>
              </w:rPr>
              <w:t>17</w:t>
            </w:r>
            <w:r>
              <w:rPr>
                <w:rStyle w:val="IndexLink"/>
                <w:rtl w:val="true"/>
              </w:rPr>
              <w:t>»</w:t>
              <w:tab/>
            </w:r>
            <w:r>
              <w:rPr>
                <w:rStyle w:val="IndexLink"/>
              </w:rPr>
              <w:t>336</w:t>
            </w:r>
          </w:hyperlink>
        </w:p>
        <w:p>
          <w:pPr>
            <w:pStyle w:val="Contents5"/>
            <w:tabs>
              <w:tab w:val="clear" w:pos="7892"/>
              <w:tab w:val="right" w:pos="9026" w:leader="dot"/>
            </w:tabs>
            <w:rPr/>
          </w:pPr>
          <w:hyperlink w:anchor="__RefHeading___Toc606118_1934241801">
            <w:r>
              <w:rPr>
                <w:webHidden/>
                <w:rStyle w:val="IndexLink"/>
                <w:rtl w:val="true"/>
              </w:rPr>
              <w:t xml:space="preserve">روایت </w:t>
            </w:r>
            <w:r>
              <w:rPr>
                <w:rStyle w:val="IndexLink"/>
              </w:rPr>
              <w:t>16</w:t>
            </w:r>
            <w:r>
              <w:rPr>
                <w:rStyle w:val="IndexLink"/>
                <w:rtl w:val="true"/>
              </w:rPr>
              <w:tab/>
            </w:r>
            <w:r>
              <w:rPr>
                <w:rStyle w:val="IndexLink"/>
              </w:rPr>
              <w:t>337</w:t>
            </w:r>
          </w:hyperlink>
        </w:p>
        <w:p>
          <w:pPr>
            <w:pStyle w:val="Contents5"/>
            <w:tabs>
              <w:tab w:val="clear" w:pos="7892"/>
              <w:tab w:val="right" w:pos="9026" w:leader="dot"/>
            </w:tabs>
            <w:rPr/>
          </w:pPr>
          <w:hyperlink w:anchor="__RefHeading___Toc606120_1934241801">
            <w:r>
              <w:rPr>
                <w:webHidden/>
                <w:rStyle w:val="IndexLink"/>
                <w:rtl w:val="true"/>
              </w:rPr>
              <w:t xml:space="preserve">روایت </w:t>
            </w:r>
            <w:r>
              <w:rPr>
                <w:rStyle w:val="IndexLink"/>
              </w:rPr>
              <w:t>17</w:t>
            </w:r>
            <w:r>
              <w:rPr>
                <w:rStyle w:val="IndexLink"/>
                <w:rtl w:val="true"/>
              </w:rPr>
              <w:tab/>
            </w:r>
            <w:r>
              <w:rPr>
                <w:rStyle w:val="IndexLink"/>
              </w:rPr>
              <w:t>337</w:t>
            </w:r>
          </w:hyperlink>
        </w:p>
        <w:p>
          <w:pPr>
            <w:pStyle w:val="Contents5"/>
            <w:tabs>
              <w:tab w:val="clear" w:pos="7892"/>
              <w:tab w:val="right" w:pos="9026" w:leader="dot"/>
            </w:tabs>
            <w:rPr/>
          </w:pPr>
          <w:hyperlink w:anchor="__RefHeading___Toc606122_1934241801">
            <w:r>
              <w:rPr>
                <w:webHidden/>
                <w:rStyle w:val="IndexLink"/>
                <w:rtl w:val="true"/>
              </w:rPr>
              <w:t>بيان</w:t>
            </w:r>
            <w:r>
              <w:rPr>
                <w:rStyle w:val="IndexLink"/>
                <w:rtl w:val="true"/>
              </w:rPr>
              <w:tab/>
            </w:r>
            <w:r>
              <w:rPr>
                <w:rStyle w:val="IndexLink"/>
              </w:rPr>
              <w:t>338</w:t>
            </w:r>
          </w:hyperlink>
        </w:p>
        <w:p>
          <w:pPr>
            <w:pStyle w:val="Contents5"/>
            <w:tabs>
              <w:tab w:val="clear" w:pos="7892"/>
              <w:tab w:val="right" w:pos="9026" w:leader="dot"/>
            </w:tabs>
            <w:rPr/>
          </w:pPr>
          <w:hyperlink w:anchor="__RefHeading___Toc606124_1934241801">
            <w:r>
              <w:rPr>
                <w:webHidden/>
                <w:rStyle w:val="IndexLink"/>
                <w:rtl w:val="true"/>
              </w:rPr>
              <w:t>«</w:t>
            </w:r>
            <w:r>
              <w:rPr>
                <w:rStyle w:val="IndexLink"/>
              </w:rPr>
              <w:t>18</w:t>
            </w:r>
            <w:r>
              <w:rPr>
                <w:rStyle w:val="IndexLink"/>
                <w:rtl w:val="true"/>
              </w:rPr>
              <w:t>»</w:t>
              <w:tab/>
            </w:r>
            <w:r>
              <w:rPr>
                <w:rStyle w:val="IndexLink"/>
              </w:rPr>
              <w:t>338</w:t>
            </w:r>
          </w:hyperlink>
        </w:p>
        <w:p>
          <w:pPr>
            <w:pStyle w:val="Contents5"/>
            <w:tabs>
              <w:tab w:val="clear" w:pos="7892"/>
              <w:tab w:val="right" w:pos="9026" w:leader="dot"/>
            </w:tabs>
            <w:rPr/>
          </w:pPr>
          <w:hyperlink w:anchor="__RefHeading___Toc606126_1934241801">
            <w:r>
              <w:rPr>
                <w:webHidden/>
                <w:rStyle w:val="IndexLink"/>
                <w:rtl w:val="true"/>
              </w:rPr>
              <w:t>توضيح</w:t>
            </w:r>
            <w:r>
              <w:rPr>
                <w:rStyle w:val="IndexLink"/>
                <w:rtl w:val="true"/>
              </w:rPr>
              <w:tab/>
            </w:r>
            <w:r>
              <w:rPr>
                <w:rStyle w:val="IndexLink"/>
              </w:rPr>
              <w:t>338</w:t>
            </w:r>
          </w:hyperlink>
        </w:p>
        <w:p>
          <w:pPr>
            <w:pStyle w:val="Contents5"/>
            <w:tabs>
              <w:tab w:val="clear" w:pos="7892"/>
              <w:tab w:val="right" w:pos="9026" w:leader="dot"/>
            </w:tabs>
            <w:rPr/>
          </w:pPr>
          <w:hyperlink w:anchor="__RefHeading___Toc606128_1934241801">
            <w:r>
              <w:rPr>
                <w:webHidden/>
                <w:rStyle w:val="IndexLink"/>
                <w:rtl w:val="true"/>
              </w:rPr>
              <w:t>«</w:t>
            </w:r>
            <w:r>
              <w:rPr>
                <w:rStyle w:val="IndexLink"/>
              </w:rPr>
              <w:t>19</w:t>
            </w:r>
            <w:r>
              <w:rPr>
                <w:rStyle w:val="IndexLink"/>
                <w:rtl w:val="true"/>
              </w:rPr>
              <w:t>»</w:t>
              <w:tab/>
            </w:r>
            <w:r>
              <w:rPr>
                <w:rStyle w:val="IndexLink"/>
              </w:rPr>
              <w:t>338</w:t>
            </w:r>
          </w:hyperlink>
        </w:p>
        <w:p>
          <w:pPr>
            <w:pStyle w:val="Contents5"/>
            <w:tabs>
              <w:tab w:val="clear" w:pos="7892"/>
              <w:tab w:val="right" w:pos="9026" w:leader="dot"/>
            </w:tabs>
            <w:rPr/>
          </w:pPr>
          <w:hyperlink w:anchor="__RefHeading___Toc606130_1934241801">
            <w:r>
              <w:rPr>
                <w:webHidden/>
                <w:rStyle w:val="IndexLink"/>
                <w:rtl w:val="true"/>
              </w:rPr>
              <w:t>توضیح</w:t>
            </w:r>
            <w:r>
              <w:rPr>
                <w:rStyle w:val="IndexLink"/>
                <w:rtl w:val="true"/>
              </w:rPr>
              <w:tab/>
            </w:r>
            <w:r>
              <w:rPr>
                <w:rStyle w:val="IndexLink"/>
              </w:rPr>
              <w:t>338</w:t>
            </w:r>
          </w:hyperlink>
        </w:p>
        <w:p>
          <w:pPr>
            <w:pStyle w:val="Contents5"/>
            <w:tabs>
              <w:tab w:val="clear" w:pos="7892"/>
              <w:tab w:val="right" w:pos="9026" w:leader="dot"/>
            </w:tabs>
            <w:rPr/>
          </w:pPr>
          <w:hyperlink w:anchor="__RefHeading___Toc606132_1934241801">
            <w:r>
              <w:rPr>
                <w:webHidden/>
                <w:rStyle w:val="IndexLink"/>
                <w:rtl w:val="true"/>
              </w:rPr>
              <w:t xml:space="preserve">روایت </w:t>
            </w:r>
            <w:r>
              <w:rPr>
                <w:rStyle w:val="IndexLink"/>
              </w:rPr>
              <w:t>18</w:t>
            </w:r>
            <w:r>
              <w:rPr>
                <w:rStyle w:val="IndexLink"/>
                <w:rtl w:val="true"/>
              </w:rPr>
              <w:tab/>
            </w:r>
            <w:r>
              <w:rPr>
                <w:rStyle w:val="IndexLink"/>
              </w:rPr>
              <w:t>338</w:t>
            </w:r>
          </w:hyperlink>
        </w:p>
        <w:p>
          <w:pPr>
            <w:pStyle w:val="Contents5"/>
            <w:tabs>
              <w:tab w:val="clear" w:pos="7892"/>
              <w:tab w:val="right" w:pos="9026" w:leader="dot"/>
            </w:tabs>
            <w:rPr/>
          </w:pPr>
          <w:hyperlink w:anchor="__RefHeading___Toc606134_1934241801">
            <w:r>
              <w:rPr>
                <w:webHidden/>
                <w:rStyle w:val="IndexLink"/>
                <w:rtl w:val="true"/>
              </w:rPr>
              <w:t>توضیح</w:t>
            </w:r>
            <w:r>
              <w:rPr>
                <w:rStyle w:val="IndexLink"/>
                <w:rtl w:val="true"/>
              </w:rPr>
              <w:tab/>
            </w:r>
            <w:r>
              <w:rPr>
                <w:rStyle w:val="IndexLink"/>
              </w:rPr>
              <w:t>338</w:t>
            </w:r>
          </w:hyperlink>
        </w:p>
        <w:p>
          <w:pPr>
            <w:pStyle w:val="Contents5"/>
            <w:tabs>
              <w:tab w:val="clear" w:pos="7892"/>
              <w:tab w:val="right" w:pos="9026" w:leader="dot"/>
            </w:tabs>
            <w:rPr/>
          </w:pPr>
          <w:hyperlink w:anchor="__RefHeading___Toc606136_1934241801">
            <w:r>
              <w:rPr>
                <w:webHidden/>
                <w:rStyle w:val="IndexLink"/>
                <w:rtl w:val="true"/>
              </w:rPr>
              <w:t xml:space="preserve">روایت </w:t>
            </w:r>
            <w:r>
              <w:rPr>
                <w:rStyle w:val="IndexLink"/>
              </w:rPr>
              <w:t>19</w:t>
            </w:r>
            <w:r>
              <w:rPr>
                <w:rStyle w:val="IndexLink"/>
                <w:rtl w:val="true"/>
              </w:rPr>
              <w:tab/>
            </w:r>
            <w:r>
              <w:rPr>
                <w:rStyle w:val="IndexLink"/>
              </w:rPr>
              <w:t>339</w:t>
            </w:r>
          </w:hyperlink>
        </w:p>
        <w:p>
          <w:pPr>
            <w:pStyle w:val="Contents5"/>
            <w:tabs>
              <w:tab w:val="clear" w:pos="7892"/>
              <w:tab w:val="right" w:pos="9026" w:leader="dot"/>
            </w:tabs>
            <w:rPr/>
          </w:pPr>
          <w:hyperlink w:anchor="__RefHeading___Toc606138_1934241801">
            <w:r>
              <w:rPr>
                <w:webHidden/>
                <w:rStyle w:val="IndexLink"/>
                <w:rtl w:val="true"/>
              </w:rPr>
              <w:t>«</w:t>
            </w:r>
            <w:r>
              <w:rPr>
                <w:rStyle w:val="IndexLink"/>
              </w:rPr>
              <w:t>20</w:t>
            </w:r>
            <w:r>
              <w:rPr>
                <w:rStyle w:val="IndexLink"/>
                <w:rtl w:val="true"/>
              </w:rPr>
              <w:t>»</w:t>
              <w:tab/>
            </w:r>
            <w:r>
              <w:rPr>
                <w:rStyle w:val="IndexLink"/>
              </w:rPr>
              <w:t>340</w:t>
            </w:r>
          </w:hyperlink>
        </w:p>
        <w:p>
          <w:pPr>
            <w:pStyle w:val="Contents5"/>
            <w:tabs>
              <w:tab w:val="clear" w:pos="7892"/>
              <w:tab w:val="right" w:pos="9026" w:leader="dot"/>
            </w:tabs>
            <w:rPr/>
          </w:pPr>
          <w:hyperlink w:anchor="__RefHeading___Toc606140_1934241801">
            <w:r>
              <w:rPr>
                <w:webHidden/>
                <w:rStyle w:val="IndexLink"/>
                <w:rtl w:val="true"/>
              </w:rPr>
              <w:t>«</w:t>
            </w:r>
            <w:r>
              <w:rPr>
                <w:rStyle w:val="IndexLink"/>
              </w:rPr>
              <w:t>21</w:t>
            </w:r>
            <w:r>
              <w:rPr>
                <w:rStyle w:val="IndexLink"/>
                <w:rtl w:val="true"/>
              </w:rPr>
              <w:t>»</w:t>
              <w:tab/>
            </w:r>
            <w:r>
              <w:rPr>
                <w:rStyle w:val="IndexLink"/>
              </w:rPr>
              <w:t>340</w:t>
            </w:r>
          </w:hyperlink>
        </w:p>
        <w:p>
          <w:pPr>
            <w:pStyle w:val="Contents5"/>
            <w:tabs>
              <w:tab w:val="clear" w:pos="7892"/>
              <w:tab w:val="right" w:pos="9026" w:leader="dot"/>
            </w:tabs>
            <w:rPr/>
          </w:pPr>
          <w:hyperlink w:anchor="__RefHeading___Toc606142_1934241801">
            <w:r>
              <w:rPr>
                <w:webHidden/>
                <w:rStyle w:val="IndexLink"/>
                <w:rtl w:val="true"/>
              </w:rPr>
              <w:t>«</w:t>
            </w:r>
            <w:r>
              <w:rPr>
                <w:rStyle w:val="IndexLink"/>
              </w:rPr>
              <w:t>22</w:t>
            </w:r>
            <w:r>
              <w:rPr>
                <w:rStyle w:val="IndexLink"/>
                <w:rtl w:val="true"/>
              </w:rPr>
              <w:t>»</w:t>
              <w:tab/>
            </w:r>
            <w:r>
              <w:rPr>
                <w:rStyle w:val="IndexLink"/>
              </w:rPr>
              <w:t>340</w:t>
            </w:r>
          </w:hyperlink>
        </w:p>
        <w:p>
          <w:pPr>
            <w:pStyle w:val="Contents5"/>
            <w:tabs>
              <w:tab w:val="clear" w:pos="7892"/>
              <w:tab w:val="right" w:pos="9026" w:leader="dot"/>
            </w:tabs>
            <w:rPr/>
          </w:pPr>
          <w:hyperlink w:anchor="__RefHeading___Toc606144_1934241801">
            <w:r>
              <w:rPr>
                <w:webHidden/>
                <w:rStyle w:val="IndexLink"/>
                <w:rtl w:val="true"/>
              </w:rPr>
              <w:t>بيان</w:t>
            </w:r>
            <w:r>
              <w:rPr>
                <w:rStyle w:val="IndexLink"/>
                <w:rtl w:val="true"/>
              </w:rPr>
              <w:tab/>
            </w:r>
            <w:r>
              <w:rPr>
                <w:rStyle w:val="IndexLink"/>
              </w:rPr>
              <w:t>340</w:t>
            </w:r>
          </w:hyperlink>
        </w:p>
        <w:p>
          <w:pPr>
            <w:pStyle w:val="Contents5"/>
            <w:tabs>
              <w:tab w:val="clear" w:pos="7892"/>
              <w:tab w:val="right" w:pos="9026" w:leader="dot"/>
            </w:tabs>
            <w:rPr/>
          </w:pPr>
          <w:hyperlink w:anchor="__RefHeading___Toc606146_1934241801">
            <w:r>
              <w:rPr>
                <w:webHidden/>
                <w:rStyle w:val="IndexLink"/>
                <w:rtl w:val="true"/>
              </w:rPr>
              <w:t xml:space="preserve">روایت </w:t>
            </w:r>
            <w:r>
              <w:rPr>
                <w:rStyle w:val="IndexLink"/>
              </w:rPr>
              <w:t>20</w:t>
            </w:r>
            <w:r>
              <w:rPr>
                <w:rStyle w:val="IndexLink"/>
                <w:rtl w:val="true"/>
              </w:rPr>
              <w:tab/>
            </w:r>
            <w:r>
              <w:rPr>
                <w:rStyle w:val="IndexLink"/>
              </w:rPr>
              <w:t>340</w:t>
            </w:r>
          </w:hyperlink>
        </w:p>
        <w:p>
          <w:pPr>
            <w:pStyle w:val="Contents5"/>
            <w:tabs>
              <w:tab w:val="clear" w:pos="7892"/>
              <w:tab w:val="right" w:pos="9026" w:leader="dot"/>
            </w:tabs>
            <w:rPr/>
          </w:pPr>
          <w:hyperlink w:anchor="__RefHeading___Toc606148_1934241801">
            <w:r>
              <w:rPr>
                <w:webHidden/>
                <w:rStyle w:val="IndexLink"/>
                <w:rtl w:val="true"/>
              </w:rPr>
              <w:t xml:space="preserve">روایت </w:t>
            </w:r>
            <w:r>
              <w:rPr>
                <w:rStyle w:val="IndexLink"/>
              </w:rPr>
              <w:t>21</w:t>
            </w:r>
            <w:r>
              <w:rPr>
                <w:rStyle w:val="IndexLink"/>
                <w:rtl w:val="true"/>
              </w:rPr>
              <w:tab/>
            </w:r>
            <w:r>
              <w:rPr>
                <w:rStyle w:val="IndexLink"/>
              </w:rPr>
              <w:t>340</w:t>
            </w:r>
          </w:hyperlink>
        </w:p>
        <w:p>
          <w:pPr>
            <w:pStyle w:val="Contents5"/>
            <w:tabs>
              <w:tab w:val="clear" w:pos="7892"/>
              <w:tab w:val="right" w:pos="9026" w:leader="dot"/>
            </w:tabs>
            <w:rPr/>
          </w:pPr>
          <w:hyperlink w:anchor="__RefHeading___Toc606150_1934241801">
            <w:r>
              <w:rPr>
                <w:webHidden/>
                <w:rStyle w:val="IndexLink"/>
                <w:rtl w:val="true"/>
              </w:rPr>
              <w:t xml:space="preserve">روایت </w:t>
            </w:r>
            <w:r>
              <w:rPr>
                <w:rStyle w:val="IndexLink"/>
              </w:rPr>
              <w:t>22</w:t>
            </w:r>
            <w:r>
              <w:rPr>
                <w:rStyle w:val="IndexLink"/>
                <w:rtl w:val="true"/>
              </w:rPr>
              <w:tab/>
            </w:r>
            <w:r>
              <w:rPr>
                <w:rStyle w:val="IndexLink"/>
              </w:rPr>
              <w:t>341</w:t>
            </w:r>
          </w:hyperlink>
        </w:p>
        <w:p>
          <w:pPr>
            <w:pStyle w:val="Contents5"/>
            <w:tabs>
              <w:tab w:val="clear" w:pos="7892"/>
              <w:tab w:val="right" w:pos="9026" w:leader="dot"/>
            </w:tabs>
            <w:rPr/>
          </w:pPr>
          <w:hyperlink w:anchor="__RefHeading___Toc606152_1934241801">
            <w:r>
              <w:rPr>
                <w:webHidden/>
                <w:rStyle w:val="IndexLink"/>
                <w:rtl w:val="true"/>
              </w:rPr>
              <w:t>توضیح</w:t>
            </w:r>
            <w:r>
              <w:rPr>
                <w:rStyle w:val="IndexLink"/>
                <w:rtl w:val="true"/>
              </w:rPr>
              <w:tab/>
            </w:r>
            <w:r>
              <w:rPr>
                <w:rStyle w:val="IndexLink"/>
              </w:rPr>
              <w:t>341</w:t>
            </w:r>
          </w:hyperlink>
        </w:p>
        <w:p>
          <w:pPr>
            <w:pStyle w:val="Contents5"/>
            <w:tabs>
              <w:tab w:val="clear" w:pos="7892"/>
              <w:tab w:val="right" w:pos="9026" w:leader="dot"/>
            </w:tabs>
            <w:rPr/>
          </w:pPr>
          <w:hyperlink w:anchor="__RefHeading___Toc606154_1934241801">
            <w:r>
              <w:rPr>
                <w:webHidden/>
                <w:rStyle w:val="IndexLink"/>
                <w:rtl w:val="true"/>
              </w:rPr>
              <w:t>«</w:t>
            </w:r>
            <w:r>
              <w:rPr>
                <w:rStyle w:val="IndexLink"/>
              </w:rPr>
              <w:t>22</w:t>
            </w:r>
            <w:r>
              <w:rPr>
                <w:rStyle w:val="IndexLink"/>
                <w:rtl w:val="true"/>
              </w:rPr>
              <w:t>»</w:t>
              <w:tab/>
            </w:r>
            <w:r>
              <w:rPr>
                <w:rStyle w:val="IndexLink"/>
              </w:rPr>
              <w:t>342</w:t>
            </w:r>
          </w:hyperlink>
        </w:p>
        <w:p>
          <w:pPr>
            <w:pStyle w:val="Contents5"/>
            <w:tabs>
              <w:tab w:val="clear" w:pos="7892"/>
              <w:tab w:val="right" w:pos="9026" w:leader="dot"/>
            </w:tabs>
            <w:rPr/>
          </w:pPr>
          <w:hyperlink w:anchor="__RefHeading___Toc606156_1934241801">
            <w:r>
              <w:rPr>
                <w:webHidden/>
                <w:rStyle w:val="IndexLink"/>
                <w:rtl w:val="true"/>
              </w:rPr>
              <w:t>بيان</w:t>
            </w:r>
            <w:r>
              <w:rPr>
                <w:rStyle w:val="IndexLink"/>
                <w:rtl w:val="true"/>
              </w:rPr>
              <w:tab/>
            </w:r>
            <w:r>
              <w:rPr>
                <w:rStyle w:val="IndexLink"/>
              </w:rPr>
              <w:t>342</w:t>
            </w:r>
          </w:hyperlink>
        </w:p>
        <w:p>
          <w:pPr>
            <w:pStyle w:val="Contents5"/>
            <w:tabs>
              <w:tab w:val="clear" w:pos="7892"/>
              <w:tab w:val="right" w:pos="9026" w:leader="dot"/>
            </w:tabs>
            <w:rPr/>
          </w:pPr>
          <w:hyperlink w:anchor="__RefHeading___Toc606158_1934241801">
            <w:r>
              <w:rPr>
                <w:webHidden/>
                <w:rStyle w:val="IndexLink"/>
                <w:rtl w:val="true"/>
              </w:rPr>
              <w:t xml:space="preserve">روایت </w:t>
            </w:r>
            <w:r>
              <w:rPr>
                <w:rStyle w:val="IndexLink"/>
              </w:rPr>
              <w:t>22</w:t>
            </w:r>
            <w:r>
              <w:rPr>
                <w:rStyle w:val="IndexLink"/>
                <w:rtl w:val="true"/>
              </w:rPr>
              <w:tab/>
            </w:r>
            <w:r>
              <w:rPr>
                <w:rStyle w:val="IndexLink"/>
              </w:rPr>
              <w:t>343</w:t>
            </w:r>
          </w:hyperlink>
        </w:p>
        <w:p>
          <w:pPr>
            <w:pStyle w:val="Contents5"/>
            <w:tabs>
              <w:tab w:val="clear" w:pos="7892"/>
              <w:tab w:val="right" w:pos="9026" w:leader="dot"/>
            </w:tabs>
            <w:rPr/>
          </w:pPr>
          <w:hyperlink w:anchor="__RefHeading___Toc606160_1934241801">
            <w:r>
              <w:rPr>
                <w:webHidden/>
                <w:rStyle w:val="IndexLink"/>
                <w:rtl w:val="true"/>
              </w:rPr>
              <w:t>توضیح</w:t>
            </w:r>
            <w:r>
              <w:rPr>
                <w:rStyle w:val="IndexLink"/>
                <w:rtl w:val="true"/>
              </w:rPr>
              <w:tab/>
            </w:r>
            <w:r>
              <w:rPr>
                <w:rStyle w:val="IndexLink"/>
              </w:rPr>
              <w:t>343</w:t>
            </w:r>
          </w:hyperlink>
        </w:p>
        <w:p>
          <w:pPr>
            <w:pStyle w:val="Contents5"/>
            <w:tabs>
              <w:tab w:val="clear" w:pos="7892"/>
              <w:tab w:val="right" w:pos="9026" w:leader="dot"/>
            </w:tabs>
            <w:rPr/>
          </w:pPr>
          <w:hyperlink w:anchor="__RefHeading___Toc606162_1934241801">
            <w:r>
              <w:rPr>
                <w:webHidden/>
                <w:rStyle w:val="IndexLink"/>
                <w:rtl w:val="true"/>
              </w:rPr>
              <w:t>«</w:t>
            </w:r>
            <w:r>
              <w:rPr>
                <w:rStyle w:val="IndexLink"/>
              </w:rPr>
              <w:t>23</w:t>
            </w:r>
            <w:r>
              <w:rPr>
                <w:rStyle w:val="IndexLink"/>
                <w:rtl w:val="true"/>
              </w:rPr>
              <w:t>»</w:t>
              <w:tab/>
            </w:r>
            <w:r>
              <w:rPr>
                <w:rStyle w:val="IndexLink"/>
              </w:rPr>
              <w:t>344</w:t>
            </w:r>
          </w:hyperlink>
        </w:p>
        <w:p>
          <w:pPr>
            <w:pStyle w:val="Contents5"/>
            <w:tabs>
              <w:tab w:val="clear" w:pos="7892"/>
              <w:tab w:val="right" w:pos="9026" w:leader="dot"/>
            </w:tabs>
            <w:rPr/>
          </w:pPr>
          <w:hyperlink w:anchor="__RefHeading___Toc606164_1934241801">
            <w:r>
              <w:rPr>
                <w:webHidden/>
                <w:rStyle w:val="IndexLink"/>
                <w:rtl w:val="true"/>
              </w:rPr>
              <w:t>«</w:t>
            </w:r>
            <w:r>
              <w:rPr>
                <w:rStyle w:val="IndexLink"/>
              </w:rPr>
              <w:t>24</w:t>
            </w:r>
            <w:r>
              <w:rPr>
                <w:rStyle w:val="IndexLink"/>
                <w:rtl w:val="true"/>
              </w:rPr>
              <w:t>»</w:t>
              <w:tab/>
            </w:r>
            <w:r>
              <w:rPr>
                <w:rStyle w:val="IndexLink"/>
              </w:rPr>
              <w:t>344</w:t>
            </w:r>
          </w:hyperlink>
        </w:p>
        <w:p>
          <w:pPr>
            <w:pStyle w:val="Contents5"/>
            <w:tabs>
              <w:tab w:val="clear" w:pos="7892"/>
              <w:tab w:val="right" w:pos="9026" w:leader="dot"/>
            </w:tabs>
            <w:rPr/>
          </w:pPr>
          <w:hyperlink w:anchor="__RefHeading___Toc606166_1934241801">
            <w:r>
              <w:rPr>
                <w:webHidden/>
                <w:rStyle w:val="IndexLink"/>
                <w:rtl w:val="true"/>
              </w:rPr>
              <w:t>بيان</w:t>
            </w:r>
            <w:r>
              <w:rPr>
                <w:rStyle w:val="IndexLink"/>
                <w:rtl w:val="true"/>
              </w:rPr>
              <w:tab/>
            </w:r>
            <w:r>
              <w:rPr>
                <w:rStyle w:val="IndexLink"/>
              </w:rPr>
              <w:t>344</w:t>
            </w:r>
          </w:hyperlink>
        </w:p>
        <w:p>
          <w:pPr>
            <w:pStyle w:val="Contents5"/>
            <w:tabs>
              <w:tab w:val="clear" w:pos="7892"/>
              <w:tab w:val="right" w:pos="9026" w:leader="dot"/>
            </w:tabs>
            <w:rPr/>
          </w:pPr>
          <w:hyperlink w:anchor="__RefHeading___Toc606168_1934241801">
            <w:r>
              <w:rPr>
                <w:webHidden/>
                <w:rStyle w:val="IndexLink"/>
                <w:rtl w:val="true"/>
              </w:rPr>
              <w:t xml:space="preserve">روایت </w:t>
            </w:r>
            <w:r>
              <w:rPr>
                <w:rStyle w:val="IndexLink"/>
              </w:rPr>
              <w:t>23</w:t>
            </w:r>
            <w:r>
              <w:rPr>
                <w:rStyle w:val="IndexLink"/>
                <w:rtl w:val="true"/>
              </w:rPr>
              <w:tab/>
            </w:r>
            <w:r>
              <w:rPr>
                <w:rStyle w:val="IndexLink"/>
              </w:rPr>
              <w:t>344</w:t>
            </w:r>
          </w:hyperlink>
        </w:p>
        <w:p>
          <w:pPr>
            <w:pStyle w:val="Contents5"/>
            <w:tabs>
              <w:tab w:val="clear" w:pos="7892"/>
              <w:tab w:val="right" w:pos="9026" w:leader="dot"/>
            </w:tabs>
            <w:rPr/>
          </w:pPr>
          <w:hyperlink w:anchor="__RefHeading___Toc606170_1934241801">
            <w:r>
              <w:rPr>
                <w:webHidden/>
                <w:rStyle w:val="IndexLink"/>
                <w:rtl w:val="true"/>
              </w:rPr>
              <w:t xml:space="preserve">روایت </w:t>
            </w:r>
            <w:r>
              <w:rPr>
                <w:rStyle w:val="IndexLink"/>
              </w:rPr>
              <w:t>24</w:t>
            </w:r>
            <w:r>
              <w:rPr>
                <w:rStyle w:val="IndexLink"/>
                <w:rtl w:val="true"/>
              </w:rPr>
              <w:tab/>
            </w:r>
            <w:r>
              <w:rPr>
                <w:rStyle w:val="IndexLink"/>
              </w:rPr>
              <w:t>345</w:t>
            </w:r>
          </w:hyperlink>
        </w:p>
        <w:p>
          <w:pPr>
            <w:pStyle w:val="Contents5"/>
            <w:tabs>
              <w:tab w:val="clear" w:pos="7892"/>
              <w:tab w:val="right" w:pos="9026" w:leader="dot"/>
            </w:tabs>
            <w:rPr/>
          </w:pPr>
          <w:hyperlink w:anchor="__RefHeading___Toc606172_1934241801">
            <w:r>
              <w:rPr>
                <w:webHidden/>
                <w:rStyle w:val="IndexLink"/>
                <w:rtl w:val="true"/>
              </w:rPr>
              <w:t>توضیح</w:t>
            </w:r>
            <w:r>
              <w:rPr>
                <w:rStyle w:val="IndexLink"/>
                <w:rtl w:val="true"/>
              </w:rPr>
              <w:tab/>
            </w:r>
            <w:r>
              <w:rPr>
                <w:rStyle w:val="IndexLink"/>
              </w:rPr>
              <w:t>345</w:t>
            </w:r>
          </w:hyperlink>
        </w:p>
        <w:p>
          <w:pPr>
            <w:pStyle w:val="Contents5"/>
            <w:tabs>
              <w:tab w:val="clear" w:pos="7892"/>
              <w:tab w:val="right" w:pos="9026" w:leader="dot"/>
            </w:tabs>
            <w:rPr/>
          </w:pPr>
          <w:hyperlink w:anchor="__RefHeading___Toc606174_1934241801">
            <w:r>
              <w:rPr>
                <w:webHidden/>
                <w:rStyle w:val="IndexLink"/>
                <w:rtl w:val="true"/>
              </w:rPr>
              <w:t>«</w:t>
            </w:r>
            <w:r>
              <w:rPr>
                <w:rStyle w:val="IndexLink"/>
              </w:rPr>
              <w:t>25</w:t>
            </w:r>
            <w:r>
              <w:rPr>
                <w:rStyle w:val="IndexLink"/>
                <w:rtl w:val="true"/>
              </w:rPr>
              <w:t>»</w:t>
              <w:tab/>
            </w:r>
            <w:r>
              <w:rPr>
                <w:rStyle w:val="IndexLink"/>
              </w:rPr>
              <w:t>346</w:t>
            </w:r>
          </w:hyperlink>
        </w:p>
        <w:p>
          <w:pPr>
            <w:pStyle w:val="Contents5"/>
            <w:tabs>
              <w:tab w:val="clear" w:pos="7892"/>
              <w:tab w:val="right" w:pos="9026" w:leader="dot"/>
            </w:tabs>
            <w:rPr/>
          </w:pPr>
          <w:hyperlink w:anchor="__RefHeading___Toc606176_1934241801">
            <w:r>
              <w:rPr>
                <w:webHidden/>
                <w:rStyle w:val="IndexLink"/>
                <w:rtl w:val="true"/>
              </w:rPr>
              <w:t>بيان</w:t>
            </w:r>
            <w:r>
              <w:rPr>
                <w:rStyle w:val="IndexLink"/>
                <w:rtl w:val="true"/>
              </w:rPr>
              <w:tab/>
            </w:r>
            <w:r>
              <w:rPr>
                <w:rStyle w:val="IndexLink"/>
              </w:rPr>
              <w:t>346</w:t>
            </w:r>
          </w:hyperlink>
        </w:p>
        <w:p>
          <w:pPr>
            <w:pStyle w:val="Contents5"/>
            <w:tabs>
              <w:tab w:val="clear" w:pos="7892"/>
              <w:tab w:val="right" w:pos="9026" w:leader="dot"/>
            </w:tabs>
            <w:rPr/>
          </w:pPr>
          <w:hyperlink w:anchor="__RefHeading___Toc606178_1934241801">
            <w:r>
              <w:rPr>
                <w:webHidden/>
                <w:rStyle w:val="IndexLink"/>
                <w:rtl w:val="true"/>
              </w:rPr>
              <w:t>«</w:t>
            </w:r>
            <w:r>
              <w:rPr>
                <w:rStyle w:val="IndexLink"/>
              </w:rPr>
              <w:t>26</w:t>
            </w:r>
            <w:r>
              <w:rPr>
                <w:rStyle w:val="IndexLink"/>
                <w:rtl w:val="true"/>
              </w:rPr>
              <w:t>»</w:t>
              <w:tab/>
            </w:r>
            <w:r>
              <w:rPr>
                <w:rStyle w:val="IndexLink"/>
              </w:rPr>
              <w:t>346</w:t>
            </w:r>
          </w:hyperlink>
        </w:p>
        <w:p>
          <w:pPr>
            <w:pStyle w:val="Contents5"/>
            <w:tabs>
              <w:tab w:val="clear" w:pos="7892"/>
              <w:tab w:val="right" w:pos="9026" w:leader="dot"/>
            </w:tabs>
            <w:rPr/>
          </w:pPr>
          <w:hyperlink w:anchor="__RefHeading___Toc606180_1934241801">
            <w:r>
              <w:rPr>
                <w:webHidden/>
                <w:rStyle w:val="IndexLink"/>
                <w:rtl w:val="true"/>
              </w:rPr>
              <w:t>تأييد و توجيه</w:t>
            </w:r>
            <w:r>
              <w:rPr>
                <w:rStyle w:val="IndexLink"/>
                <w:rtl w:val="true"/>
              </w:rPr>
              <w:tab/>
            </w:r>
            <w:r>
              <w:rPr>
                <w:rStyle w:val="IndexLink"/>
              </w:rPr>
              <w:t>346</w:t>
            </w:r>
          </w:hyperlink>
        </w:p>
        <w:p>
          <w:pPr>
            <w:pStyle w:val="Contents5"/>
            <w:tabs>
              <w:tab w:val="clear" w:pos="7892"/>
              <w:tab w:val="right" w:pos="9026" w:leader="dot"/>
            </w:tabs>
            <w:rPr/>
          </w:pPr>
          <w:hyperlink w:anchor="__RefHeading___Toc606182_1934241801">
            <w:r>
              <w:rPr>
                <w:webHidden/>
                <w:rStyle w:val="IndexLink"/>
                <w:rtl w:val="true"/>
              </w:rPr>
              <w:t xml:space="preserve">روایت </w:t>
            </w:r>
            <w:r>
              <w:rPr>
                <w:rStyle w:val="IndexLink"/>
              </w:rPr>
              <w:t>25</w:t>
            </w:r>
            <w:r>
              <w:rPr>
                <w:rStyle w:val="IndexLink"/>
                <w:rtl w:val="true"/>
              </w:rPr>
              <w:tab/>
            </w:r>
            <w:r>
              <w:rPr>
                <w:rStyle w:val="IndexLink"/>
              </w:rPr>
              <w:t>346</w:t>
            </w:r>
          </w:hyperlink>
        </w:p>
        <w:p>
          <w:pPr>
            <w:pStyle w:val="Contents5"/>
            <w:tabs>
              <w:tab w:val="clear" w:pos="7892"/>
              <w:tab w:val="right" w:pos="9026" w:leader="dot"/>
            </w:tabs>
            <w:rPr/>
          </w:pPr>
          <w:hyperlink w:anchor="__RefHeading___Toc606184_1934241801">
            <w:r>
              <w:rPr>
                <w:webHidden/>
                <w:rStyle w:val="IndexLink"/>
                <w:rtl w:val="true"/>
              </w:rPr>
              <w:t>توضیح</w:t>
            </w:r>
            <w:r>
              <w:rPr>
                <w:rStyle w:val="IndexLink"/>
                <w:rtl w:val="true"/>
              </w:rPr>
              <w:tab/>
            </w:r>
            <w:r>
              <w:rPr>
                <w:rStyle w:val="IndexLink"/>
              </w:rPr>
              <w:t>346</w:t>
            </w:r>
          </w:hyperlink>
        </w:p>
        <w:p>
          <w:pPr>
            <w:pStyle w:val="Contents5"/>
            <w:tabs>
              <w:tab w:val="clear" w:pos="7892"/>
              <w:tab w:val="right" w:pos="9026" w:leader="dot"/>
            </w:tabs>
            <w:rPr/>
          </w:pPr>
          <w:hyperlink w:anchor="__RefHeading___Toc606186_1934241801">
            <w:r>
              <w:rPr>
                <w:webHidden/>
                <w:rStyle w:val="IndexLink"/>
                <w:rtl w:val="true"/>
              </w:rPr>
              <w:t xml:space="preserve">روایت </w:t>
            </w:r>
            <w:r>
              <w:rPr>
                <w:rStyle w:val="IndexLink"/>
              </w:rPr>
              <w:t>26</w:t>
            </w:r>
            <w:r>
              <w:rPr>
                <w:rStyle w:val="IndexLink"/>
                <w:rtl w:val="true"/>
              </w:rPr>
              <w:tab/>
            </w:r>
            <w:r>
              <w:rPr>
                <w:rStyle w:val="IndexLink"/>
              </w:rPr>
              <w:t>346</w:t>
            </w:r>
          </w:hyperlink>
        </w:p>
        <w:p>
          <w:pPr>
            <w:pStyle w:val="Contents5"/>
            <w:tabs>
              <w:tab w:val="clear" w:pos="7892"/>
              <w:tab w:val="right" w:pos="9026" w:leader="dot"/>
            </w:tabs>
            <w:rPr/>
          </w:pPr>
          <w:hyperlink w:anchor="__RefHeading___Toc606188_1934241801">
            <w:r>
              <w:rPr>
                <w:webHidden/>
                <w:rStyle w:val="IndexLink"/>
                <w:rtl w:val="true"/>
              </w:rPr>
              <w:t>«</w:t>
            </w:r>
            <w:r>
              <w:rPr>
                <w:rStyle w:val="IndexLink"/>
              </w:rPr>
              <w:t>27</w:t>
            </w:r>
            <w:r>
              <w:rPr>
                <w:rStyle w:val="IndexLink"/>
                <w:rtl w:val="true"/>
              </w:rPr>
              <w:t>»</w:t>
              <w:tab/>
            </w:r>
            <w:r>
              <w:rPr>
                <w:rStyle w:val="IndexLink"/>
              </w:rPr>
              <w:t>348</w:t>
            </w:r>
          </w:hyperlink>
        </w:p>
        <w:p>
          <w:pPr>
            <w:pStyle w:val="Contents5"/>
            <w:tabs>
              <w:tab w:val="clear" w:pos="7892"/>
              <w:tab w:val="right" w:pos="9026" w:leader="dot"/>
            </w:tabs>
            <w:rPr/>
          </w:pPr>
          <w:hyperlink w:anchor="__RefHeading___Toc606190_1934241801">
            <w:r>
              <w:rPr>
                <w:webHidden/>
                <w:rStyle w:val="IndexLink"/>
                <w:rtl w:val="true"/>
              </w:rPr>
              <w:t>توضيح</w:t>
            </w:r>
            <w:r>
              <w:rPr>
                <w:rStyle w:val="IndexLink"/>
                <w:rtl w:val="true"/>
              </w:rPr>
              <w:tab/>
            </w:r>
            <w:r>
              <w:rPr>
                <w:rStyle w:val="IndexLink"/>
              </w:rPr>
              <w:t>348</w:t>
            </w:r>
          </w:hyperlink>
        </w:p>
        <w:p>
          <w:pPr>
            <w:pStyle w:val="Contents5"/>
            <w:tabs>
              <w:tab w:val="clear" w:pos="7892"/>
              <w:tab w:val="right" w:pos="9026" w:leader="dot"/>
            </w:tabs>
            <w:rPr/>
          </w:pPr>
          <w:hyperlink w:anchor="__RefHeading___Toc606192_1934241801">
            <w:r>
              <w:rPr>
                <w:webHidden/>
                <w:rStyle w:val="IndexLink"/>
                <w:rtl w:val="true"/>
              </w:rPr>
              <w:t xml:space="preserve">روایت </w:t>
            </w:r>
            <w:r>
              <w:rPr>
                <w:rStyle w:val="IndexLink"/>
              </w:rPr>
              <w:t>27</w:t>
            </w:r>
            <w:r>
              <w:rPr>
                <w:rStyle w:val="IndexLink"/>
                <w:rtl w:val="true"/>
              </w:rPr>
              <w:tab/>
            </w:r>
            <w:r>
              <w:rPr>
                <w:rStyle w:val="IndexLink"/>
              </w:rPr>
              <w:t>350</w:t>
            </w:r>
          </w:hyperlink>
        </w:p>
        <w:p>
          <w:pPr>
            <w:pStyle w:val="Contents5"/>
            <w:tabs>
              <w:tab w:val="clear" w:pos="7892"/>
              <w:tab w:val="right" w:pos="9026" w:leader="dot"/>
            </w:tabs>
            <w:rPr/>
          </w:pPr>
          <w:hyperlink w:anchor="__RefHeading___Toc606194_1934241801">
            <w:r>
              <w:rPr>
                <w:webHidden/>
                <w:rStyle w:val="IndexLink"/>
                <w:rtl w:val="true"/>
              </w:rPr>
              <w:t>توضیح</w:t>
            </w:r>
            <w:r>
              <w:rPr>
                <w:rStyle w:val="IndexLink"/>
                <w:rtl w:val="true"/>
              </w:rPr>
              <w:tab/>
            </w:r>
            <w:r>
              <w:rPr>
                <w:rStyle w:val="IndexLink"/>
              </w:rPr>
              <w:t>350</w:t>
            </w:r>
          </w:hyperlink>
        </w:p>
        <w:p>
          <w:pPr>
            <w:pStyle w:val="Contents5"/>
            <w:tabs>
              <w:tab w:val="clear" w:pos="7892"/>
              <w:tab w:val="right" w:pos="9026" w:leader="dot"/>
            </w:tabs>
            <w:rPr/>
          </w:pPr>
          <w:hyperlink w:anchor="__RefHeading___Toc606196_1934241801">
            <w:r>
              <w:rPr>
                <w:webHidden/>
                <w:rStyle w:val="IndexLink"/>
                <w:rtl w:val="true"/>
              </w:rPr>
              <w:t>«</w:t>
            </w:r>
            <w:r>
              <w:rPr>
                <w:rStyle w:val="IndexLink"/>
              </w:rPr>
              <w:t>28</w:t>
            </w:r>
            <w:r>
              <w:rPr>
                <w:rStyle w:val="IndexLink"/>
                <w:rtl w:val="true"/>
              </w:rPr>
              <w:t>»</w:t>
              <w:tab/>
            </w:r>
            <w:r>
              <w:rPr>
                <w:rStyle w:val="IndexLink"/>
              </w:rPr>
              <w:t>352</w:t>
            </w:r>
          </w:hyperlink>
        </w:p>
        <w:p>
          <w:pPr>
            <w:pStyle w:val="Contents5"/>
            <w:tabs>
              <w:tab w:val="clear" w:pos="7892"/>
              <w:tab w:val="right" w:pos="9026" w:leader="dot"/>
            </w:tabs>
            <w:rPr/>
          </w:pPr>
          <w:hyperlink w:anchor="__RefHeading___Toc606198_1934241801">
            <w:r>
              <w:rPr>
                <w:webHidden/>
                <w:rStyle w:val="IndexLink"/>
                <w:rtl w:val="true"/>
              </w:rPr>
              <w:t xml:space="preserve">روایت </w:t>
            </w:r>
            <w:r>
              <w:rPr>
                <w:rStyle w:val="IndexLink"/>
              </w:rPr>
              <w:t>28</w:t>
            </w:r>
            <w:r>
              <w:rPr>
                <w:rStyle w:val="IndexLink"/>
                <w:rtl w:val="true"/>
              </w:rPr>
              <w:tab/>
            </w:r>
            <w:r>
              <w:rPr>
                <w:rStyle w:val="IndexLink"/>
              </w:rPr>
              <w:t>352</w:t>
            </w:r>
          </w:hyperlink>
        </w:p>
        <w:p>
          <w:pPr>
            <w:pStyle w:val="Contents5"/>
            <w:tabs>
              <w:tab w:val="clear" w:pos="7892"/>
              <w:tab w:val="right" w:pos="9026" w:leader="dot"/>
            </w:tabs>
            <w:rPr/>
          </w:pPr>
          <w:hyperlink w:anchor="__RefHeading___Toc606200_1934241801">
            <w:r>
              <w:rPr>
                <w:webHidden/>
                <w:rStyle w:val="IndexLink"/>
                <w:rtl w:val="true"/>
              </w:rPr>
              <w:t>بيان</w:t>
            </w:r>
            <w:r>
              <w:rPr>
                <w:rStyle w:val="IndexLink"/>
                <w:rtl w:val="true"/>
              </w:rPr>
              <w:tab/>
            </w:r>
            <w:r>
              <w:rPr>
                <w:rStyle w:val="IndexLink"/>
              </w:rPr>
              <w:t>355</w:t>
            </w:r>
          </w:hyperlink>
        </w:p>
        <w:p>
          <w:pPr>
            <w:pStyle w:val="Contents5"/>
            <w:tabs>
              <w:tab w:val="clear" w:pos="7892"/>
              <w:tab w:val="right" w:pos="9026" w:leader="dot"/>
            </w:tabs>
            <w:rPr/>
          </w:pPr>
          <w:hyperlink w:anchor="__RefHeading___Toc606202_1934241801">
            <w:r>
              <w:rPr>
                <w:webHidden/>
                <w:rStyle w:val="IndexLink"/>
                <w:rtl w:val="true"/>
              </w:rPr>
              <w:t>«</w:t>
            </w:r>
            <w:r>
              <w:rPr>
                <w:rStyle w:val="IndexLink"/>
              </w:rPr>
              <w:t>29</w:t>
            </w:r>
            <w:r>
              <w:rPr>
                <w:rStyle w:val="IndexLink"/>
                <w:rtl w:val="true"/>
              </w:rPr>
              <w:t>»</w:t>
              <w:tab/>
            </w:r>
            <w:r>
              <w:rPr>
                <w:rStyle w:val="IndexLink"/>
              </w:rPr>
              <w:t>355</w:t>
            </w:r>
          </w:hyperlink>
        </w:p>
        <w:p>
          <w:pPr>
            <w:pStyle w:val="Contents5"/>
            <w:tabs>
              <w:tab w:val="clear" w:pos="7892"/>
              <w:tab w:val="right" w:pos="9026" w:leader="dot"/>
            </w:tabs>
            <w:rPr/>
          </w:pPr>
          <w:hyperlink w:anchor="__RefHeading___Toc606204_1934241801">
            <w:r>
              <w:rPr>
                <w:webHidden/>
                <w:rStyle w:val="IndexLink"/>
                <w:rtl w:val="true"/>
              </w:rPr>
              <w:t>توضیح</w:t>
            </w:r>
            <w:r>
              <w:rPr>
                <w:rStyle w:val="IndexLink"/>
                <w:rtl w:val="true"/>
              </w:rPr>
              <w:tab/>
            </w:r>
            <w:r>
              <w:rPr>
                <w:rStyle w:val="IndexLink"/>
              </w:rPr>
              <w:t>356</w:t>
            </w:r>
          </w:hyperlink>
        </w:p>
        <w:p>
          <w:pPr>
            <w:pStyle w:val="Contents5"/>
            <w:tabs>
              <w:tab w:val="clear" w:pos="7892"/>
              <w:tab w:val="right" w:pos="9026" w:leader="dot"/>
            </w:tabs>
            <w:rPr/>
          </w:pPr>
          <w:hyperlink w:anchor="__RefHeading___Toc606206_1934241801">
            <w:r>
              <w:rPr>
                <w:webHidden/>
                <w:rStyle w:val="IndexLink"/>
                <w:rtl w:val="true"/>
              </w:rPr>
              <w:t xml:space="preserve">روایت </w:t>
            </w:r>
            <w:r>
              <w:rPr>
                <w:rStyle w:val="IndexLink"/>
              </w:rPr>
              <w:t>29</w:t>
            </w:r>
            <w:r>
              <w:rPr>
                <w:rStyle w:val="IndexLink"/>
                <w:rtl w:val="true"/>
              </w:rPr>
              <w:tab/>
            </w:r>
            <w:r>
              <w:rPr>
                <w:rStyle w:val="IndexLink"/>
              </w:rPr>
              <w:t>356</w:t>
            </w:r>
          </w:hyperlink>
        </w:p>
        <w:p>
          <w:pPr>
            <w:pStyle w:val="Contents5"/>
            <w:tabs>
              <w:tab w:val="clear" w:pos="7892"/>
              <w:tab w:val="right" w:pos="9026" w:leader="dot"/>
            </w:tabs>
            <w:rPr/>
          </w:pPr>
          <w:hyperlink w:anchor="__RefHeading___Toc606208_1934241801">
            <w:r>
              <w:rPr>
                <w:webHidden/>
                <w:rStyle w:val="IndexLink"/>
                <w:rtl w:val="true"/>
              </w:rPr>
              <w:t>بيان</w:t>
            </w:r>
            <w:r>
              <w:rPr>
                <w:rStyle w:val="IndexLink"/>
                <w:rtl w:val="true"/>
              </w:rPr>
              <w:tab/>
            </w:r>
            <w:r>
              <w:rPr>
                <w:rStyle w:val="IndexLink"/>
              </w:rPr>
              <w:t>357</w:t>
            </w:r>
          </w:hyperlink>
        </w:p>
        <w:p>
          <w:pPr>
            <w:pStyle w:val="Contents5"/>
            <w:tabs>
              <w:tab w:val="clear" w:pos="7892"/>
              <w:tab w:val="right" w:pos="9026" w:leader="dot"/>
            </w:tabs>
            <w:rPr/>
          </w:pPr>
          <w:hyperlink w:anchor="__RefHeading___Toc606210_1934241801">
            <w:r>
              <w:rPr>
                <w:webHidden/>
                <w:rStyle w:val="IndexLink"/>
                <w:rtl w:val="true"/>
              </w:rPr>
              <w:t>توضیح</w:t>
            </w:r>
            <w:r>
              <w:rPr>
                <w:rStyle w:val="IndexLink"/>
                <w:rtl w:val="true"/>
              </w:rPr>
              <w:tab/>
            </w:r>
            <w:r>
              <w:rPr>
                <w:rStyle w:val="IndexLink"/>
              </w:rPr>
              <w:t>357</w:t>
            </w:r>
          </w:hyperlink>
        </w:p>
        <w:p>
          <w:pPr>
            <w:pStyle w:val="Contents2"/>
            <w:tabs>
              <w:tab w:val="clear" w:pos="8743"/>
              <w:tab w:val="right" w:pos="9026" w:leader="dot"/>
            </w:tabs>
            <w:rPr/>
          </w:pPr>
          <w:hyperlink w:anchor="__RefHeading___Toc606212_1934241801">
            <w:r>
              <w:rPr>
                <w:webHidden/>
                <w:rStyle w:val="IndexLink"/>
                <w:rtl w:val="true"/>
              </w:rPr>
              <w:t xml:space="preserve">أبواب الجنائز و مقدماتها و لواحقها </w:t>
            </w:r>
            <w:r>
              <w:rPr>
                <w:rStyle w:val="IndexLink"/>
                <w:rtl w:val="true"/>
              </w:rPr>
              <w:t xml:space="preserve">/ </w:t>
            </w:r>
            <w:r>
              <w:rPr>
                <w:rStyle w:val="IndexLink"/>
                <w:rtl w:val="true"/>
              </w:rPr>
              <w:t>ابواب تشییع جنازه و مقدّمات و اعمال پس از آن</w:t>
            </w:r>
            <w:r>
              <w:rPr>
                <w:rStyle w:val="IndexLink"/>
                <w:rtl w:val="true"/>
              </w:rPr>
              <w:tab/>
            </w:r>
            <w:r>
              <w:rPr>
                <w:rStyle w:val="IndexLink"/>
              </w:rPr>
              <w:t>358</w:t>
            </w:r>
          </w:hyperlink>
        </w:p>
        <w:p>
          <w:pPr>
            <w:pStyle w:val="Contents3"/>
            <w:tabs>
              <w:tab w:val="clear" w:pos="8459"/>
              <w:tab w:val="right" w:pos="9026" w:leader="dot"/>
            </w:tabs>
            <w:rPr/>
          </w:pPr>
          <w:hyperlink w:anchor="__RefHeading___Toc606214_1934241801">
            <w:r>
              <w:rPr>
                <w:webHidden/>
                <w:rStyle w:val="IndexLink"/>
                <w:rtl w:val="true"/>
              </w:rPr>
              <w:t xml:space="preserve">باب </w:t>
            </w:r>
            <w:r>
              <w:rPr>
                <w:rStyle w:val="IndexLink"/>
              </w:rPr>
              <w:t>1</w:t>
            </w:r>
            <w:r>
              <w:rPr>
                <w:rStyle w:val="IndexLink"/>
                <w:rtl w:val="true"/>
              </w:rPr>
              <w:t xml:space="preserve"> </w:t>
            </w:r>
            <w:r>
              <w:rPr>
                <w:rStyle w:val="IndexLink"/>
                <w:rtl w:val="true"/>
              </w:rPr>
              <w:t>فضل العافية و المرض و ثواب المرض و علله و أنواعه</w:t>
            </w:r>
            <w:r>
              <w:rPr>
                <w:rStyle w:val="IndexLink"/>
                <w:rtl w:val="true"/>
              </w:rPr>
              <w:tab/>
            </w:r>
            <w:r>
              <w:rPr>
                <w:rStyle w:val="IndexLink"/>
              </w:rPr>
              <w:t>358</w:t>
            </w:r>
          </w:hyperlink>
        </w:p>
        <w:p>
          <w:pPr>
            <w:pStyle w:val="Contents4"/>
            <w:tabs>
              <w:tab w:val="clear" w:pos="8176"/>
              <w:tab w:val="right" w:pos="9026" w:leader="dot"/>
            </w:tabs>
            <w:rPr/>
          </w:pPr>
          <w:hyperlink w:anchor="__RefHeading___Toc606216_1934241801">
            <w:r>
              <w:rPr>
                <w:webHidden/>
                <w:rStyle w:val="IndexLink"/>
                <w:rtl w:val="true"/>
              </w:rPr>
              <w:t>روايات</w:t>
            </w:r>
            <w:r>
              <w:rPr>
                <w:rStyle w:val="IndexLink"/>
                <w:rtl w:val="true"/>
              </w:rPr>
              <w:tab/>
            </w:r>
            <w:r>
              <w:rPr>
                <w:rStyle w:val="IndexLink"/>
              </w:rPr>
              <w:t>358</w:t>
            </w:r>
          </w:hyperlink>
        </w:p>
        <w:p>
          <w:pPr>
            <w:pStyle w:val="Contents5"/>
            <w:tabs>
              <w:tab w:val="clear" w:pos="7892"/>
              <w:tab w:val="right" w:pos="9026" w:leader="dot"/>
            </w:tabs>
            <w:rPr/>
          </w:pPr>
          <w:hyperlink w:anchor="__RefHeading___Toc606218_1934241801">
            <w:r>
              <w:rPr>
                <w:webHidden/>
                <w:rStyle w:val="IndexLink"/>
                <w:rtl w:val="true"/>
              </w:rPr>
              <w:t>«</w:t>
            </w:r>
            <w:r>
              <w:rPr>
                <w:rStyle w:val="IndexLink"/>
              </w:rPr>
              <w:t>1</w:t>
            </w:r>
            <w:r>
              <w:rPr>
                <w:rStyle w:val="IndexLink"/>
                <w:rtl w:val="true"/>
              </w:rPr>
              <w:t>»</w:t>
              <w:tab/>
            </w:r>
            <w:r>
              <w:rPr>
                <w:rStyle w:val="IndexLink"/>
              </w:rPr>
              <w:t>358</w:t>
            </w:r>
          </w:hyperlink>
        </w:p>
        <w:p>
          <w:pPr>
            <w:pStyle w:val="Contents5"/>
            <w:tabs>
              <w:tab w:val="clear" w:pos="7892"/>
              <w:tab w:val="right" w:pos="9026" w:leader="dot"/>
            </w:tabs>
            <w:rPr/>
          </w:pPr>
          <w:hyperlink w:anchor="__RefHeading___Toc606220_1934241801">
            <w:r>
              <w:rPr>
                <w:webHidden/>
                <w:rStyle w:val="IndexLink"/>
                <w:rtl w:val="true"/>
              </w:rPr>
              <w:t>بيان</w:t>
            </w:r>
            <w:r>
              <w:rPr>
                <w:rStyle w:val="IndexLink"/>
                <w:rtl w:val="true"/>
              </w:rPr>
              <w:tab/>
            </w:r>
            <w:r>
              <w:rPr>
                <w:rStyle w:val="IndexLink"/>
              </w:rPr>
              <w:t>358</w:t>
            </w:r>
          </w:hyperlink>
        </w:p>
        <w:p>
          <w:pPr>
            <w:pStyle w:val="Contents5"/>
            <w:tabs>
              <w:tab w:val="clear" w:pos="7892"/>
              <w:tab w:val="right" w:pos="9026" w:leader="dot"/>
            </w:tabs>
            <w:rPr/>
          </w:pPr>
          <w:hyperlink w:anchor="__RefHeading___Toc606222_1934241801">
            <w:r>
              <w:rPr>
                <w:webHidden/>
                <w:rStyle w:val="IndexLink"/>
                <w:rtl w:val="true"/>
              </w:rPr>
              <w:t>«</w:t>
            </w:r>
            <w:r>
              <w:rPr>
                <w:rStyle w:val="IndexLink"/>
              </w:rPr>
              <w:t>2</w:t>
            </w:r>
            <w:r>
              <w:rPr>
                <w:rStyle w:val="IndexLink"/>
                <w:rtl w:val="true"/>
              </w:rPr>
              <w:t>»</w:t>
              <w:tab/>
            </w:r>
            <w:r>
              <w:rPr>
                <w:rStyle w:val="IndexLink"/>
              </w:rPr>
              <w:t>358</w:t>
            </w:r>
          </w:hyperlink>
        </w:p>
        <w:p>
          <w:pPr>
            <w:pStyle w:val="Contents5"/>
            <w:tabs>
              <w:tab w:val="clear" w:pos="7892"/>
              <w:tab w:val="right" w:pos="9026" w:leader="dot"/>
            </w:tabs>
            <w:rPr/>
          </w:pPr>
          <w:hyperlink w:anchor="__RefHeading___Toc606224_1934241801">
            <w:r>
              <w:rPr>
                <w:webHidden/>
                <w:rStyle w:val="IndexLink"/>
                <w:rtl w:val="true"/>
              </w:rPr>
              <w:t>«</w:t>
            </w:r>
            <w:r>
              <w:rPr>
                <w:rStyle w:val="IndexLink"/>
              </w:rPr>
              <w:t>3</w:t>
            </w:r>
            <w:r>
              <w:rPr>
                <w:rStyle w:val="IndexLink"/>
                <w:rtl w:val="true"/>
              </w:rPr>
              <w:t>»</w:t>
              <w:tab/>
            </w:r>
            <w:r>
              <w:rPr>
                <w:rStyle w:val="IndexLink"/>
              </w:rPr>
              <w:t>358</w:t>
            </w:r>
          </w:hyperlink>
        </w:p>
        <w:p>
          <w:pPr>
            <w:pStyle w:val="Contents3"/>
            <w:tabs>
              <w:tab w:val="clear" w:pos="8459"/>
              <w:tab w:val="right" w:pos="9026" w:leader="dot"/>
            </w:tabs>
            <w:rPr/>
          </w:pPr>
          <w:hyperlink w:anchor="__RefHeading___Toc606226_1934241801">
            <w:r>
              <w:rPr>
                <w:webHidden/>
                <w:rStyle w:val="IndexLink"/>
                <w:rtl w:val="true"/>
              </w:rPr>
              <w:t xml:space="preserve">باب اول </w:t>
            </w:r>
            <w:r>
              <w:rPr>
                <w:rStyle w:val="IndexLink"/>
                <w:rtl w:val="true"/>
              </w:rPr>
              <w:t xml:space="preserve">: </w:t>
            </w:r>
            <w:r>
              <w:rPr>
                <w:rStyle w:val="IndexLink"/>
                <w:rtl w:val="true"/>
              </w:rPr>
              <w:t>فضل عافیت و مرض، ثواب مرض و علل و انواع آن</w:t>
            </w:r>
            <w:r>
              <w:rPr>
                <w:rStyle w:val="IndexLink"/>
                <w:rtl w:val="true"/>
              </w:rPr>
              <w:tab/>
            </w:r>
            <w:r>
              <w:rPr>
                <w:rStyle w:val="IndexLink"/>
              </w:rPr>
              <w:t>358</w:t>
            </w:r>
          </w:hyperlink>
        </w:p>
        <w:p>
          <w:pPr>
            <w:pStyle w:val="Contents4"/>
            <w:tabs>
              <w:tab w:val="clear" w:pos="8176"/>
              <w:tab w:val="right" w:pos="9026" w:leader="dot"/>
            </w:tabs>
            <w:rPr/>
          </w:pPr>
          <w:hyperlink w:anchor="__RefHeading___Toc606228_1934241801">
            <w:r>
              <w:rPr>
                <w:webHidden/>
                <w:rStyle w:val="IndexLink"/>
                <w:rtl w:val="true"/>
              </w:rPr>
              <w:t>روایات</w:t>
            </w:r>
            <w:r>
              <w:rPr>
                <w:rStyle w:val="IndexLink"/>
                <w:rtl w:val="true"/>
              </w:rPr>
              <w:tab/>
            </w:r>
            <w:r>
              <w:rPr>
                <w:rStyle w:val="IndexLink"/>
              </w:rPr>
              <w:t>358</w:t>
            </w:r>
          </w:hyperlink>
        </w:p>
        <w:p>
          <w:pPr>
            <w:pStyle w:val="Contents5"/>
            <w:tabs>
              <w:tab w:val="clear" w:pos="7892"/>
              <w:tab w:val="right" w:pos="9026" w:leader="dot"/>
            </w:tabs>
            <w:rPr/>
          </w:pPr>
          <w:hyperlink w:anchor="__RefHeading___Toc606230_1934241801">
            <w:r>
              <w:rPr>
                <w:webHidden/>
                <w:rStyle w:val="IndexLink"/>
                <w:rtl w:val="true"/>
              </w:rPr>
              <w:t xml:space="preserve">روایت </w:t>
            </w:r>
            <w:r>
              <w:rPr>
                <w:rStyle w:val="IndexLink"/>
              </w:rPr>
              <w:t>1</w:t>
            </w:r>
            <w:r>
              <w:rPr>
                <w:rStyle w:val="IndexLink"/>
                <w:rtl w:val="true"/>
              </w:rPr>
              <w:tab/>
            </w:r>
            <w:r>
              <w:rPr>
                <w:rStyle w:val="IndexLink"/>
              </w:rPr>
              <w:t>358</w:t>
            </w:r>
          </w:hyperlink>
        </w:p>
        <w:p>
          <w:pPr>
            <w:pStyle w:val="Contents5"/>
            <w:tabs>
              <w:tab w:val="clear" w:pos="7892"/>
              <w:tab w:val="right" w:pos="9026" w:leader="dot"/>
            </w:tabs>
            <w:rPr/>
          </w:pPr>
          <w:hyperlink w:anchor="__RefHeading___Toc606232_1934241801">
            <w:r>
              <w:rPr>
                <w:webHidden/>
                <w:rStyle w:val="IndexLink"/>
                <w:rtl w:val="true"/>
              </w:rPr>
              <w:t>توضیح</w:t>
            </w:r>
            <w:r>
              <w:rPr>
                <w:rStyle w:val="IndexLink"/>
                <w:rtl w:val="true"/>
              </w:rPr>
              <w:tab/>
            </w:r>
            <w:r>
              <w:rPr>
                <w:rStyle w:val="IndexLink"/>
              </w:rPr>
              <w:t>358</w:t>
            </w:r>
          </w:hyperlink>
        </w:p>
        <w:p>
          <w:pPr>
            <w:pStyle w:val="Contents5"/>
            <w:tabs>
              <w:tab w:val="clear" w:pos="7892"/>
              <w:tab w:val="right" w:pos="9026" w:leader="dot"/>
            </w:tabs>
            <w:rPr/>
          </w:pPr>
          <w:hyperlink w:anchor="__RefHeading___Toc606234_1934241801">
            <w:r>
              <w:rPr>
                <w:webHidden/>
                <w:rStyle w:val="IndexLink"/>
                <w:rtl w:val="true"/>
              </w:rPr>
              <w:t xml:space="preserve">روایت </w:t>
            </w:r>
            <w:r>
              <w:rPr>
                <w:rStyle w:val="IndexLink"/>
              </w:rPr>
              <w:t>2</w:t>
            </w:r>
            <w:r>
              <w:rPr>
                <w:rStyle w:val="IndexLink"/>
                <w:rtl w:val="true"/>
              </w:rPr>
              <w:tab/>
            </w:r>
            <w:r>
              <w:rPr>
                <w:rStyle w:val="IndexLink"/>
              </w:rPr>
              <w:t>358</w:t>
            </w:r>
          </w:hyperlink>
        </w:p>
        <w:p>
          <w:pPr>
            <w:pStyle w:val="Contents5"/>
            <w:tabs>
              <w:tab w:val="clear" w:pos="7892"/>
              <w:tab w:val="right" w:pos="9026" w:leader="dot"/>
            </w:tabs>
            <w:rPr/>
          </w:pPr>
          <w:hyperlink w:anchor="__RefHeading___Toc606236_1934241801">
            <w:r>
              <w:rPr>
                <w:webHidden/>
                <w:rStyle w:val="IndexLink"/>
                <w:rtl w:val="true"/>
              </w:rPr>
              <w:t xml:space="preserve">روایت </w:t>
            </w:r>
            <w:r>
              <w:rPr>
                <w:rStyle w:val="IndexLink"/>
              </w:rPr>
              <w:t>3</w:t>
            </w:r>
            <w:r>
              <w:rPr>
                <w:rStyle w:val="IndexLink"/>
                <w:rtl w:val="true"/>
              </w:rPr>
              <w:tab/>
            </w:r>
            <w:r>
              <w:rPr>
                <w:rStyle w:val="IndexLink"/>
              </w:rPr>
              <w:t>358</w:t>
            </w:r>
          </w:hyperlink>
        </w:p>
        <w:p>
          <w:pPr>
            <w:pStyle w:val="Contents5"/>
            <w:tabs>
              <w:tab w:val="clear" w:pos="7892"/>
              <w:tab w:val="right" w:pos="9026" w:leader="dot"/>
            </w:tabs>
            <w:rPr/>
          </w:pPr>
          <w:hyperlink w:anchor="__RefHeading___Toc606238_1934241801">
            <w:r>
              <w:rPr>
                <w:webHidden/>
                <w:rStyle w:val="IndexLink"/>
                <w:rtl w:val="true"/>
              </w:rPr>
              <w:t>توضيح</w:t>
            </w:r>
            <w:r>
              <w:rPr>
                <w:rStyle w:val="IndexLink"/>
                <w:rtl w:val="true"/>
              </w:rPr>
              <w:tab/>
            </w:r>
            <w:r>
              <w:rPr>
                <w:rStyle w:val="IndexLink"/>
              </w:rPr>
              <w:t>359</w:t>
            </w:r>
          </w:hyperlink>
        </w:p>
        <w:p>
          <w:pPr>
            <w:pStyle w:val="Contents5"/>
            <w:tabs>
              <w:tab w:val="clear" w:pos="7892"/>
              <w:tab w:val="right" w:pos="9026" w:leader="dot"/>
            </w:tabs>
            <w:rPr/>
          </w:pPr>
          <w:hyperlink w:anchor="__RefHeading___Toc606240_1934241801">
            <w:r>
              <w:rPr>
                <w:webHidden/>
                <w:rStyle w:val="IndexLink"/>
                <w:rtl w:val="true"/>
              </w:rPr>
              <w:t>«</w:t>
            </w:r>
            <w:r>
              <w:rPr>
                <w:rStyle w:val="IndexLink"/>
              </w:rPr>
              <w:t>4</w:t>
            </w:r>
            <w:r>
              <w:rPr>
                <w:rStyle w:val="IndexLink"/>
                <w:rtl w:val="true"/>
              </w:rPr>
              <w:t>»</w:t>
              <w:tab/>
            </w:r>
            <w:r>
              <w:rPr>
                <w:rStyle w:val="IndexLink"/>
              </w:rPr>
              <w:t>359</w:t>
            </w:r>
          </w:hyperlink>
        </w:p>
        <w:p>
          <w:pPr>
            <w:pStyle w:val="Contents5"/>
            <w:tabs>
              <w:tab w:val="clear" w:pos="7892"/>
              <w:tab w:val="right" w:pos="9026" w:leader="dot"/>
            </w:tabs>
            <w:rPr/>
          </w:pPr>
          <w:hyperlink w:anchor="__RefHeading___Toc606242_1934241801">
            <w:r>
              <w:rPr>
                <w:webHidden/>
                <w:rStyle w:val="IndexLink"/>
                <w:rtl w:val="true"/>
              </w:rPr>
              <w:t>بيان</w:t>
            </w:r>
            <w:r>
              <w:rPr>
                <w:rStyle w:val="IndexLink"/>
                <w:rtl w:val="true"/>
              </w:rPr>
              <w:tab/>
            </w:r>
            <w:r>
              <w:rPr>
                <w:rStyle w:val="IndexLink"/>
              </w:rPr>
              <w:t>359</w:t>
            </w:r>
          </w:hyperlink>
        </w:p>
        <w:p>
          <w:pPr>
            <w:pStyle w:val="Contents5"/>
            <w:tabs>
              <w:tab w:val="clear" w:pos="7892"/>
              <w:tab w:val="right" w:pos="9026" w:leader="dot"/>
            </w:tabs>
            <w:rPr/>
          </w:pPr>
          <w:hyperlink w:anchor="__RefHeading___Toc606244_1934241801">
            <w:r>
              <w:rPr>
                <w:webHidden/>
                <w:rStyle w:val="IndexLink"/>
                <w:rtl w:val="true"/>
              </w:rPr>
              <w:t>توضیح</w:t>
            </w:r>
            <w:r>
              <w:rPr>
                <w:rStyle w:val="IndexLink"/>
                <w:rtl w:val="true"/>
              </w:rPr>
              <w:tab/>
            </w:r>
            <w:r>
              <w:rPr>
                <w:rStyle w:val="IndexLink"/>
              </w:rPr>
              <w:t>359</w:t>
            </w:r>
          </w:hyperlink>
        </w:p>
        <w:p>
          <w:pPr>
            <w:pStyle w:val="Contents5"/>
            <w:tabs>
              <w:tab w:val="clear" w:pos="7892"/>
              <w:tab w:val="right" w:pos="9026" w:leader="dot"/>
            </w:tabs>
            <w:rPr/>
          </w:pPr>
          <w:hyperlink w:anchor="__RefHeading___Toc606246_1934241801">
            <w:r>
              <w:rPr>
                <w:webHidden/>
                <w:rStyle w:val="IndexLink"/>
                <w:rtl w:val="true"/>
              </w:rPr>
              <w:t xml:space="preserve">روایت </w:t>
            </w:r>
            <w:r>
              <w:rPr>
                <w:rStyle w:val="IndexLink"/>
              </w:rPr>
              <w:t>4</w:t>
            </w:r>
            <w:r>
              <w:rPr>
                <w:rStyle w:val="IndexLink"/>
                <w:rtl w:val="true"/>
              </w:rPr>
              <w:tab/>
            </w:r>
            <w:r>
              <w:rPr>
                <w:rStyle w:val="IndexLink"/>
              </w:rPr>
              <w:t>359</w:t>
            </w:r>
          </w:hyperlink>
        </w:p>
        <w:p>
          <w:pPr>
            <w:pStyle w:val="Contents5"/>
            <w:tabs>
              <w:tab w:val="clear" w:pos="7892"/>
              <w:tab w:val="right" w:pos="9026" w:leader="dot"/>
            </w:tabs>
            <w:rPr/>
          </w:pPr>
          <w:hyperlink w:anchor="__RefHeading___Toc606248_1934241801">
            <w:r>
              <w:rPr>
                <w:webHidden/>
                <w:rStyle w:val="IndexLink"/>
                <w:rtl w:val="true"/>
              </w:rPr>
              <w:t>توضیح</w:t>
            </w:r>
            <w:r>
              <w:rPr>
                <w:rStyle w:val="IndexLink"/>
                <w:rtl w:val="true"/>
              </w:rPr>
              <w:tab/>
            </w:r>
            <w:r>
              <w:rPr>
                <w:rStyle w:val="IndexLink"/>
              </w:rPr>
              <w:t>360</w:t>
            </w:r>
          </w:hyperlink>
        </w:p>
        <w:p>
          <w:pPr>
            <w:pStyle w:val="Contents5"/>
            <w:tabs>
              <w:tab w:val="clear" w:pos="7892"/>
              <w:tab w:val="right" w:pos="9026" w:leader="dot"/>
            </w:tabs>
            <w:rPr/>
          </w:pPr>
          <w:hyperlink w:anchor="__RefHeading___Toc606250_1934241801">
            <w:r>
              <w:rPr>
                <w:webHidden/>
                <w:rStyle w:val="IndexLink"/>
                <w:rtl w:val="true"/>
              </w:rPr>
              <w:t>«</w:t>
            </w:r>
            <w:r>
              <w:rPr>
                <w:rStyle w:val="IndexLink"/>
              </w:rPr>
              <w:t>5</w:t>
            </w:r>
            <w:r>
              <w:rPr>
                <w:rStyle w:val="IndexLink"/>
                <w:rtl w:val="true"/>
              </w:rPr>
              <w:t>»</w:t>
              <w:tab/>
            </w:r>
            <w:r>
              <w:rPr>
                <w:rStyle w:val="IndexLink"/>
              </w:rPr>
              <w:t>361</w:t>
            </w:r>
          </w:hyperlink>
        </w:p>
        <w:p>
          <w:pPr>
            <w:pStyle w:val="Contents5"/>
            <w:tabs>
              <w:tab w:val="clear" w:pos="7892"/>
              <w:tab w:val="right" w:pos="9026" w:leader="dot"/>
            </w:tabs>
            <w:rPr/>
          </w:pPr>
          <w:hyperlink w:anchor="__RefHeading___Toc606252_1934241801">
            <w:r>
              <w:rPr>
                <w:webHidden/>
                <w:rStyle w:val="IndexLink"/>
                <w:rtl w:val="true"/>
              </w:rPr>
              <w:t>«</w:t>
            </w:r>
            <w:r>
              <w:rPr>
                <w:rStyle w:val="IndexLink"/>
              </w:rPr>
              <w:t>6</w:t>
            </w:r>
            <w:r>
              <w:rPr>
                <w:rStyle w:val="IndexLink"/>
                <w:rtl w:val="true"/>
              </w:rPr>
              <w:t>»</w:t>
              <w:tab/>
            </w:r>
            <w:r>
              <w:rPr>
                <w:rStyle w:val="IndexLink"/>
              </w:rPr>
              <w:t>361</w:t>
            </w:r>
          </w:hyperlink>
        </w:p>
        <w:p>
          <w:pPr>
            <w:pStyle w:val="Contents5"/>
            <w:tabs>
              <w:tab w:val="clear" w:pos="7892"/>
              <w:tab w:val="right" w:pos="9026" w:leader="dot"/>
            </w:tabs>
            <w:rPr/>
          </w:pPr>
          <w:hyperlink w:anchor="__RefHeading___Toc606254_1934241801">
            <w:r>
              <w:rPr>
                <w:webHidden/>
                <w:rStyle w:val="IndexLink"/>
                <w:rtl w:val="true"/>
              </w:rPr>
              <w:t>«</w:t>
            </w:r>
            <w:r>
              <w:rPr>
                <w:rStyle w:val="IndexLink"/>
              </w:rPr>
              <w:t>7</w:t>
            </w:r>
            <w:r>
              <w:rPr>
                <w:rStyle w:val="IndexLink"/>
                <w:rtl w:val="true"/>
              </w:rPr>
              <w:t>»</w:t>
              <w:tab/>
            </w:r>
            <w:r>
              <w:rPr>
                <w:rStyle w:val="IndexLink"/>
              </w:rPr>
              <w:t>361</w:t>
            </w:r>
          </w:hyperlink>
        </w:p>
        <w:p>
          <w:pPr>
            <w:pStyle w:val="Contents5"/>
            <w:tabs>
              <w:tab w:val="clear" w:pos="7892"/>
              <w:tab w:val="right" w:pos="9026" w:leader="dot"/>
            </w:tabs>
            <w:rPr/>
          </w:pPr>
          <w:hyperlink w:anchor="__RefHeading___Toc606256_1934241801">
            <w:r>
              <w:rPr>
                <w:webHidden/>
                <w:rStyle w:val="IndexLink"/>
                <w:rtl w:val="true"/>
              </w:rPr>
              <w:t>«</w:t>
            </w:r>
            <w:r>
              <w:rPr>
                <w:rStyle w:val="IndexLink"/>
              </w:rPr>
              <w:t>8</w:t>
            </w:r>
            <w:r>
              <w:rPr>
                <w:rStyle w:val="IndexLink"/>
                <w:rtl w:val="true"/>
              </w:rPr>
              <w:t>»</w:t>
              <w:tab/>
            </w:r>
            <w:r>
              <w:rPr>
                <w:rStyle w:val="IndexLink"/>
              </w:rPr>
              <w:t>361</w:t>
            </w:r>
          </w:hyperlink>
        </w:p>
        <w:p>
          <w:pPr>
            <w:pStyle w:val="Contents5"/>
            <w:tabs>
              <w:tab w:val="clear" w:pos="7892"/>
              <w:tab w:val="right" w:pos="9026" w:leader="dot"/>
            </w:tabs>
            <w:rPr/>
          </w:pPr>
          <w:hyperlink w:anchor="__RefHeading___Toc606258_1934241801">
            <w:r>
              <w:rPr>
                <w:webHidden/>
                <w:rStyle w:val="IndexLink"/>
                <w:rtl w:val="true"/>
              </w:rPr>
              <w:t>«</w:t>
            </w:r>
            <w:r>
              <w:rPr>
                <w:rStyle w:val="IndexLink"/>
              </w:rPr>
              <w:t>9</w:t>
            </w:r>
            <w:r>
              <w:rPr>
                <w:rStyle w:val="IndexLink"/>
                <w:rtl w:val="true"/>
              </w:rPr>
              <w:t>»</w:t>
              <w:tab/>
            </w:r>
            <w:r>
              <w:rPr>
                <w:rStyle w:val="IndexLink"/>
              </w:rPr>
              <w:t>361</w:t>
            </w:r>
          </w:hyperlink>
        </w:p>
        <w:p>
          <w:pPr>
            <w:pStyle w:val="Contents5"/>
            <w:tabs>
              <w:tab w:val="clear" w:pos="7892"/>
              <w:tab w:val="right" w:pos="9026" w:leader="dot"/>
            </w:tabs>
            <w:rPr/>
          </w:pPr>
          <w:hyperlink w:anchor="__RefHeading___Toc606260_1934241801">
            <w:r>
              <w:rPr>
                <w:webHidden/>
                <w:rStyle w:val="IndexLink"/>
                <w:rtl w:val="true"/>
              </w:rPr>
              <w:t xml:space="preserve">روایت </w:t>
            </w:r>
            <w:r>
              <w:rPr>
                <w:rStyle w:val="IndexLink"/>
              </w:rPr>
              <w:t>5</w:t>
            </w:r>
            <w:r>
              <w:rPr>
                <w:rStyle w:val="IndexLink"/>
                <w:rtl w:val="true"/>
              </w:rPr>
              <w:tab/>
            </w:r>
            <w:r>
              <w:rPr>
                <w:rStyle w:val="IndexLink"/>
              </w:rPr>
              <w:t>361</w:t>
            </w:r>
          </w:hyperlink>
        </w:p>
        <w:p>
          <w:pPr>
            <w:pStyle w:val="Contents5"/>
            <w:tabs>
              <w:tab w:val="clear" w:pos="7892"/>
              <w:tab w:val="right" w:pos="9026" w:leader="dot"/>
            </w:tabs>
            <w:rPr/>
          </w:pPr>
          <w:hyperlink w:anchor="__RefHeading___Toc606262_1934241801">
            <w:r>
              <w:rPr>
                <w:webHidden/>
                <w:rStyle w:val="IndexLink"/>
                <w:rtl w:val="true"/>
              </w:rPr>
              <w:t xml:space="preserve">روایت </w:t>
            </w:r>
            <w:r>
              <w:rPr>
                <w:rStyle w:val="IndexLink"/>
              </w:rPr>
              <w:t>6</w:t>
            </w:r>
            <w:r>
              <w:rPr>
                <w:rStyle w:val="IndexLink"/>
                <w:rtl w:val="true"/>
              </w:rPr>
              <w:tab/>
            </w:r>
            <w:r>
              <w:rPr>
                <w:rStyle w:val="IndexLink"/>
              </w:rPr>
              <w:t>361</w:t>
            </w:r>
          </w:hyperlink>
        </w:p>
        <w:p>
          <w:pPr>
            <w:pStyle w:val="Contents5"/>
            <w:tabs>
              <w:tab w:val="clear" w:pos="7892"/>
              <w:tab w:val="right" w:pos="9026" w:leader="dot"/>
            </w:tabs>
            <w:rPr/>
          </w:pPr>
          <w:hyperlink w:anchor="__RefHeading___Toc606264_1934241801">
            <w:r>
              <w:rPr>
                <w:webHidden/>
                <w:rStyle w:val="IndexLink"/>
                <w:rtl w:val="true"/>
              </w:rPr>
              <w:t xml:space="preserve">روایت </w:t>
            </w:r>
            <w:r>
              <w:rPr>
                <w:rStyle w:val="IndexLink"/>
              </w:rPr>
              <w:t>7</w:t>
            </w:r>
            <w:r>
              <w:rPr>
                <w:rStyle w:val="IndexLink"/>
                <w:rtl w:val="true"/>
              </w:rPr>
              <w:tab/>
            </w:r>
            <w:r>
              <w:rPr>
                <w:rStyle w:val="IndexLink"/>
              </w:rPr>
              <w:t>362</w:t>
            </w:r>
          </w:hyperlink>
        </w:p>
        <w:p>
          <w:pPr>
            <w:pStyle w:val="Contents5"/>
            <w:tabs>
              <w:tab w:val="clear" w:pos="7892"/>
              <w:tab w:val="right" w:pos="9026" w:leader="dot"/>
            </w:tabs>
            <w:rPr/>
          </w:pPr>
          <w:hyperlink w:anchor="__RefHeading___Toc606266_1934241801">
            <w:r>
              <w:rPr>
                <w:webHidden/>
                <w:rStyle w:val="IndexLink"/>
                <w:rtl w:val="true"/>
              </w:rPr>
              <w:t xml:space="preserve">روایت </w:t>
            </w:r>
            <w:r>
              <w:rPr>
                <w:rStyle w:val="IndexLink"/>
              </w:rPr>
              <w:t>8</w:t>
            </w:r>
            <w:r>
              <w:rPr>
                <w:rStyle w:val="IndexLink"/>
                <w:rtl w:val="true"/>
              </w:rPr>
              <w:tab/>
            </w:r>
            <w:r>
              <w:rPr>
                <w:rStyle w:val="IndexLink"/>
              </w:rPr>
              <w:t>362</w:t>
            </w:r>
          </w:hyperlink>
        </w:p>
        <w:p>
          <w:pPr>
            <w:pStyle w:val="Contents5"/>
            <w:tabs>
              <w:tab w:val="clear" w:pos="7892"/>
              <w:tab w:val="right" w:pos="9026" w:leader="dot"/>
            </w:tabs>
            <w:rPr/>
          </w:pPr>
          <w:hyperlink w:anchor="__RefHeading___Toc606268_1934241801">
            <w:r>
              <w:rPr>
                <w:webHidden/>
                <w:rStyle w:val="IndexLink"/>
                <w:rtl w:val="true"/>
              </w:rPr>
              <w:t xml:space="preserve">روایت </w:t>
            </w:r>
            <w:r>
              <w:rPr>
                <w:rStyle w:val="IndexLink"/>
              </w:rPr>
              <w:t>9</w:t>
            </w:r>
            <w:r>
              <w:rPr>
                <w:rStyle w:val="IndexLink"/>
                <w:rtl w:val="true"/>
              </w:rPr>
              <w:tab/>
            </w:r>
            <w:r>
              <w:rPr>
                <w:rStyle w:val="IndexLink"/>
              </w:rPr>
              <w:t>362</w:t>
            </w:r>
          </w:hyperlink>
        </w:p>
        <w:p>
          <w:pPr>
            <w:pStyle w:val="Contents5"/>
            <w:tabs>
              <w:tab w:val="clear" w:pos="7892"/>
              <w:tab w:val="right" w:pos="9026" w:leader="dot"/>
            </w:tabs>
            <w:rPr/>
          </w:pPr>
          <w:hyperlink w:anchor="__RefHeading___Toc606270_1934241801">
            <w:r>
              <w:rPr>
                <w:webHidden/>
                <w:rStyle w:val="IndexLink"/>
                <w:rtl w:val="true"/>
              </w:rPr>
              <w:t>«</w:t>
            </w:r>
            <w:r>
              <w:rPr>
                <w:rStyle w:val="IndexLink"/>
              </w:rPr>
              <w:t>10</w:t>
            </w:r>
            <w:r>
              <w:rPr>
                <w:rStyle w:val="IndexLink"/>
                <w:rtl w:val="true"/>
              </w:rPr>
              <w:t>»</w:t>
              <w:tab/>
            </w:r>
            <w:r>
              <w:rPr>
                <w:rStyle w:val="IndexLink"/>
              </w:rPr>
              <w:t>363</w:t>
            </w:r>
          </w:hyperlink>
        </w:p>
        <w:p>
          <w:pPr>
            <w:pStyle w:val="Contents5"/>
            <w:tabs>
              <w:tab w:val="clear" w:pos="7892"/>
              <w:tab w:val="right" w:pos="9026" w:leader="dot"/>
            </w:tabs>
            <w:rPr/>
          </w:pPr>
          <w:hyperlink w:anchor="__RefHeading___Toc606272_1934241801">
            <w:r>
              <w:rPr>
                <w:webHidden/>
                <w:rStyle w:val="IndexLink"/>
                <w:rtl w:val="true"/>
              </w:rPr>
              <w:t>«</w:t>
            </w:r>
            <w:r>
              <w:rPr>
                <w:rStyle w:val="IndexLink"/>
              </w:rPr>
              <w:t>11</w:t>
            </w:r>
            <w:r>
              <w:rPr>
                <w:rStyle w:val="IndexLink"/>
                <w:rtl w:val="true"/>
              </w:rPr>
              <w:t>»</w:t>
              <w:tab/>
            </w:r>
            <w:r>
              <w:rPr>
                <w:rStyle w:val="IndexLink"/>
              </w:rPr>
              <w:t>363</w:t>
            </w:r>
          </w:hyperlink>
        </w:p>
        <w:p>
          <w:pPr>
            <w:pStyle w:val="Contents5"/>
            <w:tabs>
              <w:tab w:val="clear" w:pos="7892"/>
              <w:tab w:val="right" w:pos="9026" w:leader="dot"/>
            </w:tabs>
            <w:rPr/>
          </w:pPr>
          <w:hyperlink w:anchor="__RefHeading___Toc606274_1934241801">
            <w:r>
              <w:rPr>
                <w:webHidden/>
                <w:rStyle w:val="IndexLink"/>
                <w:rtl w:val="true"/>
              </w:rPr>
              <w:t xml:space="preserve">روایت </w:t>
            </w:r>
            <w:r>
              <w:rPr>
                <w:rStyle w:val="IndexLink"/>
              </w:rPr>
              <w:t>10</w:t>
            </w:r>
            <w:r>
              <w:rPr>
                <w:rStyle w:val="IndexLink"/>
                <w:rtl w:val="true"/>
              </w:rPr>
              <w:tab/>
            </w:r>
            <w:r>
              <w:rPr>
                <w:rStyle w:val="IndexLink"/>
              </w:rPr>
              <w:t>363</w:t>
            </w:r>
          </w:hyperlink>
        </w:p>
        <w:p>
          <w:pPr>
            <w:pStyle w:val="Contents5"/>
            <w:tabs>
              <w:tab w:val="clear" w:pos="7892"/>
              <w:tab w:val="right" w:pos="9026" w:leader="dot"/>
            </w:tabs>
            <w:rPr/>
          </w:pPr>
          <w:hyperlink w:anchor="__RefHeading___Toc606276_1934241801">
            <w:r>
              <w:rPr>
                <w:webHidden/>
                <w:rStyle w:val="IndexLink"/>
                <w:rtl w:val="true"/>
              </w:rPr>
              <w:t xml:space="preserve">روایت </w:t>
            </w:r>
            <w:r>
              <w:rPr>
                <w:rStyle w:val="IndexLink"/>
              </w:rPr>
              <w:t>11</w:t>
            </w:r>
            <w:r>
              <w:rPr>
                <w:rStyle w:val="IndexLink"/>
                <w:rtl w:val="true"/>
              </w:rPr>
              <w:tab/>
            </w:r>
            <w:r>
              <w:rPr>
                <w:rStyle w:val="IndexLink"/>
              </w:rPr>
              <w:t>364</w:t>
            </w:r>
          </w:hyperlink>
        </w:p>
        <w:p>
          <w:pPr>
            <w:pStyle w:val="Contents5"/>
            <w:tabs>
              <w:tab w:val="clear" w:pos="7892"/>
              <w:tab w:val="right" w:pos="9026" w:leader="dot"/>
            </w:tabs>
            <w:rPr/>
          </w:pPr>
          <w:hyperlink w:anchor="__RefHeading___Toc606278_1934241801">
            <w:r>
              <w:rPr>
                <w:webHidden/>
                <w:rStyle w:val="IndexLink"/>
                <w:rtl w:val="true"/>
              </w:rPr>
              <w:t>بيان</w:t>
            </w:r>
            <w:r>
              <w:rPr>
                <w:rStyle w:val="IndexLink"/>
                <w:rtl w:val="true"/>
              </w:rPr>
              <w:tab/>
            </w:r>
            <w:r>
              <w:rPr>
                <w:rStyle w:val="IndexLink"/>
              </w:rPr>
              <w:t>365</w:t>
            </w:r>
          </w:hyperlink>
        </w:p>
        <w:p>
          <w:pPr>
            <w:pStyle w:val="Contents5"/>
            <w:tabs>
              <w:tab w:val="clear" w:pos="7892"/>
              <w:tab w:val="right" w:pos="9026" w:leader="dot"/>
            </w:tabs>
            <w:rPr/>
          </w:pPr>
          <w:hyperlink w:anchor="__RefHeading___Toc606280_1934241801">
            <w:r>
              <w:rPr>
                <w:webHidden/>
                <w:rStyle w:val="IndexLink"/>
                <w:rtl w:val="true"/>
              </w:rPr>
              <w:t>توضیح</w:t>
            </w:r>
            <w:r>
              <w:rPr>
                <w:rStyle w:val="IndexLink"/>
                <w:rtl w:val="true"/>
              </w:rPr>
              <w:tab/>
            </w:r>
            <w:r>
              <w:rPr>
                <w:rStyle w:val="IndexLink"/>
              </w:rPr>
              <w:t>366</w:t>
            </w:r>
          </w:hyperlink>
        </w:p>
        <w:p>
          <w:pPr>
            <w:pStyle w:val="Contents5"/>
            <w:tabs>
              <w:tab w:val="clear" w:pos="7892"/>
              <w:tab w:val="right" w:pos="9026" w:leader="dot"/>
            </w:tabs>
            <w:rPr/>
          </w:pPr>
          <w:hyperlink w:anchor="__RefHeading___Toc606282_1934241801">
            <w:r>
              <w:rPr>
                <w:webHidden/>
                <w:rStyle w:val="IndexLink"/>
                <w:rtl w:val="true"/>
              </w:rPr>
              <w:t>«</w:t>
            </w:r>
            <w:r>
              <w:rPr>
                <w:rStyle w:val="IndexLink"/>
              </w:rPr>
              <w:t>12</w:t>
            </w:r>
            <w:r>
              <w:rPr>
                <w:rStyle w:val="IndexLink"/>
                <w:rtl w:val="true"/>
              </w:rPr>
              <w:t>»</w:t>
              <w:tab/>
            </w:r>
            <w:r>
              <w:rPr>
                <w:rStyle w:val="IndexLink"/>
              </w:rPr>
              <w:t>367</w:t>
            </w:r>
          </w:hyperlink>
        </w:p>
        <w:p>
          <w:pPr>
            <w:pStyle w:val="Contents5"/>
            <w:tabs>
              <w:tab w:val="clear" w:pos="7892"/>
              <w:tab w:val="right" w:pos="9026" w:leader="dot"/>
            </w:tabs>
            <w:rPr/>
          </w:pPr>
          <w:hyperlink w:anchor="__RefHeading___Toc606284_1934241801">
            <w:r>
              <w:rPr>
                <w:webHidden/>
                <w:rStyle w:val="IndexLink"/>
                <w:rtl w:val="true"/>
              </w:rPr>
              <w:t xml:space="preserve">روایت </w:t>
            </w:r>
            <w:r>
              <w:rPr>
                <w:rStyle w:val="IndexLink"/>
              </w:rPr>
              <w:t>12</w:t>
            </w:r>
            <w:r>
              <w:rPr>
                <w:rStyle w:val="IndexLink"/>
                <w:rtl w:val="true"/>
              </w:rPr>
              <w:tab/>
            </w:r>
            <w:r>
              <w:rPr>
                <w:rStyle w:val="IndexLink"/>
              </w:rPr>
              <w:t>368</w:t>
            </w:r>
          </w:hyperlink>
        </w:p>
        <w:p>
          <w:pPr>
            <w:pStyle w:val="Contents5"/>
            <w:tabs>
              <w:tab w:val="clear" w:pos="7892"/>
              <w:tab w:val="right" w:pos="9026" w:leader="dot"/>
            </w:tabs>
            <w:rPr/>
          </w:pPr>
          <w:hyperlink w:anchor="__RefHeading___Toc606286_1934241801">
            <w:r>
              <w:rPr>
                <w:webHidden/>
                <w:rStyle w:val="IndexLink"/>
                <w:rtl w:val="true"/>
              </w:rPr>
              <w:t>«</w:t>
            </w:r>
            <w:r>
              <w:rPr>
                <w:rStyle w:val="IndexLink"/>
              </w:rPr>
              <w:t>13</w:t>
            </w:r>
            <w:r>
              <w:rPr>
                <w:rStyle w:val="IndexLink"/>
                <w:rtl w:val="true"/>
              </w:rPr>
              <w:t>»</w:t>
              <w:tab/>
            </w:r>
            <w:r>
              <w:rPr>
                <w:rStyle w:val="IndexLink"/>
              </w:rPr>
              <w:t>369</w:t>
            </w:r>
          </w:hyperlink>
        </w:p>
        <w:p>
          <w:pPr>
            <w:pStyle w:val="Contents5"/>
            <w:tabs>
              <w:tab w:val="clear" w:pos="7892"/>
              <w:tab w:val="right" w:pos="9026" w:leader="dot"/>
            </w:tabs>
            <w:rPr/>
          </w:pPr>
          <w:hyperlink w:anchor="__RefHeading___Toc606288_1934241801">
            <w:r>
              <w:rPr>
                <w:webHidden/>
                <w:rStyle w:val="IndexLink"/>
                <w:rtl w:val="true"/>
              </w:rPr>
              <w:t>«</w:t>
            </w:r>
            <w:r>
              <w:rPr>
                <w:rStyle w:val="IndexLink"/>
              </w:rPr>
              <w:t>14</w:t>
            </w:r>
            <w:r>
              <w:rPr>
                <w:rStyle w:val="IndexLink"/>
                <w:rtl w:val="true"/>
              </w:rPr>
              <w:t>»</w:t>
              <w:tab/>
            </w:r>
            <w:r>
              <w:rPr>
                <w:rStyle w:val="IndexLink"/>
              </w:rPr>
              <w:t>369</w:t>
            </w:r>
          </w:hyperlink>
        </w:p>
        <w:p>
          <w:pPr>
            <w:pStyle w:val="Contents5"/>
            <w:tabs>
              <w:tab w:val="clear" w:pos="7892"/>
              <w:tab w:val="right" w:pos="9026" w:leader="dot"/>
            </w:tabs>
            <w:rPr/>
          </w:pPr>
          <w:hyperlink w:anchor="__RefHeading___Toc606290_1934241801">
            <w:r>
              <w:rPr>
                <w:webHidden/>
                <w:rStyle w:val="IndexLink"/>
                <w:rtl w:val="true"/>
              </w:rPr>
              <w:t>بيان</w:t>
            </w:r>
            <w:r>
              <w:rPr>
                <w:rStyle w:val="IndexLink"/>
                <w:rtl w:val="true"/>
              </w:rPr>
              <w:tab/>
            </w:r>
            <w:r>
              <w:rPr>
                <w:rStyle w:val="IndexLink"/>
              </w:rPr>
              <w:t>369</w:t>
            </w:r>
          </w:hyperlink>
        </w:p>
        <w:p>
          <w:pPr>
            <w:pStyle w:val="Contents5"/>
            <w:tabs>
              <w:tab w:val="clear" w:pos="7892"/>
              <w:tab w:val="right" w:pos="9026" w:leader="dot"/>
            </w:tabs>
            <w:rPr/>
          </w:pPr>
          <w:hyperlink w:anchor="__RefHeading___Toc606292_1934241801">
            <w:r>
              <w:rPr>
                <w:webHidden/>
                <w:rStyle w:val="IndexLink"/>
                <w:rtl w:val="true"/>
              </w:rPr>
              <w:t>«</w:t>
            </w:r>
            <w:r>
              <w:rPr>
                <w:rStyle w:val="IndexLink"/>
              </w:rPr>
              <w:t>15</w:t>
            </w:r>
            <w:r>
              <w:rPr>
                <w:rStyle w:val="IndexLink"/>
                <w:rtl w:val="true"/>
              </w:rPr>
              <w:t>»</w:t>
              <w:tab/>
            </w:r>
            <w:r>
              <w:rPr>
                <w:rStyle w:val="IndexLink"/>
              </w:rPr>
              <w:t>369</w:t>
            </w:r>
          </w:hyperlink>
        </w:p>
        <w:p>
          <w:pPr>
            <w:pStyle w:val="Contents5"/>
            <w:tabs>
              <w:tab w:val="clear" w:pos="7892"/>
              <w:tab w:val="right" w:pos="9026" w:leader="dot"/>
            </w:tabs>
            <w:rPr/>
          </w:pPr>
          <w:hyperlink w:anchor="__RefHeading___Toc606294_1934241801">
            <w:r>
              <w:rPr>
                <w:webHidden/>
                <w:rStyle w:val="IndexLink"/>
                <w:rtl w:val="true"/>
              </w:rPr>
              <w:t xml:space="preserve">روایت </w:t>
            </w:r>
            <w:r>
              <w:rPr>
                <w:rStyle w:val="IndexLink"/>
              </w:rPr>
              <w:t>13</w:t>
            </w:r>
            <w:r>
              <w:rPr>
                <w:rStyle w:val="IndexLink"/>
                <w:rtl w:val="true"/>
              </w:rPr>
              <w:tab/>
            </w:r>
            <w:r>
              <w:rPr>
                <w:rStyle w:val="IndexLink"/>
              </w:rPr>
              <w:t>369</w:t>
            </w:r>
          </w:hyperlink>
        </w:p>
        <w:p>
          <w:pPr>
            <w:pStyle w:val="Contents5"/>
            <w:tabs>
              <w:tab w:val="clear" w:pos="7892"/>
              <w:tab w:val="right" w:pos="9026" w:leader="dot"/>
            </w:tabs>
            <w:rPr/>
          </w:pPr>
          <w:hyperlink w:anchor="__RefHeading___Toc606296_1934241801">
            <w:r>
              <w:rPr>
                <w:webHidden/>
                <w:rStyle w:val="IndexLink"/>
                <w:rtl w:val="true"/>
              </w:rPr>
              <w:t xml:space="preserve">روایت </w:t>
            </w:r>
            <w:r>
              <w:rPr>
                <w:rStyle w:val="IndexLink"/>
              </w:rPr>
              <w:t>14</w:t>
            </w:r>
            <w:r>
              <w:rPr>
                <w:rStyle w:val="IndexLink"/>
                <w:rtl w:val="true"/>
              </w:rPr>
              <w:tab/>
            </w:r>
            <w:r>
              <w:rPr>
                <w:rStyle w:val="IndexLink"/>
              </w:rPr>
              <w:t>370</w:t>
            </w:r>
          </w:hyperlink>
        </w:p>
        <w:p>
          <w:pPr>
            <w:pStyle w:val="Contents5"/>
            <w:tabs>
              <w:tab w:val="clear" w:pos="7892"/>
              <w:tab w:val="right" w:pos="9026" w:leader="dot"/>
            </w:tabs>
            <w:rPr/>
          </w:pPr>
          <w:hyperlink w:anchor="__RefHeading___Toc606298_1934241801">
            <w:r>
              <w:rPr>
                <w:webHidden/>
                <w:rStyle w:val="IndexLink"/>
                <w:rtl w:val="true"/>
              </w:rPr>
              <w:t>توضیح</w:t>
            </w:r>
            <w:r>
              <w:rPr>
                <w:rStyle w:val="IndexLink"/>
                <w:rtl w:val="true"/>
              </w:rPr>
              <w:tab/>
            </w:r>
            <w:r>
              <w:rPr>
                <w:rStyle w:val="IndexLink"/>
              </w:rPr>
              <w:t>370</w:t>
            </w:r>
          </w:hyperlink>
        </w:p>
        <w:p>
          <w:pPr>
            <w:pStyle w:val="Contents5"/>
            <w:tabs>
              <w:tab w:val="clear" w:pos="7892"/>
              <w:tab w:val="right" w:pos="9026" w:leader="dot"/>
            </w:tabs>
            <w:rPr/>
          </w:pPr>
          <w:hyperlink w:anchor="__RefHeading___Toc606300_1934241801">
            <w:r>
              <w:rPr>
                <w:webHidden/>
                <w:rStyle w:val="IndexLink"/>
                <w:rtl w:val="true"/>
              </w:rPr>
              <w:t xml:space="preserve">روایت </w:t>
            </w:r>
            <w:r>
              <w:rPr>
                <w:rStyle w:val="IndexLink"/>
              </w:rPr>
              <w:t>15</w:t>
            </w:r>
            <w:r>
              <w:rPr>
                <w:rStyle w:val="IndexLink"/>
                <w:rtl w:val="true"/>
              </w:rPr>
              <w:tab/>
            </w:r>
            <w:r>
              <w:rPr>
                <w:rStyle w:val="IndexLink"/>
              </w:rPr>
              <w:t>370</w:t>
            </w:r>
          </w:hyperlink>
        </w:p>
        <w:p>
          <w:pPr>
            <w:pStyle w:val="Contents5"/>
            <w:tabs>
              <w:tab w:val="clear" w:pos="7892"/>
              <w:tab w:val="right" w:pos="9026" w:leader="dot"/>
            </w:tabs>
            <w:rPr/>
          </w:pPr>
          <w:hyperlink w:anchor="__RefHeading___Toc606302_1934241801">
            <w:r>
              <w:rPr>
                <w:webHidden/>
                <w:rStyle w:val="IndexLink"/>
                <w:rtl w:val="true"/>
              </w:rPr>
              <w:t>«</w:t>
            </w:r>
            <w:r>
              <w:rPr>
                <w:rStyle w:val="IndexLink"/>
              </w:rPr>
              <w:t>16</w:t>
            </w:r>
            <w:r>
              <w:rPr>
                <w:rStyle w:val="IndexLink"/>
                <w:rtl w:val="true"/>
              </w:rPr>
              <w:t>»</w:t>
              <w:tab/>
            </w:r>
            <w:r>
              <w:rPr>
                <w:rStyle w:val="IndexLink"/>
              </w:rPr>
              <w:t>371</w:t>
            </w:r>
          </w:hyperlink>
        </w:p>
        <w:p>
          <w:pPr>
            <w:pStyle w:val="Contents5"/>
            <w:tabs>
              <w:tab w:val="clear" w:pos="7892"/>
              <w:tab w:val="right" w:pos="9026" w:leader="dot"/>
            </w:tabs>
            <w:rPr/>
          </w:pPr>
          <w:hyperlink w:anchor="__RefHeading___Toc606304_1934241801">
            <w:r>
              <w:rPr>
                <w:webHidden/>
                <w:rStyle w:val="IndexLink"/>
                <w:rtl w:val="true"/>
              </w:rPr>
              <w:t>إيضاح</w:t>
            </w:r>
            <w:r>
              <w:rPr>
                <w:rStyle w:val="IndexLink"/>
                <w:rtl w:val="true"/>
              </w:rPr>
              <w:tab/>
            </w:r>
            <w:r>
              <w:rPr>
                <w:rStyle w:val="IndexLink"/>
              </w:rPr>
              <w:t>371</w:t>
            </w:r>
          </w:hyperlink>
        </w:p>
        <w:p>
          <w:pPr>
            <w:pStyle w:val="Contents5"/>
            <w:tabs>
              <w:tab w:val="clear" w:pos="7892"/>
              <w:tab w:val="right" w:pos="9026" w:leader="dot"/>
            </w:tabs>
            <w:rPr/>
          </w:pPr>
          <w:hyperlink w:anchor="__RefHeading___Toc606306_1934241801">
            <w:r>
              <w:rPr>
                <w:webHidden/>
                <w:rStyle w:val="IndexLink"/>
                <w:rtl w:val="true"/>
              </w:rPr>
              <w:t>«</w:t>
            </w:r>
            <w:r>
              <w:rPr>
                <w:rStyle w:val="IndexLink"/>
              </w:rPr>
              <w:t>17</w:t>
            </w:r>
            <w:r>
              <w:rPr>
                <w:rStyle w:val="IndexLink"/>
                <w:rtl w:val="true"/>
              </w:rPr>
              <w:t>»</w:t>
              <w:tab/>
            </w:r>
            <w:r>
              <w:rPr>
                <w:rStyle w:val="IndexLink"/>
              </w:rPr>
              <w:t>371</w:t>
            </w:r>
          </w:hyperlink>
        </w:p>
        <w:p>
          <w:pPr>
            <w:pStyle w:val="Contents5"/>
            <w:tabs>
              <w:tab w:val="clear" w:pos="7892"/>
              <w:tab w:val="right" w:pos="9026" w:leader="dot"/>
            </w:tabs>
            <w:rPr/>
          </w:pPr>
          <w:hyperlink w:anchor="__RefHeading___Toc606308_1934241801">
            <w:r>
              <w:rPr>
                <w:webHidden/>
                <w:rStyle w:val="IndexLink"/>
                <w:rtl w:val="true"/>
              </w:rPr>
              <w:t>«</w:t>
            </w:r>
            <w:r>
              <w:rPr>
                <w:rStyle w:val="IndexLink"/>
              </w:rPr>
              <w:t>18</w:t>
            </w:r>
            <w:r>
              <w:rPr>
                <w:rStyle w:val="IndexLink"/>
                <w:rtl w:val="true"/>
              </w:rPr>
              <w:t>»</w:t>
              <w:tab/>
            </w:r>
            <w:r>
              <w:rPr>
                <w:rStyle w:val="IndexLink"/>
              </w:rPr>
              <w:t>371</w:t>
            </w:r>
          </w:hyperlink>
        </w:p>
        <w:p>
          <w:pPr>
            <w:pStyle w:val="Contents5"/>
            <w:tabs>
              <w:tab w:val="clear" w:pos="7892"/>
              <w:tab w:val="right" w:pos="9026" w:leader="dot"/>
            </w:tabs>
            <w:rPr/>
          </w:pPr>
          <w:hyperlink w:anchor="__RefHeading___Toc606310_1934241801">
            <w:r>
              <w:rPr>
                <w:webHidden/>
                <w:rStyle w:val="IndexLink"/>
                <w:rtl w:val="true"/>
              </w:rPr>
              <w:t>«</w:t>
            </w:r>
            <w:r>
              <w:rPr>
                <w:rStyle w:val="IndexLink"/>
              </w:rPr>
              <w:t>19</w:t>
            </w:r>
            <w:r>
              <w:rPr>
                <w:rStyle w:val="IndexLink"/>
                <w:rtl w:val="true"/>
              </w:rPr>
              <w:t>»</w:t>
              <w:tab/>
            </w:r>
            <w:r>
              <w:rPr>
                <w:rStyle w:val="IndexLink"/>
              </w:rPr>
              <w:t>371</w:t>
            </w:r>
          </w:hyperlink>
        </w:p>
        <w:p>
          <w:pPr>
            <w:pStyle w:val="Contents5"/>
            <w:tabs>
              <w:tab w:val="clear" w:pos="7892"/>
              <w:tab w:val="right" w:pos="9026" w:leader="dot"/>
            </w:tabs>
            <w:rPr/>
          </w:pPr>
          <w:hyperlink w:anchor="__RefHeading___Toc606312_1934241801">
            <w:r>
              <w:rPr>
                <w:webHidden/>
                <w:rStyle w:val="IndexLink"/>
                <w:rtl w:val="true"/>
              </w:rPr>
              <w:t xml:space="preserve">روایت </w:t>
            </w:r>
            <w:r>
              <w:rPr>
                <w:rStyle w:val="IndexLink"/>
              </w:rPr>
              <w:t>16</w:t>
            </w:r>
            <w:r>
              <w:rPr>
                <w:rStyle w:val="IndexLink"/>
                <w:rtl w:val="true"/>
              </w:rPr>
              <w:tab/>
            </w:r>
            <w:r>
              <w:rPr>
                <w:rStyle w:val="IndexLink"/>
              </w:rPr>
              <w:t>371</w:t>
            </w:r>
          </w:hyperlink>
        </w:p>
        <w:p>
          <w:pPr>
            <w:pStyle w:val="Contents5"/>
            <w:tabs>
              <w:tab w:val="clear" w:pos="7892"/>
              <w:tab w:val="right" w:pos="9026" w:leader="dot"/>
            </w:tabs>
            <w:rPr/>
          </w:pPr>
          <w:hyperlink w:anchor="__RefHeading___Toc606314_1934241801">
            <w:r>
              <w:rPr>
                <w:webHidden/>
                <w:rStyle w:val="IndexLink"/>
                <w:rtl w:val="true"/>
              </w:rPr>
              <w:t>توضیح</w:t>
            </w:r>
            <w:r>
              <w:rPr>
                <w:rStyle w:val="IndexLink"/>
                <w:rtl w:val="true"/>
              </w:rPr>
              <w:tab/>
            </w:r>
            <w:r>
              <w:rPr>
                <w:rStyle w:val="IndexLink"/>
              </w:rPr>
              <w:t>371</w:t>
            </w:r>
          </w:hyperlink>
        </w:p>
        <w:p>
          <w:pPr>
            <w:pStyle w:val="Contents5"/>
            <w:tabs>
              <w:tab w:val="clear" w:pos="7892"/>
              <w:tab w:val="right" w:pos="9026" w:leader="dot"/>
            </w:tabs>
            <w:rPr/>
          </w:pPr>
          <w:hyperlink w:anchor="__RefHeading___Toc606316_1934241801">
            <w:r>
              <w:rPr>
                <w:webHidden/>
                <w:rStyle w:val="IndexLink"/>
                <w:rtl w:val="true"/>
              </w:rPr>
              <w:t xml:space="preserve">روایت </w:t>
            </w:r>
            <w:r>
              <w:rPr>
                <w:rStyle w:val="IndexLink"/>
              </w:rPr>
              <w:t>17</w:t>
            </w:r>
            <w:r>
              <w:rPr>
                <w:rStyle w:val="IndexLink"/>
                <w:rtl w:val="true"/>
              </w:rPr>
              <w:tab/>
            </w:r>
            <w:r>
              <w:rPr>
                <w:rStyle w:val="IndexLink"/>
              </w:rPr>
              <w:t>372</w:t>
            </w:r>
          </w:hyperlink>
        </w:p>
        <w:p>
          <w:pPr>
            <w:pStyle w:val="Contents5"/>
            <w:tabs>
              <w:tab w:val="clear" w:pos="7892"/>
              <w:tab w:val="right" w:pos="9026" w:leader="dot"/>
            </w:tabs>
            <w:rPr/>
          </w:pPr>
          <w:hyperlink w:anchor="__RefHeading___Toc606318_1934241801">
            <w:r>
              <w:rPr>
                <w:webHidden/>
                <w:rStyle w:val="IndexLink"/>
                <w:rtl w:val="true"/>
              </w:rPr>
              <w:t xml:space="preserve">روایت </w:t>
            </w:r>
            <w:r>
              <w:rPr>
                <w:rStyle w:val="IndexLink"/>
              </w:rPr>
              <w:t>18</w:t>
            </w:r>
            <w:r>
              <w:rPr>
                <w:rStyle w:val="IndexLink"/>
                <w:rtl w:val="true"/>
              </w:rPr>
              <w:tab/>
            </w:r>
            <w:r>
              <w:rPr>
                <w:rStyle w:val="IndexLink"/>
              </w:rPr>
              <w:t>372</w:t>
            </w:r>
          </w:hyperlink>
        </w:p>
        <w:p>
          <w:pPr>
            <w:pStyle w:val="Contents5"/>
            <w:tabs>
              <w:tab w:val="clear" w:pos="7892"/>
              <w:tab w:val="right" w:pos="9026" w:leader="dot"/>
            </w:tabs>
            <w:rPr/>
          </w:pPr>
          <w:hyperlink w:anchor="__RefHeading___Toc606320_1934241801">
            <w:r>
              <w:rPr>
                <w:webHidden/>
                <w:rStyle w:val="IndexLink"/>
                <w:rtl w:val="true"/>
              </w:rPr>
              <w:t xml:space="preserve">روایت </w:t>
            </w:r>
            <w:r>
              <w:rPr>
                <w:rStyle w:val="IndexLink"/>
              </w:rPr>
              <w:t>19</w:t>
            </w:r>
            <w:r>
              <w:rPr>
                <w:rStyle w:val="IndexLink"/>
                <w:rtl w:val="true"/>
              </w:rPr>
              <w:tab/>
            </w:r>
            <w:r>
              <w:rPr>
                <w:rStyle w:val="IndexLink"/>
              </w:rPr>
              <w:t>372</w:t>
            </w:r>
          </w:hyperlink>
        </w:p>
        <w:p>
          <w:pPr>
            <w:pStyle w:val="Contents5"/>
            <w:tabs>
              <w:tab w:val="clear" w:pos="7892"/>
              <w:tab w:val="right" w:pos="9026" w:leader="dot"/>
            </w:tabs>
            <w:rPr/>
          </w:pPr>
          <w:hyperlink w:anchor="__RefHeading___Toc606322_1934241801">
            <w:r>
              <w:rPr>
                <w:webHidden/>
                <w:rStyle w:val="IndexLink"/>
                <w:rtl w:val="true"/>
              </w:rPr>
              <w:t>بيان</w:t>
            </w:r>
            <w:r>
              <w:rPr>
                <w:rStyle w:val="IndexLink"/>
                <w:rtl w:val="true"/>
              </w:rPr>
              <w:tab/>
            </w:r>
            <w:r>
              <w:rPr>
                <w:rStyle w:val="IndexLink"/>
              </w:rPr>
              <w:t>373</w:t>
            </w:r>
          </w:hyperlink>
        </w:p>
        <w:p>
          <w:pPr>
            <w:pStyle w:val="Contents5"/>
            <w:tabs>
              <w:tab w:val="clear" w:pos="7892"/>
              <w:tab w:val="right" w:pos="9026" w:leader="dot"/>
            </w:tabs>
            <w:rPr/>
          </w:pPr>
          <w:hyperlink w:anchor="__RefHeading___Toc606324_1934241801">
            <w:r>
              <w:rPr>
                <w:webHidden/>
                <w:rStyle w:val="IndexLink"/>
                <w:rtl w:val="true"/>
              </w:rPr>
              <w:t>«</w:t>
            </w:r>
            <w:r>
              <w:rPr>
                <w:rStyle w:val="IndexLink"/>
              </w:rPr>
              <w:t>20</w:t>
            </w:r>
            <w:r>
              <w:rPr>
                <w:rStyle w:val="IndexLink"/>
                <w:rtl w:val="true"/>
              </w:rPr>
              <w:t>»</w:t>
              <w:tab/>
            </w:r>
            <w:r>
              <w:rPr>
                <w:rStyle w:val="IndexLink"/>
              </w:rPr>
              <w:t>373</w:t>
            </w:r>
          </w:hyperlink>
        </w:p>
        <w:p>
          <w:pPr>
            <w:pStyle w:val="Contents5"/>
            <w:tabs>
              <w:tab w:val="clear" w:pos="7892"/>
              <w:tab w:val="right" w:pos="9026" w:leader="dot"/>
            </w:tabs>
            <w:rPr/>
          </w:pPr>
          <w:hyperlink w:anchor="__RefHeading___Toc606326_1934241801">
            <w:r>
              <w:rPr>
                <w:webHidden/>
                <w:rStyle w:val="IndexLink"/>
                <w:rtl w:val="true"/>
              </w:rPr>
              <w:t>«</w:t>
            </w:r>
            <w:r>
              <w:rPr>
                <w:rStyle w:val="IndexLink"/>
              </w:rPr>
              <w:t>21</w:t>
            </w:r>
            <w:r>
              <w:rPr>
                <w:rStyle w:val="IndexLink"/>
                <w:rtl w:val="true"/>
              </w:rPr>
              <w:t>»</w:t>
              <w:tab/>
            </w:r>
            <w:r>
              <w:rPr>
                <w:rStyle w:val="IndexLink"/>
              </w:rPr>
              <w:t>373</w:t>
            </w:r>
          </w:hyperlink>
        </w:p>
        <w:p>
          <w:pPr>
            <w:pStyle w:val="Contents5"/>
            <w:tabs>
              <w:tab w:val="clear" w:pos="7892"/>
              <w:tab w:val="right" w:pos="9026" w:leader="dot"/>
            </w:tabs>
            <w:rPr/>
          </w:pPr>
          <w:hyperlink w:anchor="__RefHeading___Toc606328_1934241801">
            <w:r>
              <w:rPr>
                <w:webHidden/>
                <w:rStyle w:val="IndexLink"/>
                <w:rtl w:val="true"/>
              </w:rPr>
              <w:t>توضیح</w:t>
            </w:r>
            <w:r>
              <w:rPr>
                <w:rStyle w:val="IndexLink"/>
                <w:rtl w:val="true"/>
              </w:rPr>
              <w:tab/>
            </w:r>
            <w:r>
              <w:rPr>
                <w:rStyle w:val="IndexLink"/>
              </w:rPr>
              <w:t>374</w:t>
            </w:r>
          </w:hyperlink>
        </w:p>
        <w:p>
          <w:pPr>
            <w:pStyle w:val="Contents5"/>
            <w:tabs>
              <w:tab w:val="clear" w:pos="7892"/>
              <w:tab w:val="right" w:pos="9026" w:leader="dot"/>
            </w:tabs>
            <w:rPr/>
          </w:pPr>
          <w:hyperlink w:anchor="__RefHeading___Toc606330_1934241801">
            <w:r>
              <w:rPr>
                <w:webHidden/>
                <w:rStyle w:val="IndexLink"/>
                <w:rtl w:val="true"/>
              </w:rPr>
              <w:t xml:space="preserve">روایت </w:t>
            </w:r>
            <w:r>
              <w:rPr>
                <w:rStyle w:val="IndexLink"/>
              </w:rPr>
              <w:t>20</w:t>
            </w:r>
            <w:r>
              <w:rPr>
                <w:rStyle w:val="IndexLink"/>
                <w:rtl w:val="true"/>
              </w:rPr>
              <w:tab/>
            </w:r>
            <w:r>
              <w:rPr>
                <w:rStyle w:val="IndexLink"/>
              </w:rPr>
              <w:t>374</w:t>
            </w:r>
          </w:hyperlink>
        </w:p>
        <w:p>
          <w:pPr>
            <w:pStyle w:val="Contents5"/>
            <w:tabs>
              <w:tab w:val="clear" w:pos="7892"/>
              <w:tab w:val="right" w:pos="9026" w:leader="dot"/>
            </w:tabs>
            <w:rPr/>
          </w:pPr>
          <w:hyperlink w:anchor="__RefHeading___Toc606332_1934241801">
            <w:r>
              <w:rPr>
                <w:webHidden/>
                <w:rStyle w:val="IndexLink"/>
                <w:rtl w:val="true"/>
              </w:rPr>
              <w:t xml:space="preserve">روایت </w:t>
            </w:r>
            <w:r>
              <w:rPr>
                <w:rStyle w:val="IndexLink"/>
              </w:rPr>
              <w:t>21</w:t>
            </w:r>
            <w:r>
              <w:rPr>
                <w:rStyle w:val="IndexLink"/>
                <w:rtl w:val="true"/>
              </w:rPr>
              <w:tab/>
            </w:r>
            <w:r>
              <w:rPr>
                <w:rStyle w:val="IndexLink"/>
              </w:rPr>
              <w:t>374</w:t>
            </w:r>
          </w:hyperlink>
        </w:p>
        <w:p>
          <w:pPr>
            <w:pStyle w:val="Contents5"/>
            <w:tabs>
              <w:tab w:val="clear" w:pos="7892"/>
              <w:tab w:val="right" w:pos="9026" w:leader="dot"/>
            </w:tabs>
            <w:rPr/>
          </w:pPr>
          <w:hyperlink w:anchor="__RefHeading___Toc606334_1934241801">
            <w:r>
              <w:rPr>
                <w:webHidden/>
                <w:rStyle w:val="IndexLink"/>
                <w:rtl w:val="true"/>
              </w:rPr>
              <w:t>«</w:t>
            </w:r>
            <w:r>
              <w:rPr>
                <w:rStyle w:val="IndexLink"/>
              </w:rPr>
              <w:t>22</w:t>
            </w:r>
            <w:r>
              <w:rPr>
                <w:rStyle w:val="IndexLink"/>
                <w:rtl w:val="true"/>
              </w:rPr>
              <w:t>»</w:t>
              <w:tab/>
            </w:r>
            <w:r>
              <w:rPr>
                <w:rStyle w:val="IndexLink"/>
              </w:rPr>
              <w:t>375</w:t>
            </w:r>
          </w:hyperlink>
        </w:p>
        <w:p>
          <w:pPr>
            <w:pStyle w:val="Contents5"/>
            <w:tabs>
              <w:tab w:val="clear" w:pos="7892"/>
              <w:tab w:val="right" w:pos="9026" w:leader="dot"/>
            </w:tabs>
            <w:rPr/>
          </w:pPr>
          <w:hyperlink w:anchor="__RefHeading___Toc606336_1934241801">
            <w:r>
              <w:rPr>
                <w:webHidden/>
                <w:rStyle w:val="IndexLink"/>
                <w:rtl w:val="true"/>
              </w:rPr>
              <w:t>«</w:t>
            </w:r>
            <w:r>
              <w:rPr>
                <w:rStyle w:val="IndexLink"/>
              </w:rPr>
              <w:t>23</w:t>
            </w:r>
            <w:r>
              <w:rPr>
                <w:rStyle w:val="IndexLink"/>
                <w:rtl w:val="true"/>
              </w:rPr>
              <w:t>»</w:t>
              <w:tab/>
            </w:r>
            <w:r>
              <w:rPr>
                <w:rStyle w:val="IndexLink"/>
              </w:rPr>
              <w:t>375</w:t>
            </w:r>
          </w:hyperlink>
        </w:p>
        <w:p>
          <w:pPr>
            <w:pStyle w:val="Contents5"/>
            <w:tabs>
              <w:tab w:val="clear" w:pos="7892"/>
              <w:tab w:val="right" w:pos="9026" w:leader="dot"/>
            </w:tabs>
            <w:rPr/>
          </w:pPr>
          <w:hyperlink w:anchor="__RefHeading___Toc606338_1934241801">
            <w:r>
              <w:rPr>
                <w:webHidden/>
                <w:rStyle w:val="IndexLink"/>
                <w:rtl w:val="true"/>
              </w:rPr>
              <w:t>«</w:t>
            </w:r>
            <w:r>
              <w:rPr>
                <w:rStyle w:val="IndexLink"/>
              </w:rPr>
              <w:t>24</w:t>
            </w:r>
            <w:r>
              <w:rPr>
                <w:rStyle w:val="IndexLink"/>
                <w:rtl w:val="true"/>
              </w:rPr>
              <w:t>»</w:t>
              <w:tab/>
            </w:r>
            <w:r>
              <w:rPr>
                <w:rStyle w:val="IndexLink"/>
              </w:rPr>
              <w:t>375</w:t>
            </w:r>
          </w:hyperlink>
        </w:p>
        <w:p>
          <w:pPr>
            <w:pStyle w:val="Contents5"/>
            <w:tabs>
              <w:tab w:val="clear" w:pos="7892"/>
              <w:tab w:val="right" w:pos="9026" w:leader="dot"/>
            </w:tabs>
            <w:rPr/>
          </w:pPr>
          <w:hyperlink w:anchor="__RefHeading___Toc606340_1934241801">
            <w:r>
              <w:rPr>
                <w:webHidden/>
                <w:rStyle w:val="IndexLink"/>
                <w:rtl w:val="true"/>
              </w:rPr>
              <w:t>«</w:t>
            </w:r>
            <w:r>
              <w:rPr>
                <w:rStyle w:val="IndexLink"/>
              </w:rPr>
              <w:t>25</w:t>
            </w:r>
            <w:r>
              <w:rPr>
                <w:rStyle w:val="IndexLink"/>
                <w:rtl w:val="true"/>
              </w:rPr>
              <w:t>»</w:t>
              <w:tab/>
            </w:r>
            <w:r>
              <w:rPr>
                <w:rStyle w:val="IndexLink"/>
              </w:rPr>
              <w:t>375</w:t>
            </w:r>
          </w:hyperlink>
        </w:p>
        <w:p>
          <w:pPr>
            <w:pStyle w:val="Contents5"/>
            <w:tabs>
              <w:tab w:val="clear" w:pos="7892"/>
              <w:tab w:val="right" w:pos="9026" w:leader="dot"/>
            </w:tabs>
            <w:rPr/>
          </w:pPr>
          <w:hyperlink w:anchor="__RefHeading___Toc606342_1934241801">
            <w:r>
              <w:rPr>
                <w:webHidden/>
                <w:rStyle w:val="IndexLink"/>
                <w:rtl w:val="true"/>
              </w:rPr>
              <w:t xml:space="preserve">روایت </w:t>
            </w:r>
            <w:r>
              <w:rPr>
                <w:rStyle w:val="IndexLink"/>
              </w:rPr>
              <w:t>22</w:t>
            </w:r>
            <w:r>
              <w:rPr>
                <w:rStyle w:val="IndexLink"/>
                <w:rtl w:val="true"/>
              </w:rPr>
              <w:tab/>
            </w:r>
            <w:r>
              <w:rPr>
                <w:rStyle w:val="IndexLink"/>
              </w:rPr>
              <w:t>375</w:t>
            </w:r>
          </w:hyperlink>
        </w:p>
        <w:p>
          <w:pPr>
            <w:pStyle w:val="Contents5"/>
            <w:tabs>
              <w:tab w:val="clear" w:pos="7892"/>
              <w:tab w:val="right" w:pos="9026" w:leader="dot"/>
            </w:tabs>
            <w:rPr/>
          </w:pPr>
          <w:hyperlink w:anchor="__RefHeading___Toc606344_1934241801">
            <w:r>
              <w:rPr>
                <w:webHidden/>
                <w:rStyle w:val="IndexLink"/>
                <w:rtl w:val="true"/>
              </w:rPr>
              <w:t xml:space="preserve">روایت </w:t>
            </w:r>
            <w:r>
              <w:rPr>
                <w:rStyle w:val="IndexLink"/>
              </w:rPr>
              <w:t>23</w:t>
            </w:r>
            <w:r>
              <w:rPr>
                <w:rStyle w:val="IndexLink"/>
                <w:rtl w:val="true"/>
              </w:rPr>
              <w:tab/>
            </w:r>
            <w:r>
              <w:rPr>
                <w:rStyle w:val="IndexLink"/>
              </w:rPr>
              <w:t>375</w:t>
            </w:r>
          </w:hyperlink>
        </w:p>
        <w:p>
          <w:pPr>
            <w:pStyle w:val="Contents5"/>
            <w:tabs>
              <w:tab w:val="clear" w:pos="7892"/>
              <w:tab w:val="right" w:pos="9026" w:leader="dot"/>
            </w:tabs>
            <w:rPr/>
          </w:pPr>
          <w:hyperlink w:anchor="__RefHeading___Toc606346_1934241801">
            <w:r>
              <w:rPr>
                <w:webHidden/>
                <w:rStyle w:val="IndexLink"/>
                <w:rtl w:val="true"/>
              </w:rPr>
              <w:t xml:space="preserve">روایت </w:t>
            </w:r>
            <w:r>
              <w:rPr>
                <w:rStyle w:val="IndexLink"/>
              </w:rPr>
              <w:t>24</w:t>
            </w:r>
            <w:r>
              <w:rPr>
                <w:rStyle w:val="IndexLink"/>
                <w:rtl w:val="true"/>
              </w:rPr>
              <w:tab/>
            </w:r>
            <w:r>
              <w:rPr>
                <w:rStyle w:val="IndexLink"/>
              </w:rPr>
              <w:t>376</w:t>
            </w:r>
          </w:hyperlink>
        </w:p>
        <w:p>
          <w:pPr>
            <w:pStyle w:val="Contents5"/>
            <w:tabs>
              <w:tab w:val="clear" w:pos="7892"/>
              <w:tab w:val="right" w:pos="9026" w:leader="dot"/>
            </w:tabs>
            <w:rPr/>
          </w:pPr>
          <w:hyperlink w:anchor="__RefHeading___Toc606348_1934241801">
            <w:r>
              <w:rPr>
                <w:webHidden/>
                <w:rStyle w:val="IndexLink"/>
                <w:rtl w:val="true"/>
              </w:rPr>
              <w:t xml:space="preserve">روایت </w:t>
            </w:r>
            <w:r>
              <w:rPr>
                <w:rStyle w:val="IndexLink"/>
              </w:rPr>
              <w:t>25</w:t>
            </w:r>
            <w:r>
              <w:rPr>
                <w:rStyle w:val="IndexLink"/>
                <w:rtl w:val="true"/>
              </w:rPr>
              <w:tab/>
            </w:r>
            <w:r>
              <w:rPr>
                <w:rStyle w:val="IndexLink"/>
              </w:rPr>
              <w:t>376</w:t>
            </w:r>
          </w:hyperlink>
        </w:p>
        <w:p>
          <w:pPr>
            <w:pStyle w:val="Contents5"/>
            <w:tabs>
              <w:tab w:val="clear" w:pos="7892"/>
              <w:tab w:val="right" w:pos="9026" w:leader="dot"/>
            </w:tabs>
            <w:rPr/>
          </w:pPr>
          <w:hyperlink w:anchor="__RefHeading___Toc606350_1934241801">
            <w:r>
              <w:rPr>
                <w:webHidden/>
                <w:rStyle w:val="IndexLink"/>
                <w:rtl w:val="true"/>
              </w:rPr>
              <w:t>بيان</w:t>
            </w:r>
            <w:r>
              <w:rPr>
                <w:rStyle w:val="IndexLink"/>
                <w:rtl w:val="true"/>
              </w:rPr>
              <w:tab/>
            </w:r>
            <w:r>
              <w:rPr>
                <w:rStyle w:val="IndexLink"/>
              </w:rPr>
              <w:t>377</w:t>
            </w:r>
          </w:hyperlink>
        </w:p>
        <w:p>
          <w:pPr>
            <w:pStyle w:val="Contents5"/>
            <w:tabs>
              <w:tab w:val="clear" w:pos="7892"/>
              <w:tab w:val="right" w:pos="9026" w:leader="dot"/>
            </w:tabs>
            <w:rPr/>
          </w:pPr>
          <w:hyperlink w:anchor="__RefHeading___Toc606352_1934241801">
            <w:r>
              <w:rPr>
                <w:webHidden/>
                <w:rStyle w:val="IndexLink"/>
                <w:rtl w:val="true"/>
              </w:rPr>
              <w:t>«</w:t>
            </w:r>
            <w:r>
              <w:rPr>
                <w:rStyle w:val="IndexLink"/>
              </w:rPr>
              <w:t>26</w:t>
            </w:r>
            <w:r>
              <w:rPr>
                <w:rStyle w:val="IndexLink"/>
                <w:rtl w:val="true"/>
              </w:rPr>
              <w:t>»</w:t>
              <w:tab/>
            </w:r>
            <w:r>
              <w:rPr>
                <w:rStyle w:val="IndexLink"/>
              </w:rPr>
              <w:t>377</w:t>
            </w:r>
          </w:hyperlink>
        </w:p>
        <w:p>
          <w:pPr>
            <w:pStyle w:val="Contents5"/>
            <w:tabs>
              <w:tab w:val="clear" w:pos="7892"/>
              <w:tab w:val="right" w:pos="9026" w:leader="dot"/>
            </w:tabs>
            <w:rPr/>
          </w:pPr>
          <w:hyperlink w:anchor="__RefHeading___Toc606354_1934241801">
            <w:r>
              <w:rPr>
                <w:webHidden/>
                <w:rStyle w:val="IndexLink"/>
                <w:rtl w:val="true"/>
              </w:rPr>
              <w:t>توضيح</w:t>
            </w:r>
            <w:r>
              <w:rPr>
                <w:rStyle w:val="IndexLink"/>
                <w:rtl w:val="true"/>
              </w:rPr>
              <w:tab/>
            </w:r>
            <w:r>
              <w:rPr>
                <w:rStyle w:val="IndexLink"/>
              </w:rPr>
              <w:t>377</w:t>
            </w:r>
          </w:hyperlink>
        </w:p>
        <w:p>
          <w:pPr>
            <w:pStyle w:val="Contents5"/>
            <w:tabs>
              <w:tab w:val="clear" w:pos="7892"/>
              <w:tab w:val="right" w:pos="9026" w:leader="dot"/>
            </w:tabs>
            <w:rPr/>
          </w:pPr>
          <w:hyperlink w:anchor="__RefHeading___Toc606356_1934241801">
            <w:r>
              <w:rPr>
                <w:webHidden/>
                <w:rStyle w:val="IndexLink"/>
                <w:rtl w:val="true"/>
              </w:rPr>
              <w:t>«</w:t>
            </w:r>
            <w:r>
              <w:rPr>
                <w:rStyle w:val="IndexLink"/>
              </w:rPr>
              <w:t>27</w:t>
            </w:r>
            <w:r>
              <w:rPr>
                <w:rStyle w:val="IndexLink"/>
                <w:rtl w:val="true"/>
              </w:rPr>
              <w:t>»</w:t>
              <w:tab/>
            </w:r>
            <w:r>
              <w:rPr>
                <w:rStyle w:val="IndexLink"/>
              </w:rPr>
              <w:t>377</w:t>
            </w:r>
          </w:hyperlink>
        </w:p>
        <w:p>
          <w:pPr>
            <w:pStyle w:val="Contents5"/>
            <w:tabs>
              <w:tab w:val="clear" w:pos="7892"/>
              <w:tab w:val="right" w:pos="9026" w:leader="dot"/>
            </w:tabs>
            <w:rPr/>
          </w:pPr>
          <w:hyperlink w:anchor="__RefHeading___Toc606358_1934241801">
            <w:r>
              <w:rPr>
                <w:webHidden/>
                <w:rStyle w:val="IndexLink"/>
                <w:rtl w:val="true"/>
              </w:rPr>
              <w:t>توضیح</w:t>
            </w:r>
            <w:r>
              <w:rPr>
                <w:rStyle w:val="IndexLink"/>
                <w:rtl w:val="true"/>
              </w:rPr>
              <w:tab/>
            </w:r>
            <w:r>
              <w:rPr>
                <w:rStyle w:val="IndexLink"/>
              </w:rPr>
              <w:t>377</w:t>
            </w:r>
          </w:hyperlink>
        </w:p>
        <w:p>
          <w:pPr>
            <w:pStyle w:val="Contents5"/>
            <w:tabs>
              <w:tab w:val="clear" w:pos="7892"/>
              <w:tab w:val="right" w:pos="9026" w:leader="dot"/>
            </w:tabs>
            <w:rPr/>
          </w:pPr>
          <w:hyperlink w:anchor="__RefHeading___Toc606360_1934241801">
            <w:r>
              <w:rPr>
                <w:webHidden/>
                <w:rStyle w:val="IndexLink"/>
                <w:rtl w:val="true"/>
              </w:rPr>
              <w:t xml:space="preserve">روایت </w:t>
            </w:r>
            <w:r>
              <w:rPr>
                <w:rStyle w:val="IndexLink"/>
              </w:rPr>
              <w:t>26</w:t>
            </w:r>
            <w:r>
              <w:rPr>
                <w:rStyle w:val="IndexLink"/>
                <w:rtl w:val="true"/>
              </w:rPr>
              <w:tab/>
            </w:r>
            <w:r>
              <w:rPr>
                <w:rStyle w:val="IndexLink"/>
              </w:rPr>
              <w:t>377</w:t>
            </w:r>
          </w:hyperlink>
        </w:p>
        <w:p>
          <w:pPr>
            <w:pStyle w:val="Contents5"/>
            <w:tabs>
              <w:tab w:val="clear" w:pos="7892"/>
              <w:tab w:val="right" w:pos="9026" w:leader="dot"/>
            </w:tabs>
            <w:rPr/>
          </w:pPr>
          <w:hyperlink w:anchor="__RefHeading___Toc606362_1934241801">
            <w:r>
              <w:rPr>
                <w:webHidden/>
                <w:rStyle w:val="IndexLink"/>
                <w:rtl w:val="true"/>
              </w:rPr>
              <w:t>توضیح</w:t>
            </w:r>
            <w:r>
              <w:rPr>
                <w:rStyle w:val="IndexLink"/>
                <w:rtl w:val="true"/>
              </w:rPr>
              <w:tab/>
            </w:r>
            <w:r>
              <w:rPr>
                <w:rStyle w:val="IndexLink"/>
              </w:rPr>
              <w:t>378</w:t>
            </w:r>
          </w:hyperlink>
        </w:p>
        <w:p>
          <w:pPr>
            <w:pStyle w:val="Contents5"/>
            <w:tabs>
              <w:tab w:val="clear" w:pos="7892"/>
              <w:tab w:val="right" w:pos="9026" w:leader="dot"/>
            </w:tabs>
            <w:rPr/>
          </w:pPr>
          <w:hyperlink w:anchor="__RefHeading___Toc606364_1934241801">
            <w:r>
              <w:rPr>
                <w:webHidden/>
                <w:rStyle w:val="IndexLink"/>
                <w:rtl w:val="true"/>
              </w:rPr>
              <w:t xml:space="preserve">روایت </w:t>
            </w:r>
            <w:r>
              <w:rPr>
                <w:rStyle w:val="IndexLink"/>
              </w:rPr>
              <w:t>27</w:t>
            </w:r>
            <w:r>
              <w:rPr>
                <w:rStyle w:val="IndexLink"/>
                <w:rtl w:val="true"/>
              </w:rPr>
              <w:tab/>
            </w:r>
            <w:r>
              <w:rPr>
                <w:rStyle w:val="IndexLink"/>
              </w:rPr>
              <w:t>378</w:t>
            </w:r>
          </w:hyperlink>
        </w:p>
        <w:p>
          <w:pPr>
            <w:pStyle w:val="Contents5"/>
            <w:tabs>
              <w:tab w:val="clear" w:pos="7892"/>
              <w:tab w:val="right" w:pos="9026" w:leader="dot"/>
            </w:tabs>
            <w:rPr/>
          </w:pPr>
          <w:hyperlink w:anchor="__RefHeading___Toc606366_1934241801">
            <w:r>
              <w:rPr>
                <w:webHidden/>
                <w:rStyle w:val="IndexLink"/>
                <w:rtl w:val="true"/>
              </w:rPr>
              <w:t>بيان</w:t>
            </w:r>
            <w:r>
              <w:rPr>
                <w:rStyle w:val="IndexLink"/>
                <w:rtl w:val="true"/>
              </w:rPr>
              <w:tab/>
            </w:r>
            <w:r>
              <w:rPr>
                <w:rStyle w:val="IndexLink"/>
              </w:rPr>
              <w:t>379</w:t>
            </w:r>
          </w:hyperlink>
        </w:p>
        <w:p>
          <w:pPr>
            <w:pStyle w:val="Contents5"/>
            <w:tabs>
              <w:tab w:val="clear" w:pos="7892"/>
              <w:tab w:val="right" w:pos="9026" w:leader="dot"/>
            </w:tabs>
            <w:rPr/>
          </w:pPr>
          <w:hyperlink w:anchor="__RefHeading___Toc606368_1934241801">
            <w:r>
              <w:rPr>
                <w:webHidden/>
                <w:rStyle w:val="IndexLink"/>
                <w:rtl w:val="true"/>
              </w:rPr>
              <w:t>«</w:t>
            </w:r>
            <w:r>
              <w:rPr>
                <w:rStyle w:val="IndexLink"/>
              </w:rPr>
              <w:t>28</w:t>
            </w:r>
            <w:r>
              <w:rPr>
                <w:rStyle w:val="IndexLink"/>
                <w:rtl w:val="true"/>
              </w:rPr>
              <w:t>»</w:t>
              <w:tab/>
            </w:r>
            <w:r>
              <w:rPr>
                <w:rStyle w:val="IndexLink"/>
              </w:rPr>
              <w:t>379</w:t>
            </w:r>
          </w:hyperlink>
        </w:p>
        <w:p>
          <w:pPr>
            <w:pStyle w:val="Contents5"/>
            <w:tabs>
              <w:tab w:val="clear" w:pos="7892"/>
              <w:tab w:val="right" w:pos="9026" w:leader="dot"/>
            </w:tabs>
            <w:rPr/>
          </w:pPr>
          <w:hyperlink w:anchor="__RefHeading___Toc606370_1934241801">
            <w:r>
              <w:rPr>
                <w:webHidden/>
                <w:rStyle w:val="IndexLink"/>
                <w:rtl w:val="true"/>
              </w:rPr>
              <w:t>«</w:t>
            </w:r>
            <w:r>
              <w:rPr>
                <w:rStyle w:val="IndexLink"/>
              </w:rPr>
              <w:t>29</w:t>
            </w:r>
            <w:r>
              <w:rPr>
                <w:rStyle w:val="IndexLink"/>
                <w:rtl w:val="true"/>
              </w:rPr>
              <w:t>»</w:t>
              <w:tab/>
            </w:r>
            <w:r>
              <w:rPr>
                <w:rStyle w:val="IndexLink"/>
              </w:rPr>
              <w:t>379</w:t>
            </w:r>
          </w:hyperlink>
        </w:p>
        <w:p>
          <w:pPr>
            <w:pStyle w:val="Contents5"/>
            <w:tabs>
              <w:tab w:val="clear" w:pos="7892"/>
              <w:tab w:val="right" w:pos="9026" w:leader="dot"/>
            </w:tabs>
            <w:rPr/>
          </w:pPr>
          <w:hyperlink w:anchor="__RefHeading___Toc606372_1934241801">
            <w:r>
              <w:rPr>
                <w:webHidden/>
                <w:rStyle w:val="IndexLink"/>
                <w:rtl w:val="true"/>
              </w:rPr>
              <w:t>توضیح</w:t>
            </w:r>
            <w:r>
              <w:rPr>
                <w:rStyle w:val="IndexLink"/>
                <w:rtl w:val="true"/>
              </w:rPr>
              <w:tab/>
            </w:r>
            <w:r>
              <w:rPr>
                <w:rStyle w:val="IndexLink"/>
              </w:rPr>
              <w:t>379</w:t>
            </w:r>
          </w:hyperlink>
        </w:p>
        <w:p>
          <w:pPr>
            <w:pStyle w:val="Contents5"/>
            <w:tabs>
              <w:tab w:val="clear" w:pos="7892"/>
              <w:tab w:val="right" w:pos="9026" w:leader="dot"/>
            </w:tabs>
            <w:rPr/>
          </w:pPr>
          <w:hyperlink w:anchor="__RefHeading___Toc606374_1934241801">
            <w:r>
              <w:rPr>
                <w:webHidden/>
                <w:rStyle w:val="IndexLink"/>
                <w:rtl w:val="true"/>
              </w:rPr>
              <w:t xml:space="preserve">روایت </w:t>
            </w:r>
            <w:r>
              <w:rPr>
                <w:rStyle w:val="IndexLink"/>
              </w:rPr>
              <w:t>28</w:t>
            </w:r>
            <w:r>
              <w:rPr>
                <w:rStyle w:val="IndexLink"/>
                <w:rtl w:val="true"/>
              </w:rPr>
              <w:tab/>
            </w:r>
            <w:r>
              <w:rPr>
                <w:rStyle w:val="IndexLink"/>
              </w:rPr>
              <w:t>380</w:t>
            </w:r>
          </w:hyperlink>
        </w:p>
        <w:p>
          <w:pPr>
            <w:pStyle w:val="Contents5"/>
            <w:tabs>
              <w:tab w:val="clear" w:pos="7892"/>
              <w:tab w:val="right" w:pos="9026" w:leader="dot"/>
            </w:tabs>
            <w:rPr/>
          </w:pPr>
          <w:hyperlink w:anchor="__RefHeading___Toc606376_1934241801">
            <w:r>
              <w:rPr>
                <w:webHidden/>
                <w:rStyle w:val="IndexLink"/>
                <w:rtl w:val="true"/>
              </w:rPr>
              <w:t xml:space="preserve">روایت </w:t>
            </w:r>
            <w:r>
              <w:rPr>
                <w:rStyle w:val="IndexLink"/>
              </w:rPr>
              <w:t>29</w:t>
            </w:r>
            <w:r>
              <w:rPr>
                <w:rStyle w:val="IndexLink"/>
                <w:rtl w:val="true"/>
              </w:rPr>
              <w:tab/>
            </w:r>
            <w:r>
              <w:rPr>
                <w:rStyle w:val="IndexLink"/>
              </w:rPr>
              <w:t>380</w:t>
            </w:r>
          </w:hyperlink>
        </w:p>
        <w:p>
          <w:pPr>
            <w:pStyle w:val="Contents5"/>
            <w:tabs>
              <w:tab w:val="clear" w:pos="7892"/>
              <w:tab w:val="right" w:pos="9026" w:leader="dot"/>
            </w:tabs>
            <w:rPr/>
          </w:pPr>
          <w:hyperlink w:anchor="__RefHeading___Toc606378_1934241801">
            <w:r>
              <w:rPr>
                <w:webHidden/>
                <w:rStyle w:val="IndexLink"/>
                <w:rtl w:val="true"/>
              </w:rPr>
              <w:t>بيان</w:t>
            </w:r>
            <w:r>
              <w:rPr>
                <w:rStyle w:val="IndexLink"/>
                <w:rtl w:val="true"/>
              </w:rPr>
              <w:tab/>
            </w:r>
            <w:r>
              <w:rPr>
                <w:rStyle w:val="IndexLink"/>
              </w:rPr>
              <w:t>381</w:t>
            </w:r>
          </w:hyperlink>
        </w:p>
        <w:p>
          <w:pPr>
            <w:pStyle w:val="Contents5"/>
            <w:tabs>
              <w:tab w:val="clear" w:pos="7892"/>
              <w:tab w:val="right" w:pos="9026" w:leader="dot"/>
            </w:tabs>
            <w:rPr/>
          </w:pPr>
          <w:hyperlink w:anchor="__RefHeading___Toc606380_1934241801">
            <w:r>
              <w:rPr>
                <w:webHidden/>
                <w:rStyle w:val="IndexLink"/>
                <w:rtl w:val="true"/>
              </w:rPr>
              <w:t>«</w:t>
            </w:r>
            <w:r>
              <w:rPr>
                <w:rStyle w:val="IndexLink"/>
              </w:rPr>
              <w:t>30</w:t>
            </w:r>
            <w:r>
              <w:rPr>
                <w:rStyle w:val="IndexLink"/>
                <w:rtl w:val="true"/>
              </w:rPr>
              <w:t>»</w:t>
              <w:tab/>
            </w:r>
            <w:r>
              <w:rPr>
                <w:rStyle w:val="IndexLink"/>
              </w:rPr>
              <w:t>381</w:t>
            </w:r>
          </w:hyperlink>
        </w:p>
        <w:p>
          <w:pPr>
            <w:pStyle w:val="Contents5"/>
            <w:tabs>
              <w:tab w:val="clear" w:pos="7892"/>
              <w:tab w:val="right" w:pos="9026" w:leader="dot"/>
            </w:tabs>
            <w:rPr/>
          </w:pPr>
          <w:hyperlink w:anchor="__RefHeading___Toc606382_1934241801">
            <w:r>
              <w:rPr>
                <w:webHidden/>
                <w:rStyle w:val="IndexLink"/>
                <w:rtl w:val="true"/>
              </w:rPr>
              <w:t>«</w:t>
            </w:r>
            <w:r>
              <w:rPr>
                <w:rStyle w:val="IndexLink"/>
              </w:rPr>
              <w:t>31</w:t>
            </w:r>
            <w:r>
              <w:rPr>
                <w:rStyle w:val="IndexLink"/>
                <w:rtl w:val="true"/>
              </w:rPr>
              <w:t>»</w:t>
              <w:tab/>
            </w:r>
            <w:r>
              <w:rPr>
                <w:rStyle w:val="IndexLink"/>
              </w:rPr>
              <w:t>381</w:t>
            </w:r>
          </w:hyperlink>
        </w:p>
        <w:p>
          <w:pPr>
            <w:pStyle w:val="Contents5"/>
            <w:tabs>
              <w:tab w:val="clear" w:pos="7892"/>
              <w:tab w:val="right" w:pos="9026" w:leader="dot"/>
            </w:tabs>
            <w:rPr/>
          </w:pPr>
          <w:hyperlink w:anchor="__RefHeading___Toc606384_1934241801">
            <w:r>
              <w:rPr>
                <w:webHidden/>
                <w:rStyle w:val="IndexLink"/>
                <w:rtl w:val="true"/>
              </w:rPr>
              <w:t>«</w:t>
            </w:r>
            <w:r>
              <w:rPr>
                <w:rStyle w:val="IndexLink"/>
              </w:rPr>
              <w:t>32</w:t>
            </w:r>
            <w:r>
              <w:rPr>
                <w:rStyle w:val="IndexLink"/>
                <w:rtl w:val="true"/>
              </w:rPr>
              <w:t>»</w:t>
              <w:tab/>
            </w:r>
            <w:r>
              <w:rPr>
                <w:rStyle w:val="IndexLink"/>
              </w:rPr>
              <w:t>381</w:t>
            </w:r>
          </w:hyperlink>
        </w:p>
        <w:p>
          <w:pPr>
            <w:pStyle w:val="Contents5"/>
            <w:tabs>
              <w:tab w:val="clear" w:pos="7892"/>
              <w:tab w:val="right" w:pos="9026" w:leader="dot"/>
            </w:tabs>
            <w:rPr/>
          </w:pPr>
          <w:hyperlink w:anchor="__RefHeading___Toc606386_1934241801">
            <w:r>
              <w:rPr>
                <w:webHidden/>
                <w:rStyle w:val="IndexLink"/>
                <w:rtl w:val="true"/>
              </w:rPr>
              <w:t>توضیح</w:t>
            </w:r>
            <w:r>
              <w:rPr>
                <w:rStyle w:val="IndexLink"/>
                <w:rtl w:val="true"/>
              </w:rPr>
              <w:tab/>
            </w:r>
            <w:r>
              <w:rPr>
                <w:rStyle w:val="IndexLink"/>
              </w:rPr>
              <w:t>381</w:t>
            </w:r>
          </w:hyperlink>
        </w:p>
        <w:p>
          <w:pPr>
            <w:pStyle w:val="Contents5"/>
            <w:tabs>
              <w:tab w:val="clear" w:pos="7892"/>
              <w:tab w:val="right" w:pos="9026" w:leader="dot"/>
            </w:tabs>
            <w:rPr/>
          </w:pPr>
          <w:hyperlink w:anchor="__RefHeading___Toc606388_1934241801">
            <w:r>
              <w:rPr>
                <w:webHidden/>
                <w:rStyle w:val="IndexLink"/>
                <w:rtl w:val="true"/>
              </w:rPr>
              <w:t xml:space="preserve">روایت </w:t>
            </w:r>
            <w:r>
              <w:rPr>
                <w:rStyle w:val="IndexLink"/>
              </w:rPr>
              <w:t>30</w:t>
            </w:r>
            <w:r>
              <w:rPr>
                <w:rStyle w:val="IndexLink"/>
                <w:rtl w:val="true"/>
              </w:rPr>
              <w:tab/>
            </w:r>
            <w:r>
              <w:rPr>
                <w:rStyle w:val="IndexLink"/>
              </w:rPr>
              <w:t>382</w:t>
            </w:r>
          </w:hyperlink>
        </w:p>
        <w:p>
          <w:pPr>
            <w:pStyle w:val="Contents5"/>
            <w:tabs>
              <w:tab w:val="clear" w:pos="7892"/>
              <w:tab w:val="right" w:pos="9026" w:leader="dot"/>
            </w:tabs>
            <w:rPr/>
          </w:pPr>
          <w:hyperlink w:anchor="__RefHeading___Toc606390_1934241801">
            <w:r>
              <w:rPr>
                <w:webHidden/>
                <w:rStyle w:val="IndexLink"/>
                <w:rtl w:val="true"/>
              </w:rPr>
              <w:t xml:space="preserve">روایت </w:t>
            </w:r>
            <w:r>
              <w:rPr>
                <w:rStyle w:val="IndexLink"/>
              </w:rPr>
              <w:t>31</w:t>
            </w:r>
            <w:r>
              <w:rPr>
                <w:rStyle w:val="IndexLink"/>
                <w:rtl w:val="true"/>
              </w:rPr>
              <w:tab/>
            </w:r>
            <w:r>
              <w:rPr>
                <w:rStyle w:val="IndexLink"/>
              </w:rPr>
              <w:t>382</w:t>
            </w:r>
          </w:hyperlink>
        </w:p>
        <w:p>
          <w:pPr>
            <w:pStyle w:val="Contents5"/>
            <w:tabs>
              <w:tab w:val="clear" w:pos="7892"/>
              <w:tab w:val="right" w:pos="9026" w:leader="dot"/>
            </w:tabs>
            <w:rPr/>
          </w:pPr>
          <w:hyperlink w:anchor="__RefHeading___Toc606392_1934241801">
            <w:r>
              <w:rPr>
                <w:webHidden/>
                <w:rStyle w:val="IndexLink"/>
                <w:rtl w:val="true"/>
              </w:rPr>
              <w:t xml:space="preserve">روایت </w:t>
            </w:r>
            <w:r>
              <w:rPr>
                <w:rStyle w:val="IndexLink"/>
              </w:rPr>
              <w:t>32</w:t>
            </w:r>
            <w:r>
              <w:rPr>
                <w:rStyle w:val="IndexLink"/>
                <w:rtl w:val="true"/>
              </w:rPr>
              <w:tab/>
            </w:r>
            <w:r>
              <w:rPr>
                <w:rStyle w:val="IndexLink"/>
              </w:rPr>
              <w:t>382</w:t>
            </w:r>
          </w:hyperlink>
        </w:p>
        <w:p>
          <w:pPr>
            <w:pStyle w:val="Contents5"/>
            <w:tabs>
              <w:tab w:val="clear" w:pos="7892"/>
              <w:tab w:val="right" w:pos="9026" w:leader="dot"/>
            </w:tabs>
            <w:rPr/>
          </w:pPr>
          <w:hyperlink w:anchor="__RefHeading___Toc606394_1934241801">
            <w:r>
              <w:rPr>
                <w:webHidden/>
                <w:rStyle w:val="IndexLink"/>
                <w:rtl w:val="true"/>
              </w:rPr>
              <w:t>«</w:t>
            </w:r>
            <w:r>
              <w:rPr>
                <w:rStyle w:val="IndexLink"/>
              </w:rPr>
              <w:t>33</w:t>
            </w:r>
            <w:r>
              <w:rPr>
                <w:rStyle w:val="IndexLink"/>
                <w:rtl w:val="true"/>
              </w:rPr>
              <w:t>»</w:t>
              <w:tab/>
            </w:r>
            <w:r>
              <w:rPr>
                <w:rStyle w:val="IndexLink"/>
              </w:rPr>
              <w:t>383</w:t>
            </w:r>
          </w:hyperlink>
        </w:p>
        <w:p>
          <w:pPr>
            <w:pStyle w:val="Contents5"/>
            <w:tabs>
              <w:tab w:val="clear" w:pos="7892"/>
              <w:tab w:val="right" w:pos="9026" w:leader="dot"/>
            </w:tabs>
            <w:rPr/>
          </w:pPr>
          <w:hyperlink w:anchor="__RefHeading___Toc606396_1934241801">
            <w:r>
              <w:rPr>
                <w:webHidden/>
                <w:rStyle w:val="IndexLink"/>
                <w:rtl w:val="true"/>
              </w:rPr>
              <w:t>«</w:t>
            </w:r>
            <w:r>
              <w:rPr>
                <w:rStyle w:val="IndexLink"/>
              </w:rPr>
              <w:t>34</w:t>
            </w:r>
            <w:r>
              <w:rPr>
                <w:rStyle w:val="IndexLink"/>
                <w:rtl w:val="true"/>
              </w:rPr>
              <w:t>»</w:t>
              <w:tab/>
            </w:r>
            <w:r>
              <w:rPr>
                <w:rStyle w:val="IndexLink"/>
              </w:rPr>
              <w:t>383</w:t>
            </w:r>
          </w:hyperlink>
        </w:p>
        <w:p>
          <w:pPr>
            <w:pStyle w:val="Contents5"/>
            <w:tabs>
              <w:tab w:val="clear" w:pos="7892"/>
              <w:tab w:val="right" w:pos="9026" w:leader="dot"/>
            </w:tabs>
            <w:rPr/>
          </w:pPr>
          <w:hyperlink w:anchor="__RefHeading___Toc606398_1934241801">
            <w:r>
              <w:rPr>
                <w:webHidden/>
                <w:rStyle w:val="IndexLink"/>
                <w:rtl w:val="true"/>
              </w:rPr>
              <w:t>توضيح</w:t>
            </w:r>
            <w:r>
              <w:rPr>
                <w:rStyle w:val="IndexLink"/>
                <w:rtl w:val="true"/>
              </w:rPr>
              <w:tab/>
            </w:r>
            <w:r>
              <w:rPr>
                <w:rStyle w:val="IndexLink"/>
              </w:rPr>
              <w:t>383</w:t>
            </w:r>
          </w:hyperlink>
        </w:p>
        <w:p>
          <w:pPr>
            <w:pStyle w:val="Contents5"/>
            <w:tabs>
              <w:tab w:val="clear" w:pos="7892"/>
              <w:tab w:val="right" w:pos="9026" w:leader="dot"/>
            </w:tabs>
            <w:rPr/>
          </w:pPr>
          <w:hyperlink w:anchor="__RefHeading___Toc606400_1934241801">
            <w:r>
              <w:rPr>
                <w:webHidden/>
                <w:rStyle w:val="IndexLink"/>
                <w:rtl w:val="true"/>
              </w:rPr>
              <w:t>«</w:t>
            </w:r>
            <w:r>
              <w:rPr>
                <w:rStyle w:val="IndexLink"/>
              </w:rPr>
              <w:t>35</w:t>
            </w:r>
            <w:r>
              <w:rPr>
                <w:rStyle w:val="IndexLink"/>
                <w:rtl w:val="true"/>
              </w:rPr>
              <w:t>»</w:t>
              <w:tab/>
            </w:r>
            <w:r>
              <w:rPr>
                <w:rStyle w:val="IndexLink"/>
              </w:rPr>
              <w:t>383</w:t>
            </w:r>
          </w:hyperlink>
        </w:p>
        <w:p>
          <w:pPr>
            <w:pStyle w:val="Contents5"/>
            <w:tabs>
              <w:tab w:val="clear" w:pos="7892"/>
              <w:tab w:val="right" w:pos="9026" w:leader="dot"/>
            </w:tabs>
            <w:rPr/>
          </w:pPr>
          <w:hyperlink w:anchor="__RefHeading___Toc606402_1934241801">
            <w:r>
              <w:rPr>
                <w:webHidden/>
                <w:rStyle w:val="IndexLink"/>
                <w:rtl w:val="true"/>
              </w:rPr>
              <w:t xml:space="preserve">روایت </w:t>
            </w:r>
            <w:r>
              <w:rPr>
                <w:rStyle w:val="IndexLink"/>
              </w:rPr>
              <w:t>33</w:t>
            </w:r>
            <w:r>
              <w:rPr>
                <w:rStyle w:val="IndexLink"/>
                <w:rtl w:val="true"/>
              </w:rPr>
              <w:tab/>
            </w:r>
            <w:r>
              <w:rPr>
                <w:rStyle w:val="IndexLink"/>
              </w:rPr>
              <w:t>383</w:t>
            </w:r>
          </w:hyperlink>
        </w:p>
        <w:p>
          <w:pPr>
            <w:pStyle w:val="Contents5"/>
            <w:tabs>
              <w:tab w:val="clear" w:pos="7892"/>
              <w:tab w:val="right" w:pos="9026" w:leader="dot"/>
            </w:tabs>
            <w:rPr/>
          </w:pPr>
          <w:hyperlink w:anchor="__RefHeading___Toc606404_1934241801">
            <w:r>
              <w:rPr>
                <w:webHidden/>
                <w:rStyle w:val="IndexLink"/>
                <w:rtl w:val="true"/>
              </w:rPr>
              <w:t xml:space="preserve">روایت </w:t>
            </w:r>
            <w:r>
              <w:rPr>
                <w:rStyle w:val="IndexLink"/>
              </w:rPr>
              <w:t>34</w:t>
            </w:r>
            <w:r>
              <w:rPr>
                <w:rStyle w:val="IndexLink"/>
                <w:rtl w:val="true"/>
              </w:rPr>
              <w:tab/>
            </w:r>
            <w:r>
              <w:rPr>
                <w:rStyle w:val="IndexLink"/>
              </w:rPr>
              <w:t>383</w:t>
            </w:r>
          </w:hyperlink>
        </w:p>
        <w:p>
          <w:pPr>
            <w:pStyle w:val="Contents5"/>
            <w:tabs>
              <w:tab w:val="clear" w:pos="7892"/>
              <w:tab w:val="right" w:pos="9026" w:leader="dot"/>
            </w:tabs>
            <w:rPr/>
          </w:pPr>
          <w:hyperlink w:anchor="__RefHeading___Toc606406_1934241801">
            <w:r>
              <w:rPr>
                <w:webHidden/>
                <w:rStyle w:val="IndexLink"/>
                <w:rtl w:val="true"/>
              </w:rPr>
              <w:t>توضیح</w:t>
            </w:r>
            <w:r>
              <w:rPr>
                <w:rStyle w:val="IndexLink"/>
                <w:rtl w:val="true"/>
              </w:rPr>
              <w:tab/>
            </w:r>
            <w:r>
              <w:rPr>
                <w:rStyle w:val="IndexLink"/>
              </w:rPr>
              <w:t>383</w:t>
            </w:r>
          </w:hyperlink>
        </w:p>
        <w:p>
          <w:pPr>
            <w:pStyle w:val="Contents5"/>
            <w:tabs>
              <w:tab w:val="clear" w:pos="7892"/>
              <w:tab w:val="right" w:pos="9026" w:leader="dot"/>
            </w:tabs>
            <w:rPr/>
          </w:pPr>
          <w:hyperlink w:anchor="__RefHeading___Toc606408_1934241801">
            <w:r>
              <w:rPr>
                <w:webHidden/>
                <w:rStyle w:val="IndexLink"/>
                <w:rtl w:val="true"/>
              </w:rPr>
              <w:t xml:space="preserve">روایت </w:t>
            </w:r>
            <w:r>
              <w:rPr>
                <w:rStyle w:val="IndexLink"/>
              </w:rPr>
              <w:t>35</w:t>
            </w:r>
            <w:r>
              <w:rPr>
                <w:rStyle w:val="IndexLink"/>
                <w:rtl w:val="true"/>
              </w:rPr>
              <w:tab/>
            </w:r>
            <w:r>
              <w:rPr>
                <w:rStyle w:val="IndexLink"/>
              </w:rPr>
              <w:t>384</w:t>
            </w:r>
          </w:hyperlink>
        </w:p>
        <w:p>
          <w:pPr>
            <w:pStyle w:val="Contents5"/>
            <w:tabs>
              <w:tab w:val="clear" w:pos="7892"/>
              <w:tab w:val="right" w:pos="9026" w:leader="dot"/>
            </w:tabs>
            <w:rPr/>
          </w:pPr>
          <w:hyperlink w:anchor="__RefHeading___Toc606410_1934241801">
            <w:r>
              <w:rPr>
                <w:webHidden/>
                <w:rStyle w:val="IndexLink"/>
                <w:rtl w:val="true"/>
              </w:rPr>
              <w:t>«</w:t>
            </w:r>
            <w:r>
              <w:rPr>
                <w:rStyle w:val="IndexLink"/>
              </w:rPr>
              <w:t>36</w:t>
            </w:r>
            <w:r>
              <w:rPr>
                <w:rStyle w:val="IndexLink"/>
                <w:rtl w:val="true"/>
              </w:rPr>
              <w:t>»</w:t>
              <w:tab/>
            </w:r>
            <w:r>
              <w:rPr>
                <w:rStyle w:val="IndexLink"/>
              </w:rPr>
              <w:t>385</w:t>
            </w:r>
          </w:hyperlink>
        </w:p>
        <w:p>
          <w:pPr>
            <w:pStyle w:val="Contents5"/>
            <w:tabs>
              <w:tab w:val="clear" w:pos="7892"/>
              <w:tab w:val="right" w:pos="9026" w:leader="dot"/>
            </w:tabs>
            <w:rPr/>
          </w:pPr>
          <w:hyperlink w:anchor="__RefHeading___Toc606412_1934241801">
            <w:r>
              <w:rPr>
                <w:webHidden/>
                <w:rStyle w:val="IndexLink"/>
                <w:rtl w:val="true"/>
              </w:rPr>
              <w:t xml:space="preserve">روایت </w:t>
            </w:r>
            <w:r>
              <w:rPr>
                <w:rStyle w:val="IndexLink"/>
              </w:rPr>
              <w:t>36</w:t>
            </w:r>
            <w:r>
              <w:rPr>
                <w:rStyle w:val="IndexLink"/>
                <w:rtl w:val="true"/>
              </w:rPr>
              <w:tab/>
            </w:r>
            <w:r>
              <w:rPr>
                <w:rStyle w:val="IndexLink"/>
              </w:rPr>
              <w:t>386</w:t>
            </w:r>
          </w:hyperlink>
        </w:p>
        <w:p>
          <w:pPr>
            <w:pStyle w:val="Contents5"/>
            <w:tabs>
              <w:tab w:val="clear" w:pos="7892"/>
              <w:tab w:val="right" w:pos="9026" w:leader="dot"/>
            </w:tabs>
            <w:rPr/>
          </w:pPr>
          <w:hyperlink w:anchor="__RefHeading___Toc606414_1934241801">
            <w:r>
              <w:rPr>
                <w:webHidden/>
                <w:rStyle w:val="IndexLink"/>
                <w:rtl w:val="true"/>
              </w:rPr>
              <w:t>«</w:t>
            </w:r>
            <w:r>
              <w:rPr>
                <w:rStyle w:val="IndexLink"/>
              </w:rPr>
              <w:t>37</w:t>
            </w:r>
            <w:r>
              <w:rPr>
                <w:rStyle w:val="IndexLink"/>
                <w:rtl w:val="true"/>
              </w:rPr>
              <w:t>»</w:t>
              <w:tab/>
            </w:r>
            <w:r>
              <w:rPr>
                <w:rStyle w:val="IndexLink"/>
              </w:rPr>
              <w:t>387</w:t>
            </w:r>
          </w:hyperlink>
        </w:p>
        <w:p>
          <w:pPr>
            <w:pStyle w:val="Contents5"/>
            <w:tabs>
              <w:tab w:val="clear" w:pos="7892"/>
              <w:tab w:val="right" w:pos="9026" w:leader="dot"/>
            </w:tabs>
            <w:rPr/>
          </w:pPr>
          <w:hyperlink w:anchor="__RefHeading___Toc606416_1934241801">
            <w:r>
              <w:rPr>
                <w:webHidden/>
                <w:rStyle w:val="IndexLink"/>
                <w:rtl w:val="true"/>
              </w:rPr>
              <w:t>«</w:t>
            </w:r>
            <w:r>
              <w:rPr>
                <w:rStyle w:val="IndexLink"/>
              </w:rPr>
              <w:t>38</w:t>
            </w:r>
            <w:r>
              <w:rPr>
                <w:rStyle w:val="IndexLink"/>
                <w:rtl w:val="true"/>
              </w:rPr>
              <w:t>»</w:t>
              <w:tab/>
            </w:r>
            <w:r>
              <w:rPr>
                <w:rStyle w:val="IndexLink"/>
              </w:rPr>
              <w:t>387</w:t>
            </w:r>
          </w:hyperlink>
        </w:p>
        <w:p>
          <w:pPr>
            <w:pStyle w:val="Contents5"/>
            <w:tabs>
              <w:tab w:val="clear" w:pos="7892"/>
              <w:tab w:val="right" w:pos="9026" w:leader="dot"/>
            </w:tabs>
            <w:rPr/>
          </w:pPr>
          <w:hyperlink w:anchor="__RefHeading___Toc606418_1934241801">
            <w:r>
              <w:rPr>
                <w:webHidden/>
                <w:rStyle w:val="IndexLink"/>
                <w:rtl w:val="true"/>
              </w:rPr>
              <w:t>«</w:t>
            </w:r>
            <w:r>
              <w:rPr>
                <w:rStyle w:val="IndexLink"/>
              </w:rPr>
              <w:t>39</w:t>
            </w:r>
            <w:r>
              <w:rPr>
                <w:rStyle w:val="IndexLink"/>
                <w:rtl w:val="true"/>
              </w:rPr>
              <w:t>»</w:t>
              <w:tab/>
            </w:r>
            <w:r>
              <w:rPr>
                <w:rStyle w:val="IndexLink"/>
              </w:rPr>
              <w:t>387</w:t>
            </w:r>
          </w:hyperlink>
        </w:p>
        <w:p>
          <w:pPr>
            <w:pStyle w:val="Contents5"/>
            <w:tabs>
              <w:tab w:val="clear" w:pos="7892"/>
              <w:tab w:val="right" w:pos="9026" w:leader="dot"/>
            </w:tabs>
            <w:rPr/>
          </w:pPr>
          <w:hyperlink w:anchor="__RefHeading___Toc606420_1934241801">
            <w:r>
              <w:rPr>
                <w:webHidden/>
                <w:rStyle w:val="IndexLink"/>
                <w:rtl w:val="true"/>
              </w:rPr>
              <w:t xml:space="preserve">روایت </w:t>
            </w:r>
            <w:r>
              <w:rPr>
                <w:rStyle w:val="IndexLink"/>
              </w:rPr>
              <w:t>37</w:t>
            </w:r>
            <w:r>
              <w:rPr>
                <w:rStyle w:val="IndexLink"/>
                <w:rtl w:val="true"/>
              </w:rPr>
              <w:tab/>
            </w:r>
            <w:r>
              <w:rPr>
                <w:rStyle w:val="IndexLink"/>
              </w:rPr>
              <w:t>387</w:t>
            </w:r>
          </w:hyperlink>
        </w:p>
        <w:p>
          <w:pPr>
            <w:pStyle w:val="Contents5"/>
            <w:tabs>
              <w:tab w:val="clear" w:pos="7892"/>
              <w:tab w:val="right" w:pos="9026" w:leader="dot"/>
            </w:tabs>
            <w:rPr/>
          </w:pPr>
          <w:hyperlink w:anchor="__RefHeading___Toc606422_1934241801">
            <w:r>
              <w:rPr>
                <w:webHidden/>
                <w:rStyle w:val="IndexLink"/>
                <w:rtl w:val="true"/>
              </w:rPr>
              <w:t xml:space="preserve">روایت </w:t>
            </w:r>
            <w:r>
              <w:rPr>
                <w:rStyle w:val="IndexLink"/>
              </w:rPr>
              <w:t>38</w:t>
            </w:r>
            <w:r>
              <w:rPr>
                <w:rStyle w:val="IndexLink"/>
                <w:rtl w:val="true"/>
              </w:rPr>
              <w:tab/>
            </w:r>
            <w:r>
              <w:rPr>
                <w:rStyle w:val="IndexLink"/>
              </w:rPr>
              <w:t>387</w:t>
            </w:r>
          </w:hyperlink>
        </w:p>
        <w:p>
          <w:pPr>
            <w:pStyle w:val="Contents5"/>
            <w:tabs>
              <w:tab w:val="clear" w:pos="7892"/>
              <w:tab w:val="right" w:pos="9026" w:leader="dot"/>
            </w:tabs>
            <w:rPr/>
          </w:pPr>
          <w:hyperlink w:anchor="__RefHeading___Toc606424_1934241801">
            <w:r>
              <w:rPr>
                <w:webHidden/>
                <w:rStyle w:val="IndexLink"/>
                <w:rtl w:val="true"/>
              </w:rPr>
              <w:t xml:space="preserve">روایت </w:t>
            </w:r>
            <w:r>
              <w:rPr>
                <w:rStyle w:val="IndexLink"/>
              </w:rPr>
              <w:t>39</w:t>
            </w:r>
            <w:r>
              <w:rPr>
                <w:rStyle w:val="IndexLink"/>
                <w:rtl w:val="true"/>
              </w:rPr>
              <w:tab/>
            </w:r>
            <w:r>
              <w:rPr>
                <w:rStyle w:val="IndexLink"/>
              </w:rPr>
              <w:t>388</w:t>
            </w:r>
          </w:hyperlink>
        </w:p>
        <w:p>
          <w:pPr>
            <w:pStyle w:val="Contents5"/>
            <w:tabs>
              <w:tab w:val="clear" w:pos="7892"/>
              <w:tab w:val="right" w:pos="9026" w:leader="dot"/>
            </w:tabs>
            <w:rPr/>
          </w:pPr>
          <w:hyperlink w:anchor="__RefHeading___Toc606426_1934241801">
            <w:r>
              <w:rPr>
                <w:webHidden/>
                <w:rStyle w:val="IndexLink"/>
                <w:rtl w:val="true"/>
              </w:rPr>
              <w:t>«</w:t>
            </w:r>
            <w:r>
              <w:rPr>
                <w:rStyle w:val="IndexLink"/>
              </w:rPr>
              <w:t>40</w:t>
            </w:r>
            <w:r>
              <w:rPr>
                <w:rStyle w:val="IndexLink"/>
                <w:rtl w:val="true"/>
              </w:rPr>
              <w:t>»</w:t>
              <w:tab/>
            </w:r>
            <w:r>
              <w:rPr>
                <w:rStyle w:val="IndexLink"/>
              </w:rPr>
              <w:t>389</w:t>
            </w:r>
          </w:hyperlink>
        </w:p>
        <w:p>
          <w:pPr>
            <w:pStyle w:val="Contents5"/>
            <w:tabs>
              <w:tab w:val="clear" w:pos="7892"/>
              <w:tab w:val="right" w:pos="9026" w:leader="dot"/>
            </w:tabs>
            <w:rPr/>
          </w:pPr>
          <w:hyperlink w:anchor="__RefHeading___Toc606428_1934241801">
            <w:r>
              <w:rPr>
                <w:webHidden/>
                <w:rStyle w:val="IndexLink"/>
                <w:rtl w:val="true"/>
              </w:rPr>
              <w:t>«</w:t>
            </w:r>
            <w:r>
              <w:rPr>
                <w:rStyle w:val="IndexLink"/>
              </w:rPr>
              <w:t>41</w:t>
            </w:r>
            <w:r>
              <w:rPr>
                <w:rStyle w:val="IndexLink"/>
                <w:rtl w:val="true"/>
              </w:rPr>
              <w:t>»</w:t>
              <w:tab/>
            </w:r>
            <w:r>
              <w:rPr>
                <w:rStyle w:val="IndexLink"/>
              </w:rPr>
              <w:t>389</w:t>
            </w:r>
          </w:hyperlink>
        </w:p>
        <w:p>
          <w:pPr>
            <w:pStyle w:val="Contents5"/>
            <w:tabs>
              <w:tab w:val="clear" w:pos="7892"/>
              <w:tab w:val="right" w:pos="9026" w:leader="dot"/>
            </w:tabs>
            <w:rPr/>
          </w:pPr>
          <w:hyperlink w:anchor="__RefHeading___Toc606430_1934241801">
            <w:r>
              <w:rPr>
                <w:webHidden/>
                <w:rStyle w:val="IndexLink"/>
                <w:rtl w:val="true"/>
              </w:rPr>
              <w:t>«</w:t>
            </w:r>
            <w:r>
              <w:rPr>
                <w:rStyle w:val="IndexLink"/>
              </w:rPr>
              <w:t>42</w:t>
            </w:r>
            <w:r>
              <w:rPr>
                <w:rStyle w:val="IndexLink"/>
                <w:rtl w:val="true"/>
              </w:rPr>
              <w:t>»</w:t>
              <w:tab/>
            </w:r>
            <w:r>
              <w:rPr>
                <w:rStyle w:val="IndexLink"/>
              </w:rPr>
              <w:t>389</w:t>
            </w:r>
          </w:hyperlink>
        </w:p>
        <w:p>
          <w:pPr>
            <w:pStyle w:val="Contents5"/>
            <w:tabs>
              <w:tab w:val="clear" w:pos="7892"/>
              <w:tab w:val="right" w:pos="9026" w:leader="dot"/>
            </w:tabs>
            <w:rPr/>
          </w:pPr>
          <w:hyperlink w:anchor="__RefHeading___Toc606432_1934241801">
            <w:r>
              <w:rPr>
                <w:webHidden/>
                <w:rStyle w:val="IndexLink"/>
                <w:rtl w:val="true"/>
              </w:rPr>
              <w:t>«</w:t>
            </w:r>
            <w:r>
              <w:rPr>
                <w:rStyle w:val="IndexLink"/>
              </w:rPr>
              <w:t>43</w:t>
            </w:r>
            <w:r>
              <w:rPr>
                <w:rStyle w:val="IndexLink"/>
                <w:rtl w:val="true"/>
              </w:rPr>
              <w:t>»</w:t>
              <w:tab/>
            </w:r>
            <w:r>
              <w:rPr>
                <w:rStyle w:val="IndexLink"/>
              </w:rPr>
              <w:t>389</w:t>
            </w:r>
          </w:hyperlink>
        </w:p>
        <w:p>
          <w:pPr>
            <w:pStyle w:val="Contents5"/>
            <w:tabs>
              <w:tab w:val="clear" w:pos="7892"/>
              <w:tab w:val="right" w:pos="9026" w:leader="dot"/>
            </w:tabs>
            <w:rPr/>
          </w:pPr>
          <w:hyperlink w:anchor="__RefHeading___Toc606434_1934241801">
            <w:r>
              <w:rPr>
                <w:webHidden/>
                <w:rStyle w:val="IndexLink"/>
                <w:rtl w:val="true"/>
              </w:rPr>
              <w:t xml:space="preserve">روایت </w:t>
            </w:r>
            <w:r>
              <w:rPr>
                <w:rStyle w:val="IndexLink"/>
              </w:rPr>
              <w:t>40</w:t>
            </w:r>
            <w:r>
              <w:rPr>
                <w:rStyle w:val="IndexLink"/>
                <w:rtl w:val="true"/>
              </w:rPr>
              <w:tab/>
            </w:r>
            <w:r>
              <w:rPr>
                <w:rStyle w:val="IndexLink"/>
              </w:rPr>
              <w:t>389</w:t>
            </w:r>
          </w:hyperlink>
        </w:p>
        <w:p>
          <w:pPr>
            <w:pStyle w:val="Contents5"/>
            <w:tabs>
              <w:tab w:val="clear" w:pos="7892"/>
              <w:tab w:val="right" w:pos="9026" w:leader="dot"/>
            </w:tabs>
            <w:rPr/>
          </w:pPr>
          <w:hyperlink w:anchor="__RefHeading___Toc606436_1934241801">
            <w:r>
              <w:rPr>
                <w:webHidden/>
                <w:rStyle w:val="IndexLink"/>
                <w:rtl w:val="true"/>
              </w:rPr>
              <w:t xml:space="preserve">روایت </w:t>
            </w:r>
            <w:r>
              <w:rPr>
                <w:rStyle w:val="IndexLink"/>
              </w:rPr>
              <w:t>41</w:t>
            </w:r>
            <w:r>
              <w:rPr>
                <w:rStyle w:val="IndexLink"/>
                <w:rtl w:val="true"/>
              </w:rPr>
              <w:tab/>
            </w:r>
            <w:r>
              <w:rPr>
                <w:rStyle w:val="IndexLink"/>
              </w:rPr>
              <w:t>389</w:t>
            </w:r>
          </w:hyperlink>
        </w:p>
        <w:p>
          <w:pPr>
            <w:pStyle w:val="Contents5"/>
            <w:tabs>
              <w:tab w:val="clear" w:pos="7892"/>
              <w:tab w:val="right" w:pos="9026" w:leader="dot"/>
            </w:tabs>
            <w:rPr/>
          </w:pPr>
          <w:hyperlink w:anchor="__RefHeading___Toc606438_1934241801">
            <w:r>
              <w:rPr>
                <w:webHidden/>
                <w:rStyle w:val="IndexLink"/>
                <w:rtl w:val="true"/>
              </w:rPr>
              <w:t xml:space="preserve">روایت </w:t>
            </w:r>
            <w:r>
              <w:rPr>
                <w:rStyle w:val="IndexLink"/>
              </w:rPr>
              <w:t>42</w:t>
            </w:r>
            <w:r>
              <w:rPr>
                <w:rStyle w:val="IndexLink"/>
                <w:rtl w:val="true"/>
              </w:rPr>
              <w:tab/>
            </w:r>
            <w:r>
              <w:rPr>
                <w:rStyle w:val="IndexLink"/>
              </w:rPr>
              <w:t>390</w:t>
            </w:r>
          </w:hyperlink>
        </w:p>
        <w:p>
          <w:pPr>
            <w:pStyle w:val="Contents5"/>
            <w:tabs>
              <w:tab w:val="clear" w:pos="7892"/>
              <w:tab w:val="right" w:pos="9026" w:leader="dot"/>
            </w:tabs>
            <w:rPr/>
          </w:pPr>
          <w:hyperlink w:anchor="__RefHeading___Toc606440_1934241801">
            <w:r>
              <w:rPr>
                <w:webHidden/>
                <w:rStyle w:val="IndexLink"/>
                <w:rtl w:val="true"/>
              </w:rPr>
              <w:t xml:space="preserve">روایت </w:t>
            </w:r>
            <w:r>
              <w:rPr>
                <w:rStyle w:val="IndexLink"/>
              </w:rPr>
              <w:t>43</w:t>
            </w:r>
            <w:r>
              <w:rPr>
                <w:rStyle w:val="IndexLink"/>
                <w:rtl w:val="true"/>
              </w:rPr>
              <w:tab/>
            </w:r>
            <w:r>
              <w:rPr>
                <w:rStyle w:val="IndexLink"/>
              </w:rPr>
              <w:t>390</w:t>
            </w:r>
          </w:hyperlink>
        </w:p>
        <w:p>
          <w:pPr>
            <w:pStyle w:val="Contents5"/>
            <w:tabs>
              <w:tab w:val="clear" w:pos="7892"/>
              <w:tab w:val="right" w:pos="9026" w:leader="dot"/>
            </w:tabs>
            <w:rPr/>
          </w:pPr>
          <w:hyperlink w:anchor="__RefHeading___Toc606442_1934241801">
            <w:r>
              <w:rPr>
                <w:webHidden/>
                <w:rStyle w:val="IndexLink"/>
                <w:rtl w:val="true"/>
              </w:rPr>
              <w:t>«</w:t>
            </w:r>
            <w:r>
              <w:rPr>
                <w:rStyle w:val="IndexLink"/>
              </w:rPr>
              <w:t>44</w:t>
            </w:r>
            <w:r>
              <w:rPr>
                <w:rStyle w:val="IndexLink"/>
                <w:rtl w:val="true"/>
              </w:rPr>
              <w:t>»</w:t>
              <w:tab/>
            </w:r>
            <w:r>
              <w:rPr>
                <w:rStyle w:val="IndexLink"/>
              </w:rPr>
              <w:t>391</w:t>
            </w:r>
          </w:hyperlink>
        </w:p>
        <w:p>
          <w:pPr>
            <w:pStyle w:val="Contents5"/>
            <w:tabs>
              <w:tab w:val="clear" w:pos="7892"/>
              <w:tab w:val="right" w:pos="9026" w:leader="dot"/>
            </w:tabs>
            <w:rPr/>
          </w:pPr>
          <w:hyperlink w:anchor="__RefHeading___Toc606444_1934241801">
            <w:r>
              <w:rPr>
                <w:webHidden/>
                <w:rStyle w:val="IndexLink"/>
                <w:rtl w:val="true"/>
              </w:rPr>
              <w:t>«</w:t>
            </w:r>
            <w:r>
              <w:rPr>
                <w:rStyle w:val="IndexLink"/>
              </w:rPr>
              <w:t>45</w:t>
            </w:r>
            <w:r>
              <w:rPr>
                <w:rStyle w:val="IndexLink"/>
                <w:rtl w:val="true"/>
              </w:rPr>
              <w:t>»</w:t>
              <w:tab/>
            </w:r>
            <w:r>
              <w:rPr>
                <w:rStyle w:val="IndexLink"/>
              </w:rPr>
              <w:t>391</w:t>
            </w:r>
          </w:hyperlink>
        </w:p>
        <w:p>
          <w:pPr>
            <w:pStyle w:val="Contents5"/>
            <w:tabs>
              <w:tab w:val="clear" w:pos="7892"/>
              <w:tab w:val="right" w:pos="9026" w:leader="dot"/>
            </w:tabs>
            <w:rPr/>
          </w:pPr>
          <w:hyperlink w:anchor="__RefHeading___Toc606446_1934241801">
            <w:r>
              <w:rPr>
                <w:webHidden/>
                <w:rStyle w:val="IndexLink"/>
                <w:rtl w:val="true"/>
              </w:rPr>
              <w:t xml:space="preserve">روایت </w:t>
            </w:r>
            <w:r>
              <w:rPr>
                <w:rStyle w:val="IndexLink"/>
              </w:rPr>
              <w:t>44</w:t>
            </w:r>
            <w:r>
              <w:rPr>
                <w:rStyle w:val="IndexLink"/>
                <w:rtl w:val="true"/>
              </w:rPr>
              <w:tab/>
            </w:r>
            <w:r>
              <w:rPr>
                <w:rStyle w:val="IndexLink"/>
              </w:rPr>
              <w:t>391</w:t>
            </w:r>
          </w:hyperlink>
        </w:p>
        <w:p>
          <w:pPr>
            <w:pStyle w:val="Contents5"/>
            <w:tabs>
              <w:tab w:val="clear" w:pos="7892"/>
              <w:tab w:val="right" w:pos="9026" w:leader="dot"/>
            </w:tabs>
            <w:rPr/>
          </w:pPr>
          <w:hyperlink w:anchor="__RefHeading___Toc606448_1934241801">
            <w:r>
              <w:rPr>
                <w:webHidden/>
                <w:rStyle w:val="IndexLink"/>
                <w:rtl w:val="true"/>
              </w:rPr>
              <w:t xml:space="preserve">روایت </w:t>
            </w:r>
            <w:r>
              <w:rPr>
                <w:rStyle w:val="IndexLink"/>
              </w:rPr>
              <w:t>45</w:t>
            </w:r>
            <w:r>
              <w:rPr>
                <w:rStyle w:val="IndexLink"/>
                <w:rtl w:val="true"/>
              </w:rPr>
              <w:tab/>
            </w:r>
            <w:r>
              <w:rPr>
                <w:rStyle w:val="IndexLink"/>
              </w:rPr>
              <w:t>392</w:t>
            </w:r>
          </w:hyperlink>
        </w:p>
        <w:p>
          <w:pPr>
            <w:pStyle w:val="Contents5"/>
            <w:tabs>
              <w:tab w:val="clear" w:pos="7892"/>
              <w:tab w:val="right" w:pos="9026" w:leader="dot"/>
            </w:tabs>
            <w:rPr/>
          </w:pPr>
          <w:hyperlink w:anchor="__RefHeading___Toc606450_1934241801">
            <w:r>
              <w:rPr>
                <w:webHidden/>
                <w:rStyle w:val="IndexLink"/>
                <w:rtl w:val="true"/>
              </w:rPr>
              <w:t>توضيح</w:t>
            </w:r>
            <w:r>
              <w:rPr>
                <w:rStyle w:val="IndexLink"/>
                <w:rtl w:val="true"/>
              </w:rPr>
              <w:tab/>
            </w:r>
            <w:r>
              <w:rPr>
                <w:rStyle w:val="IndexLink"/>
              </w:rPr>
              <w:t>395</w:t>
            </w:r>
          </w:hyperlink>
        </w:p>
        <w:p>
          <w:pPr>
            <w:pStyle w:val="Contents5"/>
            <w:tabs>
              <w:tab w:val="clear" w:pos="7892"/>
              <w:tab w:val="right" w:pos="9026" w:leader="dot"/>
            </w:tabs>
            <w:rPr/>
          </w:pPr>
          <w:hyperlink w:anchor="__RefHeading___Toc606452_1934241801">
            <w:r>
              <w:rPr>
                <w:webHidden/>
                <w:rStyle w:val="IndexLink"/>
                <w:rtl w:val="true"/>
              </w:rPr>
              <w:t>«</w:t>
            </w:r>
            <w:r>
              <w:rPr>
                <w:rStyle w:val="IndexLink"/>
              </w:rPr>
              <w:t>46</w:t>
            </w:r>
            <w:r>
              <w:rPr>
                <w:rStyle w:val="IndexLink"/>
                <w:rtl w:val="true"/>
              </w:rPr>
              <w:t>»</w:t>
              <w:tab/>
            </w:r>
            <w:r>
              <w:rPr>
                <w:rStyle w:val="IndexLink"/>
              </w:rPr>
              <w:t>395</w:t>
            </w:r>
          </w:hyperlink>
        </w:p>
        <w:p>
          <w:pPr>
            <w:pStyle w:val="Contents5"/>
            <w:tabs>
              <w:tab w:val="clear" w:pos="7892"/>
              <w:tab w:val="right" w:pos="9026" w:leader="dot"/>
            </w:tabs>
            <w:rPr/>
          </w:pPr>
          <w:hyperlink w:anchor="__RefHeading___Toc606454_1934241801">
            <w:r>
              <w:rPr>
                <w:webHidden/>
                <w:rStyle w:val="IndexLink"/>
                <w:rtl w:val="true"/>
              </w:rPr>
              <w:t>توضیح</w:t>
            </w:r>
            <w:r>
              <w:rPr>
                <w:rStyle w:val="IndexLink"/>
                <w:rtl w:val="true"/>
              </w:rPr>
              <w:tab/>
            </w:r>
            <w:r>
              <w:rPr>
                <w:rStyle w:val="IndexLink"/>
              </w:rPr>
              <w:t>395</w:t>
            </w:r>
          </w:hyperlink>
        </w:p>
        <w:p>
          <w:pPr>
            <w:pStyle w:val="Contents5"/>
            <w:tabs>
              <w:tab w:val="clear" w:pos="7892"/>
              <w:tab w:val="right" w:pos="9026" w:leader="dot"/>
            </w:tabs>
            <w:rPr/>
          </w:pPr>
          <w:hyperlink w:anchor="__RefHeading___Toc606456_1934241801">
            <w:r>
              <w:rPr>
                <w:webHidden/>
                <w:rStyle w:val="IndexLink"/>
                <w:rtl w:val="true"/>
              </w:rPr>
              <w:t xml:space="preserve">روایت </w:t>
            </w:r>
            <w:r>
              <w:rPr>
                <w:rStyle w:val="IndexLink"/>
              </w:rPr>
              <w:t>46</w:t>
            </w:r>
            <w:r>
              <w:rPr>
                <w:rStyle w:val="IndexLink"/>
                <w:rtl w:val="true"/>
              </w:rPr>
              <w:tab/>
            </w:r>
            <w:r>
              <w:rPr>
                <w:rStyle w:val="IndexLink"/>
              </w:rPr>
              <w:t>396</w:t>
            </w:r>
          </w:hyperlink>
        </w:p>
        <w:p>
          <w:pPr>
            <w:pStyle w:val="Contents5"/>
            <w:tabs>
              <w:tab w:val="clear" w:pos="7892"/>
              <w:tab w:val="right" w:pos="9026" w:leader="dot"/>
            </w:tabs>
            <w:rPr/>
          </w:pPr>
          <w:hyperlink w:anchor="__RefHeading___Toc606458_1934241801">
            <w:r>
              <w:rPr>
                <w:webHidden/>
                <w:rStyle w:val="IndexLink"/>
                <w:rtl w:val="true"/>
              </w:rPr>
              <w:t>بيان</w:t>
            </w:r>
            <w:r>
              <w:rPr>
                <w:rStyle w:val="IndexLink"/>
                <w:rtl w:val="true"/>
              </w:rPr>
              <w:tab/>
            </w:r>
            <w:r>
              <w:rPr>
                <w:rStyle w:val="IndexLink"/>
              </w:rPr>
              <w:t>397</w:t>
            </w:r>
          </w:hyperlink>
        </w:p>
        <w:p>
          <w:pPr>
            <w:pStyle w:val="Contents5"/>
            <w:tabs>
              <w:tab w:val="clear" w:pos="7892"/>
              <w:tab w:val="right" w:pos="9026" w:leader="dot"/>
            </w:tabs>
            <w:rPr/>
          </w:pPr>
          <w:hyperlink w:anchor="__RefHeading___Toc606460_1934241801">
            <w:r>
              <w:rPr>
                <w:webHidden/>
                <w:rStyle w:val="IndexLink"/>
                <w:rtl w:val="true"/>
              </w:rPr>
              <w:t>«</w:t>
            </w:r>
            <w:r>
              <w:rPr>
                <w:rStyle w:val="IndexLink"/>
              </w:rPr>
              <w:t>47</w:t>
            </w:r>
            <w:r>
              <w:rPr>
                <w:rStyle w:val="IndexLink"/>
                <w:rtl w:val="true"/>
              </w:rPr>
              <w:t>»</w:t>
              <w:tab/>
            </w:r>
            <w:r>
              <w:rPr>
                <w:rStyle w:val="IndexLink"/>
              </w:rPr>
              <w:t>397</w:t>
            </w:r>
          </w:hyperlink>
        </w:p>
        <w:p>
          <w:pPr>
            <w:pStyle w:val="Contents5"/>
            <w:tabs>
              <w:tab w:val="clear" w:pos="7892"/>
              <w:tab w:val="right" w:pos="9026" w:leader="dot"/>
            </w:tabs>
            <w:rPr/>
          </w:pPr>
          <w:hyperlink w:anchor="__RefHeading___Toc606462_1934241801">
            <w:r>
              <w:rPr>
                <w:webHidden/>
                <w:rStyle w:val="IndexLink"/>
                <w:rtl w:val="true"/>
              </w:rPr>
              <w:t>توضیح</w:t>
            </w:r>
            <w:r>
              <w:rPr>
                <w:rStyle w:val="IndexLink"/>
                <w:rtl w:val="true"/>
              </w:rPr>
              <w:tab/>
            </w:r>
            <w:r>
              <w:rPr>
                <w:rStyle w:val="IndexLink"/>
              </w:rPr>
              <w:t>397</w:t>
            </w:r>
          </w:hyperlink>
        </w:p>
        <w:p>
          <w:pPr>
            <w:pStyle w:val="Contents5"/>
            <w:tabs>
              <w:tab w:val="clear" w:pos="7892"/>
              <w:tab w:val="right" w:pos="9026" w:leader="dot"/>
            </w:tabs>
            <w:rPr/>
          </w:pPr>
          <w:hyperlink w:anchor="__RefHeading___Toc606464_1934241801">
            <w:r>
              <w:rPr>
                <w:webHidden/>
                <w:rStyle w:val="IndexLink"/>
                <w:rtl w:val="true"/>
              </w:rPr>
              <w:t xml:space="preserve">روایت </w:t>
            </w:r>
            <w:r>
              <w:rPr>
                <w:rStyle w:val="IndexLink"/>
              </w:rPr>
              <w:t>47</w:t>
            </w:r>
            <w:r>
              <w:rPr>
                <w:rStyle w:val="IndexLink"/>
                <w:rtl w:val="true"/>
              </w:rPr>
              <w:tab/>
            </w:r>
            <w:r>
              <w:rPr>
                <w:rStyle w:val="IndexLink"/>
              </w:rPr>
              <w:t>397</w:t>
            </w:r>
          </w:hyperlink>
        </w:p>
        <w:p>
          <w:pPr>
            <w:pStyle w:val="Contents5"/>
            <w:tabs>
              <w:tab w:val="clear" w:pos="7892"/>
              <w:tab w:val="right" w:pos="9026" w:leader="dot"/>
            </w:tabs>
            <w:rPr/>
          </w:pPr>
          <w:hyperlink w:anchor="__RefHeading___Toc606466_1934241801">
            <w:r>
              <w:rPr>
                <w:webHidden/>
                <w:rStyle w:val="IndexLink"/>
                <w:rtl w:val="true"/>
              </w:rPr>
              <w:t>توضيح</w:t>
            </w:r>
            <w:r>
              <w:rPr>
                <w:rStyle w:val="IndexLink"/>
                <w:rtl w:val="true"/>
              </w:rPr>
              <w:tab/>
            </w:r>
            <w:r>
              <w:rPr>
                <w:rStyle w:val="IndexLink"/>
              </w:rPr>
              <w:t>399</w:t>
            </w:r>
          </w:hyperlink>
        </w:p>
        <w:p>
          <w:pPr>
            <w:pStyle w:val="Contents5"/>
            <w:tabs>
              <w:tab w:val="clear" w:pos="7892"/>
              <w:tab w:val="right" w:pos="9026" w:leader="dot"/>
            </w:tabs>
            <w:rPr/>
          </w:pPr>
          <w:hyperlink w:anchor="__RefHeading___Toc606468_1934241801">
            <w:r>
              <w:rPr>
                <w:webHidden/>
                <w:rStyle w:val="IndexLink"/>
                <w:rtl w:val="true"/>
              </w:rPr>
              <w:t>«</w:t>
            </w:r>
            <w:r>
              <w:rPr>
                <w:rStyle w:val="IndexLink"/>
              </w:rPr>
              <w:t>48</w:t>
            </w:r>
            <w:r>
              <w:rPr>
                <w:rStyle w:val="IndexLink"/>
                <w:rtl w:val="true"/>
              </w:rPr>
              <w:t>»</w:t>
              <w:tab/>
            </w:r>
            <w:r>
              <w:rPr>
                <w:rStyle w:val="IndexLink"/>
              </w:rPr>
              <w:t>399</w:t>
            </w:r>
          </w:hyperlink>
        </w:p>
        <w:p>
          <w:pPr>
            <w:pStyle w:val="Contents5"/>
            <w:tabs>
              <w:tab w:val="clear" w:pos="7892"/>
              <w:tab w:val="right" w:pos="9026" w:leader="dot"/>
            </w:tabs>
            <w:rPr/>
          </w:pPr>
          <w:hyperlink w:anchor="__RefHeading___Toc606470_1934241801">
            <w:r>
              <w:rPr>
                <w:webHidden/>
                <w:rStyle w:val="IndexLink"/>
                <w:rtl w:val="true"/>
              </w:rPr>
              <w:t>بيان</w:t>
            </w:r>
            <w:r>
              <w:rPr>
                <w:rStyle w:val="IndexLink"/>
                <w:rtl w:val="true"/>
              </w:rPr>
              <w:tab/>
            </w:r>
            <w:r>
              <w:rPr>
                <w:rStyle w:val="IndexLink"/>
              </w:rPr>
              <w:t>399</w:t>
            </w:r>
          </w:hyperlink>
        </w:p>
        <w:p>
          <w:pPr>
            <w:pStyle w:val="Contents5"/>
            <w:tabs>
              <w:tab w:val="clear" w:pos="7892"/>
              <w:tab w:val="right" w:pos="9026" w:leader="dot"/>
            </w:tabs>
            <w:rPr/>
          </w:pPr>
          <w:hyperlink w:anchor="__RefHeading___Toc606472_1934241801">
            <w:r>
              <w:rPr>
                <w:webHidden/>
                <w:rStyle w:val="IndexLink"/>
                <w:rtl w:val="true"/>
              </w:rPr>
              <w:t>أقول</w:t>
            </w:r>
            <w:r>
              <w:rPr>
                <w:rStyle w:val="IndexLink"/>
                <w:rtl w:val="true"/>
              </w:rPr>
              <w:tab/>
            </w:r>
            <w:r>
              <w:rPr>
                <w:rStyle w:val="IndexLink"/>
              </w:rPr>
              <w:t>399</w:t>
            </w:r>
          </w:hyperlink>
        </w:p>
        <w:p>
          <w:pPr>
            <w:pStyle w:val="Contents5"/>
            <w:tabs>
              <w:tab w:val="clear" w:pos="7892"/>
              <w:tab w:val="right" w:pos="9026" w:leader="dot"/>
            </w:tabs>
            <w:rPr/>
          </w:pPr>
          <w:hyperlink w:anchor="__RefHeading___Toc606474_1934241801">
            <w:r>
              <w:rPr>
                <w:webHidden/>
                <w:rStyle w:val="IndexLink"/>
                <w:rtl w:val="true"/>
              </w:rPr>
              <w:t>«</w:t>
            </w:r>
            <w:r>
              <w:rPr>
                <w:rStyle w:val="IndexLink"/>
              </w:rPr>
              <w:t>49</w:t>
            </w:r>
            <w:r>
              <w:rPr>
                <w:rStyle w:val="IndexLink"/>
                <w:rtl w:val="true"/>
              </w:rPr>
              <w:t>»</w:t>
              <w:tab/>
            </w:r>
            <w:r>
              <w:rPr>
                <w:rStyle w:val="IndexLink"/>
              </w:rPr>
              <w:t>399</w:t>
            </w:r>
          </w:hyperlink>
        </w:p>
        <w:p>
          <w:pPr>
            <w:pStyle w:val="Contents5"/>
            <w:tabs>
              <w:tab w:val="clear" w:pos="7892"/>
              <w:tab w:val="right" w:pos="9026" w:leader="dot"/>
            </w:tabs>
            <w:rPr/>
          </w:pPr>
          <w:hyperlink w:anchor="__RefHeading___Toc606476_1934241801">
            <w:r>
              <w:rPr>
                <w:webHidden/>
                <w:rStyle w:val="IndexLink"/>
                <w:rtl w:val="true"/>
              </w:rPr>
              <w:t>توضیح</w:t>
            </w:r>
            <w:r>
              <w:rPr>
                <w:rStyle w:val="IndexLink"/>
                <w:rtl w:val="true"/>
              </w:rPr>
              <w:tab/>
            </w:r>
            <w:r>
              <w:rPr>
                <w:rStyle w:val="IndexLink"/>
              </w:rPr>
              <w:t>399</w:t>
            </w:r>
          </w:hyperlink>
        </w:p>
        <w:p>
          <w:pPr>
            <w:pStyle w:val="Contents5"/>
            <w:tabs>
              <w:tab w:val="clear" w:pos="7892"/>
              <w:tab w:val="right" w:pos="9026" w:leader="dot"/>
            </w:tabs>
            <w:rPr/>
          </w:pPr>
          <w:hyperlink w:anchor="__RefHeading___Toc606478_1934241801">
            <w:r>
              <w:rPr>
                <w:webHidden/>
                <w:rStyle w:val="IndexLink"/>
                <w:rtl w:val="true"/>
              </w:rPr>
              <w:t xml:space="preserve">روایت </w:t>
            </w:r>
            <w:r>
              <w:rPr>
                <w:rStyle w:val="IndexLink"/>
              </w:rPr>
              <w:t>48</w:t>
            </w:r>
            <w:r>
              <w:rPr>
                <w:rStyle w:val="IndexLink"/>
                <w:rtl w:val="true"/>
              </w:rPr>
              <w:tab/>
            </w:r>
            <w:r>
              <w:rPr>
                <w:rStyle w:val="IndexLink"/>
              </w:rPr>
              <w:t>399</w:t>
            </w:r>
          </w:hyperlink>
        </w:p>
        <w:p>
          <w:pPr>
            <w:pStyle w:val="Contents5"/>
            <w:tabs>
              <w:tab w:val="clear" w:pos="7892"/>
              <w:tab w:val="right" w:pos="9026" w:leader="dot"/>
            </w:tabs>
            <w:rPr/>
          </w:pPr>
          <w:hyperlink w:anchor="__RefHeading___Toc606480_1934241801">
            <w:r>
              <w:rPr>
                <w:webHidden/>
                <w:rStyle w:val="IndexLink"/>
                <w:rtl w:val="true"/>
              </w:rPr>
              <w:t>توضیح</w:t>
            </w:r>
            <w:r>
              <w:rPr>
                <w:rStyle w:val="IndexLink"/>
                <w:rtl w:val="true"/>
              </w:rPr>
              <w:tab/>
            </w:r>
            <w:r>
              <w:rPr>
                <w:rStyle w:val="IndexLink"/>
              </w:rPr>
              <w:t>400</w:t>
            </w:r>
          </w:hyperlink>
        </w:p>
        <w:p>
          <w:pPr>
            <w:pStyle w:val="Contents5"/>
            <w:tabs>
              <w:tab w:val="clear" w:pos="7892"/>
              <w:tab w:val="right" w:pos="9026" w:leader="dot"/>
            </w:tabs>
            <w:rPr/>
          </w:pPr>
          <w:hyperlink w:anchor="__RefHeading___Toc606482_1934241801">
            <w:r>
              <w:rPr>
                <w:webHidden/>
                <w:rStyle w:val="IndexLink"/>
                <w:rtl w:val="true"/>
              </w:rPr>
              <w:t>می گویم</w:t>
            </w:r>
            <w:r>
              <w:rPr>
                <w:rStyle w:val="IndexLink"/>
                <w:rtl w:val="true"/>
              </w:rPr>
              <w:tab/>
            </w:r>
            <w:r>
              <w:rPr>
                <w:rStyle w:val="IndexLink"/>
              </w:rPr>
              <w:t>400</w:t>
            </w:r>
          </w:hyperlink>
        </w:p>
        <w:p>
          <w:pPr>
            <w:pStyle w:val="Contents5"/>
            <w:tabs>
              <w:tab w:val="clear" w:pos="7892"/>
              <w:tab w:val="right" w:pos="9026" w:leader="dot"/>
            </w:tabs>
            <w:rPr/>
          </w:pPr>
          <w:hyperlink w:anchor="__RefHeading___Toc606484_1934241801">
            <w:r>
              <w:rPr>
                <w:webHidden/>
                <w:rStyle w:val="IndexLink"/>
                <w:rtl w:val="true"/>
              </w:rPr>
              <w:t xml:space="preserve">روایت </w:t>
            </w:r>
            <w:r>
              <w:rPr>
                <w:rStyle w:val="IndexLink"/>
              </w:rPr>
              <w:t>49</w:t>
            </w:r>
            <w:r>
              <w:rPr>
                <w:rStyle w:val="IndexLink"/>
                <w:rtl w:val="true"/>
              </w:rPr>
              <w:tab/>
            </w:r>
            <w:r>
              <w:rPr>
                <w:rStyle w:val="IndexLink"/>
              </w:rPr>
              <w:t>400</w:t>
            </w:r>
          </w:hyperlink>
        </w:p>
        <w:p>
          <w:pPr>
            <w:pStyle w:val="Contents5"/>
            <w:tabs>
              <w:tab w:val="clear" w:pos="7892"/>
              <w:tab w:val="right" w:pos="9026" w:leader="dot"/>
            </w:tabs>
            <w:rPr/>
          </w:pPr>
          <w:hyperlink w:anchor="__RefHeading___Toc606486_1934241801">
            <w:r>
              <w:rPr>
                <w:webHidden/>
                <w:rStyle w:val="IndexLink"/>
                <w:rtl w:val="true"/>
              </w:rPr>
              <w:t>إيضاح</w:t>
            </w:r>
            <w:r>
              <w:rPr>
                <w:rStyle w:val="IndexLink"/>
                <w:rtl w:val="true"/>
              </w:rPr>
              <w:tab/>
            </w:r>
            <w:r>
              <w:rPr>
                <w:rStyle w:val="IndexLink"/>
              </w:rPr>
              <w:t>401</w:t>
            </w:r>
          </w:hyperlink>
        </w:p>
        <w:p>
          <w:pPr>
            <w:pStyle w:val="Contents5"/>
            <w:tabs>
              <w:tab w:val="clear" w:pos="7892"/>
              <w:tab w:val="right" w:pos="9026" w:leader="dot"/>
            </w:tabs>
            <w:rPr/>
          </w:pPr>
          <w:hyperlink w:anchor="__RefHeading___Toc606488_1934241801">
            <w:r>
              <w:rPr>
                <w:webHidden/>
                <w:rStyle w:val="IndexLink"/>
                <w:rtl w:val="true"/>
              </w:rPr>
              <w:t>«</w:t>
            </w:r>
            <w:r>
              <w:rPr>
                <w:rStyle w:val="IndexLink"/>
              </w:rPr>
              <w:t>50</w:t>
            </w:r>
            <w:r>
              <w:rPr>
                <w:rStyle w:val="IndexLink"/>
                <w:rtl w:val="true"/>
              </w:rPr>
              <w:t>»</w:t>
              <w:tab/>
            </w:r>
            <w:r>
              <w:rPr>
                <w:rStyle w:val="IndexLink"/>
              </w:rPr>
              <w:t>401</w:t>
            </w:r>
          </w:hyperlink>
        </w:p>
        <w:p>
          <w:pPr>
            <w:pStyle w:val="Contents5"/>
            <w:tabs>
              <w:tab w:val="clear" w:pos="7892"/>
              <w:tab w:val="right" w:pos="9026" w:leader="dot"/>
            </w:tabs>
            <w:rPr/>
          </w:pPr>
          <w:hyperlink w:anchor="__RefHeading___Toc606490_1934241801">
            <w:r>
              <w:rPr>
                <w:webHidden/>
                <w:rStyle w:val="IndexLink"/>
                <w:rtl w:val="true"/>
              </w:rPr>
              <w:t>بيان</w:t>
            </w:r>
            <w:r>
              <w:rPr>
                <w:rStyle w:val="IndexLink"/>
                <w:rtl w:val="true"/>
              </w:rPr>
              <w:tab/>
            </w:r>
            <w:r>
              <w:rPr>
                <w:rStyle w:val="IndexLink"/>
              </w:rPr>
              <w:t>401</w:t>
            </w:r>
          </w:hyperlink>
        </w:p>
        <w:p>
          <w:pPr>
            <w:pStyle w:val="Contents5"/>
            <w:tabs>
              <w:tab w:val="clear" w:pos="7892"/>
              <w:tab w:val="right" w:pos="9026" w:leader="dot"/>
            </w:tabs>
            <w:rPr/>
          </w:pPr>
          <w:hyperlink w:anchor="__RefHeading___Toc606492_1934241801">
            <w:r>
              <w:rPr>
                <w:webHidden/>
                <w:rStyle w:val="IndexLink"/>
                <w:rtl w:val="true"/>
              </w:rPr>
              <w:t>توضیح</w:t>
            </w:r>
            <w:r>
              <w:rPr>
                <w:rStyle w:val="IndexLink"/>
                <w:rtl w:val="true"/>
              </w:rPr>
              <w:tab/>
            </w:r>
            <w:r>
              <w:rPr>
                <w:rStyle w:val="IndexLink"/>
              </w:rPr>
              <w:t>402</w:t>
            </w:r>
          </w:hyperlink>
        </w:p>
        <w:p>
          <w:pPr>
            <w:pStyle w:val="Contents5"/>
            <w:tabs>
              <w:tab w:val="clear" w:pos="7892"/>
              <w:tab w:val="right" w:pos="9026" w:leader="dot"/>
            </w:tabs>
            <w:rPr/>
          </w:pPr>
          <w:hyperlink w:anchor="__RefHeading___Toc606494_1934241801">
            <w:r>
              <w:rPr>
                <w:webHidden/>
                <w:rStyle w:val="IndexLink"/>
                <w:rtl w:val="true"/>
              </w:rPr>
              <w:t xml:space="preserve">روایت </w:t>
            </w:r>
            <w:r>
              <w:rPr>
                <w:rStyle w:val="IndexLink"/>
              </w:rPr>
              <w:t>50</w:t>
            </w:r>
            <w:r>
              <w:rPr>
                <w:rStyle w:val="IndexLink"/>
                <w:rtl w:val="true"/>
              </w:rPr>
              <w:tab/>
            </w:r>
            <w:r>
              <w:rPr>
                <w:rStyle w:val="IndexLink"/>
              </w:rPr>
              <w:t>402</w:t>
            </w:r>
          </w:hyperlink>
        </w:p>
        <w:p>
          <w:pPr>
            <w:pStyle w:val="Contents5"/>
            <w:tabs>
              <w:tab w:val="clear" w:pos="7892"/>
              <w:tab w:val="right" w:pos="9026" w:leader="dot"/>
            </w:tabs>
            <w:rPr/>
          </w:pPr>
          <w:hyperlink w:anchor="__RefHeading___Toc606496_1934241801">
            <w:r>
              <w:rPr>
                <w:webHidden/>
                <w:rStyle w:val="IndexLink"/>
                <w:rtl w:val="true"/>
              </w:rPr>
              <w:t>توضیح</w:t>
            </w:r>
            <w:r>
              <w:rPr>
                <w:rStyle w:val="IndexLink"/>
                <w:rtl w:val="true"/>
              </w:rPr>
              <w:tab/>
            </w:r>
            <w:r>
              <w:rPr>
                <w:rStyle w:val="IndexLink"/>
              </w:rPr>
              <w:t>402</w:t>
            </w:r>
          </w:hyperlink>
        </w:p>
        <w:p>
          <w:pPr>
            <w:pStyle w:val="Contents5"/>
            <w:tabs>
              <w:tab w:val="clear" w:pos="7892"/>
              <w:tab w:val="right" w:pos="9026" w:leader="dot"/>
            </w:tabs>
            <w:rPr/>
          </w:pPr>
          <w:hyperlink w:anchor="__RefHeading___Toc606498_1934241801">
            <w:r>
              <w:rPr>
                <w:webHidden/>
                <w:rStyle w:val="IndexLink"/>
                <w:rtl w:val="true"/>
              </w:rPr>
              <w:t>توضيح</w:t>
            </w:r>
            <w:r>
              <w:rPr>
                <w:rStyle w:val="IndexLink"/>
                <w:rtl w:val="true"/>
              </w:rPr>
              <w:tab/>
            </w:r>
            <w:r>
              <w:rPr>
                <w:rStyle w:val="IndexLink"/>
              </w:rPr>
              <w:t>405</w:t>
            </w:r>
          </w:hyperlink>
        </w:p>
        <w:p>
          <w:pPr>
            <w:pStyle w:val="Contents5"/>
            <w:tabs>
              <w:tab w:val="clear" w:pos="7892"/>
              <w:tab w:val="right" w:pos="9026" w:leader="dot"/>
            </w:tabs>
            <w:rPr/>
          </w:pPr>
          <w:hyperlink w:anchor="__RefHeading___Toc606500_1934241801">
            <w:r>
              <w:rPr>
                <w:webHidden/>
                <w:rStyle w:val="IndexLink"/>
                <w:rtl w:val="true"/>
              </w:rPr>
              <w:t>«</w:t>
            </w:r>
            <w:r>
              <w:rPr>
                <w:rStyle w:val="IndexLink"/>
              </w:rPr>
              <w:t>51</w:t>
            </w:r>
            <w:r>
              <w:rPr>
                <w:rStyle w:val="IndexLink"/>
                <w:rtl w:val="true"/>
              </w:rPr>
              <w:t>»</w:t>
              <w:tab/>
            </w:r>
            <w:r>
              <w:rPr>
                <w:rStyle w:val="IndexLink"/>
              </w:rPr>
              <w:t>405</w:t>
            </w:r>
          </w:hyperlink>
        </w:p>
        <w:p>
          <w:pPr>
            <w:pStyle w:val="Contents5"/>
            <w:tabs>
              <w:tab w:val="clear" w:pos="7892"/>
              <w:tab w:val="right" w:pos="9026" w:leader="dot"/>
            </w:tabs>
            <w:rPr/>
          </w:pPr>
          <w:hyperlink w:anchor="__RefHeading___Toc606502_1934241801">
            <w:r>
              <w:rPr>
                <w:webHidden/>
                <w:rStyle w:val="IndexLink"/>
                <w:rtl w:val="true"/>
              </w:rPr>
              <w:t>«</w:t>
            </w:r>
            <w:r>
              <w:rPr>
                <w:rStyle w:val="IndexLink"/>
              </w:rPr>
              <w:t>52</w:t>
            </w:r>
            <w:r>
              <w:rPr>
                <w:rStyle w:val="IndexLink"/>
                <w:rtl w:val="true"/>
              </w:rPr>
              <w:t>»</w:t>
              <w:tab/>
            </w:r>
            <w:r>
              <w:rPr>
                <w:rStyle w:val="IndexLink"/>
              </w:rPr>
              <w:t>405</w:t>
            </w:r>
          </w:hyperlink>
        </w:p>
        <w:p>
          <w:pPr>
            <w:pStyle w:val="Contents5"/>
            <w:tabs>
              <w:tab w:val="clear" w:pos="7892"/>
              <w:tab w:val="right" w:pos="9026" w:leader="dot"/>
            </w:tabs>
            <w:rPr/>
          </w:pPr>
          <w:hyperlink w:anchor="__RefHeading___Toc606504_1934241801">
            <w:r>
              <w:rPr>
                <w:webHidden/>
                <w:rStyle w:val="IndexLink"/>
                <w:rtl w:val="true"/>
              </w:rPr>
              <w:t>توضیح</w:t>
            </w:r>
            <w:r>
              <w:rPr>
                <w:rStyle w:val="IndexLink"/>
                <w:rtl w:val="true"/>
              </w:rPr>
              <w:tab/>
            </w:r>
            <w:r>
              <w:rPr>
                <w:rStyle w:val="IndexLink"/>
              </w:rPr>
              <w:t>405</w:t>
            </w:r>
          </w:hyperlink>
        </w:p>
        <w:p>
          <w:pPr>
            <w:pStyle w:val="Contents5"/>
            <w:tabs>
              <w:tab w:val="clear" w:pos="7892"/>
              <w:tab w:val="right" w:pos="9026" w:leader="dot"/>
            </w:tabs>
            <w:rPr/>
          </w:pPr>
          <w:hyperlink w:anchor="__RefHeading___Toc606506_1934241801">
            <w:r>
              <w:rPr>
                <w:webHidden/>
                <w:rStyle w:val="IndexLink"/>
                <w:rtl w:val="true"/>
              </w:rPr>
              <w:t xml:space="preserve">روایت </w:t>
            </w:r>
            <w:r>
              <w:rPr>
                <w:rStyle w:val="IndexLink"/>
              </w:rPr>
              <w:t>51</w:t>
            </w:r>
            <w:r>
              <w:rPr>
                <w:rStyle w:val="IndexLink"/>
                <w:rtl w:val="true"/>
              </w:rPr>
              <w:tab/>
            </w:r>
            <w:r>
              <w:rPr>
                <w:rStyle w:val="IndexLink"/>
              </w:rPr>
              <w:t>405</w:t>
            </w:r>
          </w:hyperlink>
        </w:p>
        <w:p>
          <w:pPr>
            <w:pStyle w:val="Contents5"/>
            <w:tabs>
              <w:tab w:val="clear" w:pos="7892"/>
              <w:tab w:val="right" w:pos="9026" w:leader="dot"/>
            </w:tabs>
            <w:rPr/>
          </w:pPr>
          <w:hyperlink w:anchor="__RefHeading___Toc606508_1934241801">
            <w:r>
              <w:rPr>
                <w:webHidden/>
                <w:rStyle w:val="IndexLink"/>
                <w:rtl w:val="true"/>
              </w:rPr>
              <w:t xml:space="preserve">روایت </w:t>
            </w:r>
            <w:r>
              <w:rPr>
                <w:rStyle w:val="IndexLink"/>
              </w:rPr>
              <w:t>52</w:t>
            </w:r>
            <w:r>
              <w:rPr>
                <w:rStyle w:val="IndexLink"/>
                <w:rtl w:val="true"/>
              </w:rPr>
              <w:tab/>
            </w:r>
            <w:r>
              <w:rPr>
                <w:rStyle w:val="IndexLink"/>
              </w:rPr>
              <w:t>406</w:t>
            </w:r>
          </w:hyperlink>
        </w:p>
        <w:p>
          <w:pPr>
            <w:pStyle w:val="Contents5"/>
            <w:tabs>
              <w:tab w:val="clear" w:pos="7892"/>
              <w:tab w:val="right" w:pos="9026" w:leader="dot"/>
            </w:tabs>
            <w:rPr/>
          </w:pPr>
          <w:hyperlink w:anchor="__RefHeading___Toc606510_1934241801">
            <w:r>
              <w:rPr>
                <w:webHidden/>
                <w:rStyle w:val="IndexLink"/>
                <w:rtl w:val="true"/>
              </w:rPr>
              <w:t>«</w:t>
            </w:r>
            <w:r>
              <w:rPr>
                <w:rStyle w:val="IndexLink"/>
              </w:rPr>
              <w:t>53</w:t>
            </w:r>
            <w:r>
              <w:rPr>
                <w:rStyle w:val="IndexLink"/>
                <w:rtl w:val="true"/>
              </w:rPr>
              <w:t>»</w:t>
              <w:tab/>
            </w:r>
            <w:r>
              <w:rPr>
                <w:rStyle w:val="IndexLink"/>
              </w:rPr>
              <w:t>407</w:t>
            </w:r>
          </w:hyperlink>
        </w:p>
        <w:p>
          <w:pPr>
            <w:pStyle w:val="Contents5"/>
            <w:tabs>
              <w:tab w:val="clear" w:pos="7892"/>
              <w:tab w:val="right" w:pos="9026" w:leader="dot"/>
            </w:tabs>
            <w:rPr/>
          </w:pPr>
          <w:hyperlink w:anchor="__RefHeading___Toc606512_1934241801">
            <w:r>
              <w:rPr>
                <w:webHidden/>
                <w:rStyle w:val="IndexLink"/>
                <w:rtl w:val="true"/>
              </w:rPr>
              <w:t xml:space="preserve">روایت </w:t>
            </w:r>
            <w:r>
              <w:rPr>
                <w:rStyle w:val="IndexLink"/>
              </w:rPr>
              <w:t>53</w:t>
            </w:r>
            <w:r>
              <w:rPr>
                <w:rStyle w:val="IndexLink"/>
                <w:rtl w:val="true"/>
              </w:rPr>
              <w:tab/>
            </w:r>
            <w:r>
              <w:rPr>
                <w:rStyle w:val="IndexLink"/>
              </w:rPr>
              <w:t>408</w:t>
            </w:r>
          </w:hyperlink>
        </w:p>
        <w:p>
          <w:pPr>
            <w:pStyle w:val="Contents5"/>
            <w:tabs>
              <w:tab w:val="clear" w:pos="7892"/>
              <w:tab w:val="right" w:pos="9026" w:leader="dot"/>
            </w:tabs>
            <w:rPr/>
          </w:pPr>
          <w:hyperlink w:anchor="__RefHeading___Toc606514_1934241801">
            <w:r>
              <w:rPr>
                <w:webHidden/>
                <w:rStyle w:val="IndexLink"/>
                <w:rtl w:val="true"/>
              </w:rPr>
              <w:t>توضيح</w:t>
            </w:r>
            <w:r>
              <w:rPr>
                <w:rStyle w:val="IndexLink"/>
                <w:rtl w:val="true"/>
              </w:rPr>
              <w:tab/>
            </w:r>
            <w:r>
              <w:rPr>
                <w:rStyle w:val="IndexLink"/>
              </w:rPr>
              <w:t>411</w:t>
            </w:r>
          </w:hyperlink>
        </w:p>
        <w:p>
          <w:pPr>
            <w:pStyle w:val="Contents5"/>
            <w:tabs>
              <w:tab w:val="clear" w:pos="7892"/>
              <w:tab w:val="right" w:pos="9026" w:leader="dot"/>
            </w:tabs>
            <w:rPr/>
          </w:pPr>
          <w:hyperlink w:anchor="__RefHeading___Toc606516_1934241801">
            <w:r>
              <w:rPr>
                <w:webHidden/>
                <w:rStyle w:val="IndexLink"/>
                <w:rtl w:val="true"/>
              </w:rPr>
              <w:t>أقول</w:t>
            </w:r>
            <w:r>
              <w:rPr>
                <w:rStyle w:val="IndexLink"/>
                <w:rtl w:val="true"/>
              </w:rPr>
              <w:tab/>
            </w:r>
            <w:r>
              <w:rPr>
                <w:rStyle w:val="IndexLink"/>
              </w:rPr>
              <w:t>411</w:t>
            </w:r>
          </w:hyperlink>
        </w:p>
        <w:p>
          <w:pPr>
            <w:pStyle w:val="Contents5"/>
            <w:tabs>
              <w:tab w:val="clear" w:pos="7892"/>
              <w:tab w:val="right" w:pos="9026" w:leader="dot"/>
            </w:tabs>
            <w:rPr/>
          </w:pPr>
          <w:hyperlink w:anchor="__RefHeading___Toc606518_1934241801">
            <w:r>
              <w:rPr>
                <w:webHidden/>
                <w:rStyle w:val="IndexLink"/>
                <w:rtl w:val="true"/>
              </w:rPr>
              <w:t>«</w:t>
            </w:r>
            <w:r>
              <w:rPr>
                <w:rStyle w:val="IndexLink"/>
              </w:rPr>
              <w:t>54</w:t>
            </w:r>
            <w:r>
              <w:rPr>
                <w:rStyle w:val="IndexLink"/>
                <w:rtl w:val="true"/>
              </w:rPr>
              <w:t>»</w:t>
              <w:tab/>
            </w:r>
            <w:r>
              <w:rPr>
                <w:rStyle w:val="IndexLink"/>
              </w:rPr>
              <w:t>411</w:t>
            </w:r>
          </w:hyperlink>
        </w:p>
        <w:p>
          <w:pPr>
            <w:pStyle w:val="Contents5"/>
            <w:tabs>
              <w:tab w:val="clear" w:pos="7892"/>
              <w:tab w:val="right" w:pos="9026" w:leader="dot"/>
            </w:tabs>
            <w:rPr/>
          </w:pPr>
          <w:hyperlink w:anchor="__RefHeading___Toc606520_1934241801">
            <w:r>
              <w:rPr>
                <w:webHidden/>
                <w:rStyle w:val="IndexLink"/>
                <w:rtl w:val="true"/>
              </w:rPr>
              <w:t>توضیح</w:t>
            </w:r>
            <w:r>
              <w:rPr>
                <w:rStyle w:val="IndexLink"/>
                <w:rtl w:val="true"/>
              </w:rPr>
              <w:tab/>
            </w:r>
            <w:r>
              <w:rPr>
                <w:rStyle w:val="IndexLink"/>
              </w:rPr>
              <w:t>412</w:t>
            </w:r>
          </w:hyperlink>
        </w:p>
        <w:p>
          <w:pPr>
            <w:pStyle w:val="Contents5"/>
            <w:tabs>
              <w:tab w:val="clear" w:pos="7892"/>
              <w:tab w:val="right" w:pos="9026" w:leader="dot"/>
            </w:tabs>
            <w:rPr/>
          </w:pPr>
          <w:hyperlink w:anchor="__RefHeading___Toc606522_1934241801">
            <w:r>
              <w:rPr>
                <w:webHidden/>
                <w:rStyle w:val="IndexLink"/>
                <w:rtl w:val="true"/>
              </w:rPr>
              <w:t>می گویم</w:t>
            </w:r>
            <w:r>
              <w:rPr>
                <w:rStyle w:val="IndexLink"/>
                <w:rtl w:val="true"/>
              </w:rPr>
              <w:tab/>
            </w:r>
            <w:r>
              <w:rPr>
                <w:rStyle w:val="IndexLink"/>
              </w:rPr>
              <w:t>412</w:t>
            </w:r>
          </w:hyperlink>
        </w:p>
        <w:p>
          <w:pPr>
            <w:pStyle w:val="Contents5"/>
            <w:tabs>
              <w:tab w:val="clear" w:pos="7892"/>
              <w:tab w:val="right" w:pos="9026" w:leader="dot"/>
            </w:tabs>
            <w:rPr/>
          </w:pPr>
          <w:hyperlink w:anchor="__RefHeading___Toc606524_1934241801">
            <w:r>
              <w:rPr>
                <w:webHidden/>
                <w:rStyle w:val="IndexLink"/>
                <w:rtl w:val="true"/>
              </w:rPr>
              <w:t xml:space="preserve">روایت </w:t>
            </w:r>
            <w:r>
              <w:rPr>
                <w:rStyle w:val="IndexLink"/>
              </w:rPr>
              <w:t>54</w:t>
            </w:r>
            <w:r>
              <w:rPr>
                <w:rStyle w:val="IndexLink"/>
                <w:rtl w:val="true"/>
              </w:rPr>
              <w:tab/>
            </w:r>
            <w:r>
              <w:rPr>
                <w:rStyle w:val="IndexLink"/>
              </w:rPr>
              <w:t>412</w:t>
            </w:r>
          </w:hyperlink>
        </w:p>
        <w:p>
          <w:pPr>
            <w:pStyle w:val="Contents5"/>
            <w:tabs>
              <w:tab w:val="clear" w:pos="7892"/>
              <w:tab w:val="right" w:pos="9026" w:leader="dot"/>
            </w:tabs>
            <w:rPr/>
          </w:pPr>
          <w:hyperlink w:anchor="__RefHeading___Toc606526_1934241801">
            <w:r>
              <w:rPr>
                <w:webHidden/>
                <w:rStyle w:val="IndexLink"/>
                <w:rtl w:val="true"/>
              </w:rPr>
              <w:t>«</w:t>
            </w:r>
            <w:r>
              <w:rPr>
                <w:rStyle w:val="IndexLink"/>
              </w:rPr>
              <w:t>55</w:t>
            </w:r>
            <w:r>
              <w:rPr>
                <w:rStyle w:val="IndexLink"/>
                <w:rtl w:val="true"/>
              </w:rPr>
              <w:t>»</w:t>
              <w:tab/>
            </w:r>
            <w:r>
              <w:rPr>
                <w:rStyle w:val="IndexLink"/>
              </w:rPr>
              <w:t>413</w:t>
            </w:r>
          </w:hyperlink>
        </w:p>
        <w:p>
          <w:pPr>
            <w:pStyle w:val="Contents5"/>
            <w:tabs>
              <w:tab w:val="clear" w:pos="7892"/>
              <w:tab w:val="right" w:pos="9026" w:leader="dot"/>
            </w:tabs>
            <w:rPr/>
          </w:pPr>
          <w:hyperlink w:anchor="__RefHeading___Toc606528_1934241801">
            <w:r>
              <w:rPr>
                <w:webHidden/>
                <w:rStyle w:val="IndexLink"/>
                <w:rtl w:val="true"/>
              </w:rPr>
              <w:t xml:space="preserve">روایت </w:t>
            </w:r>
            <w:r>
              <w:rPr>
                <w:rStyle w:val="IndexLink"/>
              </w:rPr>
              <w:t>55</w:t>
            </w:r>
            <w:r>
              <w:rPr>
                <w:rStyle w:val="IndexLink"/>
                <w:rtl w:val="true"/>
              </w:rPr>
              <w:tab/>
            </w:r>
            <w:r>
              <w:rPr>
                <w:rStyle w:val="IndexLink"/>
              </w:rPr>
              <w:t>413</w:t>
            </w:r>
          </w:hyperlink>
        </w:p>
        <w:p>
          <w:pPr>
            <w:pStyle w:val="Contents5"/>
            <w:tabs>
              <w:tab w:val="clear" w:pos="7892"/>
              <w:tab w:val="right" w:pos="9026" w:leader="dot"/>
            </w:tabs>
            <w:rPr/>
          </w:pPr>
          <w:hyperlink w:anchor="__RefHeading___Toc606530_1934241801">
            <w:r>
              <w:rPr>
                <w:webHidden/>
                <w:rStyle w:val="IndexLink"/>
                <w:rtl w:val="true"/>
              </w:rPr>
              <w:t>بيان</w:t>
            </w:r>
            <w:r>
              <w:rPr>
                <w:rStyle w:val="IndexLink"/>
                <w:rtl w:val="true"/>
              </w:rPr>
              <w:tab/>
            </w:r>
            <w:r>
              <w:rPr>
                <w:rStyle w:val="IndexLink"/>
              </w:rPr>
              <w:t>415</w:t>
            </w:r>
          </w:hyperlink>
        </w:p>
        <w:p>
          <w:pPr>
            <w:pStyle w:val="Contents5"/>
            <w:tabs>
              <w:tab w:val="clear" w:pos="7892"/>
              <w:tab w:val="right" w:pos="9026" w:leader="dot"/>
            </w:tabs>
            <w:rPr/>
          </w:pPr>
          <w:hyperlink w:anchor="__RefHeading___Toc606532_1934241801">
            <w:r>
              <w:rPr>
                <w:webHidden/>
                <w:rStyle w:val="IndexLink"/>
                <w:rtl w:val="true"/>
              </w:rPr>
              <w:t>«</w:t>
            </w:r>
            <w:r>
              <w:rPr>
                <w:rStyle w:val="IndexLink"/>
              </w:rPr>
              <w:t>56</w:t>
            </w:r>
            <w:r>
              <w:rPr>
                <w:rStyle w:val="IndexLink"/>
                <w:rtl w:val="true"/>
              </w:rPr>
              <w:t>»</w:t>
              <w:tab/>
            </w:r>
            <w:r>
              <w:rPr>
                <w:rStyle w:val="IndexLink"/>
              </w:rPr>
              <w:t>415</w:t>
            </w:r>
          </w:hyperlink>
        </w:p>
        <w:p>
          <w:pPr>
            <w:pStyle w:val="Contents5"/>
            <w:tabs>
              <w:tab w:val="clear" w:pos="7892"/>
              <w:tab w:val="right" w:pos="9026" w:leader="dot"/>
            </w:tabs>
            <w:rPr/>
          </w:pPr>
          <w:hyperlink w:anchor="__RefHeading___Toc606534_1934241801">
            <w:r>
              <w:rPr>
                <w:webHidden/>
                <w:rStyle w:val="IndexLink"/>
                <w:rtl w:val="true"/>
              </w:rPr>
              <w:t>توضیح</w:t>
            </w:r>
            <w:r>
              <w:rPr>
                <w:rStyle w:val="IndexLink"/>
                <w:rtl w:val="true"/>
              </w:rPr>
              <w:tab/>
            </w:r>
            <w:r>
              <w:rPr>
                <w:rStyle w:val="IndexLink"/>
              </w:rPr>
              <w:t>416</w:t>
            </w:r>
          </w:hyperlink>
        </w:p>
        <w:p>
          <w:pPr>
            <w:pStyle w:val="Contents5"/>
            <w:tabs>
              <w:tab w:val="clear" w:pos="7892"/>
              <w:tab w:val="right" w:pos="9026" w:leader="dot"/>
            </w:tabs>
            <w:rPr/>
          </w:pPr>
          <w:hyperlink w:anchor="__RefHeading___Toc606536_1934241801">
            <w:r>
              <w:rPr>
                <w:webHidden/>
                <w:rStyle w:val="IndexLink"/>
                <w:rtl w:val="true"/>
              </w:rPr>
              <w:t xml:space="preserve">روایت </w:t>
            </w:r>
            <w:r>
              <w:rPr>
                <w:rStyle w:val="IndexLink"/>
              </w:rPr>
              <w:t>56</w:t>
            </w:r>
            <w:r>
              <w:rPr>
                <w:rStyle w:val="IndexLink"/>
                <w:rtl w:val="true"/>
              </w:rPr>
              <w:tab/>
            </w:r>
            <w:r>
              <w:rPr>
                <w:rStyle w:val="IndexLink"/>
              </w:rPr>
              <w:t>416</w:t>
            </w:r>
          </w:hyperlink>
        </w:p>
        <w:p>
          <w:pPr>
            <w:pStyle w:val="Contents5"/>
            <w:tabs>
              <w:tab w:val="clear" w:pos="7892"/>
              <w:tab w:val="right" w:pos="9026" w:leader="dot"/>
            </w:tabs>
            <w:rPr/>
          </w:pPr>
          <w:hyperlink w:anchor="__RefHeading___Toc606538_1934241801">
            <w:r>
              <w:rPr>
                <w:webHidden/>
                <w:rStyle w:val="IndexLink"/>
                <w:rtl w:val="true"/>
              </w:rPr>
              <w:t>«</w:t>
            </w:r>
            <w:r>
              <w:rPr>
                <w:rStyle w:val="IndexLink"/>
              </w:rPr>
              <w:t>57</w:t>
            </w:r>
            <w:r>
              <w:rPr>
                <w:rStyle w:val="IndexLink"/>
                <w:rtl w:val="true"/>
              </w:rPr>
              <w:t>»</w:t>
              <w:tab/>
            </w:r>
            <w:r>
              <w:rPr>
                <w:rStyle w:val="IndexLink"/>
              </w:rPr>
              <w:t>417</w:t>
            </w:r>
          </w:hyperlink>
        </w:p>
        <w:p>
          <w:pPr>
            <w:pStyle w:val="Contents5"/>
            <w:tabs>
              <w:tab w:val="clear" w:pos="7892"/>
              <w:tab w:val="right" w:pos="9026" w:leader="dot"/>
            </w:tabs>
            <w:rPr/>
          </w:pPr>
          <w:hyperlink w:anchor="__RefHeading___Toc606540_1934241801">
            <w:r>
              <w:rPr>
                <w:webHidden/>
                <w:rStyle w:val="IndexLink"/>
                <w:rtl w:val="true"/>
              </w:rPr>
              <w:t>بيان</w:t>
            </w:r>
            <w:r>
              <w:rPr>
                <w:rStyle w:val="IndexLink"/>
                <w:rtl w:val="true"/>
              </w:rPr>
              <w:tab/>
            </w:r>
            <w:r>
              <w:rPr>
                <w:rStyle w:val="IndexLink"/>
              </w:rPr>
              <w:t>417</w:t>
            </w:r>
          </w:hyperlink>
        </w:p>
        <w:p>
          <w:pPr>
            <w:pStyle w:val="Contents5"/>
            <w:tabs>
              <w:tab w:val="clear" w:pos="7892"/>
              <w:tab w:val="right" w:pos="9026" w:leader="dot"/>
            </w:tabs>
            <w:rPr/>
          </w:pPr>
          <w:hyperlink w:anchor="__RefHeading___Toc606542_1934241801">
            <w:r>
              <w:rPr>
                <w:webHidden/>
                <w:rStyle w:val="IndexLink"/>
                <w:rtl w:val="true"/>
              </w:rPr>
              <w:t>«</w:t>
            </w:r>
            <w:r>
              <w:rPr>
                <w:rStyle w:val="IndexLink"/>
              </w:rPr>
              <w:t>58</w:t>
            </w:r>
            <w:r>
              <w:rPr>
                <w:rStyle w:val="IndexLink"/>
                <w:rtl w:val="true"/>
              </w:rPr>
              <w:t>»</w:t>
              <w:tab/>
            </w:r>
            <w:r>
              <w:rPr>
                <w:rStyle w:val="IndexLink"/>
              </w:rPr>
              <w:t>417</w:t>
            </w:r>
          </w:hyperlink>
        </w:p>
        <w:p>
          <w:pPr>
            <w:pStyle w:val="Contents5"/>
            <w:tabs>
              <w:tab w:val="clear" w:pos="7892"/>
              <w:tab w:val="right" w:pos="9026" w:leader="dot"/>
            </w:tabs>
            <w:rPr/>
          </w:pPr>
          <w:hyperlink w:anchor="__RefHeading___Toc606544_1934241801">
            <w:r>
              <w:rPr>
                <w:webHidden/>
                <w:rStyle w:val="IndexLink"/>
                <w:rtl w:val="true"/>
              </w:rPr>
              <w:t xml:space="preserve">روایت </w:t>
            </w:r>
            <w:r>
              <w:rPr>
                <w:rStyle w:val="IndexLink"/>
              </w:rPr>
              <w:t>57</w:t>
            </w:r>
            <w:r>
              <w:rPr>
                <w:rStyle w:val="IndexLink"/>
                <w:rtl w:val="true"/>
              </w:rPr>
              <w:tab/>
            </w:r>
            <w:r>
              <w:rPr>
                <w:rStyle w:val="IndexLink"/>
              </w:rPr>
              <w:t>417</w:t>
            </w:r>
          </w:hyperlink>
        </w:p>
        <w:p>
          <w:pPr>
            <w:pStyle w:val="Contents5"/>
            <w:tabs>
              <w:tab w:val="clear" w:pos="7892"/>
              <w:tab w:val="right" w:pos="9026" w:leader="dot"/>
            </w:tabs>
            <w:rPr/>
          </w:pPr>
          <w:hyperlink w:anchor="__RefHeading___Toc606546_1934241801">
            <w:r>
              <w:rPr>
                <w:webHidden/>
                <w:rStyle w:val="IndexLink"/>
                <w:rtl w:val="true"/>
              </w:rPr>
              <w:t>توضیح</w:t>
            </w:r>
            <w:r>
              <w:rPr>
                <w:rStyle w:val="IndexLink"/>
                <w:rtl w:val="true"/>
              </w:rPr>
              <w:tab/>
            </w:r>
            <w:r>
              <w:rPr>
                <w:rStyle w:val="IndexLink"/>
              </w:rPr>
              <w:t>418</w:t>
            </w:r>
          </w:hyperlink>
        </w:p>
        <w:p>
          <w:pPr>
            <w:pStyle w:val="Contents5"/>
            <w:tabs>
              <w:tab w:val="clear" w:pos="7892"/>
              <w:tab w:val="right" w:pos="9026" w:leader="dot"/>
            </w:tabs>
            <w:rPr/>
          </w:pPr>
          <w:hyperlink w:anchor="__RefHeading___Toc606548_1934241801">
            <w:r>
              <w:rPr>
                <w:webHidden/>
                <w:rStyle w:val="IndexLink"/>
                <w:rtl w:val="true"/>
              </w:rPr>
              <w:t xml:space="preserve">روایت </w:t>
            </w:r>
            <w:r>
              <w:rPr>
                <w:rStyle w:val="IndexLink"/>
              </w:rPr>
              <w:t>58</w:t>
            </w:r>
            <w:r>
              <w:rPr>
                <w:rStyle w:val="IndexLink"/>
                <w:rtl w:val="true"/>
              </w:rPr>
              <w:tab/>
            </w:r>
            <w:r>
              <w:rPr>
                <w:rStyle w:val="IndexLink"/>
              </w:rPr>
              <w:t>418</w:t>
            </w:r>
          </w:hyperlink>
        </w:p>
        <w:p>
          <w:pPr>
            <w:pStyle w:val="Contents5"/>
            <w:tabs>
              <w:tab w:val="clear" w:pos="7892"/>
              <w:tab w:val="right" w:pos="9026" w:leader="dot"/>
            </w:tabs>
            <w:rPr/>
          </w:pPr>
          <w:hyperlink w:anchor="__RefHeading___Toc606550_1934241801">
            <w:r>
              <w:rPr>
                <w:webHidden/>
                <w:rStyle w:val="IndexLink"/>
                <w:rtl w:val="true"/>
              </w:rPr>
              <w:t>«</w:t>
            </w:r>
            <w:r>
              <w:rPr>
                <w:rStyle w:val="IndexLink"/>
              </w:rPr>
              <w:t>59</w:t>
            </w:r>
            <w:r>
              <w:rPr>
                <w:rStyle w:val="IndexLink"/>
                <w:rtl w:val="true"/>
              </w:rPr>
              <w:t>»</w:t>
              <w:tab/>
            </w:r>
            <w:r>
              <w:rPr>
                <w:rStyle w:val="IndexLink"/>
              </w:rPr>
              <w:t>419</w:t>
            </w:r>
          </w:hyperlink>
        </w:p>
        <w:p>
          <w:pPr>
            <w:pStyle w:val="Contents5"/>
            <w:tabs>
              <w:tab w:val="clear" w:pos="7892"/>
              <w:tab w:val="right" w:pos="9026" w:leader="dot"/>
            </w:tabs>
            <w:rPr/>
          </w:pPr>
          <w:hyperlink w:anchor="__RefHeading___Toc606552_1934241801">
            <w:r>
              <w:rPr>
                <w:webHidden/>
                <w:rStyle w:val="IndexLink"/>
                <w:rtl w:val="true"/>
              </w:rPr>
              <w:t xml:space="preserve">روایت </w:t>
            </w:r>
            <w:r>
              <w:rPr>
                <w:rStyle w:val="IndexLink"/>
              </w:rPr>
              <w:t>59</w:t>
            </w:r>
            <w:r>
              <w:rPr>
                <w:rStyle w:val="IndexLink"/>
                <w:rtl w:val="true"/>
              </w:rPr>
              <w:tab/>
            </w:r>
            <w:r>
              <w:rPr>
                <w:rStyle w:val="IndexLink"/>
              </w:rPr>
              <w:t>419</w:t>
            </w:r>
          </w:hyperlink>
        </w:p>
        <w:p>
          <w:pPr>
            <w:pStyle w:val="Contents3"/>
            <w:tabs>
              <w:tab w:val="clear" w:pos="8459"/>
              <w:tab w:val="right" w:pos="9026" w:leader="dot"/>
            </w:tabs>
            <w:rPr/>
          </w:pPr>
          <w:hyperlink w:anchor="__RefHeading___Toc606554_1934241801">
            <w:r>
              <w:rPr>
                <w:webHidden/>
                <w:rStyle w:val="IndexLink"/>
                <w:rtl w:val="true"/>
              </w:rPr>
              <w:t xml:space="preserve">باب </w:t>
            </w:r>
            <w:r>
              <w:rPr>
                <w:rStyle w:val="IndexLink"/>
              </w:rPr>
              <w:t>2</w:t>
            </w:r>
            <w:r>
              <w:rPr>
                <w:rStyle w:val="IndexLink"/>
                <w:rtl w:val="true"/>
              </w:rPr>
              <w:t xml:space="preserve"> </w:t>
            </w:r>
            <w:r>
              <w:rPr>
                <w:rStyle w:val="IndexLink"/>
                <w:rtl w:val="true"/>
              </w:rPr>
              <w:t>آداب المريض و أحكامه و شكواه و صبره و غيرها</w:t>
            </w:r>
            <w:r>
              <w:rPr>
                <w:rStyle w:val="IndexLink"/>
                <w:rtl w:val="true"/>
              </w:rPr>
              <w:tab/>
            </w:r>
            <w:r>
              <w:rPr>
                <w:rStyle w:val="IndexLink"/>
              </w:rPr>
              <w:t>420</w:t>
            </w:r>
          </w:hyperlink>
        </w:p>
        <w:p>
          <w:pPr>
            <w:pStyle w:val="Contents4"/>
            <w:tabs>
              <w:tab w:val="clear" w:pos="8176"/>
              <w:tab w:val="right" w:pos="9026" w:leader="dot"/>
            </w:tabs>
            <w:rPr/>
          </w:pPr>
          <w:hyperlink w:anchor="__RefHeading___Toc606556_1934241801">
            <w:r>
              <w:rPr>
                <w:webHidden/>
                <w:rStyle w:val="IndexLink"/>
                <w:rtl w:val="true"/>
              </w:rPr>
              <w:t>روايات</w:t>
            </w:r>
            <w:r>
              <w:rPr>
                <w:rStyle w:val="IndexLink"/>
                <w:rtl w:val="true"/>
              </w:rPr>
              <w:tab/>
            </w:r>
            <w:r>
              <w:rPr>
                <w:rStyle w:val="IndexLink"/>
              </w:rPr>
              <w:t>420</w:t>
            </w:r>
          </w:hyperlink>
        </w:p>
        <w:p>
          <w:pPr>
            <w:pStyle w:val="Contents5"/>
            <w:tabs>
              <w:tab w:val="clear" w:pos="7892"/>
              <w:tab w:val="right" w:pos="9026" w:leader="dot"/>
            </w:tabs>
            <w:rPr/>
          </w:pPr>
          <w:hyperlink w:anchor="__RefHeading___Toc606558_1934241801">
            <w:r>
              <w:rPr>
                <w:webHidden/>
                <w:rStyle w:val="IndexLink"/>
                <w:rtl w:val="true"/>
              </w:rPr>
              <w:t>«</w:t>
            </w:r>
            <w:r>
              <w:rPr>
                <w:rStyle w:val="IndexLink"/>
              </w:rPr>
              <w:t>1</w:t>
            </w:r>
            <w:r>
              <w:rPr>
                <w:rStyle w:val="IndexLink"/>
                <w:rtl w:val="true"/>
              </w:rPr>
              <w:t>»</w:t>
              <w:tab/>
            </w:r>
            <w:r>
              <w:rPr>
                <w:rStyle w:val="IndexLink"/>
              </w:rPr>
              <w:t>420</w:t>
            </w:r>
          </w:hyperlink>
        </w:p>
        <w:p>
          <w:pPr>
            <w:pStyle w:val="Contents5"/>
            <w:tabs>
              <w:tab w:val="clear" w:pos="7892"/>
              <w:tab w:val="right" w:pos="9026" w:leader="dot"/>
            </w:tabs>
            <w:rPr/>
          </w:pPr>
          <w:hyperlink w:anchor="__RefHeading___Toc606560_1934241801">
            <w:r>
              <w:rPr>
                <w:webHidden/>
                <w:rStyle w:val="IndexLink"/>
                <w:rtl w:val="true"/>
              </w:rPr>
              <w:t>«</w:t>
            </w:r>
            <w:r>
              <w:rPr>
                <w:rStyle w:val="IndexLink"/>
              </w:rPr>
              <w:t>2</w:t>
            </w:r>
            <w:r>
              <w:rPr>
                <w:rStyle w:val="IndexLink"/>
                <w:rtl w:val="true"/>
              </w:rPr>
              <w:t>»</w:t>
              <w:tab/>
            </w:r>
            <w:r>
              <w:rPr>
                <w:rStyle w:val="IndexLink"/>
              </w:rPr>
              <w:t>420</w:t>
            </w:r>
          </w:hyperlink>
        </w:p>
        <w:p>
          <w:pPr>
            <w:pStyle w:val="Contents5"/>
            <w:tabs>
              <w:tab w:val="clear" w:pos="7892"/>
              <w:tab w:val="right" w:pos="9026" w:leader="dot"/>
            </w:tabs>
            <w:rPr/>
          </w:pPr>
          <w:hyperlink w:anchor="__RefHeading___Toc606562_1934241801">
            <w:r>
              <w:rPr>
                <w:webHidden/>
                <w:rStyle w:val="IndexLink"/>
                <w:rtl w:val="true"/>
              </w:rPr>
              <w:t>بيان</w:t>
            </w:r>
            <w:r>
              <w:rPr>
                <w:rStyle w:val="IndexLink"/>
                <w:rtl w:val="true"/>
              </w:rPr>
              <w:tab/>
            </w:r>
            <w:r>
              <w:rPr>
                <w:rStyle w:val="IndexLink"/>
              </w:rPr>
              <w:t>420</w:t>
            </w:r>
          </w:hyperlink>
        </w:p>
        <w:p>
          <w:pPr>
            <w:pStyle w:val="Contents5"/>
            <w:tabs>
              <w:tab w:val="clear" w:pos="7892"/>
              <w:tab w:val="right" w:pos="9026" w:leader="dot"/>
            </w:tabs>
            <w:rPr/>
          </w:pPr>
          <w:hyperlink w:anchor="__RefHeading___Toc606564_1934241801">
            <w:r>
              <w:rPr>
                <w:webHidden/>
                <w:rStyle w:val="IndexLink"/>
                <w:rtl w:val="true"/>
              </w:rPr>
              <w:t>«</w:t>
            </w:r>
            <w:r>
              <w:rPr>
                <w:rStyle w:val="IndexLink"/>
              </w:rPr>
              <w:t>3</w:t>
            </w:r>
            <w:r>
              <w:rPr>
                <w:rStyle w:val="IndexLink"/>
                <w:rtl w:val="true"/>
              </w:rPr>
              <w:t>»</w:t>
              <w:tab/>
            </w:r>
            <w:r>
              <w:rPr>
                <w:rStyle w:val="IndexLink"/>
              </w:rPr>
              <w:t>420</w:t>
            </w:r>
          </w:hyperlink>
        </w:p>
        <w:p>
          <w:pPr>
            <w:pStyle w:val="Contents3"/>
            <w:tabs>
              <w:tab w:val="clear" w:pos="8459"/>
              <w:tab w:val="right" w:pos="9026" w:leader="dot"/>
            </w:tabs>
            <w:rPr/>
          </w:pPr>
          <w:hyperlink w:anchor="__RefHeading___Toc606566_1934241801">
            <w:r>
              <w:rPr>
                <w:webHidden/>
                <w:rStyle w:val="IndexLink"/>
                <w:rtl w:val="true"/>
              </w:rPr>
              <w:t xml:space="preserve">باب دوم </w:t>
            </w:r>
            <w:r>
              <w:rPr>
                <w:rStyle w:val="IndexLink"/>
                <w:rtl w:val="true"/>
              </w:rPr>
              <w:t xml:space="preserve">: </w:t>
            </w:r>
            <w:r>
              <w:rPr>
                <w:rStyle w:val="IndexLink"/>
                <w:rtl w:val="true"/>
              </w:rPr>
              <w:t>آداب مریض و احکام او، شکایت کردن، صبر پیشه ساختن و سایر احکام مربوط به مریض</w:t>
            </w:r>
            <w:r>
              <w:rPr>
                <w:rStyle w:val="IndexLink"/>
                <w:rtl w:val="true"/>
              </w:rPr>
              <w:tab/>
            </w:r>
            <w:r>
              <w:rPr>
                <w:rStyle w:val="IndexLink"/>
              </w:rPr>
              <w:t>420</w:t>
            </w:r>
          </w:hyperlink>
        </w:p>
        <w:p>
          <w:pPr>
            <w:pStyle w:val="Contents4"/>
            <w:tabs>
              <w:tab w:val="clear" w:pos="8176"/>
              <w:tab w:val="right" w:pos="9026" w:leader="dot"/>
            </w:tabs>
            <w:rPr/>
          </w:pPr>
          <w:hyperlink w:anchor="__RefHeading___Toc606568_1934241801">
            <w:r>
              <w:rPr>
                <w:webHidden/>
                <w:rStyle w:val="IndexLink"/>
                <w:rtl w:val="true"/>
              </w:rPr>
              <w:t>روایات</w:t>
            </w:r>
            <w:r>
              <w:rPr>
                <w:rStyle w:val="IndexLink"/>
                <w:rtl w:val="true"/>
              </w:rPr>
              <w:tab/>
            </w:r>
            <w:r>
              <w:rPr>
                <w:rStyle w:val="IndexLink"/>
              </w:rPr>
              <w:t>420</w:t>
            </w:r>
          </w:hyperlink>
        </w:p>
        <w:p>
          <w:pPr>
            <w:pStyle w:val="Contents5"/>
            <w:tabs>
              <w:tab w:val="clear" w:pos="7892"/>
              <w:tab w:val="right" w:pos="9026" w:leader="dot"/>
            </w:tabs>
            <w:rPr/>
          </w:pPr>
          <w:hyperlink w:anchor="__RefHeading___Toc606570_1934241801">
            <w:r>
              <w:rPr>
                <w:webHidden/>
                <w:rStyle w:val="IndexLink"/>
                <w:rtl w:val="true"/>
              </w:rPr>
              <w:t xml:space="preserve">روایت </w:t>
            </w:r>
            <w:r>
              <w:rPr>
                <w:rStyle w:val="IndexLink"/>
              </w:rPr>
              <w:t>1</w:t>
            </w:r>
            <w:r>
              <w:rPr>
                <w:rStyle w:val="IndexLink"/>
                <w:rtl w:val="true"/>
              </w:rPr>
              <w:tab/>
            </w:r>
            <w:r>
              <w:rPr>
                <w:rStyle w:val="IndexLink"/>
              </w:rPr>
              <w:t>420</w:t>
            </w:r>
          </w:hyperlink>
        </w:p>
        <w:p>
          <w:pPr>
            <w:pStyle w:val="Contents5"/>
            <w:tabs>
              <w:tab w:val="clear" w:pos="7892"/>
              <w:tab w:val="right" w:pos="9026" w:leader="dot"/>
            </w:tabs>
            <w:rPr/>
          </w:pPr>
          <w:hyperlink w:anchor="__RefHeading___Toc606572_1934241801">
            <w:r>
              <w:rPr>
                <w:webHidden/>
                <w:rStyle w:val="IndexLink"/>
                <w:rtl w:val="true"/>
              </w:rPr>
              <w:t xml:space="preserve">روایت </w:t>
            </w:r>
            <w:r>
              <w:rPr>
                <w:rStyle w:val="IndexLink"/>
              </w:rPr>
              <w:t>2</w:t>
            </w:r>
            <w:r>
              <w:rPr>
                <w:rStyle w:val="IndexLink"/>
                <w:rtl w:val="true"/>
              </w:rPr>
              <w:tab/>
            </w:r>
            <w:r>
              <w:rPr>
                <w:rStyle w:val="IndexLink"/>
              </w:rPr>
              <w:t>420</w:t>
            </w:r>
          </w:hyperlink>
        </w:p>
        <w:p>
          <w:pPr>
            <w:pStyle w:val="Contents5"/>
            <w:tabs>
              <w:tab w:val="clear" w:pos="7892"/>
              <w:tab w:val="right" w:pos="9026" w:leader="dot"/>
            </w:tabs>
            <w:rPr/>
          </w:pPr>
          <w:hyperlink w:anchor="__RefHeading___Toc606574_1934241801">
            <w:r>
              <w:rPr>
                <w:webHidden/>
                <w:rStyle w:val="IndexLink"/>
                <w:rtl w:val="true"/>
              </w:rPr>
              <w:t>توضیح</w:t>
            </w:r>
            <w:r>
              <w:rPr>
                <w:rStyle w:val="IndexLink"/>
                <w:rtl w:val="true"/>
              </w:rPr>
              <w:tab/>
            </w:r>
            <w:r>
              <w:rPr>
                <w:rStyle w:val="IndexLink"/>
              </w:rPr>
              <w:t>420</w:t>
            </w:r>
          </w:hyperlink>
        </w:p>
        <w:p>
          <w:pPr>
            <w:pStyle w:val="Contents5"/>
            <w:tabs>
              <w:tab w:val="clear" w:pos="7892"/>
              <w:tab w:val="right" w:pos="9026" w:leader="dot"/>
            </w:tabs>
            <w:rPr/>
          </w:pPr>
          <w:hyperlink w:anchor="__RefHeading___Toc606576_1934241801">
            <w:r>
              <w:rPr>
                <w:webHidden/>
                <w:rStyle w:val="IndexLink"/>
                <w:rtl w:val="true"/>
              </w:rPr>
              <w:t xml:space="preserve">روایت </w:t>
            </w:r>
            <w:r>
              <w:rPr>
                <w:rStyle w:val="IndexLink"/>
              </w:rPr>
              <w:t>3</w:t>
            </w:r>
            <w:r>
              <w:rPr>
                <w:rStyle w:val="IndexLink"/>
                <w:rtl w:val="true"/>
              </w:rPr>
              <w:tab/>
            </w:r>
            <w:r>
              <w:rPr>
                <w:rStyle w:val="IndexLink"/>
              </w:rPr>
              <w:t>421</w:t>
            </w:r>
          </w:hyperlink>
        </w:p>
        <w:p>
          <w:pPr>
            <w:pStyle w:val="Contents5"/>
            <w:tabs>
              <w:tab w:val="clear" w:pos="7892"/>
              <w:tab w:val="right" w:pos="9026" w:leader="dot"/>
            </w:tabs>
            <w:rPr/>
          </w:pPr>
          <w:hyperlink w:anchor="__RefHeading___Toc606578_1934241801">
            <w:r>
              <w:rPr>
                <w:webHidden/>
                <w:rStyle w:val="IndexLink"/>
                <w:rtl w:val="true"/>
              </w:rPr>
              <w:t>بيان</w:t>
            </w:r>
            <w:r>
              <w:rPr>
                <w:rStyle w:val="IndexLink"/>
                <w:rtl w:val="true"/>
              </w:rPr>
              <w:tab/>
            </w:r>
            <w:r>
              <w:rPr>
                <w:rStyle w:val="IndexLink"/>
              </w:rPr>
              <w:t>422</w:t>
            </w:r>
          </w:hyperlink>
        </w:p>
        <w:p>
          <w:pPr>
            <w:pStyle w:val="Contents5"/>
            <w:tabs>
              <w:tab w:val="clear" w:pos="7892"/>
              <w:tab w:val="right" w:pos="9026" w:leader="dot"/>
            </w:tabs>
            <w:rPr/>
          </w:pPr>
          <w:hyperlink w:anchor="__RefHeading___Toc606580_1934241801">
            <w:r>
              <w:rPr>
                <w:webHidden/>
                <w:rStyle w:val="IndexLink"/>
                <w:rtl w:val="true"/>
              </w:rPr>
              <w:t>«</w:t>
            </w:r>
            <w:r>
              <w:rPr>
                <w:rStyle w:val="IndexLink"/>
              </w:rPr>
              <w:t>4</w:t>
            </w:r>
            <w:r>
              <w:rPr>
                <w:rStyle w:val="IndexLink"/>
                <w:rtl w:val="true"/>
              </w:rPr>
              <w:t>»</w:t>
              <w:tab/>
            </w:r>
            <w:r>
              <w:rPr>
                <w:rStyle w:val="IndexLink"/>
              </w:rPr>
              <w:t>422</w:t>
            </w:r>
          </w:hyperlink>
        </w:p>
        <w:p>
          <w:pPr>
            <w:pStyle w:val="Contents5"/>
            <w:tabs>
              <w:tab w:val="clear" w:pos="7892"/>
              <w:tab w:val="right" w:pos="9026" w:leader="dot"/>
            </w:tabs>
            <w:rPr/>
          </w:pPr>
          <w:hyperlink w:anchor="__RefHeading___Toc606582_1934241801">
            <w:r>
              <w:rPr>
                <w:webHidden/>
                <w:rStyle w:val="IndexLink"/>
                <w:rtl w:val="true"/>
              </w:rPr>
              <w:t>«</w:t>
            </w:r>
            <w:r>
              <w:rPr>
                <w:rStyle w:val="IndexLink"/>
              </w:rPr>
              <w:t>5</w:t>
            </w:r>
            <w:r>
              <w:rPr>
                <w:rStyle w:val="IndexLink"/>
                <w:rtl w:val="true"/>
              </w:rPr>
              <w:t>»</w:t>
              <w:tab/>
            </w:r>
            <w:r>
              <w:rPr>
                <w:rStyle w:val="IndexLink"/>
              </w:rPr>
              <w:t>422</w:t>
            </w:r>
          </w:hyperlink>
        </w:p>
        <w:p>
          <w:pPr>
            <w:pStyle w:val="Contents5"/>
            <w:tabs>
              <w:tab w:val="clear" w:pos="7892"/>
              <w:tab w:val="right" w:pos="9026" w:leader="dot"/>
            </w:tabs>
            <w:rPr/>
          </w:pPr>
          <w:hyperlink w:anchor="__RefHeading___Toc606584_1934241801">
            <w:r>
              <w:rPr>
                <w:webHidden/>
                <w:rStyle w:val="IndexLink"/>
                <w:rtl w:val="true"/>
              </w:rPr>
              <w:t>توضیح</w:t>
            </w:r>
            <w:r>
              <w:rPr>
                <w:rStyle w:val="IndexLink"/>
                <w:rtl w:val="true"/>
              </w:rPr>
              <w:tab/>
            </w:r>
            <w:r>
              <w:rPr>
                <w:rStyle w:val="IndexLink"/>
              </w:rPr>
              <w:t>422</w:t>
            </w:r>
          </w:hyperlink>
        </w:p>
        <w:p>
          <w:pPr>
            <w:pStyle w:val="Contents5"/>
            <w:tabs>
              <w:tab w:val="clear" w:pos="7892"/>
              <w:tab w:val="right" w:pos="9026" w:leader="dot"/>
            </w:tabs>
            <w:rPr/>
          </w:pPr>
          <w:hyperlink w:anchor="__RefHeading___Toc606586_1934241801">
            <w:r>
              <w:rPr>
                <w:webHidden/>
                <w:rStyle w:val="IndexLink"/>
                <w:rtl w:val="true"/>
              </w:rPr>
              <w:t xml:space="preserve">روایت </w:t>
            </w:r>
            <w:r>
              <w:rPr>
                <w:rStyle w:val="IndexLink"/>
              </w:rPr>
              <w:t>4</w:t>
            </w:r>
            <w:r>
              <w:rPr>
                <w:rStyle w:val="IndexLink"/>
                <w:rtl w:val="true"/>
              </w:rPr>
              <w:tab/>
            </w:r>
            <w:r>
              <w:rPr>
                <w:rStyle w:val="IndexLink"/>
              </w:rPr>
              <w:t>423</w:t>
            </w:r>
          </w:hyperlink>
        </w:p>
        <w:p>
          <w:pPr>
            <w:pStyle w:val="Contents5"/>
            <w:tabs>
              <w:tab w:val="clear" w:pos="7892"/>
              <w:tab w:val="right" w:pos="9026" w:leader="dot"/>
            </w:tabs>
            <w:rPr/>
          </w:pPr>
          <w:hyperlink w:anchor="__RefHeading___Toc606588_1934241801">
            <w:r>
              <w:rPr>
                <w:webHidden/>
                <w:rStyle w:val="IndexLink"/>
                <w:rtl w:val="true"/>
              </w:rPr>
              <w:t xml:space="preserve">روایت </w:t>
            </w:r>
            <w:r>
              <w:rPr>
                <w:rStyle w:val="IndexLink"/>
              </w:rPr>
              <w:t>5</w:t>
            </w:r>
            <w:r>
              <w:rPr>
                <w:rStyle w:val="IndexLink"/>
                <w:rtl w:val="true"/>
              </w:rPr>
              <w:tab/>
            </w:r>
            <w:r>
              <w:rPr>
                <w:rStyle w:val="IndexLink"/>
              </w:rPr>
              <w:t>423</w:t>
            </w:r>
          </w:hyperlink>
        </w:p>
        <w:p>
          <w:pPr>
            <w:pStyle w:val="Contents5"/>
            <w:tabs>
              <w:tab w:val="clear" w:pos="7892"/>
              <w:tab w:val="right" w:pos="9026" w:leader="dot"/>
            </w:tabs>
            <w:rPr/>
          </w:pPr>
          <w:hyperlink w:anchor="__RefHeading___Toc606590_1934241801">
            <w:r>
              <w:rPr>
                <w:webHidden/>
                <w:rStyle w:val="IndexLink"/>
                <w:rtl w:val="true"/>
              </w:rPr>
              <w:t>بيان</w:t>
            </w:r>
            <w:r>
              <w:rPr>
                <w:rStyle w:val="IndexLink"/>
                <w:rtl w:val="true"/>
              </w:rPr>
              <w:tab/>
            </w:r>
            <w:r>
              <w:rPr>
                <w:rStyle w:val="IndexLink"/>
              </w:rPr>
              <w:t>424</w:t>
            </w:r>
          </w:hyperlink>
        </w:p>
        <w:p>
          <w:pPr>
            <w:pStyle w:val="Contents5"/>
            <w:tabs>
              <w:tab w:val="clear" w:pos="7892"/>
              <w:tab w:val="right" w:pos="9026" w:leader="dot"/>
            </w:tabs>
            <w:rPr/>
          </w:pPr>
          <w:hyperlink w:anchor="__RefHeading___Toc606592_1934241801">
            <w:r>
              <w:rPr>
                <w:webHidden/>
                <w:rStyle w:val="IndexLink"/>
                <w:rtl w:val="true"/>
              </w:rPr>
              <w:t>«</w:t>
            </w:r>
            <w:r>
              <w:rPr>
                <w:rStyle w:val="IndexLink"/>
              </w:rPr>
              <w:t>6</w:t>
            </w:r>
            <w:r>
              <w:rPr>
                <w:rStyle w:val="IndexLink"/>
                <w:rtl w:val="true"/>
              </w:rPr>
              <w:t>»</w:t>
              <w:tab/>
            </w:r>
            <w:r>
              <w:rPr>
                <w:rStyle w:val="IndexLink"/>
              </w:rPr>
              <w:t>424</w:t>
            </w:r>
          </w:hyperlink>
        </w:p>
        <w:p>
          <w:pPr>
            <w:pStyle w:val="Contents5"/>
            <w:tabs>
              <w:tab w:val="clear" w:pos="7892"/>
              <w:tab w:val="right" w:pos="9026" w:leader="dot"/>
            </w:tabs>
            <w:rPr/>
          </w:pPr>
          <w:hyperlink w:anchor="__RefHeading___Toc606594_1934241801">
            <w:r>
              <w:rPr>
                <w:webHidden/>
                <w:rStyle w:val="IndexLink"/>
                <w:rtl w:val="true"/>
              </w:rPr>
              <w:t>«</w:t>
            </w:r>
            <w:r>
              <w:rPr>
                <w:rStyle w:val="IndexLink"/>
              </w:rPr>
              <w:t>7</w:t>
            </w:r>
            <w:r>
              <w:rPr>
                <w:rStyle w:val="IndexLink"/>
                <w:rtl w:val="true"/>
              </w:rPr>
              <w:t>»</w:t>
              <w:tab/>
            </w:r>
            <w:r>
              <w:rPr>
                <w:rStyle w:val="IndexLink"/>
              </w:rPr>
              <w:t>424</w:t>
            </w:r>
          </w:hyperlink>
        </w:p>
        <w:p>
          <w:pPr>
            <w:pStyle w:val="Contents5"/>
            <w:tabs>
              <w:tab w:val="clear" w:pos="7892"/>
              <w:tab w:val="right" w:pos="9026" w:leader="dot"/>
            </w:tabs>
            <w:rPr/>
          </w:pPr>
          <w:hyperlink w:anchor="__RefHeading___Toc606596_1934241801">
            <w:r>
              <w:rPr>
                <w:webHidden/>
                <w:rStyle w:val="IndexLink"/>
                <w:rtl w:val="true"/>
              </w:rPr>
              <w:t>بيان</w:t>
            </w:r>
            <w:r>
              <w:rPr>
                <w:rStyle w:val="IndexLink"/>
                <w:rtl w:val="true"/>
              </w:rPr>
              <w:tab/>
            </w:r>
            <w:r>
              <w:rPr>
                <w:rStyle w:val="IndexLink"/>
              </w:rPr>
              <w:t>424</w:t>
            </w:r>
          </w:hyperlink>
        </w:p>
        <w:p>
          <w:pPr>
            <w:pStyle w:val="Contents5"/>
            <w:tabs>
              <w:tab w:val="clear" w:pos="7892"/>
              <w:tab w:val="right" w:pos="9026" w:leader="dot"/>
            </w:tabs>
            <w:rPr/>
          </w:pPr>
          <w:hyperlink w:anchor="__RefHeading___Toc606598_1934241801">
            <w:r>
              <w:rPr>
                <w:webHidden/>
                <w:rStyle w:val="IndexLink"/>
                <w:rtl w:val="true"/>
              </w:rPr>
              <w:t>«</w:t>
            </w:r>
            <w:r>
              <w:rPr>
                <w:rStyle w:val="IndexLink"/>
              </w:rPr>
              <w:t>8</w:t>
            </w:r>
            <w:r>
              <w:rPr>
                <w:rStyle w:val="IndexLink"/>
                <w:rtl w:val="true"/>
              </w:rPr>
              <w:t>»</w:t>
              <w:tab/>
            </w:r>
            <w:r>
              <w:rPr>
                <w:rStyle w:val="IndexLink"/>
              </w:rPr>
              <w:t>424</w:t>
            </w:r>
          </w:hyperlink>
        </w:p>
        <w:p>
          <w:pPr>
            <w:pStyle w:val="Contents5"/>
            <w:tabs>
              <w:tab w:val="clear" w:pos="7892"/>
              <w:tab w:val="right" w:pos="9026" w:leader="dot"/>
            </w:tabs>
            <w:rPr/>
          </w:pPr>
          <w:hyperlink w:anchor="__RefHeading___Toc606600_1934241801">
            <w:r>
              <w:rPr>
                <w:webHidden/>
                <w:rStyle w:val="IndexLink"/>
                <w:rtl w:val="true"/>
              </w:rPr>
              <w:t>توضیح</w:t>
            </w:r>
            <w:r>
              <w:rPr>
                <w:rStyle w:val="IndexLink"/>
                <w:rtl w:val="true"/>
              </w:rPr>
              <w:tab/>
            </w:r>
            <w:r>
              <w:rPr>
                <w:rStyle w:val="IndexLink"/>
              </w:rPr>
              <w:t>424</w:t>
            </w:r>
          </w:hyperlink>
        </w:p>
        <w:p>
          <w:pPr>
            <w:pStyle w:val="Contents5"/>
            <w:tabs>
              <w:tab w:val="clear" w:pos="7892"/>
              <w:tab w:val="right" w:pos="9026" w:leader="dot"/>
            </w:tabs>
            <w:rPr/>
          </w:pPr>
          <w:hyperlink w:anchor="__RefHeading___Toc606602_1934241801">
            <w:r>
              <w:rPr>
                <w:webHidden/>
                <w:rStyle w:val="IndexLink"/>
                <w:rtl w:val="true"/>
              </w:rPr>
              <w:t xml:space="preserve">روایت </w:t>
            </w:r>
            <w:r>
              <w:rPr>
                <w:rStyle w:val="IndexLink"/>
              </w:rPr>
              <w:t>6</w:t>
            </w:r>
            <w:r>
              <w:rPr>
                <w:rStyle w:val="IndexLink"/>
                <w:rtl w:val="true"/>
              </w:rPr>
              <w:tab/>
            </w:r>
            <w:r>
              <w:rPr>
                <w:rStyle w:val="IndexLink"/>
              </w:rPr>
              <w:t>424</w:t>
            </w:r>
          </w:hyperlink>
        </w:p>
        <w:p>
          <w:pPr>
            <w:pStyle w:val="Contents5"/>
            <w:tabs>
              <w:tab w:val="clear" w:pos="7892"/>
              <w:tab w:val="right" w:pos="9026" w:leader="dot"/>
            </w:tabs>
            <w:rPr/>
          </w:pPr>
          <w:hyperlink w:anchor="__RefHeading___Toc606604_1934241801">
            <w:r>
              <w:rPr>
                <w:webHidden/>
                <w:rStyle w:val="IndexLink"/>
                <w:rtl w:val="true"/>
              </w:rPr>
              <w:t xml:space="preserve">روایت </w:t>
            </w:r>
            <w:r>
              <w:rPr>
                <w:rStyle w:val="IndexLink"/>
              </w:rPr>
              <w:t>7</w:t>
            </w:r>
            <w:r>
              <w:rPr>
                <w:rStyle w:val="IndexLink"/>
                <w:rtl w:val="true"/>
              </w:rPr>
              <w:tab/>
            </w:r>
            <w:r>
              <w:rPr>
                <w:rStyle w:val="IndexLink"/>
              </w:rPr>
              <w:t>425</w:t>
            </w:r>
          </w:hyperlink>
        </w:p>
        <w:p>
          <w:pPr>
            <w:pStyle w:val="Contents5"/>
            <w:tabs>
              <w:tab w:val="clear" w:pos="7892"/>
              <w:tab w:val="right" w:pos="9026" w:leader="dot"/>
            </w:tabs>
            <w:rPr/>
          </w:pPr>
          <w:hyperlink w:anchor="__RefHeading___Toc606606_1934241801">
            <w:r>
              <w:rPr>
                <w:webHidden/>
                <w:rStyle w:val="IndexLink"/>
                <w:rtl w:val="true"/>
              </w:rPr>
              <w:t>توضیح</w:t>
            </w:r>
            <w:r>
              <w:rPr>
                <w:rStyle w:val="IndexLink"/>
                <w:rtl w:val="true"/>
              </w:rPr>
              <w:tab/>
            </w:r>
            <w:r>
              <w:rPr>
                <w:rStyle w:val="IndexLink"/>
              </w:rPr>
              <w:t>425</w:t>
            </w:r>
          </w:hyperlink>
        </w:p>
        <w:p>
          <w:pPr>
            <w:pStyle w:val="Contents5"/>
            <w:tabs>
              <w:tab w:val="clear" w:pos="7892"/>
              <w:tab w:val="right" w:pos="9026" w:leader="dot"/>
            </w:tabs>
            <w:rPr/>
          </w:pPr>
          <w:hyperlink w:anchor="__RefHeading___Toc606608_1934241801">
            <w:r>
              <w:rPr>
                <w:webHidden/>
                <w:rStyle w:val="IndexLink"/>
                <w:rtl w:val="true"/>
              </w:rPr>
              <w:t xml:space="preserve">روایت </w:t>
            </w:r>
            <w:r>
              <w:rPr>
                <w:rStyle w:val="IndexLink"/>
              </w:rPr>
              <w:t>8</w:t>
            </w:r>
            <w:r>
              <w:rPr>
                <w:rStyle w:val="IndexLink"/>
                <w:rtl w:val="true"/>
              </w:rPr>
              <w:tab/>
            </w:r>
            <w:r>
              <w:rPr>
                <w:rStyle w:val="IndexLink"/>
              </w:rPr>
              <w:t>425</w:t>
            </w:r>
          </w:hyperlink>
        </w:p>
        <w:p>
          <w:pPr>
            <w:pStyle w:val="Contents5"/>
            <w:tabs>
              <w:tab w:val="clear" w:pos="7892"/>
              <w:tab w:val="right" w:pos="9026" w:leader="dot"/>
            </w:tabs>
            <w:rPr/>
          </w:pPr>
          <w:hyperlink w:anchor="__RefHeading___Toc606610_1934241801">
            <w:r>
              <w:rPr>
                <w:webHidden/>
                <w:rStyle w:val="IndexLink"/>
                <w:rtl w:val="true"/>
              </w:rPr>
              <w:t>بيان</w:t>
            </w:r>
            <w:r>
              <w:rPr>
                <w:rStyle w:val="IndexLink"/>
                <w:rtl w:val="true"/>
              </w:rPr>
              <w:tab/>
            </w:r>
            <w:r>
              <w:rPr>
                <w:rStyle w:val="IndexLink"/>
              </w:rPr>
              <w:t>426</w:t>
            </w:r>
          </w:hyperlink>
        </w:p>
        <w:p>
          <w:pPr>
            <w:pStyle w:val="Contents5"/>
            <w:tabs>
              <w:tab w:val="clear" w:pos="7892"/>
              <w:tab w:val="right" w:pos="9026" w:leader="dot"/>
            </w:tabs>
            <w:rPr/>
          </w:pPr>
          <w:hyperlink w:anchor="__RefHeading___Toc606612_1934241801">
            <w:r>
              <w:rPr>
                <w:webHidden/>
                <w:rStyle w:val="IndexLink"/>
                <w:rtl w:val="true"/>
              </w:rPr>
              <w:t>«</w:t>
            </w:r>
            <w:r>
              <w:rPr>
                <w:rStyle w:val="IndexLink"/>
              </w:rPr>
              <w:t>9</w:t>
            </w:r>
            <w:r>
              <w:rPr>
                <w:rStyle w:val="IndexLink"/>
                <w:rtl w:val="true"/>
              </w:rPr>
              <w:t>»</w:t>
              <w:tab/>
            </w:r>
            <w:r>
              <w:rPr>
                <w:rStyle w:val="IndexLink"/>
              </w:rPr>
              <w:t>426</w:t>
            </w:r>
          </w:hyperlink>
        </w:p>
        <w:p>
          <w:pPr>
            <w:pStyle w:val="Contents5"/>
            <w:tabs>
              <w:tab w:val="clear" w:pos="7892"/>
              <w:tab w:val="right" w:pos="9026" w:leader="dot"/>
            </w:tabs>
            <w:rPr/>
          </w:pPr>
          <w:hyperlink w:anchor="__RefHeading___Toc606614_1934241801">
            <w:r>
              <w:rPr>
                <w:webHidden/>
                <w:rStyle w:val="IndexLink"/>
                <w:rtl w:val="true"/>
              </w:rPr>
              <w:t>«</w:t>
            </w:r>
            <w:r>
              <w:rPr>
                <w:rStyle w:val="IndexLink"/>
              </w:rPr>
              <w:t>10</w:t>
            </w:r>
            <w:r>
              <w:rPr>
                <w:rStyle w:val="IndexLink"/>
                <w:rtl w:val="true"/>
              </w:rPr>
              <w:t>»</w:t>
              <w:tab/>
            </w:r>
            <w:r>
              <w:rPr>
                <w:rStyle w:val="IndexLink"/>
              </w:rPr>
              <w:t>426</w:t>
            </w:r>
          </w:hyperlink>
        </w:p>
        <w:p>
          <w:pPr>
            <w:pStyle w:val="Contents5"/>
            <w:tabs>
              <w:tab w:val="clear" w:pos="7892"/>
              <w:tab w:val="right" w:pos="9026" w:leader="dot"/>
            </w:tabs>
            <w:rPr/>
          </w:pPr>
          <w:hyperlink w:anchor="__RefHeading___Toc606616_1934241801">
            <w:r>
              <w:rPr>
                <w:webHidden/>
                <w:rStyle w:val="IndexLink"/>
                <w:rtl w:val="true"/>
              </w:rPr>
              <w:t>«</w:t>
            </w:r>
            <w:r>
              <w:rPr>
                <w:rStyle w:val="IndexLink"/>
              </w:rPr>
              <w:t>11</w:t>
            </w:r>
            <w:r>
              <w:rPr>
                <w:rStyle w:val="IndexLink"/>
                <w:rtl w:val="true"/>
              </w:rPr>
              <w:t>»</w:t>
              <w:tab/>
            </w:r>
            <w:r>
              <w:rPr>
                <w:rStyle w:val="IndexLink"/>
              </w:rPr>
              <w:t>426</w:t>
            </w:r>
          </w:hyperlink>
        </w:p>
        <w:p>
          <w:pPr>
            <w:pStyle w:val="Contents5"/>
            <w:tabs>
              <w:tab w:val="clear" w:pos="7892"/>
              <w:tab w:val="right" w:pos="9026" w:leader="dot"/>
            </w:tabs>
            <w:rPr/>
          </w:pPr>
          <w:hyperlink w:anchor="__RefHeading___Toc606618_1934241801">
            <w:r>
              <w:rPr>
                <w:webHidden/>
                <w:rStyle w:val="IndexLink"/>
                <w:rtl w:val="true"/>
              </w:rPr>
              <w:t>توضیح</w:t>
            </w:r>
            <w:r>
              <w:rPr>
                <w:rStyle w:val="IndexLink"/>
                <w:rtl w:val="true"/>
              </w:rPr>
              <w:tab/>
            </w:r>
            <w:r>
              <w:rPr>
                <w:rStyle w:val="IndexLink"/>
              </w:rPr>
              <w:t>426</w:t>
            </w:r>
          </w:hyperlink>
        </w:p>
        <w:p>
          <w:pPr>
            <w:pStyle w:val="Contents5"/>
            <w:tabs>
              <w:tab w:val="clear" w:pos="7892"/>
              <w:tab w:val="right" w:pos="9026" w:leader="dot"/>
            </w:tabs>
            <w:rPr/>
          </w:pPr>
          <w:hyperlink w:anchor="__RefHeading___Toc606620_1934241801">
            <w:r>
              <w:rPr>
                <w:webHidden/>
                <w:rStyle w:val="IndexLink"/>
                <w:rtl w:val="true"/>
              </w:rPr>
              <w:t xml:space="preserve">روایت </w:t>
            </w:r>
            <w:r>
              <w:rPr>
                <w:rStyle w:val="IndexLink"/>
              </w:rPr>
              <w:t>9</w:t>
            </w:r>
            <w:r>
              <w:rPr>
                <w:rStyle w:val="IndexLink"/>
                <w:rtl w:val="true"/>
              </w:rPr>
              <w:tab/>
            </w:r>
            <w:r>
              <w:rPr>
                <w:rStyle w:val="IndexLink"/>
              </w:rPr>
              <w:t>426</w:t>
            </w:r>
          </w:hyperlink>
        </w:p>
        <w:p>
          <w:pPr>
            <w:pStyle w:val="Contents5"/>
            <w:tabs>
              <w:tab w:val="clear" w:pos="7892"/>
              <w:tab w:val="right" w:pos="9026" w:leader="dot"/>
            </w:tabs>
            <w:rPr/>
          </w:pPr>
          <w:hyperlink w:anchor="__RefHeading___Toc606622_1934241801">
            <w:r>
              <w:rPr>
                <w:webHidden/>
                <w:rStyle w:val="IndexLink"/>
                <w:rtl w:val="true"/>
              </w:rPr>
              <w:t xml:space="preserve">روایت </w:t>
            </w:r>
            <w:r>
              <w:rPr>
                <w:rStyle w:val="IndexLink"/>
              </w:rPr>
              <w:t>10</w:t>
            </w:r>
            <w:r>
              <w:rPr>
                <w:rStyle w:val="IndexLink"/>
                <w:rtl w:val="true"/>
              </w:rPr>
              <w:tab/>
            </w:r>
            <w:r>
              <w:rPr>
                <w:rStyle w:val="IndexLink"/>
              </w:rPr>
              <w:t>426</w:t>
            </w:r>
          </w:hyperlink>
        </w:p>
        <w:p>
          <w:pPr>
            <w:pStyle w:val="Contents5"/>
            <w:tabs>
              <w:tab w:val="clear" w:pos="7892"/>
              <w:tab w:val="right" w:pos="9026" w:leader="dot"/>
            </w:tabs>
            <w:rPr/>
          </w:pPr>
          <w:hyperlink w:anchor="__RefHeading___Toc606624_1934241801">
            <w:r>
              <w:rPr>
                <w:webHidden/>
                <w:rStyle w:val="IndexLink"/>
                <w:rtl w:val="true"/>
              </w:rPr>
              <w:t xml:space="preserve">روایت </w:t>
            </w:r>
            <w:r>
              <w:rPr>
                <w:rStyle w:val="IndexLink"/>
              </w:rPr>
              <w:t>11</w:t>
            </w:r>
            <w:r>
              <w:rPr>
                <w:rStyle w:val="IndexLink"/>
                <w:rtl w:val="true"/>
              </w:rPr>
              <w:tab/>
            </w:r>
            <w:r>
              <w:rPr>
                <w:rStyle w:val="IndexLink"/>
              </w:rPr>
              <w:t>427</w:t>
            </w:r>
          </w:hyperlink>
        </w:p>
        <w:p>
          <w:pPr>
            <w:pStyle w:val="Contents5"/>
            <w:tabs>
              <w:tab w:val="clear" w:pos="7892"/>
              <w:tab w:val="right" w:pos="9026" w:leader="dot"/>
            </w:tabs>
            <w:rPr/>
          </w:pPr>
          <w:hyperlink w:anchor="__RefHeading___Toc606626_1934241801">
            <w:r>
              <w:rPr>
                <w:webHidden/>
                <w:rStyle w:val="IndexLink"/>
                <w:rtl w:val="true"/>
              </w:rPr>
              <w:t>«</w:t>
            </w:r>
            <w:r>
              <w:rPr>
                <w:rStyle w:val="IndexLink"/>
              </w:rPr>
              <w:t>12</w:t>
            </w:r>
            <w:r>
              <w:rPr>
                <w:rStyle w:val="IndexLink"/>
                <w:rtl w:val="true"/>
              </w:rPr>
              <w:t>»</w:t>
              <w:tab/>
            </w:r>
            <w:r>
              <w:rPr>
                <w:rStyle w:val="IndexLink"/>
              </w:rPr>
              <w:t>428</w:t>
            </w:r>
          </w:hyperlink>
        </w:p>
        <w:p>
          <w:pPr>
            <w:pStyle w:val="Contents5"/>
            <w:tabs>
              <w:tab w:val="clear" w:pos="7892"/>
              <w:tab w:val="right" w:pos="9026" w:leader="dot"/>
            </w:tabs>
            <w:rPr/>
          </w:pPr>
          <w:hyperlink w:anchor="__RefHeading___Toc606628_1934241801">
            <w:r>
              <w:rPr>
                <w:webHidden/>
                <w:rStyle w:val="IndexLink"/>
                <w:rtl w:val="true"/>
              </w:rPr>
              <w:t>«</w:t>
            </w:r>
            <w:r>
              <w:rPr>
                <w:rStyle w:val="IndexLink"/>
              </w:rPr>
              <w:t>13</w:t>
            </w:r>
            <w:r>
              <w:rPr>
                <w:rStyle w:val="IndexLink"/>
                <w:rtl w:val="true"/>
              </w:rPr>
              <w:t>»</w:t>
              <w:tab/>
            </w:r>
            <w:r>
              <w:rPr>
                <w:rStyle w:val="IndexLink"/>
              </w:rPr>
              <w:t>428</w:t>
            </w:r>
          </w:hyperlink>
        </w:p>
        <w:p>
          <w:pPr>
            <w:pStyle w:val="Contents5"/>
            <w:tabs>
              <w:tab w:val="clear" w:pos="7892"/>
              <w:tab w:val="right" w:pos="9026" w:leader="dot"/>
            </w:tabs>
            <w:rPr/>
          </w:pPr>
          <w:hyperlink w:anchor="__RefHeading___Toc606630_1934241801">
            <w:r>
              <w:rPr>
                <w:webHidden/>
                <w:rStyle w:val="IndexLink"/>
                <w:rtl w:val="true"/>
              </w:rPr>
              <w:t>«</w:t>
            </w:r>
            <w:r>
              <w:rPr>
                <w:rStyle w:val="IndexLink"/>
              </w:rPr>
              <w:t>14</w:t>
            </w:r>
            <w:r>
              <w:rPr>
                <w:rStyle w:val="IndexLink"/>
                <w:rtl w:val="true"/>
              </w:rPr>
              <w:t>»</w:t>
              <w:tab/>
            </w:r>
            <w:r>
              <w:rPr>
                <w:rStyle w:val="IndexLink"/>
              </w:rPr>
              <w:t>428</w:t>
            </w:r>
          </w:hyperlink>
        </w:p>
        <w:p>
          <w:pPr>
            <w:pStyle w:val="Contents5"/>
            <w:tabs>
              <w:tab w:val="clear" w:pos="7892"/>
              <w:tab w:val="right" w:pos="9026" w:leader="dot"/>
            </w:tabs>
            <w:rPr/>
          </w:pPr>
          <w:hyperlink w:anchor="__RefHeading___Toc606632_1934241801">
            <w:r>
              <w:rPr>
                <w:webHidden/>
                <w:rStyle w:val="IndexLink"/>
                <w:rtl w:val="true"/>
              </w:rPr>
              <w:t>«</w:t>
            </w:r>
            <w:r>
              <w:rPr>
                <w:rStyle w:val="IndexLink"/>
              </w:rPr>
              <w:t>15</w:t>
            </w:r>
            <w:r>
              <w:rPr>
                <w:rStyle w:val="IndexLink"/>
                <w:rtl w:val="true"/>
              </w:rPr>
              <w:t>»</w:t>
              <w:tab/>
            </w:r>
            <w:r>
              <w:rPr>
                <w:rStyle w:val="IndexLink"/>
              </w:rPr>
              <w:t>428</w:t>
            </w:r>
          </w:hyperlink>
        </w:p>
        <w:p>
          <w:pPr>
            <w:pStyle w:val="Contents5"/>
            <w:tabs>
              <w:tab w:val="clear" w:pos="7892"/>
              <w:tab w:val="right" w:pos="9026" w:leader="dot"/>
            </w:tabs>
            <w:rPr/>
          </w:pPr>
          <w:hyperlink w:anchor="__RefHeading___Toc606634_1934241801">
            <w:r>
              <w:rPr>
                <w:webHidden/>
                <w:rStyle w:val="IndexLink"/>
                <w:rtl w:val="true"/>
              </w:rPr>
              <w:t>«</w:t>
            </w:r>
            <w:r>
              <w:rPr>
                <w:rStyle w:val="IndexLink"/>
              </w:rPr>
              <w:t>16</w:t>
            </w:r>
            <w:r>
              <w:rPr>
                <w:rStyle w:val="IndexLink"/>
                <w:rtl w:val="true"/>
              </w:rPr>
              <w:t>»</w:t>
              <w:tab/>
            </w:r>
            <w:r>
              <w:rPr>
                <w:rStyle w:val="IndexLink"/>
              </w:rPr>
              <w:t>428</w:t>
            </w:r>
          </w:hyperlink>
        </w:p>
        <w:p>
          <w:pPr>
            <w:pStyle w:val="Contents5"/>
            <w:tabs>
              <w:tab w:val="clear" w:pos="7892"/>
              <w:tab w:val="right" w:pos="9026" w:leader="dot"/>
            </w:tabs>
            <w:rPr/>
          </w:pPr>
          <w:hyperlink w:anchor="__RefHeading___Toc606636_1934241801">
            <w:r>
              <w:rPr>
                <w:webHidden/>
                <w:rStyle w:val="IndexLink"/>
                <w:rtl w:val="true"/>
              </w:rPr>
              <w:t xml:space="preserve">روایت </w:t>
            </w:r>
            <w:r>
              <w:rPr>
                <w:rStyle w:val="IndexLink"/>
              </w:rPr>
              <w:t>12</w:t>
            </w:r>
            <w:r>
              <w:rPr>
                <w:rStyle w:val="IndexLink"/>
                <w:rtl w:val="true"/>
              </w:rPr>
              <w:tab/>
            </w:r>
            <w:r>
              <w:rPr>
                <w:rStyle w:val="IndexLink"/>
              </w:rPr>
              <w:t>428</w:t>
            </w:r>
          </w:hyperlink>
        </w:p>
        <w:p>
          <w:pPr>
            <w:pStyle w:val="Contents5"/>
            <w:tabs>
              <w:tab w:val="clear" w:pos="7892"/>
              <w:tab w:val="right" w:pos="9026" w:leader="dot"/>
            </w:tabs>
            <w:rPr/>
          </w:pPr>
          <w:hyperlink w:anchor="__RefHeading___Toc606638_1934241801">
            <w:r>
              <w:rPr>
                <w:webHidden/>
                <w:rStyle w:val="IndexLink"/>
                <w:rtl w:val="true"/>
              </w:rPr>
              <w:t xml:space="preserve">روایت </w:t>
            </w:r>
            <w:r>
              <w:rPr>
                <w:rStyle w:val="IndexLink"/>
              </w:rPr>
              <w:t>13</w:t>
            </w:r>
            <w:r>
              <w:rPr>
                <w:rStyle w:val="IndexLink"/>
                <w:rtl w:val="true"/>
              </w:rPr>
              <w:tab/>
            </w:r>
            <w:r>
              <w:rPr>
                <w:rStyle w:val="IndexLink"/>
              </w:rPr>
              <w:t>428</w:t>
            </w:r>
          </w:hyperlink>
        </w:p>
        <w:p>
          <w:pPr>
            <w:pStyle w:val="Contents5"/>
            <w:tabs>
              <w:tab w:val="clear" w:pos="7892"/>
              <w:tab w:val="right" w:pos="9026" w:leader="dot"/>
            </w:tabs>
            <w:rPr/>
          </w:pPr>
          <w:hyperlink w:anchor="__RefHeading___Toc606640_1934241801">
            <w:r>
              <w:rPr>
                <w:webHidden/>
                <w:rStyle w:val="IndexLink"/>
                <w:rtl w:val="true"/>
              </w:rPr>
              <w:t xml:space="preserve">روایت </w:t>
            </w:r>
            <w:r>
              <w:rPr>
                <w:rStyle w:val="IndexLink"/>
              </w:rPr>
              <w:t>14</w:t>
            </w:r>
            <w:r>
              <w:rPr>
                <w:rStyle w:val="IndexLink"/>
                <w:rtl w:val="true"/>
              </w:rPr>
              <w:tab/>
            </w:r>
            <w:r>
              <w:rPr>
                <w:rStyle w:val="IndexLink"/>
              </w:rPr>
              <w:t>429</w:t>
            </w:r>
          </w:hyperlink>
        </w:p>
        <w:p>
          <w:pPr>
            <w:pStyle w:val="Contents5"/>
            <w:tabs>
              <w:tab w:val="clear" w:pos="7892"/>
              <w:tab w:val="right" w:pos="9026" w:leader="dot"/>
            </w:tabs>
            <w:rPr/>
          </w:pPr>
          <w:hyperlink w:anchor="__RefHeading___Toc606642_1934241801">
            <w:r>
              <w:rPr>
                <w:webHidden/>
                <w:rStyle w:val="IndexLink"/>
                <w:rtl w:val="true"/>
              </w:rPr>
              <w:t xml:space="preserve">روایت </w:t>
            </w:r>
            <w:r>
              <w:rPr>
                <w:rStyle w:val="IndexLink"/>
              </w:rPr>
              <w:t>15</w:t>
            </w:r>
            <w:r>
              <w:rPr>
                <w:rStyle w:val="IndexLink"/>
                <w:rtl w:val="true"/>
              </w:rPr>
              <w:tab/>
            </w:r>
            <w:r>
              <w:rPr>
                <w:rStyle w:val="IndexLink"/>
              </w:rPr>
              <w:t>429</w:t>
            </w:r>
          </w:hyperlink>
        </w:p>
        <w:p>
          <w:pPr>
            <w:pStyle w:val="Contents5"/>
            <w:tabs>
              <w:tab w:val="clear" w:pos="7892"/>
              <w:tab w:val="right" w:pos="9026" w:leader="dot"/>
            </w:tabs>
            <w:rPr/>
          </w:pPr>
          <w:hyperlink w:anchor="__RefHeading___Toc606644_1934241801">
            <w:r>
              <w:rPr>
                <w:webHidden/>
                <w:rStyle w:val="IndexLink"/>
                <w:rtl w:val="true"/>
              </w:rPr>
              <w:t xml:space="preserve">روایت </w:t>
            </w:r>
            <w:r>
              <w:rPr>
                <w:rStyle w:val="IndexLink"/>
              </w:rPr>
              <w:t>16</w:t>
            </w:r>
            <w:r>
              <w:rPr>
                <w:rStyle w:val="IndexLink"/>
                <w:rtl w:val="true"/>
              </w:rPr>
              <w:tab/>
            </w:r>
            <w:r>
              <w:rPr>
                <w:rStyle w:val="IndexLink"/>
              </w:rPr>
              <w:t>429</w:t>
            </w:r>
          </w:hyperlink>
        </w:p>
        <w:p>
          <w:pPr>
            <w:pStyle w:val="Contents5"/>
            <w:tabs>
              <w:tab w:val="clear" w:pos="7892"/>
              <w:tab w:val="right" w:pos="9026" w:leader="dot"/>
            </w:tabs>
            <w:rPr/>
          </w:pPr>
          <w:hyperlink w:anchor="__RefHeading___Toc606646_1934241801">
            <w:r>
              <w:rPr>
                <w:webHidden/>
                <w:rStyle w:val="IndexLink"/>
                <w:rtl w:val="true"/>
              </w:rPr>
              <w:t>«</w:t>
            </w:r>
            <w:r>
              <w:rPr>
                <w:rStyle w:val="IndexLink"/>
              </w:rPr>
              <w:t>17</w:t>
            </w:r>
            <w:r>
              <w:rPr>
                <w:rStyle w:val="IndexLink"/>
                <w:rtl w:val="true"/>
              </w:rPr>
              <w:t>»</w:t>
              <w:tab/>
            </w:r>
            <w:r>
              <w:rPr>
                <w:rStyle w:val="IndexLink"/>
              </w:rPr>
              <w:t>430</w:t>
            </w:r>
          </w:hyperlink>
        </w:p>
        <w:p>
          <w:pPr>
            <w:pStyle w:val="Contents5"/>
            <w:tabs>
              <w:tab w:val="clear" w:pos="7892"/>
              <w:tab w:val="right" w:pos="9026" w:leader="dot"/>
            </w:tabs>
            <w:rPr/>
          </w:pPr>
          <w:hyperlink w:anchor="__RefHeading___Toc606648_1934241801">
            <w:r>
              <w:rPr>
                <w:webHidden/>
                <w:rStyle w:val="IndexLink"/>
                <w:rtl w:val="true"/>
              </w:rPr>
              <w:t>«</w:t>
            </w:r>
            <w:r>
              <w:rPr>
                <w:rStyle w:val="IndexLink"/>
              </w:rPr>
              <w:t>18</w:t>
            </w:r>
            <w:r>
              <w:rPr>
                <w:rStyle w:val="IndexLink"/>
                <w:rtl w:val="true"/>
              </w:rPr>
              <w:t>»</w:t>
              <w:tab/>
            </w:r>
            <w:r>
              <w:rPr>
                <w:rStyle w:val="IndexLink"/>
              </w:rPr>
              <w:t>430</w:t>
            </w:r>
          </w:hyperlink>
        </w:p>
        <w:p>
          <w:pPr>
            <w:pStyle w:val="Contents5"/>
            <w:tabs>
              <w:tab w:val="clear" w:pos="7892"/>
              <w:tab w:val="right" w:pos="9026" w:leader="dot"/>
            </w:tabs>
            <w:rPr/>
          </w:pPr>
          <w:hyperlink w:anchor="__RefHeading___Toc606650_1934241801">
            <w:r>
              <w:rPr>
                <w:webHidden/>
                <w:rStyle w:val="IndexLink"/>
                <w:rtl w:val="true"/>
              </w:rPr>
              <w:t>«</w:t>
            </w:r>
            <w:r>
              <w:rPr>
                <w:rStyle w:val="IndexLink"/>
              </w:rPr>
              <w:t>19</w:t>
            </w:r>
            <w:r>
              <w:rPr>
                <w:rStyle w:val="IndexLink"/>
                <w:rtl w:val="true"/>
              </w:rPr>
              <w:t>»</w:t>
              <w:tab/>
            </w:r>
            <w:r>
              <w:rPr>
                <w:rStyle w:val="IndexLink"/>
              </w:rPr>
              <w:t>430</w:t>
            </w:r>
          </w:hyperlink>
        </w:p>
        <w:p>
          <w:pPr>
            <w:pStyle w:val="Contents5"/>
            <w:tabs>
              <w:tab w:val="clear" w:pos="7892"/>
              <w:tab w:val="right" w:pos="9026" w:leader="dot"/>
            </w:tabs>
            <w:rPr/>
          </w:pPr>
          <w:hyperlink w:anchor="__RefHeading___Toc606652_1934241801">
            <w:r>
              <w:rPr>
                <w:webHidden/>
                <w:rStyle w:val="IndexLink"/>
                <w:rtl w:val="true"/>
              </w:rPr>
              <w:t>«</w:t>
            </w:r>
            <w:r>
              <w:rPr>
                <w:rStyle w:val="IndexLink"/>
              </w:rPr>
              <w:t>20</w:t>
            </w:r>
            <w:r>
              <w:rPr>
                <w:rStyle w:val="IndexLink"/>
                <w:rtl w:val="true"/>
              </w:rPr>
              <w:t>»</w:t>
              <w:tab/>
            </w:r>
            <w:r>
              <w:rPr>
                <w:rStyle w:val="IndexLink"/>
              </w:rPr>
              <w:t>430</w:t>
            </w:r>
          </w:hyperlink>
        </w:p>
        <w:p>
          <w:pPr>
            <w:pStyle w:val="Contents5"/>
            <w:tabs>
              <w:tab w:val="clear" w:pos="7892"/>
              <w:tab w:val="right" w:pos="9026" w:leader="dot"/>
            </w:tabs>
            <w:rPr/>
          </w:pPr>
          <w:hyperlink w:anchor="__RefHeading___Toc606654_1934241801">
            <w:r>
              <w:rPr>
                <w:webHidden/>
                <w:rStyle w:val="IndexLink"/>
                <w:rtl w:val="true"/>
              </w:rPr>
              <w:t>«</w:t>
            </w:r>
            <w:r>
              <w:rPr>
                <w:rStyle w:val="IndexLink"/>
              </w:rPr>
              <w:t>21</w:t>
            </w:r>
            <w:r>
              <w:rPr>
                <w:rStyle w:val="IndexLink"/>
                <w:rtl w:val="true"/>
              </w:rPr>
              <w:t>»</w:t>
              <w:tab/>
            </w:r>
            <w:r>
              <w:rPr>
                <w:rStyle w:val="IndexLink"/>
              </w:rPr>
              <w:t>430</w:t>
            </w:r>
          </w:hyperlink>
        </w:p>
        <w:p>
          <w:pPr>
            <w:pStyle w:val="Contents5"/>
            <w:tabs>
              <w:tab w:val="clear" w:pos="7892"/>
              <w:tab w:val="right" w:pos="9026" w:leader="dot"/>
            </w:tabs>
            <w:rPr/>
          </w:pPr>
          <w:hyperlink w:anchor="__RefHeading___Toc606656_1934241801">
            <w:r>
              <w:rPr>
                <w:webHidden/>
                <w:rStyle w:val="IndexLink"/>
                <w:rtl w:val="true"/>
              </w:rPr>
              <w:t xml:space="preserve">روایت </w:t>
            </w:r>
            <w:r>
              <w:rPr>
                <w:rStyle w:val="IndexLink"/>
              </w:rPr>
              <w:t>17</w:t>
            </w:r>
            <w:r>
              <w:rPr>
                <w:rStyle w:val="IndexLink"/>
                <w:rtl w:val="true"/>
              </w:rPr>
              <w:tab/>
            </w:r>
            <w:r>
              <w:rPr>
                <w:rStyle w:val="IndexLink"/>
              </w:rPr>
              <w:t>430</w:t>
            </w:r>
          </w:hyperlink>
        </w:p>
        <w:p>
          <w:pPr>
            <w:pStyle w:val="Contents5"/>
            <w:tabs>
              <w:tab w:val="clear" w:pos="7892"/>
              <w:tab w:val="right" w:pos="9026" w:leader="dot"/>
            </w:tabs>
            <w:rPr/>
          </w:pPr>
          <w:hyperlink w:anchor="__RefHeading___Toc606658_1934241801">
            <w:r>
              <w:rPr>
                <w:webHidden/>
                <w:rStyle w:val="IndexLink"/>
                <w:rtl w:val="true"/>
              </w:rPr>
              <w:t xml:space="preserve">روایت </w:t>
            </w:r>
            <w:r>
              <w:rPr>
                <w:rStyle w:val="IndexLink"/>
              </w:rPr>
              <w:t>18</w:t>
            </w:r>
            <w:r>
              <w:rPr>
                <w:rStyle w:val="IndexLink"/>
                <w:rtl w:val="true"/>
              </w:rPr>
              <w:tab/>
            </w:r>
            <w:r>
              <w:rPr>
                <w:rStyle w:val="IndexLink"/>
              </w:rPr>
              <w:t>430</w:t>
            </w:r>
          </w:hyperlink>
        </w:p>
        <w:p>
          <w:pPr>
            <w:pStyle w:val="Contents5"/>
            <w:tabs>
              <w:tab w:val="clear" w:pos="7892"/>
              <w:tab w:val="right" w:pos="9026" w:leader="dot"/>
            </w:tabs>
            <w:rPr/>
          </w:pPr>
          <w:hyperlink w:anchor="__RefHeading___Toc606660_1934241801">
            <w:r>
              <w:rPr>
                <w:webHidden/>
                <w:rStyle w:val="IndexLink"/>
                <w:rtl w:val="true"/>
              </w:rPr>
              <w:t xml:space="preserve">روایت </w:t>
            </w:r>
            <w:r>
              <w:rPr>
                <w:rStyle w:val="IndexLink"/>
              </w:rPr>
              <w:t>19</w:t>
            </w:r>
            <w:r>
              <w:rPr>
                <w:rStyle w:val="IndexLink"/>
                <w:rtl w:val="true"/>
              </w:rPr>
              <w:tab/>
            </w:r>
            <w:r>
              <w:rPr>
                <w:rStyle w:val="IndexLink"/>
              </w:rPr>
              <w:t>431</w:t>
            </w:r>
          </w:hyperlink>
        </w:p>
        <w:p>
          <w:pPr>
            <w:pStyle w:val="Contents5"/>
            <w:tabs>
              <w:tab w:val="clear" w:pos="7892"/>
              <w:tab w:val="right" w:pos="9026" w:leader="dot"/>
            </w:tabs>
            <w:rPr/>
          </w:pPr>
          <w:hyperlink w:anchor="__RefHeading___Toc606662_1934241801">
            <w:r>
              <w:rPr>
                <w:webHidden/>
                <w:rStyle w:val="IndexLink"/>
                <w:rtl w:val="true"/>
              </w:rPr>
              <w:t xml:space="preserve">روایت </w:t>
            </w:r>
            <w:r>
              <w:rPr>
                <w:rStyle w:val="IndexLink"/>
              </w:rPr>
              <w:t>20</w:t>
            </w:r>
            <w:r>
              <w:rPr>
                <w:rStyle w:val="IndexLink"/>
                <w:rtl w:val="true"/>
              </w:rPr>
              <w:tab/>
            </w:r>
            <w:r>
              <w:rPr>
                <w:rStyle w:val="IndexLink"/>
              </w:rPr>
              <w:t>431</w:t>
            </w:r>
          </w:hyperlink>
        </w:p>
        <w:p>
          <w:pPr>
            <w:pStyle w:val="Contents5"/>
            <w:tabs>
              <w:tab w:val="clear" w:pos="7892"/>
              <w:tab w:val="right" w:pos="9026" w:leader="dot"/>
            </w:tabs>
            <w:rPr/>
          </w:pPr>
          <w:hyperlink w:anchor="__RefHeading___Toc606664_1934241801">
            <w:r>
              <w:rPr>
                <w:webHidden/>
                <w:rStyle w:val="IndexLink"/>
                <w:rtl w:val="true"/>
              </w:rPr>
              <w:t xml:space="preserve">روایت </w:t>
            </w:r>
            <w:r>
              <w:rPr>
                <w:rStyle w:val="IndexLink"/>
              </w:rPr>
              <w:t>21</w:t>
            </w:r>
            <w:r>
              <w:rPr>
                <w:rStyle w:val="IndexLink"/>
                <w:rtl w:val="true"/>
              </w:rPr>
              <w:tab/>
            </w:r>
            <w:r>
              <w:rPr>
                <w:rStyle w:val="IndexLink"/>
              </w:rPr>
              <w:t>431</w:t>
            </w:r>
          </w:hyperlink>
        </w:p>
        <w:p>
          <w:pPr>
            <w:pStyle w:val="Contents5"/>
            <w:tabs>
              <w:tab w:val="clear" w:pos="7892"/>
              <w:tab w:val="right" w:pos="9026" w:leader="dot"/>
            </w:tabs>
            <w:rPr/>
          </w:pPr>
          <w:hyperlink w:anchor="__RefHeading___Toc606666_1934241801">
            <w:r>
              <w:rPr>
                <w:webHidden/>
                <w:rStyle w:val="IndexLink"/>
                <w:rtl w:val="true"/>
              </w:rPr>
              <w:t>بيان</w:t>
            </w:r>
            <w:r>
              <w:rPr>
                <w:rStyle w:val="IndexLink"/>
                <w:rtl w:val="true"/>
              </w:rPr>
              <w:tab/>
            </w:r>
            <w:r>
              <w:rPr>
                <w:rStyle w:val="IndexLink"/>
              </w:rPr>
              <w:t>432</w:t>
            </w:r>
          </w:hyperlink>
        </w:p>
        <w:p>
          <w:pPr>
            <w:pStyle w:val="Contents5"/>
            <w:tabs>
              <w:tab w:val="clear" w:pos="7892"/>
              <w:tab w:val="right" w:pos="9026" w:leader="dot"/>
            </w:tabs>
            <w:rPr/>
          </w:pPr>
          <w:hyperlink w:anchor="__RefHeading___Toc606668_1934241801">
            <w:r>
              <w:rPr>
                <w:webHidden/>
                <w:rStyle w:val="IndexLink"/>
                <w:rtl w:val="true"/>
              </w:rPr>
              <w:t>«</w:t>
            </w:r>
            <w:r>
              <w:rPr>
                <w:rStyle w:val="IndexLink"/>
              </w:rPr>
              <w:t>22</w:t>
            </w:r>
            <w:r>
              <w:rPr>
                <w:rStyle w:val="IndexLink"/>
                <w:rtl w:val="true"/>
              </w:rPr>
              <w:t>»</w:t>
              <w:tab/>
            </w:r>
            <w:r>
              <w:rPr>
                <w:rStyle w:val="IndexLink"/>
              </w:rPr>
              <w:t>432</w:t>
            </w:r>
          </w:hyperlink>
        </w:p>
        <w:p>
          <w:pPr>
            <w:pStyle w:val="Contents5"/>
            <w:tabs>
              <w:tab w:val="clear" w:pos="7892"/>
              <w:tab w:val="right" w:pos="9026" w:leader="dot"/>
            </w:tabs>
            <w:rPr/>
          </w:pPr>
          <w:hyperlink w:anchor="__RefHeading___Toc606670_1934241801">
            <w:r>
              <w:rPr>
                <w:webHidden/>
                <w:rStyle w:val="IndexLink"/>
                <w:rtl w:val="true"/>
              </w:rPr>
              <w:t>«</w:t>
            </w:r>
            <w:r>
              <w:rPr>
                <w:rStyle w:val="IndexLink"/>
              </w:rPr>
              <w:t>23</w:t>
            </w:r>
            <w:r>
              <w:rPr>
                <w:rStyle w:val="IndexLink"/>
                <w:rtl w:val="true"/>
              </w:rPr>
              <w:t>»</w:t>
              <w:tab/>
            </w:r>
            <w:r>
              <w:rPr>
                <w:rStyle w:val="IndexLink"/>
              </w:rPr>
              <w:t>432</w:t>
            </w:r>
          </w:hyperlink>
        </w:p>
        <w:p>
          <w:pPr>
            <w:pStyle w:val="Contents5"/>
            <w:tabs>
              <w:tab w:val="clear" w:pos="7892"/>
              <w:tab w:val="right" w:pos="9026" w:leader="dot"/>
            </w:tabs>
            <w:rPr/>
          </w:pPr>
          <w:hyperlink w:anchor="__RefHeading___Toc606672_1934241801">
            <w:r>
              <w:rPr>
                <w:webHidden/>
                <w:rStyle w:val="IndexLink"/>
                <w:rtl w:val="true"/>
              </w:rPr>
              <w:t>بيان</w:t>
            </w:r>
            <w:r>
              <w:rPr>
                <w:rStyle w:val="IndexLink"/>
                <w:rtl w:val="true"/>
              </w:rPr>
              <w:tab/>
            </w:r>
            <w:r>
              <w:rPr>
                <w:rStyle w:val="IndexLink"/>
              </w:rPr>
              <w:t>432</w:t>
            </w:r>
          </w:hyperlink>
        </w:p>
        <w:p>
          <w:pPr>
            <w:pStyle w:val="Contents5"/>
            <w:tabs>
              <w:tab w:val="clear" w:pos="7892"/>
              <w:tab w:val="right" w:pos="9026" w:leader="dot"/>
            </w:tabs>
            <w:rPr/>
          </w:pPr>
          <w:hyperlink w:anchor="__RefHeading___Toc606674_1934241801">
            <w:r>
              <w:rPr>
                <w:webHidden/>
                <w:rStyle w:val="IndexLink"/>
                <w:rtl w:val="true"/>
              </w:rPr>
              <w:t>«</w:t>
            </w:r>
            <w:r>
              <w:rPr>
                <w:rStyle w:val="IndexLink"/>
              </w:rPr>
              <w:t>24</w:t>
            </w:r>
            <w:r>
              <w:rPr>
                <w:rStyle w:val="IndexLink"/>
                <w:rtl w:val="true"/>
              </w:rPr>
              <w:t>»</w:t>
              <w:tab/>
            </w:r>
            <w:r>
              <w:rPr>
                <w:rStyle w:val="IndexLink"/>
              </w:rPr>
              <w:t>432</w:t>
            </w:r>
          </w:hyperlink>
        </w:p>
        <w:p>
          <w:pPr>
            <w:pStyle w:val="Contents5"/>
            <w:tabs>
              <w:tab w:val="clear" w:pos="7892"/>
              <w:tab w:val="right" w:pos="9026" w:leader="dot"/>
            </w:tabs>
            <w:rPr/>
          </w:pPr>
          <w:hyperlink w:anchor="__RefHeading___Toc606676_1934241801">
            <w:r>
              <w:rPr>
                <w:webHidden/>
                <w:rStyle w:val="IndexLink"/>
                <w:rtl w:val="true"/>
              </w:rPr>
              <w:t>توضیح</w:t>
            </w:r>
            <w:r>
              <w:rPr>
                <w:rStyle w:val="IndexLink"/>
                <w:rtl w:val="true"/>
              </w:rPr>
              <w:tab/>
            </w:r>
            <w:r>
              <w:rPr>
                <w:rStyle w:val="IndexLink"/>
              </w:rPr>
              <w:t>432</w:t>
            </w:r>
          </w:hyperlink>
        </w:p>
        <w:p>
          <w:pPr>
            <w:pStyle w:val="Contents5"/>
            <w:tabs>
              <w:tab w:val="clear" w:pos="7892"/>
              <w:tab w:val="right" w:pos="9026" w:leader="dot"/>
            </w:tabs>
            <w:rPr/>
          </w:pPr>
          <w:hyperlink w:anchor="__RefHeading___Toc606678_1934241801">
            <w:r>
              <w:rPr>
                <w:webHidden/>
                <w:rStyle w:val="IndexLink"/>
                <w:rtl w:val="true"/>
              </w:rPr>
              <w:t xml:space="preserve">روایت </w:t>
            </w:r>
            <w:r>
              <w:rPr>
                <w:rStyle w:val="IndexLink"/>
              </w:rPr>
              <w:t>22</w:t>
            </w:r>
            <w:r>
              <w:rPr>
                <w:rStyle w:val="IndexLink"/>
                <w:rtl w:val="true"/>
              </w:rPr>
              <w:tab/>
            </w:r>
            <w:r>
              <w:rPr>
                <w:rStyle w:val="IndexLink"/>
              </w:rPr>
              <w:t>432</w:t>
            </w:r>
          </w:hyperlink>
        </w:p>
        <w:p>
          <w:pPr>
            <w:pStyle w:val="Contents5"/>
            <w:tabs>
              <w:tab w:val="clear" w:pos="7892"/>
              <w:tab w:val="right" w:pos="9026" w:leader="dot"/>
            </w:tabs>
            <w:rPr/>
          </w:pPr>
          <w:hyperlink w:anchor="__RefHeading___Toc606680_1934241801">
            <w:r>
              <w:rPr>
                <w:webHidden/>
                <w:rStyle w:val="IndexLink"/>
                <w:rtl w:val="true"/>
              </w:rPr>
              <w:t xml:space="preserve">روایت </w:t>
            </w:r>
            <w:r>
              <w:rPr>
                <w:rStyle w:val="IndexLink"/>
              </w:rPr>
              <w:t>23</w:t>
            </w:r>
            <w:r>
              <w:rPr>
                <w:rStyle w:val="IndexLink"/>
                <w:rtl w:val="true"/>
              </w:rPr>
              <w:tab/>
            </w:r>
            <w:r>
              <w:rPr>
                <w:rStyle w:val="IndexLink"/>
              </w:rPr>
              <w:t>433</w:t>
            </w:r>
          </w:hyperlink>
        </w:p>
        <w:p>
          <w:pPr>
            <w:pStyle w:val="Contents5"/>
            <w:tabs>
              <w:tab w:val="clear" w:pos="7892"/>
              <w:tab w:val="right" w:pos="9026" w:leader="dot"/>
            </w:tabs>
            <w:rPr/>
          </w:pPr>
          <w:hyperlink w:anchor="__RefHeading___Toc606682_1934241801">
            <w:r>
              <w:rPr>
                <w:webHidden/>
                <w:rStyle w:val="IndexLink"/>
                <w:rtl w:val="true"/>
              </w:rPr>
              <w:t>توضیح</w:t>
            </w:r>
            <w:r>
              <w:rPr>
                <w:rStyle w:val="IndexLink"/>
                <w:rtl w:val="true"/>
              </w:rPr>
              <w:tab/>
            </w:r>
            <w:r>
              <w:rPr>
                <w:rStyle w:val="IndexLink"/>
              </w:rPr>
              <w:t>433</w:t>
            </w:r>
          </w:hyperlink>
        </w:p>
        <w:p>
          <w:pPr>
            <w:pStyle w:val="Contents5"/>
            <w:tabs>
              <w:tab w:val="clear" w:pos="7892"/>
              <w:tab w:val="right" w:pos="9026" w:leader="dot"/>
            </w:tabs>
            <w:rPr/>
          </w:pPr>
          <w:hyperlink w:anchor="__RefHeading___Toc606684_1934241801">
            <w:r>
              <w:rPr>
                <w:webHidden/>
                <w:rStyle w:val="IndexLink"/>
                <w:rtl w:val="true"/>
              </w:rPr>
              <w:t xml:space="preserve">روایت </w:t>
            </w:r>
            <w:r>
              <w:rPr>
                <w:rStyle w:val="IndexLink"/>
              </w:rPr>
              <w:t>24</w:t>
            </w:r>
            <w:r>
              <w:rPr>
                <w:rStyle w:val="IndexLink"/>
                <w:rtl w:val="true"/>
              </w:rPr>
              <w:tab/>
            </w:r>
            <w:r>
              <w:rPr>
                <w:rStyle w:val="IndexLink"/>
              </w:rPr>
              <w:t>433</w:t>
            </w:r>
          </w:hyperlink>
        </w:p>
        <w:p>
          <w:pPr>
            <w:pStyle w:val="Contents5"/>
            <w:tabs>
              <w:tab w:val="clear" w:pos="7892"/>
              <w:tab w:val="right" w:pos="9026" w:leader="dot"/>
            </w:tabs>
            <w:rPr/>
          </w:pPr>
          <w:hyperlink w:anchor="__RefHeading___Toc606686_1934241801">
            <w:r>
              <w:rPr>
                <w:webHidden/>
                <w:rStyle w:val="IndexLink"/>
                <w:rtl w:val="true"/>
              </w:rPr>
              <w:t>بيان</w:t>
            </w:r>
            <w:r>
              <w:rPr>
                <w:rStyle w:val="IndexLink"/>
                <w:rtl w:val="true"/>
              </w:rPr>
              <w:tab/>
            </w:r>
            <w:r>
              <w:rPr>
                <w:rStyle w:val="IndexLink"/>
              </w:rPr>
              <w:t>434</w:t>
            </w:r>
          </w:hyperlink>
        </w:p>
        <w:p>
          <w:pPr>
            <w:pStyle w:val="Contents5"/>
            <w:tabs>
              <w:tab w:val="clear" w:pos="7892"/>
              <w:tab w:val="right" w:pos="9026" w:leader="dot"/>
            </w:tabs>
            <w:rPr/>
          </w:pPr>
          <w:hyperlink w:anchor="__RefHeading___Toc606688_1934241801">
            <w:r>
              <w:rPr>
                <w:webHidden/>
                <w:rStyle w:val="IndexLink"/>
                <w:rtl w:val="true"/>
              </w:rPr>
              <w:t>«</w:t>
            </w:r>
            <w:r>
              <w:rPr>
                <w:rStyle w:val="IndexLink"/>
              </w:rPr>
              <w:t>25</w:t>
            </w:r>
            <w:r>
              <w:rPr>
                <w:rStyle w:val="IndexLink"/>
                <w:rtl w:val="true"/>
              </w:rPr>
              <w:t>»</w:t>
              <w:tab/>
            </w:r>
            <w:r>
              <w:rPr>
                <w:rStyle w:val="IndexLink"/>
              </w:rPr>
              <w:t>434</w:t>
            </w:r>
          </w:hyperlink>
        </w:p>
        <w:p>
          <w:pPr>
            <w:pStyle w:val="Contents5"/>
            <w:tabs>
              <w:tab w:val="clear" w:pos="7892"/>
              <w:tab w:val="right" w:pos="9026" w:leader="dot"/>
            </w:tabs>
            <w:rPr/>
          </w:pPr>
          <w:hyperlink w:anchor="__RefHeading___Toc606690_1934241801">
            <w:r>
              <w:rPr>
                <w:webHidden/>
                <w:rStyle w:val="IndexLink"/>
                <w:rtl w:val="true"/>
              </w:rPr>
              <w:t>توضیح</w:t>
            </w:r>
            <w:r>
              <w:rPr>
                <w:rStyle w:val="IndexLink"/>
                <w:rtl w:val="true"/>
              </w:rPr>
              <w:tab/>
            </w:r>
            <w:r>
              <w:rPr>
                <w:rStyle w:val="IndexLink"/>
              </w:rPr>
              <w:t>434</w:t>
            </w:r>
          </w:hyperlink>
        </w:p>
        <w:p>
          <w:pPr>
            <w:pStyle w:val="Contents5"/>
            <w:tabs>
              <w:tab w:val="clear" w:pos="7892"/>
              <w:tab w:val="right" w:pos="9026" w:leader="dot"/>
            </w:tabs>
            <w:rPr/>
          </w:pPr>
          <w:hyperlink w:anchor="__RefHeading___Toc606692_1934241801">
            <w:r>
              <w:rPr>
                <w:webHidden/>
                <w:rStyle w:val="IndexLink"/>
                <w:rtl w:val="true"/>
              </w:rPr>
              <w:t xml:space="preserve">روایت </w:t>
            </w:r>
            <w:r>
              <w:rPr>
                <w:rStyle w:val="IndexLink"/>
              </w:rPr>
              <w:t>25</w:t>
            </w:r>
            <w:r>
              <w:rPr>
                <w:rStyle w:val="IndexLink"/>
                <w:rtl w:val="true"/>
              </w:rPr>
              <w:tab/>
            </w:r>
            <w:r>
              <w:rPr>
                <w:rStyle w:val="IndexLink"/>
              </w:rPr>
              <w:t>434</w:t>
            </w:r>
          </w:hyperlink>
        </w:p>
        <w:p>
          <w:pPr>
            <w:pStyle w:val="Contents5"/>
            <w:tabs>
              <w:tab w:val="clear" w:pos="7892"/>
              <w:tab w:val="right" w:pos="9026" w:leader="dot"/>
            </w:tabs>
            <w:rPr/>
          </w:pPr>
          <w:hyperlink w:anchor="__RefHeading___Toc606694_1934241801">
            <w:r>
              <w:rPr>
                <w:webHidden/>
                <w:rStyle w:val="IndexLink"/>
                <w:rtl w:val="true"/>
              </w:rPr>
              <w:t>«</w:t>
            </w:r>
            <w:r>
              <w:rPr>
                <w:rStyle w:val="IndexLink"/>
              </w:rPr>
              <w:t>26</w:t>
            </w:r>
            <w:r>
              <w:rPr>
                <w:rStyle w:val="IndexLink"/>
                <w:rtl w:val="true"/>
              </w:rPr>
              <w:t>»</w:t>
              <w:tab/>
            </w:r>
            <w:r>
              <w:rPr>
                <w:rStyle w:val="IndexLink"/>
              </w:rPr>
              <w:t>436</w:t>
            </w:r>
          </w:hyperlink>
        </w:p>
        <w:p>
          <w:pPr>
            <w:pStyle w:val="Contents5"/>
            <w:tabs>
              <w:tab w:val="clear" w:pos="7892"/>
              <w:tab w:val="right" w:pos="9026" w:leader="dot"/>
            </w:tabs>
            <w:rPr/>
          </w:pPr>
          <w:hyperlink w:anchor="__RefHeading___Toc606696_1934241801">
            <w:r>
              <w:rPr>
                <w:webHidden/>
                <w:rStyle w:val="IndexLink"/>
                <w:rtl w:val="true"/>
              </w:rPr>
              <w:t xml:space="preserve">روایت </w:t>
            </w:r>
            <w:r>
              <w:rPr>
                <w:rStyle w:val="IndexLink"/>
              </w:rPr>
              <w:t>26</w:t>
            </w:r>
            <w:r>
              <w:rPr>
                <w:rStyle w:val="IndexLink"/>
                <w:rtl w:val="true"/>
              </w:rPr>
              <w:tab/>
            </w:r>
            <w:r>
              <w:rPr>
                <w:rStyle w:val="IndexLink"/>
              </w:rPr>
              <w:t>437</w:t>
            </w:r>
          </w:hyperlink>
        </w:p>
        <w:p>
          <w:pPr>
            <w:pStyle w:val="Contents5"/>
            <w:tabs>
              <w:tab w:val="clear" w:pos="7892"/>
              <w:tab w:val="right" w:pos="9026" w:leader="dot"/>
            </w:tabs>
            <w:rPr/>
          </w:pPr>
          <w:hyperlink w:anchor="__RefHeading___Toc606698_1934241801">
            <w:r>
              <w:rPr>
                <w:webHidden/>
                <w:rStyle w:val="IndexLink"/>
                <w:rtl w:val="true"/>
              </w:rPr>
              <w:t>«</w:t>
            </w:r>
            <w:r>
              <w:rPr>
                <w:rStyle w:val="IndexLink"/>
              </w:rPr>
              <w:t>27</w:t>
            </w:r>
            <w:r>
              <w:rPr>
                <w:rStyle w:val="IndexLink"/>
                <w:rtl w:val="true"/>
              </w:rPr>
              <w:t>»</w:t>
              <w:tab/>
            </w:r>
            <w:r>
              <w:rPr>
                <w:rStyle w:val="IndexLink"/>
              </w:rPr>
              <w:t>438</w:t>
            </w:r>
          </w:hyperlink>
        </w:p>
        <w:p>
          <w:pPr>
            <w:pStyle w:val="Contents5"/>
            <w:tabs>
              <w:tab w:val="clear" w:pos="7892"/>
              <w:tab w:val="right" w:pos="9026" w:leader="dot"/>
            </w:tabs>
            <w:rPr/>
          </w:pPr>
          <w:hyperlink w:anchor="__RefHeading___Toc606700_1934241801">
            <w:r>
              <w:rPr>
                <w:webHidden/>
                <w:rStyle w:val="IndexLink"/>
                <w:rtl w:val="true"/>
              </w:rPr>
              <w:t>«</w:t>
            </w:r>
            <w:r>
              <w:rPr>
                <w:rStyle w:val="IndexLink"/>
              </w:rPr>
              <w:t>28</w:t>
            </w:r>
            <w:r>
              <w:rPr>
                <w:rStyle w:val="IndexLink"/>
                <w:rtl w:val="true"/>
              </w:rPr>
              <w:t>»</w:t>
              <w:tab/>
            </w:r>
            <w:r>
              <w:rPr>
                <w:rStyle w:val="IndexLink"/>
              </w:rPr>
              <w:t>438</w:t>
            </w:r>
          </w:hyperlink>
        </w:p>
        <w:p>
          <w:pPr>
            <w:pStyle w:val="Contents5"/>
            <w:tabs>
              <w:tab w:val="clear" w:pos="7892"/>
              <w:tab w:val="right" w:pos="9026" w:leader="dot"/>
            </w:tabs>
            <w:rPr/>
          </w:pPr>
          <w:hyperlink w:anchor="__RefHeading___Toc606702_1934241801">
            <w:r>
              <w:rPr>
                <w:webHidden/>
                <w:rStyle w:val="IndexLink"/>
                <w:rtl w:val="true"/>
              </w:rPr>
              <w:t>«</w:t>
            </w:r>
            <w:r>
              <w:rPr>
                <w:rStyle w:val="IndexLink"/>
              </w:rPr>
              <w:t>29</w:t>
            </w:r>
            <w:r>
              <w:rPr>
                <w:rStyle w:val="IndexLink"/>
                <w:rtl w:val="true"/>
              </w:rPr>
              <w:t>»</w:t>
              <w:tab/>
            </w:r>
            <w:r>
              <w:rPr>
                <w:rStyle w:val="IndexLink"/>
              </w:rPr>
              <w:t>438</w:t>
            </w:r>
          </w:hyperlink>
        </w:p>
        <w:p>
          <w:pPr>
            <w:pStyle w:val="Contents5"/>
            <w:tabs>
              <w:tab w:val="clear" w:pos="7892"/>
              <w:tab w:val="right" w:pos="9026" w:leader="dot"/>
            </w:tabs>
            <w:rPr/>
          </w:pPr>
          <w:hyperlink w:anchor="__RefHeading___Toc606704_1934241801">
            <w:r>
              <w:rPr>
                <w:webHidden/>
                <w:rStyle w:val="IndexLink"/>
                <w:rtl w:val="true"/>
              </w:rPr>
              <w:t>«</w:t>
            </w:r>
            <w:r>
              <w:rPr>
                <w:rStyle w:val="IndexLink"/>
              </w:rPr>
              <w:t>30</w:t>
            </w:r>
            <w:r>
              <w:rPr>
                <w:rStyle w:val="IndexLink"/>
                <w:rtl w:val="true"/>
              </w:rPr>
              <w:t>»</w:t>
              <w:tab/>
            </w:r>
            <w:r>
              <w:rPr>
                <w:rStyle w:val="IndexLink"/>
              </w:rPr>
              <w:t>438</w:t>
            </w:r>
          </w:hyperlink>
        </w:p>
        <w:p>
          <w:pPr>
            <w:pStyle w:val="Contents5"/>
            <w:tabs>
              <w:tab w:val="clear" w:pos="7892"/>
              <w:tab w:val="right" w:pos="9026" w:leader="dot"/>
            </w:tabs>
            <w:rPr/>
          </w:pPr>
          <w:hyperlink w:anchor="__RefHeading___Toc606706_1934241801">
            <w:r>
              <w:rPr>
                <w:webHidden/>
                <w:rStyle w:val="IndexLink"/>
                <w:rtl w:val="true"/>
              </w:rPr>
              <w:t xml:space="preserve">روایت </w:t>
            </w:r>
            <w:r>
              <w:rPr>
                <w:rStyle w:val="IndexLink"/>
              </w:rPr>
              <w:t>27</w:t>
            </w:r>
            <w:r>
              <w:rPr>
                <w:rStyle w:val="IndexLink"/>
                <w:rtl w:val="true"/>
              </w:rPr>
              <w:tab/>
            </w:r>
            <w:r>
              <w:rPr>
                <w:rStyle w:val="IndexLink"/>
              </w:rPr>
              <w:t>438</w:t>
            </w:r>
          </w:hyperlink>
        </w:p>
        <w:p>
          <w:pPr>
            <w:pStyle w:val="Contents5"/>
            <w:tabs>
              <w:tab w:val="clear" w:pos="7892"/>
              <w:tab w:val="right" w:pos="9026" w:leader="dot"/>
            </w:tabs>
            <w:rPr/>
          </w:pPr>
          <w:hyperlink w:anchor="__RefHeading___Toc606708_1934241801">
            <w:r>
              <w:rPr>
                <w:webHidden/>
                <w:rStyle w:val="IndexLink"/>
                <w:rtl w:val="true"/>
              </w:rPr>
              <w:t xml:space="preserve">روایت </w:t>
            </w:r>
            <w:r>
              <w:rPr>
                <w:rStyle w:val="IndexLink"/>
              </w:rPr>
              <w:t>28</w:t>
            </w:r>
            <w:r>
              <w:rPr>
                <w:rStyle w:val="IndexLink"/>
                <w:rtl w:val="true"/>
              </w:rPr>
              <w:tab/>
            </w:r>
            <w:r>
              <w:rPr>
                <w:rStyle w:val="IndexLink"/>
              </w:rPr>
              <w:t>438</w:t>
            </w:r>
          </w:hyperlink>
        </w:p>
        <w:p>
          <w:pPr>
            <w:pStyle w:val="Contents5"/>
            <w:tabs>
              <w:tab w:val="clear" w:pos="7892"/>
              <w:tab w:val="right" w:pos="9026" w:leader="dot"/>
            </w:tabs>
            <w:rPr/>
          </w:pPr>
          <w:hyperlink w:anchor="__RefHeading___Toc606710_1934241801">
            <w:r>
              <w:rPr>
                <w:webHidden/>
                <w:rStyle w:val="IndexLink"/>
                <w:rtl w:val="true"/>
              </w:rPr>
              <w:t xml:space="preserve">روایت </w:t>
            </w:r>
            <w:r>
              <w:rPr>
                <w:rStyle w:val="IndexLink"/>
              </w:rPr>
              <w:t>29</w:t>
            </w:r>
            <w:r>
              <w:rPr>
                <w:rStyle w:val="IndexLink"/>
                <w:rtl w:val="true"/>
              </w:rPr>
              <w:tab/>
            </w:r>
            <w:r>
              <w:rPr>
                <w:rStyle w:val="IndexLink"/>
              </w:rPr>
              <w:t>439</w:t>
            </w:r>
          </w:hyperlink>
        </w:p>
        <w:p>
          <w:pPr>
            <w:pStyle w:val="Contents5"/>
            <w:tabs>
              <w:tab w:val="clear" w:pos="7892"/>
              <w:tab w:val="right" w:pos="9026" w:leader="dot"/>
            </w:tabs>
            <w:rPr/>
          </w:pPr>
          <w:hyperlink w:anchor="__RefHeading___Toc606712_1934241801">
            <w:r>
              <w:rPr>
                <w:webHidden/>
                <w:rStyle w:val="IndexLink"/>
                <w:rtl w:val="true"/>
              </w:rPr>
              <w:t xml:space="preserve">روایت </w:t>
            </w:r>
            <w:r>
              <w:rPr>
                <w:rStyle w:val="IndexLink"/>
              </w:rPr>
              <w:t>30</w:t>
            </w:r>
            <w:r>
              <w:rPr>
                <w:rStyle w:val="IndexLink"/>
                <w:rtl w:val="true"/>
              </w:rPr>
              <w:tab/>
            </w:r>
            <w:r>
              <w:rPr>
                <w:rStyle w:val="IndexLink"/>
              </w:rPr>
              <w:t>439</w:t>
            </w:r>
          </w:hyperlink>
        </w:p>
        <w:p>
          <w:pPr>
            <w:pStyle w:val="Contents5"/>
            <w:tabs>
              <w:tab w:val="clear" w:pos="7892"/>
              <w:tab w:val="right" w:pos="9026" w:leader="dot"/>
            </w:tabs>
            <w:rPr/>
          </w:pPr>
          <w:hyperlink w:anchor="__RefHeading___Toc606714_1934241801">
            <w:r>
              <w:rPr>
                <w:webHidden/>
                <w:rStyle w:val="IndexLink"/>
                <w:rtl w:val="true"/>
              </w:rPr>
              <w:t>دُعَاءُ الْمَرِيضِ لِنَفْسِهِ</w:t>
            </w:r>
            <w:r>
              <w:rPr>
                <w:rStyle w:val="IndexLink"/>
                <w:rtl w:val="true"/>
              </w:rPr>
              <w:tab/>
            </w:r>
            <w:r>
              <w:rPr>
                <w:rStyle w:val="IndexLink"/>
              </w:rPr>
              <w:t>440</w:t>
            </w:r>
          </w:hyperlink>
        </w:p>
        <w:p>
          <w:pPr>
            <w:pStyle w:val="Contents5"/>
            <w:tabs>
              <w:tab w:val="clear" w:pos="7892"/>
              <w:tab w:val="right" w:pos="9026" w:leader="dot"/>
            </w:tabs>
            <w:rPr/>
          </w:pPr>
          <w:hyperlink w:anchor="__RefHeading___Toc606716_1934241801">
            <w:r>
              <w:rPr>
                <w:webHidden/>
                <w:rStyle w:val="IndexLink"/>
                <w:rtl w:val="true"/>
              </w:rPr>
              <w:t>أقول</w:t>
            </w:r>
            <w:r>
              <w:rPr>
                <w:rStyle w:val="IndexLink"/>
                <w:rtl w:val="true"/>
              </w:rPr>
              <w:tab/>
            </w:r>
            <w:r>
              <w:rPr>
                <w:rStyle w:val="IndexLink"/>
              </w:rPr>
              <w:t>440</w:t>
            </w:r>
          </w:hyperlink>
        </w:p>
        <w:p>
          <w:pPr>
            <w:pStyle w:val="Contents5"/>
            <w:tabs>
              <w:tab w:val="clear" w:pos="7892"/>
              <w:tab w:val="right" w:pos="9026" w:leader="dot"/>
            </w:tabs>
            <w:rPr/>
          </w:pPr>
          <w:hyperlink w:anchor="__RefHeading___Toc606718_1934241801">
            <w:r>
              <w:rPr>
                <w:webHidden/>
                <w:rStyle w:val="IndexLink"/>
                <w:rtl w:val="true"/>
              </w:rPr>
              <w:t>دعا خواندن بیمار برای خودش</w:t>
            </w:r>
            <w:r>
              <w:rPr>
                <w:rStyle w:val="IndexLink"/>
                <w:rtl w:val="true"/>
              </w:rPr>
              <w:tab/>
            </w:r>
            <w:r>
              <w:rPr>
                <w:rStyle w:val="IndexLink"/>
              </w:rPr>
              <w:t>440</w:t>
            </w:r>
          </w:hyperlink>
        </w:p>
        <w:p>
          <w:pPr>
            <w:pStyle w:val="Contents5"/>
            <w:tabs>
              <w:tab w:val="clear" w:pos="7892"/>
              <w:tab w:val="right" w:pos="9026" w:leader="dot"/>
            </w:tabs>
            <w:rPr/>
          </w:pPr>
          <w:hyperlink w:anchor="__RefHeading___Toc606720_1934241801">
            <w:r>
              <w:rPr>
                <w:webHidden/>
                <w:rStyle w:val="IndexLink"/>
                <w:rtl w:val="true"/>
              </w:rPr>
              <w:t>می گویم</w:t>
            </w:r>
            <w:r>
              <w:rPr>
                <w:rStyle w:val="IndexLink"/>
                <w:rtl w:val="true"/>
              </w:rPr>
              <w:tab/>
            </w:r>
            <w:r>
              <w:rPr>
                <w:rStyle w:val="IndexLink"/>
              </w:rPr>
              <w:t>441</w:t>
            </w:r>
          </w:hyperlink>
        </w:p>
        <w:p>
          <w:pPr>
            <w:pStyle w:val="Contents3"/>
            <w:tabs>
              <w:tab w:val="clear" w:pos="8459"/>
              <w:tab w:val="right" w:pos="9026" w:leader="dot"/>
            </w:tabs>
            <w:rPr/>
          </w:pPr>
          <w:hyperlink w:anchor="__RefHeading___Toc606722_1934241801">
            <w:r>
              <w:rPr>
                <w:webHidden/>
                <w:rStyle w:val="IndexLink"/>
                <w:rtl w:val="true"/>
              </w:rPr>
              <w:t xml:space="preserve">باب </w:t>
            </w:r>
            <w:r>
              <w:rPr>
                <w:rStyle w:val="IndexLink"/>
              </w:rPr>
              <w:t>3</w:t>
            </w:r>
            <w:r>
              <w:rPr>
                <w:rStyle w:val="IndexLink"/>
                <w:rtl w:val="true"/>
              </w:rPr>
              <w:t xml:space="preserve"> </w:t>
            </w:r>
            <w:r>
              <w:rPr>
                <w:rStyle w:val="IndexLink"/>
                <w:rtl w:val="true"/>
              </w:rPr>
              <w:t>نادر في الطاعون و الفرار منه و ممن ابتلي به و موت الفجأة</w:t>
            </w:r>
            <w:r>
              <w:rPr>
                <w:rStyle w:val="IndexLink"/>
                <w:rtl w:val="true"/>
              </w:rPr>
              <w:tab/>
            </w:r>
            <w:r>
              <w:rPr>
                <w:rStyle w:val="IndexLink"/>
              </w:rPr>
              <w:t>442</w:t>
            </w:r>
          </w:hyperlink>
        </w:p>
        <w:p>
          <w:pPr>
            <w:pStyle w:val="Contents4"/>
            <w:tabs>
              <w:tab w:val="clear" w:pos="8176"/>
              <w:tab w:val="right" w:pos="9026" w:leader="dot"/>
            </w:tabs>
            <w:rPr/>
          </w:pPr>
          <w:hyperlink w:anchor="__RefHeading___Toc606724_1934241801">
            <w:r>
              <w:rPr>
                <w:webHidden/>
                <w:rStyle w:val="IndexLink"/>
                <w:rtl w:val="true"/>
              </w:rPr>
              <w:t>روايات</w:t>
            </w:r>
            <w:r>
              <w:rPr>
                <w:rStyle w:val="IndexLink"/>
                <w:rtl w:val="true"/>
              </w:rPr>
              <w:tab/>
            </w:r>
            <w:r>
              <w:rPr>
                <w:rStyle w:val="IndexLink"/>
              </w:rPr>
              <w:t>442</w:t>
            </w:r>
          </w:hyperlink>
        </w:p>
        <w:p>
          <w:pPr>
            <w:pStyle w:val="Contents5"/>
            <w:tabs>
              <w:tab w:val="clear" w:pos="7892"/>
              <w:tab w:val="right" w:pos="9026" w:leader="dot"/>
            </w:tabs>
            <w:rPr/>
          </w:pPr>
          <w:hyperlink w:anchor="__RefHeading___Toc606726_1934241801">
            <w:r>
              <w:rPr>
                <w:webHidden/>
                <w:rStyle w:val="IndexLink"/>
                <w:rtl w:val="true"/>
              </w:rPr>
              <w:t>«</w:t>
            </w:r>
            <w:r>
              <w:rPr>
                <w:rStyle w:val="IndexLink"/>
              </w:rPr>
              <w:t>1</w:t>
            </w:r>
            <w:r>
              <w:rPr>
                <w:rStyle w:val="IndexLink"/>
                <w:rtl w:val="true"/>
              </w:rPr>
              <w:t>»</w:t>
              <w:tab/>
            </w:r>
            <w:r>
              <w:rPr>
                <w:rStyle w:val="IndexLink"/>
              </w:rPr>
              <w:t>442</w:t>
            </w:r>
          </w:hyperlink>
        </w:p>
        <w:p>
          <w:pPr>
            <w:pStyle w:val="Contents5"/>
            <w:tabs>
              <w:tab w:val="clear" w:pos="7892"/>
              <w:tab w:val="right" w:pos="9026" w:leader="dot"/>
            </w:tabs>
            <w:rPr/>
          </w:pPr>
          <w:hyperlink w:anchor="__RefHeading___Toc606728_1934241801">
            <w:r>
              <w:rPr>
                <w:webHidden/>
                <w:rStyle w:val="IndexLink"/>
                <w:rtl w:val="true"/>
              </w:rPr>
              <w:t>أقول</w:t>
            </w:r>
            <w:r>
              <w:rPr>
                <w:rStyle w:val="IndexLink"/>
                <w:rtl w:val="true"/>
              </w:rPr>
              <w:tab/>
            </w:r>
            <w:r>
              <w:rPr>
                <w:rStyle w:val="IndexLink"/>
              </w:rPr>
              <w:t>442</w:t>
            </w:r>
          </w:hyperlink>
        </w:p>
        <w:p>
          <w:pPr>
            <w:pStyle w:val="Contents3"/>
            <w:tabs>
              <w:tab w:val="clear" w:pos="8459"/>
              <w:tab w:val="right" w:pos="9026" w:leader="dot"/>
            </w:tabs>
            <w:rPr/>
          </w:pPr>
          <w:hyperlink w:anchor="__RefHeading___Toc606730_1934241801">
            <w:r>
              <w:rPr>
                <w:webHidden/>
                <w:rStyle w:val="IndexLink"/>
                <w:rtl w:val="true"/>
              </w:rPr>
              <w:t xml:space="preserve">باب سوم </w:t>
            </w:r>
            <w:r>
              <w:rPr>
                <w:rStyle w:val="IndexLink"/>
                <w:rtl w:val="true"/>
              </w:rPr>
              <w:t xml:space="preserve">: </w:t>
            </w:r>
            <w:r>
              <w:rPr>
                <w:rStyle w:val="IndexLink"/>
                <w:rtl w:val="true"/>
              </w:rPr>
              <w:t>بابی نادر درباره طاعون، فرار از طاعون و از کسی که به آن مبتلا شده است و همچنین مرگ ناگهانی</w:t>
            </w:r>
            <w:r>
              <w:rPr>
                <w:rStyle w:val="IndexLink"/>
                <w:rtl w:val="true"/>
              </w:rPr>
              <w:tab/>
            </w:r>
            <w:r>
              <w:rPr>
                <w:rStyle w:val="IndexLink"/>
              </w:rPr>
              <w:t>442</w:t>
            </w:r>
          </w:hyperlink>
        </w:p>
        <w:p>
          <w:pPr>
            <w:pStyle w:val="Contents4"/>
            <w:tabs>
              <w:tab w:val="clear" w:pos="8176"/>
              <w:tab w:val="right" w:pos="9026" w:leader="dot"/>
            </w:tabs>
            <w:rPr/>
          </w:pPr>
          <w:hyperlink w:anchor="__RefHeading___Toc606732_1934241801">
            <w:r>
              <w:rPr>
                <w:webHidden/>
                <w:rStyle w:val="IndexLink"/>
                <w:rtl w:val="true"/>
              </w:rPr>
              <w:t>روایات</w:t>
            </w:r>
            <w:r>
              <w:rPr>
                <w:rStyle w:val="IndexLink"/>
                <w:rtl w:val="true"/>
              </w:rPr>
              <w:tab/>
            </w:r>
            <w:r>
              <w:rPr>
                <w:rStyle w:val="IndexLink"/>
              </w:rPr>
              <w:t>442</w:t>
            </w:r>
          </w:hyperlink>
        </w:p>
        <w:p>
          <w:pPr>
            <w:pStyle w:val="Contents5"/>
            <w:tabs>
              <w:tab w:val="clear" w:pos="7892"/>
              <w:tab w:val="right" w:pos="9026" w:leader="dot"/>
            </w:tabs>
            <w:rPr/>
          </w:pPr>
          <w:hyperlink w:anchor="__RefHeading___Toc606734_1934241801">
            <w:r>
              <w:rPr>
                <w:webHidden/>
                <w:rStyle w:val="IndexLink"/>
                <w:rtl w:val="true"/>
              </w:rPr>
              <w:t xml:space="preserve">روایت </w:t>
            </w:r>
            <w:r>
              <w:rPr>
                <w:rStyle w:val="IndexLink"/>
              </w:rPr>
              <w:t>1</w:t>
            </w:r>
            <w:r>
              <w:rPr>
                <w:rStyle w:val="IndexLink"/>
                <w:rtl w:val="true"/>
              </w:rPr>
              <w:tab/>
            </w:r>
            <w:r>
              <w:rPr>
                <w:rStyle w:val="IndexLink"/>
              </w:rPr>
              <w:t>442</w:t>
            </w:r>
          </w:hyperlink>
        </w:p>
        <w:p>
          <w:pPr>
            <w:pStyle w:val="Contents5"/>
            <w:tabs>
              <w:tab w:val="clear" w:pos="7892"/>
              <w:tab w:val="right" w:pos="9026" w:leader="dot"/>
            </w:tabs>
            <w:rPr/>
          </w:pPr>
          <w:hyperlink w:anchor="__RefHeading___Toc606736_1934241801">
            <w:r>
              <w:rPr>
                <w:webHidden/>
                <w:rStyle w:val="IndexLink"/>
                <w:rtl w:val="true"/>
              </w:rPr>
              <w:t>می گویم</w:t>
            </w:r>
            <w:r>
              <w:rPr>
                <w:rStyle w:val="IndexLink"/>
                <w:rtl w:val="true"/>
              </w:rPr>
              <w:tab/>
            </w:r>
            <w:r>
              <w:rPr>
                <w:rStyle w:val="IndexLink"/>
              </w:rPr>
              <w:t>442</w:t>
            </w:r>
          </w:hyperlink>
        </w:p>
        <w:p>
          <w:pPr>
            <w:pStyle w:val="Contents3"/>
            <w:tabs>
              <w:tab w:val="clear" w:pos="8459"/>
              <w:tab w:val="right" w:pos="9026" w:leader="dot"/>
            </w:tabs>
            <w:rPr/>
          </w:pPr>
          <w:hyperlink w:anchor="__RefHeading___Toc606738_1934241801">
            <w:r>
              <w:rPr>
                <w:webHidden/>
                <w:rStyle w:val="IndexLink"/>
                <w:rtl w:val="true"/>
              </w:rPr>
              <w:t xml:space="preserve">باب </w:t>
            </w:r>
            <w:r>
              <w:rPr>
                <w:rStyle w:val="IndexLink"/>
              </w:rPr>
              <w:t>4</w:t>
            </w:r>
            <w:r>
              <w:rPr>
                <w:rStyle w:val="IndexLink"/>
                <w:rtl w:val="true"/>
              </w:rPr>
              <w:t xml:space="preserve"> </w:t>
            </w:r>
            <w:r>
              <w:rPr>
                <w:rStyle w:val="IndexLink"/>
                <w:rtl w:val="true"/>
              </w:rPr>
              <w:t>ثواب عيادة المريض و آدابها و فضل السعي في حاجته و كيفية معاشرة أصحاب البلاء</w:t>
            </w:r>
            <w:r>
              <w:rPr>
                <w:rStyle w:val="IndexLink"/>
                <w:rtl w:val="true"/>
              </w:rPr>
              <w:tab/>
            </w:r>
            <w:r>
              <w:rPr>
                <w:rStyle w:val="IndexLink"/>
              </w:rPr>
              <w:t>443</w:t>
            </w:r>
          </w:hyperlink>
        </w:p>
        <w:p>
          <w:pPr>
            <w:pStyle w:val="Contents4"/>
            <w:tabs>
              <w:tab w:val="clear" w:pos="8176"/>
              <w:tab w:val="right" w:pos="9026" w:leader="dot"/>
            </w:tabs>
            <w:rPr/>
          </w:pPr>
          <w:hyperlink w:anchor="__RefHeading___Toc606740_1934241801">
            <w:r>
              <w:rPr>
                <w:webHidden/>
                <w:rStyle w:val="IndexLink"/>
                <w:rtl w:val="true"/>
              </w:rPr>
              <w:t>روايات</w:t>
            </w:r>
            <w:r>
              <w:rPr>
                <w:rStyle w:val="IndexLink"/>
                <w:rtl w:val="true"/>
              </w:rPr>
              <w:tab/>
            </w:r>
            <w:r>
              <w:rPr>
                <w:rStyle w:val="IndexLink"/>
              </w:rPr>
              <w:t>443</w:t>
            </w:r>
          </w:hyperlink>
        </w:p>
        <w:p>
          <w:pPr>
            <w:pStyle w:val="Contents5"/>
            <w:tabs>
              <w:tab w:val="clear" w:pos="7892"/>
              <w:tab w:val="right" w:pos="9026" w:leader="dot"/>
            </w:tabs>
            <w:rPr/>
          </w:pPr>
          <w:hyperlink w:anchor="__RefHeading___Toc606742_1934241801">
            <w:r>
              <w:rPr>
                <w:webHidden/>
                <w:rStyle w:val="IndexLink"/>
                <w:rtl w:val="true"/>
              </w:rPr>
              <w:t>«</w:t>
            </w:r>
            <w:r>
              <w:rPr>
                <w:rStyle w:val="IndexLink"/>
              </w:rPr>
              <w:t>1</w:t>
            </w:r>
            <w:r>
              <w:rPr>
                <w:rStyle w:val="IndexLink"/>
                <w:rtl w:val="true"/>
              </w:rPr>
              <w:t>»</w:t>
              <w:tab/>
            </w:r>
            <w:r>
              <w:rPr>
                <w:rStyle w:val="IndexLink"/>
              </w:rPr>
              <w:t>443</w:t>
            </w:r>
          </w:hyperlink>
        </w:p>
        <w:p>
          <w:pPr>
            <w:pStyle w:val="Contents5"/>
            <w:tabs>
              <w:tab w:val="clear" w:pos="7892"/>
              <w:tab w:val="right" w:pos="9026" w:leader="dot"/>
            </w:tabs>
            <w:rPr/>
          </w:pPr>
          <w:hyperlink w:anchor="__RefHeading___Toc606744_1934241801">
            <w:r>
              <w:rPr>
                <w:webHidden/>
                <w:rStyle w:val="IndexLink"/>
                <w:rtl w:val="true"/>
              </w:rPr>
              <w:t>بيان</w:t>
            </w:r>
            <w:r>
              <w:rPr>
                <w:rStyle w:val="IndexLink"/>
                <w:rtl w:val="true"/>
              </w:rPr>
              <w:tab/>
            </w:r>
            <w:r>
              <w:rPr>
                <w:rStyle w:val="IndexLink"/>
              </w:rPr>
              <w:t>443</w:t>
            </w:r>
          </w:hyperlink>
        </w:p>
        <w:p>
          <w:pPr>
            <w:pStyle w:val="Contents5"/>
            <w:tabs>
              <w:tab w:val="clear" w:pos="7892"/>
              <w:tab w:val="right" w:pos="9026" w:leader="dot"/>
            </w:tabs>
            <w:rPr/>
          </w:pPr>
          <w:hyperlink w:anchor="__RefHeading___Toc606746_1934241801">
            <w:r>
              <w:rPr>
                <w:webHidden/>
                <w:rStyle w:val="IndexLink"/>
                <w:rtl w:val="true"/>
              </w:rPr>
              <w:t>«</w:t>
            </w:r>
            <w:r>
              <w:rPr>
                <w:rStyle w:val="IndexLink"/>
              </w:rPr>
              <w:t>2</w:t>
            </w:r>
            <w:r>
              <w:rPr>
                <w:rStyle w:val="IndexLink"/>
                <w:rtl w:val="true"/>
              </w:rPr>
              <w:t>»</w:t>
              <w:tab/>
            </w:r>
            <w:r>
              <w:rPr>
                <w:rStyle w:val="IndexLink"/>
              </w:rPr>
              <w:t>443</w:t>
            </w:r>
          </w:hyperlink>
        </w:p>
        <w:p>
          <w:pPr>
            <w:pStyle w:val="Contents3"/>
            <w:tabs>
              <w:tab w:val="clear" w:pos="8459"/>
              <w:tab w:val="right" w:pos="9026" w:leader="dot"/>
            </w:tabs>
            <w:rPr/>
          </w:pPr>
          <w:hyperlink w:anchor="__RefHeading___Toc606748_1934241801">
            <w:r>
              <w:rPr>
                <w:webHidden/>
                <w:rStyle w:val="IndexLink"/>
                <w:rtl w:val="true"/>
              </w:rPr>
              <w:t xml:space="preserve">باب چهارم </w:t>
            </w:r>
            <w:r>
              <w:rPr>
                <w:rStyle w:val="IndexLink"/>
                <w:rtl w:val="true"/>
              </w:rPr>
              <w:t xml:space="preserve">: </w:t>
            </w:r>
            <w:r>
              <w:rPr>
                <w:rStyle w:val="IndexLink"/>
                <w:rtl w:val="true"/>
              </w:rPr>
              <w:t>ثواب عیادت کردن از بیمار و آداب آن و فضیلت سعی در رفع حاجت بیمار و چگونگی معاشرت با مصیبت زدگان</w:t>
            </w:r>
            <w:r>
              <w:rPr>
                <w:rStyle w:val="IndexLink"/>
                <w:rtl w:val="true"/>
              </w:rPr>
              <w:tab/>
            </w:r>
            <w:r>
              <w:rPr>
                <w:rStyle w:val="IndexLink"/>
              </w:rPr>
              <w:t>443</w:t>
            </w:r>
          </w:hyperlink>
        </w:p>
        <w:p>
          <w:pPr>
            <w:pStyle w:val="Contents4"/>
            <w:tabs>
              <w:tab w:val="clear" w:pos="8176"/>
              <w:tab w:val="right" w:pos="9026" w:leader="dot"/>
            </w:tabs>
            <w:rPr/>
          </w:pPr>
          <w:hyperlink w:anchor="__RefHeading___Toc606750_1934241801">
            <w:r>
              <w:rPr>
                <w:webHidden/>
                <w:rStyle w:val="IndexLink"/>
                <w:rtl w:val="true"/>
              </w:rPr>
              <w:t>روایات</w:t>
            </w:r>
            <w:r>
              <w:rPr>
                <w:rStyle w:val="IndexLink"/>
                <w:rtl w:val="true"/>
              </w:rPr>
              <w:tab/>
            </w:r>
            <w:r>
              <w:rPr>
                <w:rStyle w:val="IndexLink"/>
              </w:rPr>
              <w:t>443</w:t>
            </w:r>
          </w:hyperlink>
        </w:p>
        <w:p>
          <w:pPr>
            <w:pStyle w:val="Contents5"/>
            <w:tabs>
              <w:tab w:val="clear" w:pos="7892"/>
              <w:tab w:val="right" w:pos="9026" w:leader="dot"/>
            </w:tabs>
            <w:rPr/>
          </w:pPr>
          <w:hyperlink w:anchor="__RefHeading___Toc606752_1934241801">
            <w:r>
              <w:rPr>
                <w:webHidden/>
                <w:rStyle w:val="IndexLink"/>
                <w:rtl w:val="true"/>
              </w:rPr>
              <w:t xml:space="preserve">روایت </w:t>
            </w:r>
            <w:r>
              <w:rPr>
                <w:rStyle w:val="IndexLink"/>
              </w:rPr>
              <w:t>1</w:t>
            </w:r>
            <w:r>
              <w:rPr>
                <w:rStyle w:val="IndexLink"/>
                <w:rtl w:val="true"/>
              </w:rPr>
              <w:tab/>
            </w:r>
            <w:r>
              <w:rPr>
                <w:rStyle w:val="IndexLink"/>
              </w:rPr>
              <w:t>443</w:t>
            </w:r>
          </w:hyperlink>
        </w:p>
        <w:p>
          <w:pPr>
            <w:pStyle w:val="Contents5"/>
            <w:tabs>
              <w:tab w:val="clear" w:pos="7892"/>
              <w:tab w:val="right" w:pos="9026" w:leader="dot"/>
            </w:tabs>
            <w:rPr/>
          </w:pPr>
          <w:hyperlink w:anchor="__RefHeading___Toc606754_1934241801">
            <w:r>
              <w:rPr>
                <w:webHidden/>
                <w:rStyle w:val="IndexLink"/>
                <w:rtl w:val="true"/>
              </w:rPr>
              <w:t>توضیح</w:t>
            </w:r>
            <w:r>
              <w:rPr>
                <w:rStyle w:val="IndexLink"/>
                <w:rtl w:val="true"/>
              </w:rPr>
              <w:tab/>
            </w:r>
            <w:r>
              <w:rPr>
                <w:rStyle w:val="IndexLink"/>
              </w:rPr>
              <w:t>443</w:t>
            </w:r>
          </w:hyperlink>
        </w:p>
        <w:p>
          <w:pPr>
            <w:pStyle w:val="Contents5"/>
            <w:tabs>
              <w:tab w:val="clear" w:pos="7892"/>
              <w:tab w:val="right" w:pos="9026" w:leader="dot"/>
            </w:tabs>
            <w:rPr/>
          </w:pPr>
          <w:hyperlink w:anchor="__RefHeading___Toc606756_1934241801">
            <w:r>
              <w:rPr>
                <w:webHidden/>
                <w:rStyle w:val="IndexLink"/>
                <w:rtl w:val="true"/>
              </w:rPr>
              <w:t xml:space="preserve">روایت </w:t>
            </w:r>
            <w:r>
              <w:rPr>
                <w:rStyle w:val="IndexLink"/>
              </w:rPr>
              <w:t>2</w:t>
            </w:r>
            <w:r>
              <w:rPr>
                <w:rStyle w:val="IndexLink"/>
                <w:rtl w:val="true"/>
              </w:rPr>
              <w:tab/>
            </w:r>
            <w:r>
              <w:rPr>
                <w:rStyle w:val="IndexLink"/>
              </w:rPr>
              <w:t>443</w:t>
            </w:r>
          </w:hyperlink>
        </w:p>
        <w:p>
          <w:pPr>
            <w:pStyle w:val="Contents5"/>
            <w:tabs>
              <w:tab w:val="clear" w:pos="7892"/>
              <w:tab w:val="right" w:pos="9026" w:leader="dot"/>
            </w:tabs>
            <w:rPr/>
          </w:pPr>
          <w:hyperlink w:anchor="__RefHeading___Toc606758_1934241801">
            <w:r>
              <w:rPr>
                <w:webHidden/>
                <w:rStyle w:val="IndexLink"/>
                <w:rtl w:val="true"/>
              </w:rPr>
              <w:t>«</w:t>
            </w:r>
            <w:r>
              <w:rPr>
                <w:rStyle w:val="IndexLink"/>
              </w:rPr>
              <w:t>3</w:t>
            </w:r>
            <w:r>
              <w:rPr>
                <w:rStyle w:val="IndexLink"/>
                <w:rtl w:val="true"/>
              </w:rPr>
              <w:t>»</w:t>
              <w:tab/>
            </w:r>
            <w:r>
              <w:rPr>
                <w:rStyle w:val="IndexLink"/>
              </w:rPr>
              <w:t>445</w:t>
            </w:r>
          </w:hyperlink>
        </w:p>
        <w:p>
          <w:pPr>
            <w:pStyle w:val="Contents5"/>
            <w:tabs>
              <w:tab w:val="clear" w:pos="7892"/>
              <w:tab w:val="right" w:pos="9026" w:leader="dot"/>
            </w:tabs>
            <w:rPr/>
          </w:pPr>
          <w:hyperlink w:anchor="__RefHeading___Toc606760_1934241801">
            <w:r>
              <w:rPr>
                <w:webHidden/>
                <w:rStyle w:val="IndexLink"/>
                <w:rtl w:val="true"/>
              </w:rPr>
              <w:t>«</w:t>
            </w:r>
            <w:r>
              <w:rPr>
                <w:rStyle w:val="IndexLink"/>
              </w:rPr>
              <w:t>4</w:t>
            </w:r>
            <w:r>
              <w:rPr>
                <w:rStyle w:val="IndexLink"/>
                <w:rtl w:val="true"/>
              </w:rPr>
              <w:t>»</w:t>
              <w:tab/>
            </w:r>
            <w:r>
              <w:rPr>
                <w:rStyle w:val="IndexLink"/>
              </w:rPr>
              <w:t>445</w:t>
            </w:r>
          </w:hyperlink>
        </w:p>
        <w:p>
          <w:pPr>
            <w:pStyle w:val="Contents5"/>
            <w:tabs>
              <w:tab w:val="clear" w:pos="7892"/>
              <w:tab w:val="right" w:pos="9026" w:leader="dot"/>
            </w:tabs>
            <w:rPr/>
          </w:pPr>
          <w:hyperlink w:anchor="__RefHeading___Toc606762_1934241801">
            <w:r>
              <w:rPr>
                <w:webHidden/>
                <w:rStyle w:val="IndexLink"/>
                <w:rtl w:val="true"/>
              </w:rPr>
              <w:t>«</w:t>
            </w:r>
            <w:r>
              <w:rPr>
                <w:rStyle w:val="IndexLink"/>
              </w:rPr>
              <w:t>5</w:t>
            </w:r>
            <w:r>
              <w:rPr>
                <w:rStyle w:val="IndexLink"/>
                <w:rtl w:val="true"/>
              </w:rPr>
              <w:t>»</w:t>
              <w:tab/>
            </w:r>
            <w:r>
              <w:rPr>
                <w:rStyle w:val="IndexLink"/>
              </w:rPr>
              <w:t>445</w:t>
            </w:r>
          </w:hyperlink>
        </w:p>
        <w:p>
          <w:pPr>
            <w:pStyle w:val="Contents5"/>
            <w:tabs>
              <w:tab w:val="clear" w:pos="7892"/>
              <w:tab w:val="right" w:pos="9026" w:leader="dot"/>
            </w:tabs>
            <w:rPr/>
          </w:pPr>
          <w:hyperlink w:anchor="__RefHeading___Toc606764_1934241801">
            <w:r>
              <w:rPr>
                <w:webHidden/>
                <w:rStyle w:val="IndexLink"/>
                <w:rtl w:val="true"/>
              </w:rPr>
              <w:t>«</w:t>
            </w:r>
            <w:r>
              <w:rPr>
                <w:rStyle w:val="IndexLink"/>
              </w:rPr>
              <w:t>6</w:t>
            </w:r>
            <w:r>
              <w:rPr>
                <w:rStyle w:val="IndexLink"/>
                <w:rtl w:val="true"/>
              </w:rPr>
              <w:t>»</w:t>
              <w:tab/>
            </w:r>
            <w:r>
              <w:rPr>
                <w:rStyle w:val="IndexLink"/>
              </w:rPr>
              <w:t>445</w:t>
            </w:r>
          </w:hyperlink>
        </w:p>
        <w:p>
          <w:pPr>
            <w:pStyle w:val="Contents5"/>
            <w:tabs>
              <w:tab w:val="clear" w:pos="7892"/>
              <w:tab w:val="right" w:pos="9026" w:leader="dot"/>
            </w:tabs>
            <w:rPr/>
          </w:pPr>
          <w:hyperlink w:anchor="__RefHeading___Toc606766_1934241801">
            <w:r>
              <w:rPr>
                <w:webHidden/>
                <w:rStyle w:val="IndexLink"/>
                <w:rtl w:val="true"/>
              </w:rPr>
              <w:t>«</w:t>
            </w:r>
            <w:r>
              <w:rPr>
                <w:rStyle w:val="IndexLink"/>
              </w:rPr>
              <w:t>7</w:t>
            </w:r>
            <w:r>
              <w:rPr>
                <w:rStyle w:val="IndexLink"/>
                <w:rtl w:val="true"/>
              </w:rPr>
              <w:t>»</w:t>
              <w:tab/>
            </w:r>
            <w:r>
              <w:rPr>
                <w:rStyle w:val="IndexLink"/>
              </w:rPr>
              <w:t>445</w:t>
            </w:r>
          </w:hyperlink>
        </w:p>
        <w:p>
          <w:pPr>
            <w:pStyle w:val="Contents5"/>
            <w:tabs>
              <w:tab w:val="clear" w:pos="7892"/>
              <w:tab w:val="right" w:pos="9026" w:leader="dot"/>
            </w:tabs>
            <w:rPr/>
          </w:pPr>
          <w:hyperlink w:anchor="__RefHeading___Toc606768_1934241801">
            <w:r>
              <w:rPr>
                <w:webHidden/>
                <w:rStyle w:val="IndexLink"/>
                <w:rtl w:val="true"/>
              </w:rPr>
              <w:t xml:space="preserve">روایت </w:t>
            </w:r>
            <w:r>
              <w:rPr>
                <w:rStyle w:val="IndexLink"/>
              </w:rPr>
              <w:t>3</w:t>
            </w:r>
            <w:r>
              <w:rPr>
                <w:rStyle w:val="IndexLink"/>
                <w:rtl w:val="true"/>
              </w:rPr>
              <w:tab/>
            </w:r>
            <w:r>
              <w:rPr>
                <w:rStyle w:val="IndexLink"/>
              </w:rPr>
              <w:t>445</w:t>
            </w:r>
          </w:hyperlink>
        </w:p>
        <w:p>
          <w:pPr>
            <w:pStyle w:val="Contents5"/>
            <w:tabs>
              <w:tab w:val="clear" w:pos="7892"/>
              <w:tab w:val="right" w:pos="9026" w:leader="dot"/>
            </w:tabs>
            <w:rPr/>
          </w:pPr>
          <w:hyperlink w:anchor="__RefHeading___Toc606770_1934241801">
            <w:r>
              <w:rPr>
                <w:webHidden/>
                <w:rStyle w:val="IndexLink"/>
                <w:rtl w:val="true"/>
              </w:rPr>
              <w:t xml:space="preserve">روایت </w:t>
            </w:r>
            <w:r>
              <w:rPr>
                <w:rStyle w:val="IndexLink"/>
              </w:rPr>
              <w:t>4</w:t>
            </w:r>
            <w:r>
              <w:rPr>
                <w:rStyle w:val="IndexLink"/>
                <w:rtl w:val="true"/>
              </w:rPr>
              <w:tab/>
            </w:r>
            <w:r>
              <w:rPr>
                <w:rStyle w:val="IndexLink"/>
              </w:rPr>
              <w:t>445</w:t>
            </w:r>
          </w:hyperlink>
        </w:p>
        <w:p>
          <w:pPr>
            <w:pStyle w:val="Contents5"/>
            <w:tabs>
              <w:tab w:val="clear" w:pos="7892"/>
              <w:tab w:val="right" w:pos="9026" w:leader="dot"/>
            </w:tabs>
            <w:rPr/>
          </w:pPr>
          <w:hyperlink w:anchor="__RefHeading___Toc606772_1934241801">
            <w:r>
              <w:rPr>
                <w:webHidden/>
                <w:rStyle w:val="IndexLink"/>
                <w:rtl w:val="true"/>
              </w:rPr>
              <w:t xml:space="preserve">روایت </w:t>
            </w:r>
            <w:r>
              <w:rPr>
                <w:rStyle w:val="IndexLink"/>
              </w:rPr>
              <w:t>5</w:t>
            </w:r>
            <w:r>
              <w:rPr>
                <w:rStyle w:val="IndexLink"/>
                <w:rtl w:val="true"/>
              </w:rPr>
              <w:tab/>
            </w:r>
            <w:r>
              <w:rPr>
                <w:rStyle w:val="IndexLink"/>
              </w:rPr>
              <w:t>445</w:t>
            </w:r>
          </w:hyperlink>
        </w:p>
        <w:p>
          <w:pPr>
            <w:pStyle w:val="Contents5"/>
            <w:tabs>
              <w:tab w:val="clear" w:pos="7892"/>
              <w:tab w:val="right" w:pos="9026" w:leader="dot"/>
            </w:tabs>
            <w:rPr/>
          </w:pPr>
          <w:hyperlink w:anchor="__RefHeading___Toc606774_1934241801">
            <w:r>
              <w:rPr>
                <w:webHidden/>
                <w:rStyle w:val="IndexLink"/>
                <w:rtl w:val="true"/>
              </w:rPr>
              <w:t xml:space="preserve">روایت </w:t>
            </w:r>
            <w:r>
              <w:rPr>
                <w:rStyle w:val="IndexLink"/>
              </w:rPr>
              <w:t>6</w:t>
            </w:r>
            <w:r>
              <w:rPr>
                <w:rStyle w:val="IndexLink"/>
                <w:rtl w:val="true"/>
              </w:rPr>
              <w:tab/>
            </w:r>
            <w:r>
              <w:rPr>
                <w:rStyle w:val="IndexLink"/>
              </w:rPr>
              <w:t>446</w:t>
            </w:r>
          </w:hyperlink>
        </w:p>
        <w:p>
          <w:pPr>
            <w:pStyle w:val="Contents5"/>
            <w:tabs>
              <w:tab w:val="clear" w:pos="7892"/>
              <w:tab w:val="right" w:pos="9026" w:leader="dot"/>
            </w:tabs>
            <w:rPr/>
          </w:pPr>
          <w:hyperlink w:anchor="__RefHeading___Toc606776_1934241801">
            <w:r>
              <w:rPr>
                <w:webHidden/>
                <w:rStyle w:val="IndexLink"/>
                <w:rtl w:val="true"/>
              </w:rPr>
              <w:t xml:space="preserve">روایت </w:t>
            </w:r>
            <w:r>
              <w:rPr>
                <w:rStyle w:val="IndexLink"/>
              </w:rPr>
              <w:t>7</w:t>
            </w:r>
            <w:r>
              <w:rPr>
                <w:rStyle w:val="IndexLink"/>
                <w:rtl w:val="true"/>
              </w:rPr>
              <w:tab/>
            </w:r>
            <w:r>
              <w:rPr>
                <w:rStyle w:val="IndexLink"/>
              </w:rPr>
              <w:t>446</w:t>
            </w:r>
          </w:hyperlink>
        </w:p>
        <w:p>
          <w:pPr>
            <w:pStyle w:val="Contents5"/>
            <w:tabs>
              <w:tab w:val="clear" w:pos="7892"/>
              <w:tab w:val="right" w:pos="9026" w:leader="dot"/>
            </w:tabs>
            <w:rPr/>
          </w:pPr>
          <w:hyperlink w:anchor="__RefHeading___Toc606778_1934241801">
            <w:r>
              <w:rPr>
                <w:webHidden/>
                <w:rStyle w:val="IndexLink"/>
                <w:rtl w:val="true"/>
              </w:rPr>
              <w:t>بيان</w:t>
            </w:r>
            <w:r>
              <w:rPr>
                <w:rStyle w:val="IndexLink"/>
                <w:rtl w:val="true"/>
              </w:rPr>
              <w:tab/>
            </w:r>
            <w:r>
              <w:rPr>
                <w:rStyle w:val="IndexLink"/>
              </w:rPr>
              <w:t>447</w:t>
            </w:r>
          </w:hyperlink>
        </w:p>
        <w:p>
          <w:pPr>
            <w:pStyle w:val="Contents5"/>
            <w:tabs>
              <w:tab w:val="clear" w:pos="7892"/>
              <w:tab w:val="right" w:pos="9026" w:leader="dot"/>
            </w:tabs>
            <w:rPr/>
          </w:pPr>
          <w:hyperlink w:anchor="__RefHeading___Toc606780_1934241801">
            <w:r>
              <w:rPr>
                <w:webHidden/>
                <w:rStyle w:val="IndexLink"/>
                <w:rtl w:val="true"/>
              </w:rPr>
              <w:t>توضیح</w:t>
            </w:r>
            <w:r>
              <w:rPr>
                <w:rStyle w:val="IndexLink"/>
                <w:rtl w:val="true"/>
              </w:rPr>
              <w:tab/>
            </w:r>
            <w:r>
              <w:rPr>
                <w:rStyle w:val="IndexLink"/>
              </w:rPr>
              <w:t>447</w:t>
            </w:r>
          </w:hyperlink>
        </w:p>
        <w:p>
          <w:pPr>
            <w:pStyle w:val="Contents5"/>
            <w:tabs>
              <w:tab w:val="clear" w:pos="7892"/>
              <w:tab w:val="right" w:pos="9026" w:leader="dot"/>
            </w:tabs>
            <w:rPr/>
          </w:pPr>
          <w:hyperlink w:anchor="__RefHeading___Toc606782_1934241801">
            <w:r>
              <w:rPr>
                <w:webHidden/>
                <w:rStyle w:val="IndexLink"/>
                <w:rtl w:val="true"/>
              </w:rPr>
              <w:t>«</w:t>
            </w:r>
            <w:r>
              <w:rPr>
                <w:rStyle w:val="IndexLink"/>
              </w:rPr>
              <w:t>8</w:t>
            </w:r>
            <w:r>
              <w:rPr>
                <w:rStyle w:val="IndexLink"/>
                <w:rtl w:val="true"/>
              </w:rPr>
              <w:t>»</w:t>
              <w:tab/>
            </w:r>
            <w:r>
              <w:rPr>
                <w:rStyle w:val="IndexLink"/>
              </w:rPr>
              <w:t>449</w:t>
            </w:r>
          </w:hyperlink>
        </w:p>
        <w:p>
          <w:pPr>
            <w:pStyle w:val="Contents5"/>
            <w:tabs>
              <w:tab w:val="clear" w:pos="7892"/>
              <w:tab w:val="right" w:pos="9026" w:leader="dot"/>
            </w:tabs>
            <w:rPr/>
          </w:pPr>
          <w:hyperlink w:anchor="__RefHeading___Toc606784_1934241801">
            <w:r>
              <w:rPr>
                <w:webHidden/>
                <w:rStyle w:val="IndexLink"/>
                <w:rtl w:val="true"/>
              </w:rPr>
              <w:t>«</w:t>
            </w:r>
            <w:r>
              <w:rPr>
                <w:rStyle w:val="IndexLink"/>
              </w:rPr>
              <w:t>9</w:t>
            </w:r>
            <w:r>
              <w:rPr>
                <w:rStyle w:val="IndexLink"/>
                <w:rtl w:val="true"/>
              </w:rPr>
              <w:t>»</w:t>
              <w:tab/>
            </w:r>
            <w:r>
              <w:rPr>
                <w:rStyle w:val="IndexLink"/>
              </w:rPr>
              <w:t>449</w:t>
            </w:r>
          </w:hyperlink>
        </w:p>
        <w:p>
          <w:pPr>
            <w:pStyle w:val="Contents5"/>
            <w:tabs>
              <w:tab w:val="clear" w:pos="7892"/>
              <w:tab w:val="right" w:pos="9026" w:leader="dot"/>
            </w:tabs>
            <w:rPr/>
          </w:pPr>
          <w:hyperlink w:anchor="__RefHeading___Toc606786_1934241801">
            <w:r>
              <w:rPr>
                <w:webHidden/>
                <w:rStyle w:val="IndexLink"/>
                <w:rtl w:val="true"/>
              </w:rPr>
              <w:t>«</w:t>
            </w:r>
            <w:r>
              <w:rPr>
                <w:rStyle w:val="IndexLink"/>
              </w:rPr>
              <w:t>10</w:t>
            </w:r>
            <w:r>
              <w:rPr>
                <w:rStyle w:val="IndexLink"/>
                <w:rtl w:val="true"/>
              </w:rPr>
              <w:t>»</w:t>
              <w:tab/>
            </w:r>
            <w:r>
              <w:rPr>
                <w:rStyle w:val="IndexLink"/>
              </w:rPr>
              <w:t>449</w:t>
            </w:r>
          </w:hyperlink>
        </w:p>
        <w:p>
          <w:pPr>
            <w:pStyle w:val="Contents5"/>
            <w:tabs>
              <w:tab w:val="clear" w:pos="7892"/>
              <w:tab w:val="right" w:pos="9026" w:leader="dot"/>
            </w:tabs>
            <w:rPr/>
          </w:pPr>
          <w:hyperlink w:anchor="__RefHeading___Toc606788_1934241801">
            <w:r>
              <w:rPr>
                <w:webHidden/>
                <w:rStyle w:val="IndexLink"/>
                <w:rtl w:val="true"/>
              </w:rPr>
              <w:t>«</w:t>
            </w:r>
            <w:r>
              <w:rPr>
                <w:rStyle w:val="IndexLink"/>
              </w:rPr>
              <w:t>11</w:t>
            </w:r>
            <w:r>
              <w:rPr>
                <w:rStyle w:val="IndexLink"/>
                <w:rtl w:val="true"/>
              </w:rPr>
              <w:t>»</w:t>
              <w:tab/>
            </w:r>
            <w:r>
              <w:rPr>
                <w:rStyle w:val="IndexLink"/>
              </w:rPr>
              <w:t>449</w:t>
            </w:r>
          </w:hyperlink>
        </w:p>
        <w:p>
          <w:pPr>
            <w:pStyle w:val="Contents5"/>
            <w:tabs>
              <w:tab w:val="clear" w:pos="7892"/>
              <w:tab w:val="right" w:pos="9026" w:leader="dot"/>
            </w:tabs>
            <w:rPr/>
          </w:pPr>
          <w:hyperlink w:anchor="__RefHeading___Toc606790_1934241801">
            <w:r>
              <w:rPr>
                <w:webHidden/>
                <w:rStyle w:val="IndexLink"/>
                <w:rtl w:val="true"/>
              </w:rPr>
              <w:t xml:space="preserve">روایت </w:t>
            </w:r>
            <w:r>
              <w:rPr>
                <w:rStyle w:val="IndexLink"/>
              </w:rPr>
              <w:t>8</w:t>
            </w:r>
            <w:r>
              <w:rPr>
                <w:rStyle w:val="IndexLink"/>
                <w:rtl w:val="true"/>
              </w:rPr>
              <w:tab/>
            </w:r>
            <w:r>
              <w:rPr>
                <w:rStyle w:val="IndexLink"/>
              </w:rPr>
              <w:t>449</w:t>
            </w:r>
          </w:hyperlink>
        </w:p>
        <w:p>
          <w:pPr>
            <w:pStyle w:val="Contents5"/>
            <w:tabs>
              <w:tab w:val="clear" w:pos="7892"/>
              <w:tab w:val="right" w:pos="9026" w:leader="dot"/>
            </w:tabs>
            <w:rPr/>
          </w:pPr>
          <w:hyperlink w:anchor="__RefHeading___Toc606792_1934241801">
            <w:r>
              <w:rPr>
                <w:webHidden/>
                <w:rStyle w:val="IndexLink"/>
                <w:rtl w:val="true"/>
              </w:rPr>
              <w:t xml:space="preserve">روایت </w:t>
            </w:r>
            <w:r>
              <w:rPr>
                <w:rStyle w:val="IndexLink"/>
              </w:rPr>
              <w:t>9</w:t>
            </w:r>
            <w:r>
              <w:rPr>
                <w:rStyle w:val="IndexLink"/>
                <w:rtl w:val="true"/>
              </w:rPr>
              <w:tab/>
            </w:r>
            <w:r>
              <w:rPr>
                <w:rStyle w:val="IndexLink"/>
              </w:rPr>
              <w:t>449</w:t>
            </w:r>
          </w:hyperlink>
        </w:p>
        <w:p>
          <w:pPr>
            <w:pStyle w:val="Contents5"/>
            <w:tabs>
              <w:tab w:val="clear" w:pos="7892"/>
              <w:tab w:val="right" w:pos="9026" w:leader="dot"/>
            </w:tabs>
            <w:rPr/>
          </w:pPr>
          <w:hyperlink w:anchor="__RefHeading___Toc606794_1934241801">
            <w:r>
              <w:rPr>
                <w:webHidden/>
                <w:rStyle w:val="IndexLink"/>
                <w:rtl w:val="true"/>
              </w:rPr>
              <w:t xml:space="preserve">روایت </w:t>
            </w:r>
            <w:r>
              <w:rPr>
                <w:rStyle w:val="IndexLink"/>
              </w:rPr>
              <w:t>10</w:t>
            </w:r>
            <w:r>
              <w:rPr>
                <w:rStyle w:val="IndexLink"/>
                <w:rtl w:val="true"/>
              </w:rPr>
              <w:tab/>
            </w:r>
            <w:r>
              <w:rPr>
                <w:rStyle w:val="IndexLink"/>
              </w:rPr>
              <w:t>450</w:t>
            </w:r>
          </w:hyperlink>
        </w:p>
        <w:p>
          <w:pPr>
            <w:pStyle w:val="Contents5"/>
            <w:tabs>
              <w:tab w:val="clear" w:pos="7892"/>
              <w:tab w:val="right" w:pos="9026" w:leader="dot"/>
            </w:tabs>
            <w:rPr/>
          </w:pPr>
          <w:hyperlink w:anchor="__RefHeading___Toc606796_1934241801">
            <w:r>
              <w:rPr>
                <w:webHidden/>
                <w:rStyle w:val="IndexLink"/>
                <w:rtl w:val="true"/>
              </w:rPr>
              <w:t xml:space="preserve">روایت </w:t>
            </w:r>
            <w:r>
              <w:rPr>
                <w:rStyle w:val="IndexLink"/>
              </w:rPr>
              <w:t>11</w:t>
            </w:r>
            <w:r>
              <w:rPr>
                <w:rStyle w:val="IndexLink"/>
                <w:rtl w:val="true"/>
              </w:rPr>
              <w:tab/>
            </w:r>
            <w:r>
              <w:rPr>
                <w:rStyle w:val="IndexLink"/>
              </w:rPr>
              <w:t>450</w:t>
            </w:r>
          </w:hyperlink>
        </w:p>
        <w:p>
          <w:pPr>
            <w:pStyle w:val="Contents5"/>
            <w:tabs>
              <w:tab w:val="clear" w:pos="7892"/>
              <w:tab w:val="right" w:pos="9026" w:leader="dot"/>
            </w:tabs>
            <w:rPr/>
          </w:pPr>
          <w:hyperlink w:anchor="__RefHeading___Toc606798_1934241801">
            <w:r>
              <w:rPr>
                <w:webHidden/>
                <w:rStyle w:val="IndexLink"/>
                <w:rtl w:val="true"/>
              </w:rPr>
              <w:t>«</w:t>
            </w:r>
            <w:r>
              <w:rPr>
                <w:rStyle w:val="IndexLink"/>
              </w:rPr>
              <w:t>12</w:t>
            </w:r>
            <w:r>
              <w:rPr>
                <w:rStyle w:val="IndexLink"/>
                <w:rtl w:val="true"/>
              </w:rPr>
              <w:t>»</w:t>
              <w:tab/>
            </w:r>
            <w:r>
              <w:rPr>
                <w:rStyle w:val="IndexLink"/>
              </w:rPr>
              <w:t>451</w:t>
            </w:r>
          </w:hyperlink>
        </w:p>
        <w:p>
          <w:pPr>
            <w:pStyle w:val="Contents5"/>
            <w:tabs>
              <w:tab w:val="clear" w:pos="7892"/>
              <w:tab w:val="right" w:pos="9026" w:leader="dot"/>
            </w:tabs>
            <w:rPr/>
          </w:pPr>
          <w:hyperlink w:anchor="__RefHeading___Toc606800_1934241801">
            <w:r>
              <w:rPr>
                <w:webHidden/>
                <w:rStyle w:val="IndexLink"/>
                <w:rtl w:val="true"/>
              </w:rPr>
              <w:t>بيان</w:t>
            </w:r>
            <w:r>
              <w:rPr>
                <w:rStyle w:val="IndexLink"/>
                <w:rtl w:val="true"/>
              </w:rPr>
              <w:tab/>
            </w:r>
            <w:r>
              <w:rPr>
                <w:rStyle w:val="IndexLink"/>
              </w:rPr>
              <w:t>451</w:t>
            </w:r>
          </w:hyperlink>
        </w:p>
        <w:p>
          <w:pPr>
            <w:pStyle w:val="Contents5"/>
            <w:tabs>
              <w:tab w:val="clear" w:pos="7892"/>
              <w:tab w:val="right" w:pos="9026" w:leader="dot"/>
            </w:tabs>
            <w:rPr/>
          </w:pPr>
          <w:hyperlink w:anchor="__RefHeading___Toc606802_1934241801">
            <w:r>
              <w:rPr>
                <w:webHidden/>
                <w:rStyle w:val="IndexLink"/>
                <w:rtl w:val="true"/>
              </w:rPr>
              <w:t>«</w:t>
            </w:r>
            <w:r>
              <w:rPr>
                <w:rStyle w:val="IndexLink"/>
              </w:rPr>
              <w:t>13</w:t>
            </w:r>
            <w:r>
              <w:rPr>
                <w:rStyle w:val="IndexLink"/>
                <w:rtl w:val="true"/>
              </w:rPr>
              <w:t>»</w:t>
              <w:tab/>
            </w:r>
            <w:r>
              <w:rPr>
                <w:rStyle w:val="IndexLink"/>
              </w:rPr>
              <w:t>451</w:t>
            </w:r>
          </w:hyperlink>
        </w:p>
        <w:p>
          <w:pPr>
            <w:pStyle w:val="Contents5"/>
            <w:tabs>
              <w:tab w:val="clear" w:pos="7892"/>
              <w:tab w:val="right" w:pos="9026" w:leader="dot"/>
            </w:tabs>
            <w:rPr/>
          </w:pPr>
          <w:hyperlink w:anchor="__RefHeading___Toc606804_1934241801">
            <w:r>
              <w:rPr>
                <w:webHidden/>
                <w:rStyle w:val="IndexLink"/>
                <w:rtl w:val="true"/>
              </w:rPr>
              <w:t>«</w:t>
            </w:r>
            <w:r>
              <w:rPr>
                <w:rStyle w:val="IndexLink"/>
              </w:rPr>
              <w:t>14</w:t>
            </w:r>
            <w:r>
              <w:rPr>
                <w:rStyle w:val="IndexLink"/>
                <w:rtl w:val="true"/>
              </w:rPr>
              <w:t>»</w:t>
              <w:tab/>
            </w:r>
            <w:r>
              <w:rPr>
                <w:rStyle w:val="IndexLink"/>
              </w:rPr>
              <w:t>451</w:t>
            </w:r>
          </w:hyperlink>
        </w:p>
        <w:p>
          <w:pPr>
            <w:pStyle w:val="Contents5"/>
            <w:tabs>
              <w:tab w:val="clear" w:pos="7892"/>
              <w:tab w:val="right" w:pos="9026" w:leader="dot"/>
            </w:tabs>
            <w:rPr/>
          </w:pPr>
          <w:hyperlink w:anchor="__RefHeading___Toc606806_1934241801">
            <w:r>
              <w:rPr>
                <w:webHidden/>
                <w:rStyle w:val="IndexLink"/>
                <w:rtl w:val="true"/>
              </w:rPr>
              <w:t xml:space="preserve">روایت </w:t>
            </w:r>
            <w:r>
              <w:rPr>
                <w:rStyle w:val="IndexLink"/>
              </w:rPr>
              <w:t>12</w:t>
            </w:r>
            <w:r>
              <w:rPr>
                <w:rStyle w:val="IndexLink"/>
                <w:rtl w:val="true"/>
              </w:rPr>
              <w:tab/>
            </w:r>
            <w:r>
              <w:rPr>
                <w:rStyle w:val="IndexLink"/>
              </w:rPr>
              <w:t>451</w:t>
            </w:r>
          </w:hyperlink>
        </w:p>
        <w:p>
          <w:pPr>
            <w:pStyle w:val="Contents5"/>
            <w:tabs>
              <w:tab w:val="clear" w:pos="7892"/>
              <w:tab w:val="right" w:pos="9026" w:leader="dot"/>
            </w:tabs>
            <w:rPr/>
          </w:pPr>
          <w:hyperlink w:anchor="__RefHeading___Toc606808_1934241801">
            <w:r>
              <w:rPr>
                <w:webHidden/>
                <w:rStyle w:val="IndexLink"/>
                <w:rtl w:val="true"/>
              </w:rPr>
              <w:t>توضیح</w:t>
            </w:r>
            <w:r>
              <w:rPr>
                <w:rStyle w:val="IndexLink"/>
                <w:rtl w:val="true"/>
              </w:rPr>
              <w:tab/>
            </w:r>
            <w:r>
              <w:rPr>
                <w:rStyle w:val="IndexLink"/>
              </w:rPr>
              <w:t>452</w:t>
            </w:r>
          </w:hyperlink>
        </w:p>
        <w:p>
          <w:pPr>
            <w:pStyle w:val="Contents5"/>
            <w:tabs>
              <w:tab w:val="clear" w:pos="7892"/>
              <w:tab w:val="right" w:pos="9026" w:leader="dot"/>
            </w:tabs>
            <w:rPr/>
          </w:pPr>
          <w:hyperlink w:anchor="__RefHeading___Toc606810_1934241801">
            <w:r>
              <w:rPr>
                <w:webHidden/>
                <w:rStyle w:val="IndexLink"/>
                <w:rtl w:val="true"/>
              </w:rPr>
              <w:t xml:space="preserve">روایت </w:t>
            </w:r>
            <w:r>
              <w:rPr>
                <w:rStyle w:val="IndexLink"/>
              </w:rPr>
              <w:t>13</w:t>
            </w:r>
            <w:r>
              <w:rPr>
                <w:rStyle w:val="IndexLink"/>
                <w:rtl w:val="true"/>
              </w:rPr>
              <w:tab/>
            </w:r>
            <w:r>
              <w:rPr>
                <w:rStyle w:val="IndexLink"/>
              </w:rPr>
              <w:t>452</w:t>
            </w:r>
          </w:hyperlink>
        </w:p>
        <w:p>
          <w:pPr>
            <w:pStyle w:val="Contents5"/>
            <w:tabs>
              <w:tab w:val="clear" w:pos="7892"/>
              <w:tab w:val="right" w:pos="9026" w:leader="dot"/>
            </w:tabs>
            <w:rPr/>
          </w:pPr>
          <w:hyperlink w:anchor="__RefHeading___Toc606812_1934241801">
            <w:r>
              <w:rPr>
                <w:webHidden/>
                <w:rStyle w:val="IndexLink"/>
                <w:rtl w:val="true"/>
              </w:rPr>
              <w:t xml:space="preserve">روایت </w:t>
            </w:r>
            <w:r>
              <w:rPr>
                <w:rStyle w:val="IndexLink"/>
              </w:rPr>
              <w:t>14</w:t>
            </w:r>
            <w:r>
              <w:rPr>
                <w:rStyle w:val="IndexLink"/>
                <w:rtl w:val="true"/>
              </w:rPr>
              <w:tab/>
            </w:r>
            <w:r>
              <w:rPr>
                <w:rStyle w:val="IndexLink"/>
              </w:rPr>
              <w:t>452</w:t>
            </w:r>
          </w:hyperlink>
        </w:p>
        <w:p>
          <w:pPr>
            <w:pStyle w:val="Contents5"/>
            <w:tabs>
              <w:tab w:val="clear" w:pos="7892"/>
              <w:tab w:val="right" w:pos="9026" w:leader="dot"/>
            </w:tabs>
            <w:rPr/>
          </w:pPr>
          <w:hyperlink w:anchor="__RefHeading___Toc606814_1934241801">
            <w:r>
              <w:rPr>
                <w:webHidden/>
                <w:rStyle w:val="IndexLink"/>
                <w:rtl w:val="true"/>
              </w:rPr>
              <w:t>«</w:t>
            </w:r>
            <w:r>
              <w:rPr>
                <w:rStyle w:val="IndexLink"/>
              </w:rPr>
              <w:t>15</w:t>
            </w:r>
            <w:r>
              <w:rPr>
                <w:rStyle w:val="IndexLink"/>
                <w:rtl w:val="true"/>
              </w:rPr>
              <w:t>»</w:t>
              <w:tab/>
            </w:r>
            <w:r>
              <w:rPr>
                <w:rStyle w:val="IndexLink"/>
              </w:rPr>
              <w:t>453</w:t>
            </w:r>
          </w:hyperlink>
        </w:p>
        <w:p>
          <w:pPr>
            <w:pStyle w:val="Contents5"/>
            <w:tabs>
              <w:tab w:val="clear" w:pos="7892"/>
              <w:tab w:val="right" w:pos="9026" w:leader="dot"/>
            </w:tabs>
            <w:rPr/>
          </w:pPr>
          <w:hyperlink w:anchor="__RefHeading___Toc606816_1934241801">
            <w:r>
              <w:rPr>
                <w:webHidden/>
                <w:rStyle w:val="IndexLink"/>
                <w:rtl w:val="true"/>
              </w:rPr>
              <w:t>«</w:t>
            </w:r>
            <w:r>
              <w:rPr>
                <w:rStyle w:val="IndexLink"/>
              </w:rPr>
              <w:t>16</w:t>
            </w:r>
            <w:r>
              <w:rPr>
                <w:rStyle w:val="IndexLink"/>
                <w:rtl w:val="true"/>
              </w:rPr>
              <w:t>»</w:t>
              <w:tab/>
            </w:r>
            <w:r>
              <w:rPr>
                <w:rStyle w:val="IndexLink"/>
              </w:rPr>
              <w:t>453</w:t>
            </w:r>
          </w:hyperlink>
        </w:p>
        <w:p>
          <w:pPr>
            <w:pStyle w:val="Contents5"/>
            <w:tabs>
              <w:tab w:val="clear" w:pos="7892"/>
              <w:tab w:val="right" w:pos="9026" w:leader="dot"/>
            </w:tabs>
            <w:rPr/>
          </w:pPr>
          <w:hyperlink w:anchor="__RefHeading___Toc606818_1934241801">
            <w:r>
              <w:rPr>
                <w:webHidden/>
                <w:rStyle w:val="IndexLink"/>
                <w:rtl w:val="true"/>
              </w:rPr>
              <w:t>«</w:t>
            </w:r>
            <w:r>
              <w:rPr>
                <w:rStyle w:val="IndexLink"/>
              </w:rPr>
              <w:t>17</w:t>
            </w:r>
            <w:r>
              <w:rPr>
                <w:rStyle w:val="IndexLink"/>
                <w:rtl w:val="true"/>
              </w:rPr>
              <w:t>»</w:t>
              <w:tab/>
            </w:r>
            <w:r>
              <w:rPr>
                <w:rStyle w:val="IndexLink"/>
              </w:rPr>
              <w:t>453</w:t>
            </w:r>
          </w:hyperlink>
        </w:p>
        <w:p>
          <w:pPr>
            <w:pStyle w:val="Contents5"/>
            <w:tabs>
              <w:tab w:val="clear" w:pos="7892"/>
              <w:tab w:val="right" w:pos="9026" w:leader="dot"/>
            </w:tabs>
            <w:rPr/>
          </w:pPr>
          <w:hyperlink w:anchor="__RefHeading___Toc606820_1934241801">
            <w:r>
              <w:rPr>
                <w:webHidden/>
                <w:rStyle w:val="IndexLink"/>
                <w:rtl w:val="true"/>
              </w:rPr>
              <w:t>«</w:t>
            </w:r>
            <w:r>
              <w:rPr>
                <w:rStyle w:val="IndexLink"/>
              </w:rPr>
              <w:t>18</w:t>
            </w:r>
            <w:r>
              <w:rPr>
                <w:rStyle w:val="IndexLink"/>
                <w:rtl w:val="true"/>
              </w:rPr>
              <w:t>»</w:t>
              <w:tab/>
            </w:r>
            <w:r>
              <w:rPr>
                <w:rStyle w:val="IndexLink"/>
              </w:rPr>
              <w:t>453</w:t>
            </w:r>
          </w:hyperlink>
        </w:p>
        <w:p>
          <w:pPr>
            <w:pStyle w:val="Contents5"/>
            <w:tabs>
              <w:tab w:val="clear" w:pos="7892"/>
              <w:tab w:val="right" w:pos="9026" w:leader="dot"/>
            </w:tabs>
            <w:rPr/>
          </w:pPr>
          <w:hyperlink w:anchor="__RefHeading___Toc606822_1934241801">
            <w:r>
              <w:rPr>
                <w:webHidden/>
                <w:rStyle w:val="IndexLink"/>
                <w:rtl w:val="true"/>
              </w:rPr>
              <w:t xml:space="preserve">روایت </w:t>
            </w:r>
            <w:r>
              <w:rPr>
                <w:rStyle w:val="IndexLink"/>
              </w:rPr>
              <w:t>15</w:t>
            </w:r>
            <w:r>
              <w:rPr>
                <w:rStyle w:val="IndexLink"/>
                <w:rtl w:val="true"/>
              </w:rPr>
              <w:tab/>
            </w:r>
            <w:r>
              <w:rPr>
                <w:rStyle w:val="IndexLink"/>
              </w:rPr>
              <w:t>453</w:t>
            </w:r>
          </w:hyperlink>
        </w:p>
        <w:p>
          <w:pPr>
            <w:pStyle w:val="Contents5"/>
            <w:tabs>
              <w:tab w:val="clear" w:pos="7892"/>
              <w:tab w:val="right" w:pos="9026" w:leader="dot"/>
            </w:tabs>
            <w:rPr/>
          </w:pPr>
          <w:hyperlink w:anchor="__RefHeading___Toc606824_1934241801">
            <w:r>
              <w:rPr>
                <w:webHidden/>
                <w:rStyle w:val="IndexLink"/>
                <w:rtl w:val="true"/>
              </w:rPr>
              <w:t xml:space="preserve">روایت </w:t>
            </w:r>
            <w:r>
              <w:rPr>
                <w:rStyle w:val="IndexLink"/>
              </w:rPr>
              <w:t>16</w:t>
            </w:r>
            <w:r>
              <w:rPr>
                <w:rStyle w:val="IndexLink"/>
                <w:rtl w:val="true"/>
              </w:rPr>
              <w:tab/>
            </w:r>
            <w:r>
              <w:rPr>
                <w:rStyle w:val="IndexLink"/>
              </w:rPr>
              <w:t>453</w:t>
            </w:r>
          </w:hyperlink>
        </w:p>
        <w:p>
          <w:pPr>
            <w:pStyle w:val="Contents5"/>
            <w:tabs>
              <w:tab w:val="clear" w:pos="7892"/>
              <w:tab w:val="right" w:pos="9026" w:leader="dot"/>
            </w:tabs>
            <w:rPr/>
          </w:pPr>
          <w:hyperlink w:anchor="__RefHeading___Toc606826_1934241801">
            <w:r>
              <w:rPr>
                <w:webHidden/>
                <w:rStyle w:val="IndexLink"/>
                <w:rtl w:val="true"/>
              </w:rPr>
              <w:t xml:space="preserve">روایت </w:t>
            </w:r>
            <w:r>
              <w:rPr>
                <w:rStyle w:val="IndexLink"/>
              </w:rPr>
              <w:t>17</w:t>
            </w:r>
            <w:r>
              <w:rPr>
                <w:rStyle w:val="IndexLink"/>
                <w:rtl w:val="true"/>
              </w:rPr>
              <w:tab/>
            </w:r>
            <w:r>
              <w:rPr>
                <w:rStyle w:val="IndexLink"/>
              </w:rPr>
              <w:t>454</w:t>
            </w:r>
          </w:hyperlink>
        </w:p>
        <w:p>
          <w:pPr>
            <w:pStyle w:val="Contents5"/>
            <w:tabs>
              <w:tab w:val="clear" w:pos="7892"/>
              <w:tab w:val="right" w:pos="9026" w:leader="dot"/>
            </w:tabs>
            <w:rPr/>
          </w:pPr>
          <w:hyperlink w:anchor="__RefHeading___Toc606828_1934241801">
            <w:r>
              <w:rPr>
                <w:webHidden/>
                <w:rStyle w:val="IndexLink"/>
                <w:rtl w:val="true"/>
              </w:rPr>
              <w:t xml:space="preserve">روایت </w:t>
            </w:r>
            <w:r>
              <w:rPr>
                <w:rStyle w:val="IndexLink"/>
              </w:rPr>
              <w:t>18</w:t>
            </w:r>
            <w:r>
              <w:rPr>
                <w:rStyle w:val="IndexLink"/>
                <w:rtl w:val="true"/>
              </w:rPr>
              <w:tab/>
            </w:r>
            <w:r>
              <w:rPr>
                <w:rStyle w:val="IndexLink"/>
              </w:rPr>
              <w:t>454</w:t>
            </w:r>
          </w:hyperlink>
        </w:p>
        <w:p>
          <w:pPr>
            <w:pStyle w:val="Contents5"/>
            <w:tabs>
              <w:tab w:val="clear" w:pos="7892"/>
              <w:tab w:val="right" w:pos="9026" w:leader="dot"/>
            </w:tabs>
            <w:rPr/>
          </w:pPr>
          <w:hyperlink w:anchor="__RefHeading___Toc606830_1934241801">
            <w:r>
              <w:rPr>
                <w:webHidden/>
                <w:rStyle w:val="IndexLink"/>
                <w:rtl w:val="true"/>
              </w:rPr>
              <w:t>«</w:t>
            </w:r>
            <w:r>
              <w:rPr>
                <w:rStyle w:val="IndexLink"/>
              </w:rPr>
              <w:t>19</w:t>
            </w:r>
            <w:r>
              <w:rPr>
                <w:rStyle w:val="IndexLink"/>
                <w:rtl w:val="true"/>
              </w:rPr>
              <w:t>»</w:t>
              <w:tab/>
            </w:r>
            <w:r>
              <w:rPr>
                <w:rStyle w:val="IndexLink"/>
              </w:rPr>
              <w:t>455</w:t>
            </w:r>
          </w:hyperlink>
        </w:p>
        <w:p>
          <w:pPr>
            <w:pStyle w:val="Contents5"/>
            <w:tabs>
              <w:tab w:val="clear" w:pos="7892"/>
              <w:tab w:val="right" w:pos="9026" w:leader="dot"/>
            </w:tabs>
            <w:rPr/>
          </w:pPr>
          <w:hyperlink w:anchor="__RefHeading___Toc606832_1934241801">
            <w:r>
              <w:rPr>
                <w:webHidden/>
                <w:rStyle w:val="IndexLink"/>
                <w:rtl w:val="true"/>
              </w:rPr>
              <w:t>«</w:t>
            </w:r>
            <w:r>
              <w:rPr>
                <w:rStyle w:val="IndexLink"/>
              </w:rPr>
              <w:t>20</w:t>
            </w:r>
            <w:r>
              <w:rPr>
                <w:rStyle w:val="IndexLink"/>
                <w:rtl w:val="true"/>
              </w:rPr>
              <w:t>»</w:t>
              <w:tab/>
            </w:r>
            <w:r>
              <w:rPr>
                <w:rStyle w:val="IndexLink"/>
              </w:rPr>
              <w:t>455</w:t>
            </w:r>
          </w:hyperlink>
        </w:p>
        <w:p>
          <w:pPr>
            <w:pStyle w:val="Contents5"/>
            <w:tabs>
              <w:tab w:val="clear" w:pos="7892"/>
              <w:tab w:val="right" w:pos="9026" w:leader="dot"/>
            </w:tabs>
            <w:rPr/>
          </w:pPr>
          <w:hyperlink w:anchor="__RefHeading___Toc606834_1934241801">
            <w:r>
              <w:rPr>
                <w:webHidden/>
                <w:rStyle w:val="IndexLink"/>
                <w:rtl w:val="true"/>
              </w:rPr>
              <w:t>«</w:t>
            </w:r>
            <w:r>
              <w:rPr>
                <w:rStyle w:val="IndexLink"/>
              </w:rPr>
              <w:t>21</w:t>
            </w:r>
            <w:r>
              <w:rPr>
                <w:rStyle w:val="IndexLink"/>
                <w:rtl w:val="true"/>
              </w:rPr>
              <w:t>»</w:t>
              <w:tab/>
            </w:r>
            <w:r>
              <w:rPr>
                <w:rStyle w:val="IndexLink"/>
              </w:rPr>
              <w:t>455</w:t>
            </w:r>
          </w:hyperlink>
        </w:p>
        <w:p>
          <w:pPr>
            <w:pStyle w:val="Contents5"/>
            <w:tabs>
              <w:tab w:val="clear" w:pos="7892"/>
              <w:tab w:val="right" w:pos="9026" w:leader="dot"/>
            </w:tabs>
            <w:rPr/>
          </w:pPr>
          <w:hyperlink w:anchor="__RefHeading___Toc606836_1934241801">
            <w:r>
              <w:rPr>
                <w:webHidden/>
                <w:rStyle w:val="IndexLink"/>
                <w:rtl w:val="true"/>
              </w:rPr>
              <w:t xml:space="preserve">روایت </w:t>
            </w:r>
            <w:r>
              <w:rPr>
                <w:rStyle w:val="IndexLink"/>
              </w:rPr>
              <w:t>19</w:t>
            </w:r>
            <w:r>
              <w:rPr>
                <w:rStyle w:val="IndexLink"/>
                <w:rtl w:val="true"/>
              </w:rPr>
              <w:tab/>
            </w:r>
            <w:r>
              <w:rPr>
                <w:rStyle w:val="IndexLink"/>
              </w:rPr>
              <w:t>455</w:t>
            </w:r>
          </w:hyperlink>
        </w:p>
        <w:p>
          <w:pPr>
            <w:pStyle w:val="Contents5"/>
            <w:tabs>
              <w:tab w:val="clear" w:pos="7892"/>
              <w:tab w:val="right" w:pos="9026" w:leader="dot"/>
            </w:tabs>
            <w:rPr/>
          </w:pPr>
          <w:hyperlink w:anchor="__RefHeading___Toc606838_1934241801">
            <w:r>
              <w:rPr>
                <w:webHidden/>
                <w:rStyle w:val="IndexLink"/>
                <w:rtl w:val="true"/>
              </w:rPr>
              <w:t xml:space="preserve">روایت </w:t>
            </w:r>
            <w:r>
              <w:rPr>
                <w:rStyle w:val="IndexLink"/>
              </w:rPr>
              <w:t>20</w:t>
            </w:r>
            <w:r>
              <w:rPr>
                <w:rStyle w:val="IndexLink"/>
                <w:rtl w:val="true"/>
              </w:rPr>
              <w:tab/>
            </w:r>
            <w:r>
              <w:rPr>
                <w:rStyle w:val="IndexLink"/>
              </w:rPr>
              <w:t>456</w:t>
            </w:r>
          </w:hyperlink>
        </w:p>
        <w:p>
          <w:pPr>
            <w:pStyle w:val="Contents5"/>
            <w:tabs>
              <w:tab w:val="clear" w:pos="7892"/>
              <w:tab w:val="right" w:pos="9026" w:leader="dot"/>
            </w:tabs>
            <w:rPr/>
          </w:pPr>
          <w:hyperlink w:anchor="__RefHeading___Toc606840_1934241801">
            <w:r>
              <w:rPr>
                <w:webHidden/>
                <w:rStyle w:val="IndexLink"/>
                <w:rtl w:val="true"/>
              </w:rPr>
              <w:t xml:space="preserve">روایت </w:t>
            </w:r>
            <w:r>
              <w:rPr>
                <w:rStyle w:val="IndexLink"/>
              </w:rPr>
              <w:t>21</w:t>
            </w:r>
            <w:r>
              <w:rPr>
                <w:rStyle w:val="IndexLink"/>
                <w:rtl w:val="true"/>
              </w:rPr>
              <w:tab/>
            </w:r>
            <w:r>
              <w:rPr>
                <w:rStyle w:val="IndexLink"/>
              </w:rPr>
              <w:t>456</w:t>
            </w:r>
          </w:hyperlink>
        </w:p>
        <w:p>
          <w:pPr>
            <w:pStyle w:val="Contents5"/>
            <w:tabs>
              <w:tab w:val="clear" w:pos="7892"/>
              <w:tab w:val="right" w:pos="9026" w:leader="dot"/>
            </w:tabs>
            <w:rPr/>
          </w:pPr>
          <w:hyperlink w:anchor="__RefHeading___Toc606842_1934241801">
            <w:r>
              <w:rPr>
                <w:webHidden/>
                <w:rStyle w:val="IndexLink"/>
                <w:rtl w:val="true"/>
              </w:rPr>
              <w:t>بيان</w:t>
            </w:r>
            <w:r>
              <w:rPr>
                <w:rStyle w:val="IndexLink"/>
                <w:rtl w:val="true"/>
              </w:rPr>
              <w:tab/>
            </w:r>
            <w:r>
              <w:rPr>
                <w:rStyle w:val="IndexLink"/>
              </w:rPr>
              <w:t>457</w:t>
            </w:r>
          </w:hyperlink>
        </w:p>
        <w:p>
          <w:pPr>
            <w:pStyle w:val="Contents5"/>
            <w:tabs>
              <w:tab w:val="clear" w:pos="7892"/>
              <w:tab w:val="right" w:pos="9026" w:leader="dot"/>
            </w:tabs>
            <w:rPr/>
          </w:pPr>
          <w:hyperlink w:anchor="__RefHeading___Toc606844_1934241801">
            <w:r>
              <w:rPr>
                <w:webHidden/>
                <w:rStyle w:val="IndexLink"/>
                <w:rtl w:val="true"/>
              </w:rPr>
              <w:t>«</w:t>
            </w:r>
            <w:r>
              <w:rPr>
                <w:rStyle w:val="IndexLink"/>
              </w:rPr>
              <w:t>22</w:t>
            </w:r>
            <w:r>
              <w:rPr>
                <w:rStyle w:val="IndexLink"/>
                <w:rtl w:val="true"/>
              </w:rPr>
              <w:t>»</w:t>
              <w:tab/>
            </w:r>
            <w:r>
              <w:rPr>
                <w:rStyle w:val="IndexLink"/>
              </w:rPr>
              <w:t>457</w:t>
            </w:r>
          </w:hyperlink>
        </w:p>
        <w:p>
          <w:pPr>
            <w:pStyle w:val="Contents5"/>
            <w:tabs>
              <w:tab w:val="clear" w:pos="7892"/>
              <w:tab w:val="right" w:pos="9026" w:leader="dot"/>
            </w:tabs>
            <w:rPr/>
          </w:pPr>
          <w:hyperlink w:anchor="__RefHeading___Toc606846_1934241801">
            <w:r>
              <w:rPr>
                <w:webHidden/>
                <w:rStyle w:val="IndexLink"/>
                <w:rtl w:val="true"/>
              </w:rPr>
              <w:t>بيان</w:t>
            </w:r>
            <w:r>
              <w:rPr>
                <w:rStyle w:val="IndexLink"/>
                <w:rtl w:val="true"/>
              </w:rPr>
              <w:tab/>
            </w:r>
            <w:r>
              <w:rPr>
                <w:rStyle w:val="IndexLink"/>
              </w:rPr>
              <w:t>457</w:t>
            </w:r>
          </w:hyperlink>
        </w:p>
        <w:p>
          <w:pPr>
            <w:pStyle w:val="Contents5"/>
            <w:tabs>
              <w:tab w:val="clear" w:pos="7892"/>
              <w:tab w:val="right" w:pos="9026" w:leader="dot"/>
            </w:tabs>
            <w:rPr/>
          </w:pPr>
          <w:hyperlink w:anchor="__RefHeading___Toc606848_1934241801">
            <w:r>
              <w:rPr>
                <w:webHidden/>
                <w:rStyle w:val="IndexLink"/>
                <w:rtl w:val="true"/>
              </w:rPr>
              <w:t>«</w:t>
            </w:r>
            <w:r>
              <w:rPr>
                <w:rStyle w:val="IndexLink"/>
              </w:rPr>
              <w:t>23</w:t>
            </w:r>
            <w:r>
              <w:rPr>
                <w:rStyle w:val="IndexLink"/>
                <w:rtl w:val="true"/>
              </w:rPr>
              <w:t>»</w:t>
              <w:tab/>
            </w:r>
            <w:r>
              <w:rPr>
                <w:rStyle w:val="IndexLink"/>
              </w:rPr>
              <w:t>457</w:t>
            </w:r>
          </w:hyperlink>
        </w:p>
        <w:p>
          <w:pPr>
            <w:pStyle w:val="Contents5"/>
            <w:tabs>
              <w:tab w:val="clear" w:pos="7892"/>
              <w:tab w:val="right" w:pos="9026" w:leader="dot"/>
            </w:tabs>
            <w:rPr/>
          </w:pPr>
          <w:hyperlink w:anchor="__RefHeading___Toc606850_1934241801">
            <w:r>
              <w:rPr>
                <w:webHidden/>
                <w:rStyle w:val="IndexLink"/>
                <w:rtl w:val="true"/>
              </w:rPr>
              <w:t>توضیح</w:t>
            </w:r>
            <w:r>
              <w:rPr>
                <w:rStyle w:val="IndexLink"/>
                <w:rtl w:val="true"/>
              </w:rPr>
              <w:tab/>
            </w:r>
            <w:r>
              <w:rPr>
                <w:rStyle w:val="IndexLink"/>
              </w:rPr>
              <w:t>457</w:t>
            </w:r>
          </w:hyperlink>
        </w:p>
        <w:p>
          <w:pPr>
            <w:pStyle w:val="Contents5"/>
            <w:tabs>
              <w:tab w:val="clear" w:pos="7892"/>
              <w:tab w:val="right" w:pos="9026" w:leader="dot"/>
            </w:tabs>
            <w:rPr/>
          </w:pPr>
          <w:hyperlink w:anchor="__RefHeading___Toc606852_1934241801">
            <w:r>
              <w:rPr>
                <w:webHidden/>
                <w:rStyle w:val="IndexLink"/>
                <w:rtl w:val="true"/>
              </w:rPr>
              <w:t xml:space="preserve">روایت </w:t>
            </w:r>
            <w:r>
              <w:rPr>
                <w:rStyle w:val="IndexLink"/>
              </w:rPr>
              <w:t>22</w:t>
            </w:r>
            <w:r>
              <w:rPr>
                <w:rStyle w:val="IndexLink"/>
                <w:rtl w:val="true"/>
              </w:rPr>
              <w:tab/>
            </w:r>
            <w:r>
              <w:rPr>
                <w:rStyle w:val="IndexLink"/>
              </w:rPr>
              <w:t>457</w:t>
            </w:r>
          </w:hyperlink>
        </w:p>
        <w:p>
          <w:pPr>
            <w:pStyle w:val="Contents5"/>
            <w:tabs>
              <w:tab w:val="clear" w:pos="7892"/>
              <w:tab w:val="right" w:pos="9026" w:leader="dot"/>
            </w:tabs>
            <w:rPr/>
          </w:pPr>
          <w:hyperlink w:anchor="__RefHeading___Toc606854_1934241801">
            <w:r>
              <w:rPr>
                <w:webHidden/>
                <w:rStyle w:val="IndexLink"/>
                <w:rtl w:val="true"/>
              </w:rPr>
              <w:t>توضیح</w:t>
            </w:r>
            <w:r>
              <w:rPr>
                <w:rStyle w:val="IndexLink"/>
                <w:rtl w:val="true"/>
              </w:rPr>
              <w:tab/>
            </w:r>
            <w:r>
              <w:rPr>
                <w:rStyle w:val="IndexLink"/>
              </w:rPr>
              <w:t>458</w:t>
            </w:r>
          </w:hyperlink>
        </w:p>
        <w:p>
          <w:pPr>
            <w:pStyle w:val="Contents5"/>
            <w:tabs>
              <w:tab w:val="clear" w:pos="7892"/>
              <w:tab w:val="right" w:pos="9026" w:leader="dot"/>
            </w:tabs>
            <w:rPr/>
          </w:pPr>
          <w:hyperlink w:anchor="__RefHeading___Toc606856_1934241801">
            <w:r>
              <w:rPr>
                <w:webHidden/>
                <w:rStyle w:val="IndexLink"/>
                <w:rtl w:val="true"/>
              </w:rPr>
              <w:t xml:space="preserve">روایت </w:t>
            </w:r>
            <w:r>
              <w:rPr>
                <w:rStyle w:val="IndexLink"/>
              </w:rPr>
              <w:t>23</w:t>
            </w:r>
            <w:r>
              <w:rPr>
                <w:rStyle w:val="IndexLink"/>
                <w:rtl w:val="true"/>
              </w:rPr>
              <w:tab/>
            </w:r>
            <w:r>
              <w:rPr>
                <w:rStyle w:val="IndexLink"/>
              </w:rPr>
              <w:t>458</w:t>
            </w:r>
          </w:hyperlink>
        </w:p>
        <w:p>
          <w:pPr>
            <w:pStyle w:val="Contents5"/>
            <w:tabs>
              <w:tab w:val="clear" w:pos="7892"/>
              <w:tab w:val="right" w:pos="9026" w:leader="dot"/>
            </w:tabs>
            <w:rPr/>
          </w:pPr>
          <w:hyperlink w:anchor="__RefHeading___Toc606858_1934241801">
            <w:r>
              <w:rPr>
                <w:webHidden/>
                <w:rStyle w:val="IndexLink"/>
                <w:rtl w:val="true"/>
              </w:rPr>
              <w:t>«</w:t>
            </w:r>
            <w:r>
              <w:rPr>
                <w:rStyle w:val="IndexLink"/>
              </w:rPr>
              <w:t>24</w:t>
            </w:r>
            <w:r>
              <w:rPr>
                <w:rStyle w:val="IndexLink"/>
                <w:rtl w:val="true"/>
              </w:rPr>
              <w:t>»</w:t>
              <w:tab/>
            </w:r>
            <w:r>
              <w:rPr>
                <w:rStyle w:val="IndexLink"/>
              </w:rPr>
              <w:t>459</w:t>
            </w:r>
          </w:hyperlink>
        </w:p>
        <w:p>
          <w:pPr>
            <w:pStyle w:val="Contents5"/>
            <w:tabs>
              <w:tab w:val="clear" w:pos="7892"/>
              <w:tab w:val="right" w:pos="9026" w:leader="dot"/>
            </w:tabs>
            <w:rPr/>
          </w:pPr>
          <w:hyperlink w:anchor="__RefHeading___Toc606860_1934241801">
            <w:r>
              <w:rPr>
                <w:webHidden/>
                <w:rStyle w:val="IndexLink"/>
                <w:rtl w:val="true"/>
              </w:rPr>
              <w:t>بيان</w:t>
            </w:r>
            <w:r>
              <w:rPr>
                <w:rStyle w:val="IndexLink"/>
                <w:rtl w:val="true"/>
              </w:rPr>
              <w:tab/>
            </w:r>
            <w:r>
              <w:rPr>
                <w:rStyle w:val="IndexLink"/>
              </w:rPr>
              <w:t>459</w:t>
            </w:r>
          </w:hyperlink>
        </w:p>
        <w:p>
          <w:pPr>
            <w:pStyle w:val="Contents5"/>
            <w:tabs>
              <w:tab w:val="clear" w:pos="7892"/>
              <w:tab w:val="right" w:pos="9026" w:leader="dot"/>
            </w:tabs>
            <w:rPr/>
          </w:pPr>
          <w:hyperlink w:anchor="__RefHeading___Toc606862_1934241801">
            <w:r>
              <w:rPr>
                <w:webHidden/>
                <w:rStyle w:val="IndexLink"/>
                <w:rtl w:val="true"/>
              </w:rPr>
              <w:t>«</w:t>
            </w:r>
            <w:r>
              <w:rPr>
                <w:rStyle w:val="IndexLink"/>
              </w:rPr>
              <w:t>25</w:t>
            </w:r>
            <w:r>
              <w:rPr>
                <w:rStyle w:val="IndexLink"/>
                <w:rtl w:val="true"/>
              </w:rPr>
              <w:t>»</w:t>
              <w:tab/>
            </w:r>
            <w:r>
              <w:rPr>
                <w:rStyle w:val="IndexLink"/>
              </w:rPr>
              <w:t>459</w:t>
            </w:r>
          </w:hyperlink>
        </w:p>
        <w:p>
          <w:pPr>
            <w:pStyle w:val="Contents5"/>
            <w:tabs>
              <w:tab w:val="clear" w:pos="7892"/>
              <w:tab w:val="right" w:pos="9026" w:leader="dot"/>
            </w:tabs>
            <w:rPr/>
          </w:pPr>
          <w:hyperlink w:anchor="__RefHeading___Toc606864_1934241801">
            <w:r>
              <w:rPr>
                <w:webHidden/>
                <w:rStyle w:val="IndexLink"/>
                <w:rtl w:val="true"/>
              </w:rPr>
              <w:t>«</w:t>
            </w:r>
            <w:r>
              <w:rPr>
                <w:rStyle w:val="IndexLink"/>
              </w:rPr>
              <w:t>26</w:t>
            </w:r>
            <w:r>
              <w:rPr>
                <w:rStyle w:val="IndexLink"/>
                <w:rtl w:val="true"/>
              </w:rPr>
              <w:t>»</w:t>
              <w:tab/>
            </w:r>
            <w:r>
              <w:rPr>
                <w:rStyle w:val="IndexLink"/>
              </w:rPr>
              <w:t>459</w:t>
            </w:r>
          </w:hyperlink>
        </w:p>
        <w:p>
          <w:pPr>
            <w:pStyle w:val="Contents5"/>
            <w:tabs>
              <w:tab w:val="clear" w:pos="7892"/>
              <w:tab w:val="right" w:pos="9026" w:leader="dot"/>
            </w:tabs>
            <w:rPr/>
          </w:pPr>
          <w:hyperlink w:anchor="__RefHeading___Toc606866_1934241801">
            <w:r>
              <w:rPr>
                <w:webHidden/>
                <w:rStyle w:val="IndexLink"/>
                <w:rtl w:val="true"/>
              </w:rPr>
              <w:t>بيان</w:t>
            </w:r>
            <w:r>
              <w:rPr>
                <w:rStyle w:val="IndexLink"/>
                <w:rtl w:val="true"/>
              </w:rPr>
              <w:tab/>
            </w:r>
            <w:r>
              <w:rPr>
                <w:rStyle w:val="IndexLink"/>
              </w:rPr>
              <w:t>459</w:t>
            </w:r>
          </w:hyperlink>
        </w:p>
        <w:p>
          <w:pPr>
            <w:pStyle w:val="Contents5"/>
            <w:tabs>
              <w:tab w:val="clear" w:pos="7892"/>
              <w:tab w:val="right" w:pos="9026" w:leader="dot"/>
            </w:tabs>
            <w:rPr/>
          </w:pPr>
          <w:hyperlink w:anchor="__RefHeading___Toc606868_1934241801">
            <w:r>
              <w:rPr>
                <w:webHidden/>
                <w:rStyle w:val="IndexLink"/>
                <w:rtl w:val="true"/>
              </w:rPr>
              <w:t xml:space="preserve">روایت </w:t>
            </w:r>
            <w:r>
              <w:rPr>
                <w:rStyle w:val="IndexLink"/>
              </w:rPr>
              <w:t>24</w:t>
            </w:r>
            <w:r>
              <w:rPr>
                <w:rStyle w:val="IndexLink"/>
                <w:rtl w:val="true"/>
              </w:rPr>
              <w:tab/>
            </w:r>
            <w:r>
              <w:rPr>
                <w:rStyle w:val="IndexLink"/>
              </w:rPr>
              <w:t>459</w:t>
            </w:r>
          </w:hyperlink>
        </w:p>
        <w:p>
          <w:pPr>
            <w:pStyle w:val="Contents5"/>
            <w:tabs>
              <w:tab w:val="clear" w:pos="7892"/>
              <w:tab w:val="right" w:pos="9026" w:leader="dot"/>
            </w:tabs>
            <w:rPr/>
          </w:pPr>
          <w:hyperlink w:anchor="__RefHeading___Toc606870_1934241801">
            <w:r>
              <w:rPr>
                <w:webHidden/>
                <w:rStyle w:val="IndexLink"/>
                <w:rtl w:val="true"/>
              </w:rPr>
              <w:t>توضیح</w:t>
            </w:r>
            <w:r>
              <w:rPr>
                <w:rStyle w:val="IndexLink"/>
                <w:rtl w:val="true"/>
              </w:rPr>
              <w:tab/>
            </w:r>
            <w:r>
              <w:rPr>
                <w:rStyle w:val="IndexLink"/>
              </w:rPr>
              <w:t>459</w:t>
            </w:r>
          </w:hyperlink>
        </w:p>
        <w:p>
          <w:pPr>
            <w:pStyle w:val="Contents5"/>
            <w:tabs>
              <w:tab w:val="clear" w:pos="7892"/>
              <w:tab w:val="right" w:pos="9026" w:leader="dot"/>
            </w:tabs>
            <w:rPr/>
          </w:pPr>
          <w:hyperlink w:anchor="__RefHeading___Toc606872_1934241801">
            <w:r>
              <w:rPr>
                <w:webHidden/>
                <w:rStyle w:val="IndexLink"/>
                <w:rtl w:val="true"/>
              </w:rPr>
              <w:t xml:space="preserve">روایت </w:t>
            </w:r>
            <w:r>
              <w:rPr>
                <w:rStyle w:val="IndexLink"/>
              </w:rPr>
              <w:t>25</w:t>
            </w:r>
            <w:r>
              <w:rPr>
                <w:rStyle w:val="IndexLink"/>
                <w:rtl w:val="true"/>
              </w:rPr>
              <w:tab/>
            </w:r>
            <w:r>
              <w:rPr>
                <w:rStyle w:val="IndexLink"/>
              </w:rPr>
              <w:t>459</w:t>
            </w:r>
          </w:hyperlink>
        </w:p>
        <w:p>
          <w:pPr>
            <w:pStyle w:val="Contents5"/>
            <w:tabs>
              <w:tab w:val="clear" w:pos="7892"/>
              <w:tab w:val="right" w:pos="9026" w:leader="dot"/>
            </w:tabs>
            <w:rPr/>
          </w:pPr>
          <w:hyperlink w:anchor="__RefHeading___Toc606874_1934241801">
            <w:r>
              <w:rPr>
                <w:webHidden/>
                <w:rStyle w:val="IndexLink"/>
                <w:rtl w:val="true"/>
              </w:rPr>
              <w:t xml:space="preserve">روایت </w:t>
            </w:r>
            <w:r>
              <w:rPr>
                <w:rStyle w:val="IndexLink"/>
              </w:rPr>
              <w:t>26</w:t>
            </w:r>
            <w:r>
              <w:rPr>
                <w:rStyle w:val="IndexLink"/>
                <w:rtl w:val="true"/>
              </w:rPr>
              <w:tab/>
            </w:r>
            <w:r>
              <w:rPr>
                <w:rStyle w:val="IndexLink"/>
              </w:rPr>
              <w:t>460</w:t>
            </w:r>
          </w:hyperlink>
        </w:p>
        <w:p>
          <w:pPr>
            <w:pStyle w:val="Contents5"/>
            <w:tabs>
              <w:tab w:val="clear" w:pos="7892"/>
              <w:tab w:val="right" w:pos="9026" w:leader="dot"/>
            </w:tabs>
            <w:rPr/>
          </w:pPr>
          <w:hyperlink w:anchor="__RefHeading___Toc606876_1934241801">
            <w:r>
              <w:rPr>
                <w:webHidden/>
                <w:rStyle w:val="IndexLink"/>
                <w:rtl w:val="true"/>
              </w:rPr>
              <w:t>توضیح</w:t>
            </w:r>
            <w:r>
              <w:rPr>
                <w:rStyle w:val="IndexLink"/>
                <w:rtl w:val="true"/>
              </w:rPr>
              <w:tab/>
            </w:r>
            <w:r>
              <w:rPr>
                <w:rStyle w:val="IndexLink"/>
              </w:rPr>
              <w:t>460</w:t>
            </w:r>
          </w:hyperlink>
        </w:p>
        <w:p>
          <w:pPr>
            <w:pStyle w:val="Contents5"/>
            <w:tabs>
              <w:tab w:val="clear" w:pos="7892"/>
              <w:tab w:val="right" w:pos="9026" w:leader="dot"/>
            </w:tabs>
            <w:rPr/>
          </w:pPr>
          <w:hyperlink w:anchor="__RefHeading___Toc606878_1934241801">
            <w:r>
              <w:rPr>
                <w:webHidden/>
                <w:rStyle w:val="IndexLink"/>
                <w:rtl w:val="true"/>
              </w:rPr>
              <w:t>أقول</w:t>
            </w:r>
            <w:r>
              <w:rPr>
                <w:rStyle w:val="IndexLink"/>
                <w:rtl w:val="true"/>
              </w:rPr>
              <w:tab/>
            </w:r>
            <w:r>
              <w:rPr>
                <w:rStyle w:val="IndexLink"/>
              </w:rPr>
              <w:t>461</w:t>
            </w:r>
          </w:hyperlink>
        </w:p>
        <w:p>
          <w:pPr>
            <w:pStyle w:val="Contents5"/>
            <w:tabs>
              <w:tab w:val="clear" w:pos="7892"/>
              <w:tab w:val="right" w:pos="9026" w:leader="dot"/>
            </w:tabs>
            <w:rPr/>
          </w:pPr>
          <w:hyperlink w:anchor="__RefHeading___Toc606880_1934241801">
            <w:r>
              <w:rPr>
                <w:webHidden/>
                <w:rStyle w:val="IndexLink"/>
                <w:rtl w:val="true"/>
              </w:rPr>
              <w:t>«</w:t>
            </w:r>
            <w:r>
              <w:rPr>
                <w:rStyle w:val="IndexLink"/>
              </w:rPr>
              <w:t>27</w:t>
            </w:r>
            <w:r>
              <w:rPr>
                <w:rStyle w:val="IndexLink"/>
                <w:rtl w:val="true"/>
              </w:rPr>
              <w:t>»</w:t>
              <w:tab/>
            </w:r>
            <w:r>
              <w:rPr>
                <w:rStyle w:val="IndexLink"/>
              </w:rPr>
              <w:t>461</w:t>
            </w:r>
          </w:hyperlink>
        </w:p>
        <w:p>
          <w:pPr>
            <w:pStyle w:val="Contents5"/>
            <w:tabs>
              <w:tab w:val="clear" w:pos="7892"/>
              <w:tab w:val="right" w:pos="9026" w:leader="dot"/>
            </w:tabs>
            <w:rPr/>
          </w:pPr>
          <w:hyperlink w:anchor="__RefHeading___Toc606882_1934241801">
            <w:r>
              <w:rPr>
                <w:webHidden/>
                <w:rStyle w:val="IndexLink"/>
                <w:rtl w:val="true"/>
              </w:rPr>
              <w:t>«</w:t>
            </w:r>
            <w:r>
              <w:rPr>
                <w:rStyle w:val="IndexLink"/>
              </w:rPr>
              <w:t>28</w:t>
            </w:r>
            <w:r>
              <w:rPr>
                <w:rStyle w:val="IndexLink"/>
                <w:rtl w:val="true"/>
              </w:rPr>
              <w:t>»</w:t>
              <w:tab/>
            </w:r>
            <w:r>
              <w:rPr>
                <w:rStyle w:val="IndexLink"/>
              </w:rPr>
              <w:t>461</w:t>
            </w:r>
          </w:hyperlink>
        </w:p>
        <w:p>
          <w:pPr>
            <w:pStyle w:val="Contents5"/>
            <w:tabs>
              <w:tab w:val="clear" w:pos="7892"/>
              <w:tab w:val="right" w:pos="9026" w:leader="dot"/>
            </w:tabs>
            <w:rPr/>
          </w:pPr>
          <w:hyperlink w:anchor="__RefHeading___Toc606884_1934241801">
            <w:r>
              <w:rPr>
                <w:webHidden/>
                <w:rStyle w:val="IndexLink"/>
                <w:rtl w:val="true"/>
              </w:rPr>
              <w:t>بيان</w:t>
            </w:r>
            <w:r>
              <w:rPr>
                <w:rStyle w:val="IndexLink"/>
                <w:rtl w:val="true"/>
              </w:rPr>
              <w:tab/>
            </w:r>
            <w:r>
              <w:rPr>
                <w:rStyle w:val="IndexLink"/>
              </w:rPr>
              <w:t>461</w:t>
            </w:r>
          </w:hyperlink>
        </w:p>
        <w:p>
          <w:pPr>
            <w:pStyle w:val="Contents5"/>
            <w:tabs>
              <w:tab w:val="clear" w:pos="7892"/>
              <w:tab w:val="right" w:pos="9026" w:leader="dot"/>
            </w:tabs>
            <w:rPr/>
          </w:pPr>
          <w:hyperlink w:anchor="__RefHeading___Toc606886_1934241801">
            <w:r>
              <w:rPr>
                <w:webHidden/>
                <w:rStyle w:val="IndexLink"/>
                <w:rtl w:val="true"/>
              </w:rPr>
              <w:t>«</w:t>
            </w:r>
            <w:r>
              <w:rPr>
                <w:rStyle w:val="IndexLink"/>
              </w:rPr>
              <w:t>29</w:t>
            </w:r>
            <w:r>
              <w:rPr>
                <w:rStyle w:val="IndexLink"/>
                <w:rtl w:val="true"/>
              </w:rPr>
              <w:t>»</w:t>
              <w:tab/>
            </w:r>
            <w:r>
              <w:rPr>
                <w:rStyle w:val="IndexLink"/>
              </w:rPr>
              <w:t>461</w:t>
            </w:r>
          </w:hyperlink>
        </w:p>
        <w:p>
          <w:pPr>
            <w:pStyle w:val="Contents5"/>
            <w:tabs>
              <w:tab w:val="clear" w:pos="7892"/>
              <w:tab w:val="right" w:pos="9026" w:leader="dot"/>
            </w:tabs>
            <w:rPr/>
          </w:pPr>
          <w:hyperlink w:anchor="__RefHeading___Toc606888_1934241801">
            <w:r>
              <w:rPr>
                <w:webHidden/>
                <w:rStyle w:val="IndexLink"/>
                <w:rtl w:val="true"/>
              </w:rPr>
              <w:t>می گویم</w:t>
            </w:r>
            <w:r>
              <w:rPr>
                <w:rStyle w:val="IndexLink"/>
                <w:rtl w:val="true"/>
              </w:rPr>
              <w:tab/>
            </w:r>
            <w:r>
              <w:rPr>
                <w:rStyle w:val="IndexLink"/>
              </w:rPr>
              <w:t>461</w:t>
            </w:r>
          </w:hyperlink>
        </w:p>
        <w:p>
          <w:pPr>
            <w:pStyle w:val="Contents5"/>
            <w:tabs>
              <w:tab w:val="clear" w:pos="7892"/>
              <w:tab w:val="right" w:pos="9026" w:leader="dot"/>
            </w:tabs>
            <w:rPr/>
          </w:pPr>
          <w:hyperlink w:anchor="__RefHeading___Toc606890_1934241801">
            <w:r>
              <w:rPr>
                <w:webHidden/>
                <w:rStyle w:val="IndexLink"/>
                <w:rtl w:val="true"/>
              </w:rPr>
              <w:t xml:space="preserve">روایت </w:t>
            </w:r>
            <w:r>
              <w:rPr>
                <w:rStyle w:val="IndexLink"/>
              </w:rPr>
              <w:t>27</w:t>
            </w:r>
            <w:r>
              <w:rPr>
                <w:rStyle w:val="IndexLink"/>
                <w:rtl w:val="true"/>
              </w:rPr>
              <w:tab/>
            </w:r>
            <w:r>
              <w:rPr>
                <w:rStyle w:val="IndexLink"/>
              </w:rPr>
              <w:t>461</w:t>
            </w:r>
          </w:hyperlink>
        </w:p>
        <w:p>
          <w:pPr>
            <w:pStyle w:val="Contents5"/>
            <w:tabs>
              <w:tab w:val="clear" w:pos="7892"/>
              <w:tab w:val="right" w:pos="9026" w:leader="dot"/>
            </w:tabs>
            <w:rPr/>
          </w:pPr>
          <w:hyperlink w:anchor="__RefHeading___Toc606892_1934241801">
            <w:r>
              <w:rPr>
                <w:webHidden/>
                <w:rStyle w:val="IndexLink"/>
                <w:rtl w:val="true"/>
              </w:rPr>
              <w:t xml:space="preserve">روایت </w:t>
            </w:r>
            <w:r>
              <w:rPr>
                <w:rStyle w:val="IndexLink"/>
              </w:rPr>
              <w:t>28</w:t>
            </w:r>
            <w:r>
              <w:rPr>
                <w:rStyle w:val="IndexLink"/>
                <w:rtl w:val="true"/>
              </w:rPr>
              <w:tab/>
            </w:r>
            <w:r>
              <w:rPr>
                <w:rStyle w:val="IndexLink"/>
              </w:rPr>
              <w:t>462</w:t>
            </w:r>
          </w:hyperlink>
        </w:p>
        <w:p>
          <w:pPr>
            <w:pStyle w:val="Contents5"/>
            <w:tabs>
              <w:tab w:val="clear" w:pos="7892"/>
              <w:tab w:val="right" w:pos="9026" w:leader="dot"/>
            </w:tabs>
            <w:rPr/>
          </w:pPr>
          <w:hyperlink w:anchor="__RefHeading___Toc606894_1934241801">
            <w:r>
              <w:rPr>
                <w:webHidden/>
                <w:rStyle w:val="IndexLink"/>
                <w:rtl w:val="true"/>
              </w:rPr>
              <w:t>توضیح</w:t>
            </w:r>
            <w:r>
              <w:rPr>
                <w:rStyle w:val="IndexLink"/>
                <w:rtl w:val="true"/>
              </w:rPr>
              <w:tab/>
            </w:r>
            <w:r>
              <w:rPr>
                <w:rStyle w:val="IndexLink"/>
              </w:rPr>
              <w:t>462</w:t>
            </w:r>
          </w:hyperlink>
        </w:p>
        <w:p>
          <w:pPr>
            <w:pStyle w:val="Contents5"/>
            <w:tabs>
              <w:tab w:val="clear" w:pos="7892"/>
              <w:tab w:val="right" w:pos="9026" w:leader="dot"/>
            </w:tabs>
            <w:rPr/>
          </w:pPr>
          <w:hyperlink w:anchor="__RefHeading___Toc606896_1934241801">
            <w:r>
              <w:rPr>
                <w:webHidden/>
                <w:rStyle w:val="IndexLink"/>
                <w:rtl w:val="true"/>
              </w:rPr>
              <w:t xml:space="preserve">روایت </w:t>
            </w:r>
            <w:r>
              <w:rPr>
                <w:rStyle w:val="IndexLink"/>
              </w:rPr>
              <w:t>29</w:t>
            </w:r>
            <w:r>
              <w:rPr>
                <w:rStyle w:val="IndexLink"/>
                <w:rtl w:val="true"/>
              </w:rPr>
              <w:tab/>
            </w:r>
            <w:r>
              <w:rPr>
                <w:rStyle w:val="IndexLink"/>
              </w:rPr>
              <w:t>462</w:t>
            </w:r>
          </w:hyperlink>
        </w:p>
        <w:p>
          <w:pPr>
            <w:pStyle w:val="Contents5"/>
            <w:tabs>
              <w:tab w:val="clear" w:pos="7892"/>
              <w:tab w:val="right" w:pos="9026" w:leader="dot"/>
            </w:tabs>
            <w:rPr/>
          </w:pPr>
          <w:hyperlink w:anchor="__RefHeading___Toc606898_1934241801">
            <w:r>
              <w:rPr>
                <w:webHidden/>
                <w:rStyle w:val="IndexLink"/>
                <w:rtl w:val="true"/>
              </w:rPr>
              <w:t>«</w:t>
            </w:r>
            <w:r>
              <w:rPr>
                <w:rStyle w:val="IndexLink"/>
              </w:rPr>
              <w:t>30</w:t>
            </w:r>
            <w:r>
              <w:rPr>
                <w:rStyle w:val="IndexLink"/>
                <w:rtl w:val="true"/>
              </w:rPr>
              <w:t>»</w:t>
              <w:tab/>
            </w:r>
            <w:r>
              <w:rPr>
                <w:rStyle w:val="IndexLink"/>
              </w:rPr>
              <w:t>463</w:t>
            </w:r>
          </w:hyperlink>
        </w:p>
        <w:p>
          <w:pPr>
            <w:pStyle w:val="Contents5"/>
            <w:tabs>
              <w:tab w:val="clear" w:pos="7892"/>
              <w:tab w:val="right" w:pos="9026" w:leader="dot"/>
            </w:tabs>
            <w:rPr/>
          </w:pPr>
          <w:hyperlink w:anchor="__RefHeading___Toc606900_1934241801">
            <w:r>
              <w:rPr>
                <w:webHidden/>
                <w:rStyle w:val="IndexLink"/>
                <w:rtl w:val="true"/>
              </w:rPr>
              <w:t>«</w:t>
            </w:r>
            <w:r>
              <w:rPr>
                <w:rStyle w:val="IndexLink"/>
              </w:rPr>
              <w:t>31</w:t>
            </w:r>
            <w:r>
              <w:rPr>
                <w:rStyle w:val="IndexLink"/>
                <w:rtl w:val="true"/>
              </w:rPr>
              <w:t>»</w:t>
              <w:tab/>
            </w:r>
            <w:r>
              <w:rPr>
                <w:rStyle w:val="IndexLink"/>
              </w:rPr>
              <w:t>463</w:t>
            </w:r>
          </w:hyperlink>
        </w:p>
        <w:p>
          <w:pPr>
            <w:pStyle w:val="Contents5"/>
            <w:tabs>
              <w:tab w:val="clear" w:pos="7892"/>
              <w:tab w:val="right" w:pos="9026" w:leader="dot"/>
            </w:tabs>
            <w:rPr/>
          </w:pPr>
          <w:hyperlink w:anchor="__RefHeading___Toc606902_1934241801">
            <w:r>
              <w:rPr>
                <w:webHidden/>
                <w:rStyle w:val="IndexLink"/>
                <w:rtl w:val="true"/>
              </w:rPr>
              <w:t>بيان</w:t>
            </w:r>
            <w:r>
              <w:rPr>
                <w:rStyle w:val="IndexLink"/>
                <w:rtl w:val="true"/>
              </w:rPr>
              <w:tab/>
            </w:r>
            <w:r>
              <w:rPr>
                <w:rStyle w:val="IndexLink"/>
              </w:rPr>
              <w:t>463</w:t>
            </w:r>
          </w:hyperlink>
        </w:p>
        <w:p>
          <w:pPr>
            <w:pStyle w:val="Contents5"/>
            <w:tabs>
              <w:tab w:val="clear" w:pos="7892"/>
              <w:tab w:val="right" w:pos="9026" w:leader="dot"/>
            </w:tabs>
            <w:rPr/>
          </w:pPr>
          <w:hyperlink w:anchor="__RefHeading___Toc606904_1934241801">
            <w:r>
              <w:rPr>
                <w:webHidden/>
                <w:rStyle w:val="IndexLink"/>
                <w:rtl w:val="true"/>
              </w:rPr>
              <w:t>«</w:t>
            </w:r>
            <w:r>
              <w:rPr>
                <w:rStyle w:val="IndexLink"/>
              </w:rPr>
              <w:t>32</w:t>
            </w:r>
            <w:r>
              <w:rPr>
                <w:rStyle w:val="IndexLink"/>
                <w:rtl w:val="true"/>
              </w:rPr>
              <w:t>»</w:t>
              <w:tab/>
            </w:r>
            <w:r>
              <w:rPr>
                <w:rStyle w:val="IndexLink"/>
              </w:rPr>
              <w:t>463</w:t>
            </w:r>
          </w:hyperlink>
        </w:p>
        <w:p>
          <w:pPr>
            <w:pStyle w:val="Contents5"/>
            <w:tabs>
              <w:tab w:val="clear" w:pos="7892"/>
              <w:tab w:val="right" w:pos="9026" w:leader="dot"/>
            </w:tabs>
            <w:rPr/>
          </w:pPr>
          <w:hyperlink w:anchor="__RefHeading___Toc606906_1934241801">
            <w:r>
              <w:rPr>
                <w:webHidden/>
                <w:rStyle w:val="IndexLink"/>
                <w:rtl w:val="true"/>
              </w:rPr>
              <w:t>«</w:t>
            </w:r>
            <w:r>
              <w:rPr>
                <w:rStyle w:val="IndexLink"/>
              </w:rPr>
              <w:t>33</w:t>
            </w:r>
            <w:r>
              <w:rPr>
                <w:rStyle w:val="IndexLink"/>
                <w:rtl w:val="true"/>
              </w:rPr>
              <w:t>»</w:t>
              <w:tab/>
            </w:r>
            <w:r>
              <w:rPr>
                <w:rStyle w:val="IndexLink"/>
              </w:rPr>
              <w:t>463</w:t>
            </w:r>
          </w:hyperlink>
        </w:p>
        <w:p>
          <w:pPr>
            <w:pStyle w:val="Contents5"/>
            <w:tabs>
              <w:tab w:val="clear" w:pos="7892"/>
              <w:tab w:val="right" w:pos="9026" w:leader="dot"/>
            </w:tabs>
            <w:rPr/>
          </w:pPr>
          <w:hyperlink w:anchor="__RefHeading___Toc606908_1934241801">
            <w:r>
              <w:rPr>
                <w:webHidden/>
                <w:rStyle w:val="IndexLink"/>
                <w:rtl w:val="true"/>
              </w:rPr>
              <w:t xml:space="preserve">روایت </w:t>
            </w:r>
            <w:r>
              <w:rPr>
                <w:rStyle w:val="IndexLink"/>
              </w:rPr>
              <w:t>30</w:t>
            </w:r>
            <w:r>
              <w:rPr>
                <w:rStyle w:val="IndexLink"/>
                <w:rtl w:val="true"/>
              </w:rPr>
              <w:tab/>
            </w:r>
            <w:r>
              <w:rPr>
                <w:rStyle w:val="IndexLink"/>
              </w:rPr>
              <w:t>463</w:t>
            </w:r>
          </w:hyperlink>
        </w:p>
        <w:p>
          <w:pPr>
            <w:pStyle w:val="Contents5"/>
            <w:tabs>
              <w:tab w:val="clear" w:pos="7892"/>
              <w:tab w:val="right" w:pos="9026" w:leader="dot"/>
            </w:tabs>
            <w:rPr/>
          </w:pPr>
          <w:hyperlink w:anchor="__RefHeading___Toc606910_1934241801">
            <w:r>
              <w:rPr>
                <w:webHidden/>
                <w:rStyle w:val="IndexLink"/>
                <w:rtl w:val="true"/>
              </w:rPr>
              <w:t xml:space="preserve">روایت </w:t>
            </w:r>
            <w:r>
              <w:rPr>
                <w:rStyle w:val="IndexLink"/>
              </w:rPr>
              <w:t>31</w:t>
            </w:r>
            <w:r>
              <w:rPr>
                <w:rStyle w:val="IndexLink"/>
                <w:rtl w:val="true"/>
              </w:rPr>
              <w:tab/>
            </w:r>
            <w:r>
              <w:rPr>
                <w:rStyle w:val="IndexLink"/>
              </w:rPr>
              <w:t>463</w:t>
            </w:r>
          </w:hyperlink>
        </w:p>
        <w:p>
          <w:pPr>
            <w:pStyle w:val="Contents5"/>
            <w:tabs>
              <w:tab w:val="clear" w:pos="7892"/>
              <w:tab w:val="right" w:pos="9026" w:leader="dot"/>
            </w:tabs>
            <w:rPr/>
          </w:pPr>
          <w:hyperlink w:anchor="__RefHeading___Toc606912_1934241801">
            <w:r>
              <w:rPr>
                <w:webHidden/>
                <w:rStyle w:val="IndexLink"/>
                <w:rtl w:val="true"/>
              </w:rPr>
              <w:t>توضیح</w:t>
            </w:r>
            <w:r>
              <w:rPr>
                <w:rStyle w:val="IndexLink"/>
                <w:rtl w:val="true"/>
              </w:rPr>
              <w:tab/>
            </w:r>
            <w:r>
              <w:rPr>
                <w:rStyle w:val="IndexLink"/>
              </w:rPr>
              <w:t>463</w:t>
            </w:r>
          </w:hyperlink>
        </w:p>
        <w:p>
          <w:pPr>
            <w:pStyle w:val="Contents5"/>
            <w:tabs>
              <w:tab w:val="clear" w:pos="7892"/>
              <w:tab w:val="right" w:pos="9026" w:leader="dot"/>
            </w:tabs>
            <w:rPr/>
          </w:pPr>
          <w:hyperlink w:anchor="__RefHeading___Toc606914_1934241801">
            <w:r>
              <w:rPr>
                <w:webHidden/>
                <w:rStyle w:val="IndexLink"/>
                <w:rtl w:val="true"/>
              </w:rPr>
              <w:t xml:space="preserve">روایت </w:t>
            </w:r>
            <w:r>
              <w:rPr>
                <w:rStyle w:val="IndexLink"/>
              </w:rPr>
              <w:t>32</w:t>
            </w:r>
            <w:r>
              <w:rPr>
                <w:rStyle w:val="IndexLink"/>
                <w:rtl w:val="true"/>
              </w:rPr>
              <w:tab/>
            </w:r>
            <w:r>
              <w:rPr>
                <w:rStyle w:val="IndexLink"/>
              </w:rPr>
              <w:t>464</w:t>
            </w:r>
          </w:hyperlink>
        </w:p>
        <w:p>
          <w:pPr>
            <w:pStyle w:val="Contents5"/>
            <w:tabs>
              <w:tab w:val="clear" w:pos="7892"/>
              <w:tab w:val="right" w:pos="9026" w:leader="dot"/>
            </w:tabs>
            <w:rPr/>
          </w:pPr>
          <w:hyperlink w:anchor="__RefHeading___Toc606916_1934241801">
            <w:r>
              <w:rPr>
                <w:webHidden/>
                <w:rStyle w:val="IndexLink"/>
                <w:rtl w:val="true"/>
              </w:rPr>
              <w:t xml:space="preserve">روایت </w:t>
            </w:r>
            <w:r>
              <w:rPr>
                <w:rStyle w:val="IndexLink"/>
              </w:rPr>
              <w:t>33</w:t>
            </w:r>
            <w:r>
              <w:rPr>
                <w:rStyle w:val="IndexLink"/>
                <w:rtl w:val="true"/>
              </w:rPr>
              <w:tab/>
            </w:r>
            <w:r>
              <w:rPr>
                <w:rStyle w:val="IndexLink"/>
              </w:rPr>
              <w:t>464</w:t>
            </w:r>
          </w:hyperlink>
        </w:p>
        <w:p>
          <w:pPr>
            <w:pStyle w:val="Contents5"/>
            <w:tabs>
              <w:tab w:val="clear" w:pos="7892"/>
              <w:tab w:val="right" w:pos="9026" w:leader="dot"/>
            </w:tabs>
            <w:rPr/>
          </w:pPr>
          <w:hyperlink w:anchor="__RefHeading___Toc606918_1934241801">
            <w:r>
              <w:rPr>
                <w:webHidden/>
                <w:rStyle w:val="IndexLink"/>
                <w:rtl w:val="true"/>
              </w:rPr>
              <w:t>بيان</w:t>
            </w:r>
            <w:r>
              <w:rPr>
                <w:rStyle w:val="IndexLink"/>
                <w:rtl w:val="true"/>
              </w:rPr>
              <w:tab/>
            </w:r>
            <w:r>
              <w:rPr>
                <w:rStyle w:val="IndexLink"/>
              </w:rPr>
              <w:t>465</w:t>
            </w:r>
          </w:hyperlink>
        </w:p>
        <w:p>
          <w:pPr>
            <w:pStyle w:val="Contents5"/>
            <w:tabs>
              <w:tab w:val="clear" w:pos="7892"/>
              <w:tab w:val="right" w:pos="9026" w:leader="dot"/>
            </w:tabs>
            <w:rPr/>
          </w:pPr>
          <w:hyperlink w:anchor="__RefHeading___Toc606920_1934241801">
            <w:r>
              <w:rPr>
                <w:webHidden/>
                <w:rStyle w:val="IndexLink"/>
                <w:rtl w:val="true"/>
              </w:rPr>
              <w:t>«</w:t>
            </w:r>
            <w:r>
              <w:rPr>
                <w:rStyle w:val="IndexLink"/>
              </w:rPr>
              <w:t>34</w:t>
            </w:r>
            <w:r>
              <w:rPr>
                <w:rStyle w:val="IndexLink"/>
                <w:rtl w:val="true"/>
              </w:rPr>
              <w:t>»</w:t>
              <w:tab/>
            </w:r>
            <w:r>
              <w:rPr>
                <w:rStyle w:val="IndexLink"/>
              </w:rPr>
              <w:t>465</w:t>
            </w:r>
          </w:hyperlink>
        </w:p>
        <w:p>
          <w:pPr>
            <w:pStyle w:val="Contents5"/>
            <w:tabs>
              <w:tab w:val="clear" w:pos="7892"/>
              <w:tab w:val="right" w:pos="9026" w:leader="dot"/>
            </w:tabs>
            <w:rPr/>
          </w:pPr>
          <w:hyperlink w:anchor="__RefHeading___Toc606922_1934241801">
            <w:r>
              <w:rPr>
                <w:webHidden/>
                <w:rStyle w:val="IndexLink"/>
                <w:rtl w:val="true"/>
              </w:rPr>
              <w:t>«</w:t>
            </w:r>
            <w:r>
              <w:rPr>
                <w:rStyle w:val="IndexLink"/>
              </w:rPr>
              <w:t>35</w:t>
            </w:r>
            <w:r>
              <w:rPr>
                <w:rStyle w:val="IndexLink"/>
                <w:rtl w:val="true"/>
              </w:rPr>
              <w:t>»</w:t>
              <w:tab/>
            </w:r>
            <w:r>
              <w:rPr>
                <w:rStyle w:val="IndexLink"/>
              </w:rPr>
              <w:t>465</w:t>
            </w:r>
          </w:hyperlink>
        </w:p>
        <w:p>
          <w:pPr>
            <w:pStyle w:val="Contents5"/>
            <w:tabs>
              <w:tab w:val="clear" w:pos="7892"/>
              <w:tab w:val="right" w:pos="9026" w:leader="dot"/>
            </w:tabs>
            <w:rPr/>
          </w:pPr>
          <w:hyperlink w:anchor="__RefHeading___Toc606924_1934241801">
            <w:r>
              <w:rPr>
                <w:webHidden/>
                <w:rStyle w:val="IndexLink"/>
                <w:rtl w:val="true"/>
              </w:rPr>
              <w:t>«</w:t>
            </w:r>
            <w:r>
              <w:rPr>
                <w:rStyle w:val="IndexLink"/>
              </w:rPr>
              <w:t>36</w:t>
            </w:r>
            <w:r>
              <w:rPr>
                <w:rStyle w:val="IndexLink"/>
                <w:rtl w:val="true"/>
              </w:rPr>
              <w:t>»</w:t>
              <w:tab/>
            </w:r>
            <w:r>
              <w:rPr>
                <w:rStyle w:val="IndexLink"/>
              </w:rPr>
              <w:t>465</w:t>
            </w:r>
          </w:hyperlink>
        </w:p>
        <w:p>
          <w:pPr>
            <w:pStyle w:val="Contents5"/>
            <w:tabs>
              <w:tab w:val="clear" w:pos="7892"/>
              <w:tab w:val="right" w:pos="9026" w:leader="dot"/>
            </w:tabs>
            <w:rPr/>
          </w:pPr>
          <w:hyperlink w:anchor="__RefHeading___Toc606926_1934241801">
            <w:r>
              <w:rPr>
                <w:webHidden/>
                <w:rStyle w:val="IndexLink"/>
                <w:rtl w:val="true"/>
              </w:rPr>
              <w:t>توضیح</w:t>
            </w:r>
            <w:r>
              <w:rPr>
                <w:rStyle w:val="IndexLink"/>
                <w:rtl w:val="true"/>
              </w:rPr>
              <w:tab/>
            </w:r>
            <w:r>
              <w:rPr>
                <w:rStyle w:val="IndexLink"/>
              </w:rPr>
              <w:t>466</w:t>
            </w:r>
          </w:hyperlink>
        </w:p>
        <w:p>
          <w:pPr>
            <w:pStyle w:val="Contents5"/>
            <w:tabs>
              <w:tab w:val="clear" w:pos="7892"/>
              <w:tab w:val="right" w:pos="9026" w:leader="dot"/>
            </w:tabs>
            <w:rPr/>
          </w:pPr>
          <w:hyperlink w:anchor="__RefHeading___Toc606928_1934241801">
            <w:r>
              <w:rPr>
                <w:webHidden/>
                <w:rStyle w:val="IndexLink"/>
                <w:rtl w:val="true"/>
              </w:rPr>
              <w:t xml:space="preserve">روایت </w:t>
            </w:r>
            <w:r>
              <w:rPr>
                <w:rStyle w:val="IndexLink"/>
              </w:rPr>
              <w:t>34</w:t>
            </w:r>
            <w:r>
              <w:rPr>
                <w:rStyle w:val="IndexLink"/>
                <w:rtl w:val="true"/>
              </w:rPr>
              <w:tab/>
            </w:r>
            <w:r>
              <w:rPr>
                <w:rStyle w:val="IndexLink"/>
              </w:rPr>
              <w:t>466</w:t>
            </w:r>
          </w:hyperlink>
        </w:p>
        <w:p>
          <w:pPr>
            <w:pStyle w:val="Contents5"/>
            <w:tabs>
              <w:tab w:val="clear" w:pos="7892"/>
              <w:tab w:val="right" w:pos="9026" w:leader="dot"/>
            </w:tabs>
            <w:rPr/>
          </w:pPr>
          <w:hyperlink w:anchor="__RefHeading___Toc606930_1934241801">
            <w:r>
              <w:rPr>
                <w:webHidden/>
                <w:rStyle w:val="IndexLink"/>
                <w:rtl w:val="true"/>
              </w:rPr>
              <w:t xml:space="preserve">روایت </w:t>
            </w:r>
            <w:r>
              <w:rPr>
                <w:rStyle w:val="IndexLink"/>
              </w:rPr>
              <w:t>35</w:t>
            </w:r>
            <w:r>
              <w:rPr>
                <w:rStyle w:val="IndexLink"/>
                <w:rtl w:val="true"/>
              </w:rPr>
              <w:tab/>
            </w:r>
            <w:r>
              <w:rPr>
                <w:rStyle w:val="IndexLink"/>
              </w:rPr>
              <w:t>466</w:t>
            </w:r>
          </w:hyperlink>
        </w:p>
        <w:p>
          <w:pPr>
            <w:pStyle w:val="Contents5"/>
            <w:tabs>
              <w:tab w:val="clear" w:pos="7892"/>
              <w:tab w:val="right" w:pos="9026" w:leader="dot"/>
            </w:tabs>
            <w:rPr/>
          </w:pPr>
          <w:hyperlink w:anchor="__RefHeading___Toc606932_1934241801">
            <w:r>
              <w:rPr>
                <w:webHidden/>
                <w:rStyle w:val="IndexLink"/>
                <w:rtl w:val="true"/>
              </w:rPr>
              <w:t xml:space="preserve">روایت </w:t>
            </w:r>
            <w:r>
              <w:rPr>
                <w:rStyle w:val="IndexLink"/>
              </w:rPr>
              <w:t>36</w:t>
            </w:r>
            <w:r>
              <w:rPr>
                <w:rStyle w:val="IndexLink"/>
                <w:rtl w:val="true"/>
              </w:rPr>
              <w:tab/>
            </w:r>
            <w:r>
              <w:rPr>
                <w:rStyle w:val="IndexLink"/>
              </w:rPr>
              <w:t>466</w:t>
            </w:r>
          </w:hyperlink>
        </w:p>
        <w:p>
          <w:pPr>
            <w:pStyle w:val="Contents5"/>
            <w:tabs>
              <w:tab w:val="clear" w:pos="7892"/>
              <w:tab w:val="right" w:pos="9026" w:leader="dot"/>
            </w:tabs>
            <w:rPr/>
          </w:pPr>
          <w:hyperlink w:anchor="__RefHeading___Toc606934_1934241801">
            <w:r>
              <w:rPr>
                <w:webHidden/>
                <w:rStyle w:val="IndexLink"/>
                <w:rtl w:val="true"/>
              </w:rPr>
              <w:t>«</w:t>
            </w:r>
            <w:r>
              <w:rPr>
                <w:rStyle w:val="IndexLink"/>
              </w:rPr>
              <w:t>37</w:t>
            </w:r>
            <w:r>
              <w:rPr>
                <w:rStyle w:val="IndexLink"/>
                <w:rtl w:val="true"/>
              </w:rPr>
              <w:t>»</w:t>
              <w:tab/>
            </w:r>
            <w:r>
              <w:rPr>
                <w:rStyle w:val="IndexLink"/>
              </w:rPr>
              <w:t>467</w:t>
            </w:r>
          </w:hyperlink>
        </w:p>
        <w:p>
          <w:pPr>
            <w:pStyle w:val="Contents5"/>
            <w:tabs>
              <w:tab w:val="clear" w:pos="7892"/>
              <w:tab w:val="right" w:pos="9026" w:leader="dot"/>
            </w:tabs>
            <w:rPr/>
          </w:pPr>
          <w:hyperlink w:anchor="__RefHeading___Toc606936_1934241801">
            <w:r>
              <w:rPr>
                <w:webHidden/>
                <w:rStyle w:val="IndexLink"/>
                <w:rtl w:val="true"/>
              </w:rPr>
              <w:t>بيان</w:t>
            </w:r>
            <w:r>
              <w:rPr>
                <w:rStyle w:val="IndexLink"/>
                <w:rtl w:val="true"/>
              </w:rPr>
              <w:tab/>
            </w:r>
            <w:r>
              <w:rPr>
                <w:rStyle w:val="IndexLink"/>
              </w:rPr>
              <w:t>467</w:t>
            </w:r>
          </w:hyperlink>
        </w:p>
        <w:p>
          <w:pPr>
            <w:pStyle w:val="Contents5"/>
            <w:tabs>
              <w:tab w:val="clear" w:pos="7892"/>
              <w:tab w:val="right" w:pos="9026" w:leader="dot"/>
            </w:tabs>
            <w:rPr/>
          </w:pPr>
          <w:hyperlink w:anchor="__RefHeading___Toc606938_1934241801">
            <w:r>
              <w:rPr>
                <w:webHidden/>
                <w:rStyle w:val="IndexLink"/>
                <w:rtl w:val="true"/>
              </w:rPr>
              <w:t xml:space="preserve">روایت </w:t>
            </w:r>
            <w:r>
              <w:rPr>
                <w:rStyle w:val="IndexLink"/>
              </w:rPr>
              <w:t>37</w:t>
            </w:r>
            <w:r>
              <w:rPr>
                <w:rStyle w:val="IndexLink"/>
                <w:rtl w:val="true"/>
              </w:rPr>
              <w:tab/>
            </w:r>
            <w:r>
              <w:rPr>
                <w:rStyle w:val="IndexLink"/>
              </w:rPr>
              <w:t>468</w:t>
            </w:r>
          </w:hyperlink>
        </w:p>
        <w:p>
          <w:pPr>
            <w:pStyle w:val="Contents5"/>
            <w:tabs>
              <w:tab w:val="clear" w:pos="7892"/>
              <w:tab w:val="right" w:pos="9026" w:leader="dot"/>
            </w:tabs>
            <w:rPr/>
          </w:pPr>
          <w:hyperlink w:anchor="__RefHeading___Toc606940_1934241801">
            <w:r>
              <w:rPr>
                <w:webHidden/>
                <w:rStyle w:val="IndexLink"/>
                <w:rtl w:val="true"/>
              </w:rPr>
              <w:t>توضیح</w:t>
            </w:r>
            <w:r>
              <w:rPr>
                <w:rStyle w:val="IndexLink"/>
                <w:rtl w:val="true"/>
              </w:rPr>
              <w:tab/>
            </w:r>
            <w:r>
              <w:rPr>
                <w:rStyle w:val="IndexLink"/>
              </w:rPr>
              <w:t>468</w:t>
            </w:r>
          </w:hyperlink>
        </w:p>
        <w:p>
          <w:pPr>
            <w:pStyle w:val="Contents5"/>
            <w:tabs>
              <w:tab w:val="clear" w:pos="7892"/>
              <w:tab w:val="right" w:pos="9026" w:leader="dot"/>
            </w:tabs>
            <w:rPr/>
          </w:pPr>
          <w:hyperlink w:anchor="__RefHeading___Toc606942_1934241801">
            <w:r>
              <w:rPr>
                <w:webHidden/>
                <w:rStyle w:val="IndexLink"/>
                <w:rtl w:val="true"/>
              </w:rPr>
              <w:t>«</w:t>
            </w:r>
            <w:r>
              <w:rPr>
                <w:rStyle w:val="IndexLink"/>
              </w:rPr>
              <w:t>38</w:t>
            </w:r>
            <w:r>
              <w:rPr>
                <w:rStyle w:val="IndexLink"/>
                <w:rtl w:val="true"/>
              </w:rPr>
              <w:t>»</w:t>
              <w:tab/>
            </w:r>
            <w:r>
              <w:rPr>
                <w:rStyle w:val="IndexLink"/>
              </w:rPr>
              <w:t>469</w:t>
            </w:r>
          </w:hyperlink>
        </w:p>
        <w:p>
          <w:pPr>
            <w:pStyle w:val="Contents5"/>
            <w:tabs>
              <w:tab w:val="clear" w:pos="7892"/>
              <w:tab w:val="right" w:pos="9026" w:leader="dot"/>
            </w:tabs>
            <w:rPr/>
          </w:pPr>
          <w:hyperlink w:anchor="__RefHeading___Toc606944_1934241801">
            <w:r>
              <w:rPr>
                <w:webHidden/>
                <w:rStyle w:val="IndexLink"/>
                <w:rtl w:val="true"/>
              </w:rPr>
              <w:t>توضيح</w:t>
            </w:r>
            <w:r>
              <w:rPr>
                <w:rStyle w:val="IndexLink"/>
                <w:rtl w:val="true"/>
              </w:rPr>
              <w:tab/>
            </w:r>
            <w:r>
              <w:rPr>
                <w:rStyle w:val="IndexLink"/>
              </w:rPr>
              <w:t>469</w:t>
            </w:r>
          </w:hyperlink>
        </w:p>
        <w:p>
          <w:pPr>
            <w:pStyle w:val="Contents5"/>
            <w:tabs>
              <w:tab w:val="clear" w:pos="7892"/>
              <w:tab w:val="right" w:pos="9026" w:leader="dot"/>
            </w:tabs>
            <w:rPr/>
          </w:pPr>
          <w:hyperlink w:anchor="__RefHeading___Toc606946_1934241801">
            <w:r>
              <w:rPr>
                <w:webHidden/>
                <w:rStyle w:val="IndexLink"/>
                <w:rtl w:val="true"/>
              </w:rPr>
              <w:t>«</w:t>
            </w:r>
            <w:r>
              <w:rPr>
                <w:rStyle w:val="IndexLink"/>
              </w:rPr>
              <w:t>39</w:t>
            </w:r>
            <w:r>
              <w:rPr>
                <w:rStyle w:val="IndexLink"/>
                <w:rtl w:val="true"/>
              </w:rPr>
              <w:t>»</w:t>
              <w:tab/>
            </w:r>
            <w:r>
              <w:rPr>
                <w:rStyle w:val="IndexLink"/>
              </w:rPr>
              <w:t>469</w:t>
            </w:r>
          </w:hyperlink>
        </w:p>
        <w:p>
          <w:pPr>
            <w:pStyle w:val="Contents5"/>
            <w:tabs>
              <w:tab w:val="clear" w:pos="7892"/>
              <w:tab w:val="right" w:pos="9026" w:leader="dot"/>
            </w:tabs>
            <w:rPr/>
          </w:pPr>
          <w:hyperlink w:anchor="__RefHeading___Toc606948_1934241801">
            <w:r>
              <w:rPr>
                <w:webHidden/>
                <w:rStyle w:val="IndexLink"/>
                <w:rtl w:val="true"/>
              </w:rPr>
              <w:t xml:space="preserve">روایت </w:t>
            </w:r>
            <w:r>
              <w:rPr>
                <w:rStyle w:val="IndexLink"/>
              </w:rPr>
              <w:t>38</w:t>
            </w:r>
            <w:r>
              <w:rPr>
                <w:rStyle w:val="IndexLink"/>
                <w:rtl w:val="true"/>
              </w:rPr>
              <w:tab/>
            </w:r>
            <w:r>
              <w:rPr>
                <w:rStyle w:val="IndexLink"/>
              </w:rPr>
              <w:t>469</w:t>
            </w:r>
          </w:hyperlink>
        </w:p>
        <w:p>
          <w:pPr>
            <w:pStyle w:val="Contents5"/>
            <w:tabs>
              <w:tab w:val="clear" w:pos="7892"/>
              <w:tab w:val="right" w:pos="9026" w:leader="dot"/>
            </w:tabs>
            <w:rPr/>
          </w:pPr>
          <w:hyperlink w:anchor="__RefHeading___Toc606950_1934241801">
            <w:r>
              <w:rPr>
                <w:webHidden/>
                <w:rStyle w:val="IndexLink"/>
                <w:rtl w:val="true"/>
              </w:rPr>
              <w:t>توضیح</w:t>
            </w:r>
            <w:r>
              <w:rPr>
                <w:rStyle w:val="IndexLink"/>
                <w:rtl w:val="true"/>
              </w:rPr>
              <w:tab/>
            </w:r>
            <w:r>
              <w:rPr>
                <w:rStyle w:val="IndexLink"/>
              </w:rPr>
              <w:t>469</w:t>
            </w:r>
          </w:hyperlink>
        </w:p>
        <w:p>
          <w:pPr>
            <w:pStyle w:val="Contents5"/>
            <w:tabs>
              <w:tab w:val="clear" w:pos="7892"/>
              <w:tab w:val="right" w:pos="9026" w:leader="dot"/>
            </w:tabs>
            <w:rPr/>
          </w:pPr>
          <w:hyperlink w:anchor="__RefHeading___Toc606952_1934241801">
            <w:r>
              <w:rPr>
                <w:webHidden/>
                <w:rStyle w:val="IndexLink"/>
                <w:rtl w:val="true"/>
              </w:rPr>
              <w:t xml:space="preserve">روایت </w:t>
            </w:r>
            <w:r>
              <w:rPr>
                <w:rStyle w:val="IndexLink"/>
              </w:rPr>
              <w:t>39</w:t>
            </w:r>
            <w:r>
              <w:rPr>
                <w:rStyle w:val="IndexLink"/>
                <w:rtl w:val="true"/>
              </w:rPr>
              <w:tab/>
            </w:r>
            <w:r>
              <w:rPr>
                <w:rStyle w:val="IndexLink"/>
              </w:rPr>
              <w:t>469</w:t>
            </w:r>
          </w:hyperlink>
        </w:p>
        <w:p>
          <w:pPr>
            <w:pStyle w:val="Contents5"/>
            <w:tabs>
              <w:tab w:val="clear" w:pos="7892"/>
              <w:tab w:val="right" w:pos="9026" w:leader="dot"/>
            </w:tabs>
            <w:rPr/>
          </w:pPr>
          <w:hyperlink w:anchor="__RefHeading___Toc606954_1934241801">
            <w:r>
              <w:rPr>
                <w:webHidden/>
                <w:rStyle w:val="IndexLink"/>
                <w:rtl w:val="true"/>
              </w:rPr>
              <w:t>إيضاح</w:t>
            </w:r>
            <w:r>
              <w:rPr>
                <w:rStyle w:val="IndexLink"/>
                <w:rtl w:val="true"/>
              </w:rPr>
              <w:tab/>
            </w:r>
            <w:r>
              <w:rPr>
                <w:rStyle w:val="IndexLink"/>
              </w:rPr>
              <w:t>471</w:t>
            </w:r>
          </w:hyperlink>
        </w:p>
        <w:p>
          <w:pPr>
            <w:pStyle w:val="Contents5"/>
            <w:tabs>
              <w:tab w:val="clear" w:pos="7892"/>
              <w:tab w:val="right" w:pos="9026" w:leader="dot"/>
            </w:tabs>
            <w:rPr/>
          </w:pPr>
          <w:hyperlink w:anchor="__RefHeading___Toc606956_1934241801">
            <w:r>
              <w:rPr>
                <w:webHidden/>
                <w:rStyle w:val="IndexLink"/>
                <w:rtl w:val="true"/>
              </w:rPr>
              <w:t>«</w:t>
            </w:r>
            <w:r>
              <w:rPr>
                <w:rStyle w:val="IndexLink"/>
              </w:rPr>
              <w:t>40</w:t>
            </w:r>
            <w:r>
              <w:rPr>
                <w:rStyle w:val="IndexLink"/>
                <w:rtl w:val="true"/>
              </w:rPr>
              <w:t>»</w:t>
              <w:tab/>
            </w:r>
            <w:r>
              <w:rPr>
                <w:rStyle w:val="IndexLink"/>
              </w:rPr>
              <w:t>471</w:t>
            </w:r>
          </w:hyperlink>
        </w:p>
        <w:p>
          <w:pPr>
            <w:pStyle w:val="Contents5"/>
            <w:tabs>
              <w:tab w:val="clear" w:pos="7892"/>
              <w:tab w:val="right" w:pos="9026" w:leader="dot"/>
            </w:tabs>
            <w:rPr/>
          </w:pPr>
          <w:hyperlink w:anchor="__RefHeading___Toc606958_1934241801">
            <w:r>
              <w:rPr>
                <w:webHidden/>
                <w:rStyle w:val="IndexLink"/>
                <w:rtl w:val="true"/>
              </w:rPr>
              <w:t>بيان</w:t>
            </w:r>
            <w:r>
              <w:rPr>
                <w:rStyle w:val="IndexLink"/>
                <w:rtl w:val="true"/>
              </w:rPr>
              <w:tab/>
            </w:r>
            <w:r>
              <w:rPr>
                <w:rStyle w:val="IndexLink"/>
              </w:rPr>
              <w:t>471</w:t>
            </w:r>
          </w:hyperlink>
        </w:p>
        <w:p>
          <w:pPr>
            <w:pStyle w:val="Contents5"/>
            <w:tabs>
              <w:tab w:val="clear" w:pos="7892"/>
              <w:tab w:val="right" w:pos="9026" w:leader="dot"/>
            </w:tabs>
            <w:rPr/>
          </w:pPr>
          <w:hyperlink w:anchor="__RefHeading___Toc606960_1934241801">
            <w:r>
              <w:rPr>
                <w:webHidden/>
                <w:rStyle w:val="IndexLink"/>
                <w:rtl w:val="true"/>
              </w:rPr>
              <w:t>«</w:t>
            </w:r>
            <w:r>
              <w:rPr>
                <w:rStyle w:val="IndexLink"/>
              </w:rPr>
              <w:t>41</w:t>
            </w:r>
            <w:r>
              <w:rPr>
                <w:rStyle w:val="IndexLink"/>
                <w:rtl w:val="true"/>
              </w:rPr>
              <w:t>»</w:t>
              <w:tab/>
            </w:r>
            <w:r>
              <w:rPr>
                <w:rStyle w:val="IndexLink"/>
              </w:rPr>
              <w:t>471</w:t>
            </w:r>
          </w:hyperlink>
        </w:p>
        <w:p>
          <w:pPr>
            <w:pStyle w:val="Contents5"/>
            <w:tabs>
              <w:tab w:val="clear" w:pos="7892"/>
              <w:tab w:val="right" w:pos="9026" w:leader="dot"/>
            </w:tabs>
            <w:rPr/>
          </w:pPr>
          <w:hyperlink w:anchor="__RefHeading___Toc606962_1934241801">
            <w:r>
              <w:rPr>
                <w:webHidden/>
                <w:rStyle w:val="IndexLink"/>
                <w:rtl w:val="true"/>
              </w:rPr>
              <w:t>توضیح</w:t>
            </w:r>
            <w:r>
              <w:rPr>
                <w:rStyle w:val="IndexLink"/>
                <w:rtl w:val="true"/>
              </w:rPr>
              <w:tab/>
            </w:r>
            <w:r>
              <w:rPr>
                <w:rStyle w:val="IndexLink"/>
              </w:rPr>
              <w:t>471</w:t>
            </w:r>
          </w:hyperlink>
        </w:p>
        <w:p>
          <w:pPr>
            <w:pStyle w:val="Contents5"/>
            <w:tabs>
              <w:tab w:val="clear" w:pos="7892"/>
              <w:tab w:val="right" w:pos="9026" w:leader="dot"/>
            </w:tabs>
            <w:rPr/>
          </w:pPr>
          <w:hyperlink w:anchor="__RefHeading___Toc606964_1934241801">
            <w:r>
              <w:rPr>
                <w:webHidden/>
                <w:rStyle w:val="IndexLink"/>
                <w:rtl w:val="true"/>
              </w:rPr>
              <w:t xml:space="preserve">روایت </w:t>
            </w:r>
            <w:r>
              <w:rPr>
                <w:rStyle w:val="IndexLink"/>
              </w:rPr>
              <w:t>40</w:t>
            </w:r>
            <w:r>
              <w:rPr>
                <w:rStyle w:val="IndexLink"/>
                <w:rtl w:val="true"/>
              </w:rPr>
              <w:tab/>
            </w:r>
            <w:r>
              <w:rPr>
                <w:rStyle w:val="IndexLink"/>
              </w:rPr>
              <w:t>471</w:t>
            </w:r>
          </w:hyperlink>
        </w:p>
        <w:p>
          <w:pPr>
            <w:pStyle w:val="Contents5"/>
            <w:tabs>
              <w:tab w:val="clear" w:pos="7892"/>
              <w:tab w:val="right" w:pos="9026" w:leader="dot"/>
            </w:tabs>
            <w:rPr/>
          </w:pPr>
          <w:hyperlink w:anchor="__RefHeading___Toc606966_1934241801">
            <w:r>
              <w:rPr>
                <w:webHidden/>
                <w:rStyle w:val="IndexLink"/>
                <w:rtl w:val="true"/>
              </w:rPr>
              <w:t>توضیح</w:t>
            </w:r>
            <w:r>
              <w:rPr>
                <w:rStyle w:val="IndexLink"/>
                <w:rtl w:val="true"/>
              </w:rPr>
              <w:tab/>
            </w:r>
            <w:r>
              <w:rPr>
                <w:rStyle w:val="IndexLink"/>
              </w:rPr>
              <w:t>471</w:t>
            </w:r>
          </w:hyperlink>
        </w:p>
        <w:p>
          <w:pPr>
            <w:pStyle w:val="Contents5"/>
            <w:tabs>
              <w:tab w:val="clear" w:pos="7892"/>
              <w:tab w:val="right" w:pos="9026" w:leader="dot"/>
            </w:tabs>
            <w:rPr/>
          </w:pPr>
          <w:hyperlink w:anchor="__RefHeading___Toc606968_1934241801">
            <w:r>
              <w:rPr>
                <w:webHidden/>
                <w:rStyle w:val="IndexLink"/>
                <w:rtl w:val="true"/>
              </w:rPr>
              <w:t xml:space="preserve">روایت </w:t>
            </w:r>
            <w:r>
              <w:rPr>
                <w:rStyle w:val="IndexLink"/>
              </w:rPr>
              <w:t>41</w:t>
            </w:r>
            <w:r>
              <w:rPr>
                <w:rStyle w:val="IndexLink"/>
                <w:rtl w:val="true"/>
              </w:rPr>
              <w:tab/>
            </w:r>
            <w:r>
              <w:rPr>
                <w:rStyle w:val="IndexLink"/>
              </w:rPr>
              <w:t>472</w:t>
            </w:r>
          </w:hyperlink>
        </w:p>
        <w:p>
          <w:pPr>
            <w:pStyle w:val="Contents5"/>
            <w:tabs>
              <w:tab w:val="clear" w:pos="7892"/>
              <w:tab w:val="right" w:pos="9026" w:leader="dot"/>
            </w:tabs>
            <w:rPr/>
          </w:pPr>
          <w:hyperlink w:anchor="__RefHeading___Toc606970_1934241801">
            <w:r>
              <w:rPr>
                <w:webHidden/>
                <w:rStyle w:val="IndexLink"/>
                <w:rtl w:val="true"/>
              </w:rPr>
              <w:t>«</w:t>
            </w:r>
            <w:r>
              <w:rPr>
                <w:rStyle w:val="IndexLink"/>
              </w:rPr>
              <w:t>42</w:t>
            </w:r>
            <w:r>
              <w:rPr>
                <w:rStyle w:val="IndexLink"/>
                <w:rtl w:val="true"/>
              </w:rPr>
              <w:t>»</w:t>
              <w:tab/>
            </w:r>
            <w:r>
              <w:rPr>
                <w:rStyle w:val="IndexLink"/>
              </w:rPr>
              <w:t>473</w:t>
            </w:r>
          </w:hyperlink>
        </w:p>
        <w:p>
          <w:pPr>
            <w:pStyle w:val="Contents5"/>
            <w:tabs>
              <w:tab w:val="clear" w:pos="7892"/>
              <w:tab w:val="right" w:pos="9026" w:leader="dot"/>
            </w:tabs>
            <w:rPr/>
          </w:pPr>
          <w:hyperlink w:anchor="__RefHeading___Toc606972_1934241801">
            <w:r>
              <w:rPr>
                <w:webHidden/>
                <w:rStyle w:val="IndexLink"/>
                <w:rtl w:val="true"/>
              </w:rPr>
              <w:t xml:space="preserve">روایت </w:t>
            </w:r>
            <w:r>
              <w:rPr>
                <w:rStyle w:val="IndexLink"/>
              </w:rPr>
              <w:t>42</w:t>
            </w:r>
            <w:r>
              <w:rPr>
                <w:rStyle w:val="IndexLink"/>
                <w:rtl w:val="true"/>
              </w:rPr>
              <w:tab/>
            </w:r>
            <w:r>
              <w:rPr>
                <w:rStyle w:val="IndexLink"/>
              </w:rPr>
              <w:t>473</w:t>
            </w:r>
          </w:hyperlink>
        </w:p>
        <w:p>
          <w:pPr>
            <w:pStyle w:val="Contents3"/>
            <w:tabs>
              <w:tab w:val="clear" w:pos="8459"/>
              <w:tab w:val="right" w:pos="9026" w:leader="dot"/>
            </w:tabs>
            <w:rPr/>
          </w:pPr>
          <w:hyperlink w:anchor="__RefHeading___Toc606974_1934241801">
            <w:r>
              <w:rPr>
                <w:webHidden/>
                <w:rStyle w:val="IndexLink"/>
                <w:rtl w:val="true"/>
              </w:rPr>
              <w:t xml:space="preserve">باب </w:t>
            </w:r>
            <w:r>
              <w:rPr>
                <w:rStyle w:val="IndexLink"/>
              </w:rPr>
              <w:t>5</w:t>
            </w:r>
            <w:r>
              <w:rPr>
                <w:rStyle w:val="IndexLink"/>
                <w:rtl w:val="true"/>
              </w:rPr>
              <w:t xml:space="preserve"> </w:t>
            </w:r>
            <w:r>
              <w:rPr>
                <w:rStyle w:val="IndexLink"/>
                <w:rtl w:val="true"/>
              </w:rPr>
              <w:t>آداب الاحتضار و أحكامه</w:t>
            </w:r>
            <w:r>
              <w:rPr>
                <w:rStyle w:val="IndexLink"/>
                <w:rtl w:val="true"/>
              </w:rPr>
              <w:tab/>
            </w:r>
            <w:r>
              <w:rPr>
                <w:rStyle w:val="IndexLink"/>
              </w:rPr>
              <w:t>474</w:t>
            </w:r>
          </w:hyperlink>
        </w:p>
        <w:p>
          <w:pPr>
            <w:pStyle w:val="Contents4"/>
            <w:tabs>
              <w:tab w:val="clear" w:pos="8176"/>
              <w:tab w:val="right" w:pos="9026" w:leader="dot"/>
            </w:tabs>
            <w:rPr/>
          </w:pPr>
          <w:hyperlink w:anchor="__RefHeading___Toc606976_1934241801">
            <w:r>
              <w:rPr>
                <w:webHidden/>
                <w:rStyle w:val="IndexLink"/>
                <w:rtl w:val="true"/>
              </w:rPr>
              <w:t>روايات</w:t>
            </w:r>
            <w:r>
              <w:rPr>
                <w:rStyle w:val="IndexLink"/>
                <w:rtl w:val="true"/>
              </w:rPr>
              <w:tab/>
            </w:r>
            <w:r>
              <w:rPr>
                <w:rStyle w:val="IndexLink"/>
              </w:rPr>
              <w:t>474</w:t>
            </w:r>
          </w:hyperlink>
        </w:p>
        <w:p>
          <w:pPr>
            <w:pStyle w:val="Contents5"/>
            <w:tabs>
              <w:tab w:val="clear" w:pos="7892"/>
              <w:tab w:val="right" w:pos="9026" w:leader="dot"/>
            </w:tabs>
            <w:rPr/>
          </w:pPr>
          <w:hyperlink w:anchor="__RefHeading___Toc606978_1934241801">
            <w:r>
              <w:rPr>
                <w:webHidden/>
                <w:rStyle w:val="IndexLink"/>
                <w:rtl w:val="true"/>
              </w:rPr>
              <w:t>«</w:t>
            </w:r>
            <w:r>
              <w:rPr>
                <w:rStyle w:val="IndexLink"/>
              </w:rPr>
              <w:t>1</w:t>
            </w:r>
            <w:r>
              <w:rPr>
                <w:rStyle w:val="IndexLink"/>
                <w:rtl w:val="true"/>
              </w:rPr>
              <w:t>»</w:t>
              <w:tab/>
            </w:r>
            <w:r>
              <w:rPr>
                <w:rStyle w:val="IndexLink"/>
              </w:rPr>
              <w:t>474</w:t>
            </w:r>
          </w:hyperlink>
        </w:p>
        <w:p>
          <w:pPr>
            <w:pStyle w:val="Contents5"/>
            <w:tabs>
              <w:tab w:val="clear" w:pos="7892"/>
              <w:tab w:val="right" w:pos="9026" w:leader="dot"/>
            </w:tabs>
            <w:rPr/>
          </w:pPr>
          <w:hyperlink w:anchor="__RefHeading___Toc606980_1934241801">
            <w:r>
              <w:rPr>
                <w:webHidden/>
                <w:rStyle w:val="IndexLink"/>
                <w:rtl w:val="true"/>
              </w:rPr>
              <w:t>بيان</w:t>
            </w:r>
            <w:r>
              <w:rPr>
                <w:rStyle w:val="IndexLink"/>
                <w:rtl w:val="true"/>
              </w:rPr>
              <w:tab/>
            </w:r>
            <w:r>
              <w:rPr>
                <w:rStyle w:val="IndexLink"/>
              </w:rPr>
              <w:t>474</w:t>
            </w:r>
          </w:hyperlink>
        </w:p>
        <w:p>
          <w:pPr>
            <w:pStyle w:val="Contents5"/>
            <w:tabs>
              <w:tab w:val="clear" w:pos="7892"/>
              <w:tab w:val="right" w:pos="9026" w:leader="dot"/>
            </w:tabs>
            <w:rPr/>
          </w:pPr>
          <w:hyperlink w:anchor="__RefHeading___Toc606982_1934241801">
            <w:r>
              <w:rPr>
                <w:webHidden/>
                <w:rStyle w:val="IndexLink"/>
                <w:rtl w:val="true"/>
              </w:rPr>
              <w:t>«</w:t>
            </w:r>
            <w:r>
              <w:rPr>
                <w:rStyle w:val="IndexLink"/>
              </w:rPr>
              <w:t>2</w:t>
            </w:r>
            <w:r>
              <w:rPr>
                <w:rStyle w:val="IndexLink"/>
                <w:rtl w:val="true"/>
              </w:rPr>
              <w:t>»</w:t>
              <w:tab/>
            </w:r>
            <w:r>
              <w:rPr>
                <w:rStyle w:val="IndexLink"/>
              </w:rPr>
              <w:t>474</w:t>
            </w:r>
          </w:hyperlink>
        </w:p>
        <w:p>
          <w:pPr>
            <w:pStyle w:val="Contents5"/>
            <w:tabs>
              <w:tab w:val="clear" w:pos="7892"/>
              <w:tab w:val="right" w:pos="9026" w:leader="dot"/>
            </w:tabs>
            <w:rPr/>
          </w:pPr>
          <w:hyperlink w:anchor="__RefHeading___Toc606984_1934241801">
            <w:r>
              <w:rPr>
                <w:webHidden/>
                <w:rStyle w:val="IndexLink"/>
                <w:rtl w:val="true"/>
              </w:rPr>
              <w:t>بيان</w:t>
            </w:r>
            <w:r>
              <w:rPr>
                <w:rStyle w:val="IndexLink"/>
                <w:rtl w:val="true"/>
              </w:rPr>
              <w:tab/>
            </w:r>
            <w:r>
              <w:rPr>
                <w:rStyle w:val="IndexLink"/>
              </w:rPr>
              <w:t>474</w:t>
            </w:r>
          </w:hyperlink>
        </w:p>
        <w:p>
          <w:pPr>
            <w:pStyle w:val="Contents5"/>
            <w:tabs>
              <w:tab w:val="clear" w:pos="7892"/>
              <w:tab w:val="right" w:pos="9026" w:leader="dot"/>
            </w:tabs>
            <w:rPr/>
          </w:pPr>
          <w:hyperlink w:anchor="__RefHeading___Toc606986_1934241801">
            <w:r>
              <w:rPr>
                <w:webHidden/>
                <w:rStyle w:val="IndexLink"/>
                <w:rtl w:val="true"/>
              </w:rPr>
              <w:t>«</w:t>
            </w:r>
            <w:r>
              <w:rPr>
                <w:rStyle w:val="IndexLink"/>
              </w:rPr>
              <w:t>3</w:t>
            </w:r>
            <w:r>
              <w:rPr>
                <w:rStyle w:val="IndexLink"/>
                <w:rtl w:val="true"/>
              </w:rPr>
              <w:t>»</w:t>
              <w:tab/>
            </w:r>
            <w:r>
              <w:rPr>
                <w:rStyle w:val="IndexLink"/>
              </w:rPr>
              <w:t>474</w:t>
            </w:r>
          </w:hyperlink>
        </w:p>
        <w:p>
          <w:pPr>
            <w:pStyle w:val="Contents3"/>
            <w:tabs>
              <w:tab w:val="clear" w:pos="8459"/>
              <w:tab w:val="right" w:pos="9026" w:leader="dot"/>
            </w:tabs>
            <w:rPr/>
          </w:pPr>
          <w:hyperlink w:anchor="__RefHeading___Toc606988_1934241801">
            <w:r>
              <w:rPr>
                <w:webHidden/>
                <w:rStyle w:val="IndexLink"/>
                <w:rtl w:val="true"/>
              </w:rPr>
              <w:t xml:space="preserve">باب پنجم </w:t>
            </w:r>
            <w:r>
              <w:rPr>
                <w:rStyle w:val="IndexLink"/>
                <w:rtl w:val="true"/>
              </w:rPr>
              <w:t xml:space="preserve">: </w:t>
            </w:r>
            <w:r>
              <w:rPr>
                <w:rStyle w:val="IndexLink"/>
                <w:rtl w:val="true"/>
              </w:rPr>
              <w:t>آداب احتضار و احکام آن</w:t>
            </w:r>
            <w:r>
              <w:rPr>
                <w:rStyle w:val="IndexLink"/>
                <w:rtl w:val="true"/>
              </w:rPr>
              <w:tab/>
            </w:r>
            <w:r>
              <w:rPr>
                <w:rStyle w:val="IndexLink"/>
              </w:rPr>
              <w:t>474</w:t>
            </w:r>
          </w:hyperlink>
        </w:p>
        <w:p>
          <w:pPr>
            <w:pStyle w:val="Contents4"/>
            <w:tabs>
              <w:tab w:val="clear" w:pos="8176"/>
              <w:tab w:val="right" w:pos="9026" w:leader="dot"/>
            </w:tabs>
            <w:rPr/>
          </w:pPr>
          <w:hyperlink w:anchor="__RefHeading___Toc606990_1934241801">
            <w:r>
              <w:rPr>
                <w:webHidden/>
                <w:rStyle w:val="IndexLink"/>
                <w:rtl w:val="true"/>
              </w:rPr>
              <w:t>روایات</w:t>
            </w:r>
            <w:r>
              <w:rPr>
                <w:rStyle w:val="IndexLink"/>
                <w:rtl w:val="true"/>
              </w:rPr>
              <w:tab/>
            </w:r>
            <w:r>
              <w:rPr>
                <w:rStyle w:val="IndexLink"/>
              </w:rPr>
              <w:t>474</w:t>
            </w:r>
          </w:hyperlink>
        </w:p>
        <w:p>
          <w:pPr>
            <w:pStyle w:val="Contents5"/>
            <w:tabs>
              <w:tab w:val="clear" w:pos="7892"/>
              <w:tab w:val="right" w:pos="9026" w:leader="dot"/>
            </w:tabs>
            <w:rPr/>
          </w:pPr>
          <w:hyperlink w:anchor="__RefHeading___Toc606992_1934241801">
            <w:r>
              <w:rPr>
                <w:webHidden/>
                <w:rStyle w:val="IndexLink"/>
                <w:rtl w:val="true"/>
              </w:rPr>
              <w:t xml:space="preserve">روایت </w:t>
            </w:r>
            <w:r>
              <w:rPr>
                <w:rStyle w:val="IndexLink"/>
              </w:rPr>
              <w:t>1</w:t>
            </w:r>
            <w:r>
              <w:rPr>
                <w:rStyle w:val="IndexLink"/>
                <w:rtl w:val="true"/>
              </w:rPr>
              <w:tab/>
            </w:r>
            <w:r>
              <w:rPr>
                <w:rStyle w:val="IndexLink"/>
              </w:rPr>
              <w:t>474</w:t>
            </w:r>
          </w:hyperlink>
        </w:p>
        <w:p>
          <w:pPr>
            <w:pStyle w:val="Contents5"/>
            <w:tabs>
              <w:tab w:val="clear" w:pos="7892"/>
              <w:tab w:val="right" w:pos="9026" w:leader="dot"/>
            </w:tabs>
            <w:rPr/>
          </w:pPr>
          <w:hyperlink w:anchor="__RefHeading___Toc606994_1934241801">
            <w:r>
              <w:rPr>
                <w:webHidden/>
                <w:rStyle w:val="IndexLink"/>
                <w:rtl w:val="true"/>
              </w:rPr>
              <w:t>توضیح</w:t>
            </w:r>
            <w:r>
              <w:rPr>
                <w:rStyle w:val="IndexLink"/>
                <w:rtl w:val="true"/>
              </w:rPr>
              <w:tab/>
            </w:r>
            <w:r>
              <w:rPr>
                <w:rStyle w:val="IndexLink"/>
              </w:rPr>
              <w:t>474</w:t>
            </w:r>
          </w:hyperlink>
        </w:p>
        <w:p>
          <w:pPr>
            <w:pStyle w:val="Contents5"/>
            <w:tabs>
              <w:tab w:val="clear" w:pos="7892"/>
              <w:tab w:val="right" w:pos="9026" w:leader="dot"/>
            </w:tabs>
            <w:rPr/>
          </w:pPr>
          <w:hyperlink w:anchor="__RefHeading___Toc606996_1934241801">
            <w:r>
              <w:rPr>
                <w:webHidden/>
                <w:rStyle w:val="IndexLink"/>
                <w:rtl w:val="true"/>
              </w:rPr>
              <w:t xml:space="preserve">روایت </w:t>
            </w:r>
            <w:r>
              <w:rPr>
                <w:rStyle w:val="IndexLink"/>
              </w:rPr>
              <w:t>2</w:t>
            </w:r>
            <w:r>
              <w:rPr>
                <w:rStyle w:val="IndexLink"/>
                <w:rtl w:val="true"/>
              </w:rPr>
              <w:tab/>
            </w:r>
            <w:r>
              <w:rPr>
                <w:rStyle w:val="IndexLink"/>
              </w:rPr>
              <w:t>474</w:t>
            </w:r>
          </w:hyperlink>
        </w:p>
        <w:p>
          <w:pPr>
            <w:pStyle w:val="Contents5"/>
            <w:tabs>
              <w:tab w:val="clear" w:pos="7892"/>
              <w:tab w:val="right" w:pos="9026" w:leader="dot"/>
            </w:tabs>
            <w:rPr/>
          </w:pPr>
          <w:hyperlink w:anchor="__RefHeading___Toc606998_1934241801">
            <w:r>
              <w:rPr>
                <w:webHidden/>
                <w:rStyle w:val="IndexLink"/>
                <w:rtl w:val="true"/>
              </w:rPr>
              <w:t>توضیح</w:t>
            </w:r>
            <w:r>
              <w:rPr>
                <w:rStyle w:val="IndexLink"/>
                <w:rtl w:val="true"/>
              </w:rPr>
              <w:tab/>
            </w:r>
            <w:r>
              <w:rPr>
                <w:rStyle w:val="IndexLink"/>
              </w:rPr>
              <w:t>475</w:t>
            </w:r>
          </w:hyperlink>
        </w:p>
        <w:p>
          <w:pPr>
            <w:pStyle w:val="Contents5"/>
            <w:tabs>
              <w:tab w:val="clear" w:pos="7892"/>
              <w:tab w:val="right" w:pos="9026" w:leader="dot"/>
            </w:tabs>
            <w:rPr/>
          </w:pPr>
          <w:hyperlink w:anchor="__RefHeading___Toc607000_1934241801">
            <w:r>
              <w:rPr>
                <w:webHidden/>
                <w:rStyle w:val="IndexLink"/>
                <w:rtl w:val="true"/>
              </w:rPr>
              <w:t xml:space="preserve">روایت </w:t>
            </w:r>
            <w:r>
              <w:rPr>
                <w:rStyle w:val="IndexLink"/>
              </w:rPr>
              <w:t>3</w:t>
            </w:r>
            <w:r>
              <w:rPr>
                <w:rStyle w:val="IndexLink"/>
                <w:rtl w:val="true"/>
              </w:rPr>
              <w:tab/>
            </w:r>
            <w:r>
              <w:rPr>
                <w:rStyle w:val="IndexLink"/>
              </w:rPr>
              <w:t>475</w:t>
            </w:r>
          </w:hyperlink>
        </w:p>
        <w:p>
          <w:pPr>
            <w:pStyle w:val="Contents5"/>
            <w:tabs>
              <w:tab w:val="clear" w:pos="7892"/>
              <w:tab w:val="right" w:pos="9026" w:leader="dot"/>
            </w:tabs>
            <w:rPr/>
          </w:pPr>
          <w:hyperlink w:anchor="__RefHeading___Toc607002_1934241801">
            <w:r>
              <w:rPr>
                <w:webHidden/>
                <w:rStyle w:val="IndexLink"/>
                <w:rtl w:val="true"/>
              </w:rPr>
              <w:t>بيان</w:t>
            </w:r>
            <w:r>
              <w:rPr>
                <w:rStyle w:val="IndexLink"/>
                <w:rtl w:val="true"/>
              </w:rPr>
              <w:tab/>
            </w:r>
            <w:r>
              <w:rPr>
                <w:rStyle w:val="IndexLink"/>
              </w:rPr>
              <w:t>476</w:t>
            </w:r>
          </w:hyperlink>
        </w:p>
        <w:p>
          <w:pPr>
            <w:pStyle w:val="Contents5"/>
            <w:tabs>
              <w:tab w:val="clear" w:pos="7892"/>
              <w:tab w:val="right" w:pos="9026" w:leader="dot"/>
            </w:tabs>
            <w:rPr/>
          </w:pPr>
          <w:hyperlink w:anchor="__RefHeading___Toc607004_1934241801">
            <w:r>
              <w:rPr>
                <w:webHidden/>
                <w:rStyle w:val="IndexLink"/>
                <w:rtl w:val="true"/>
              </w:rPr>
              <w:t>«</w:t>
            </w:r>
            <w:r>
              <w:rPr>
                <w:rStyle w:val="IndexLink"/>
              </w:rPr>
              <w:t>4</w:t>
            </w:r>
            <w:r>
              <w:rPr>
                <w:rStyle w:val="IndexLink"/>
                <w:rtl w:val="true"/>
              </w:rPr>
              <w:t>»</w:t>
              <w:tab/>
            </w:r>
            <w:r>
              <w:rPr>
                <w:rStyle w:val="IndexLink"/>
              </w:rPr>
              <w:t>476</w:t>
            </w:r>
          </w:hyperlink>
        </w:p>
        <w:p>
          <w:pPr>
            <w:pStyle w:val="Contents5"/>
            <w:tabs>
              <w:tab w:val="clear" w:pos="7892"/>
              <w:tab w:val="right" w:pos="9026" w:leader="dot"/>
            </w:tabs>
            <w:rPr/>
          </w:pPr>
          <w:hyperlink w:anchor="__RefHeading___Toc607006_1934241801">
            <w:r>
              <w:rPr>
                <w:webHidden/>
                <w:rStyle w:val="IndexLink"/>
                <w:rtl w:val="true"/>
              </w:rPr>
              <w:t>توضیح</w:t>
            </w:r>
            <w:r>
              <w:rPr>
                <w:rStyle w:val="IndexLink"/>
                <w:rtl w:val="true"/>
              </w:rPr>
              <w:tab/>
            </w:r>
            <w:r>
              <w:rPr>
                <w:rStyle w:val="IndexLink"/>
              </w:rPr>
              <w:t>476</w:t>
            </w:r>
          </w:hyperlink>
        </w:p>
        <w:p>
          <w:pPr>
            <w:pStyle w:val="Contents5"/>
            <w:tabs>
              <w:tab w:val="clear" w:pos="7892"/>
              <w:tab w:val="right" w:pos="9026" w:leader="dot"/>
            </w:tabs>
            <w:rPr/>
          </w:pPr>
          <w:hyperlink w:anchor="__RefHeading___Toc607008_1934241801">
            <w:r>
              <w:rPr>
                <w:webHidden/>
                <w:rStyle w:val="IndexLink"/>
                <w:rtl w:val="true"/>
              </w:rPr>
              <w:t xml:space="preserve">روایت </w:t>
            </w:r>
            <w:r>
              <w:rPr>
                <w:rStyle w:val="IndexLink"/>
              </w:rPr>
              <w:t>4</w:t>
            </w:r>
            <w:r>
              <w:rPr>
                <w:rStyle w:val="IndexLink"/>
                <w:rtl w:val="true"/>
              </w:rPr>
              <w:tab/>
            </w:r>
            <w:r>
              <w:rPr>
                <w:rStyle w:val="IndexLink"/>
              </w:rPr>
              <w:t>477</w:t>
            </w:r>
          </w:hyperlink>
        </w:p>
        <w:p>
          <w:pPr>
            <w:pStyle w:val="Contents5"/>
            <w:tabs>
              <w:tab w:val="clear" w:pos="7892"/>
              <w:tab w:val="right" w:pos="9026" w:leader="dot"/>
            </w:tabs>
            <w:rPr/>
          </w:pPr>
          <w:hyperlink w:anchor="__RefHeading___Toc607010_1934241801">
            <w:r>
              <w:rPr>
                <w:webHidden/>
                <w:rStyle w:val="IndexLink"/>
                <w:rtl w:val="true"/>
              </w:rPr>
              <w:t>«</w:t>
            </w:r>
            <w:r>
              <w:rPr>
                <w:rStyle w:val="IndexLink"/>
              </w:rPr>
              <w:t>5</w:t>
            </w:r>
            <w:r>
              <w:rPr>
                <w:rStyle w:val="IndexLink"/>
                <w:rtl w:val="true"/>
              </w:rPr>
              <w:t>»</w:t>
              <w:tab/>
            </w:r>
            <w:r>
              <w:rPr>
                <w:rStyle w:val="IndexLink"/>
              </w:rPr>
              <w:t>478</w:t>
            </w:r>
          </w:hyperlink>
        </w:p>
        <w:p>
          <w:pPr>
            <w:pStyle w:val="Contents5"/>
            <w:tabs>
              <w:tab w:val="clear" w:pos="7892"/>
              <w:tab w:val="right" w:pos="9026" w:leader="dot"/>
            </w:tabs>
            <w:rPr/>
          </w:pPr>
          <w:hyperlink w:anchor="__RefHeading___Toc607012_1934241801">
            <w:r>
              <w:rPr>
                <w:webHidden/>
                <w:rStyle w:val="IndexLink"/>
                <w:rtl w:val="true"/>
              </w:rPr>
              <w:t>«</w:t>
            </w:r>
            <w:r>
              <w:rPr>
                <w:rStyle w:val="IndexLink"/>
              </w:rPr>
              <w:t>6</w:t>
            </w:r>
            <w:r>
              <w:rPr>
                <w:rStyle w:val="IndexLink"/>
                <w:rtl w:val="true"/>
              </w:rPr>
              <w:t>»</w:t>
              <w:tab/>
            </w:r>
            <w:r>
              <w:rPr>
                <w:rStyle w:val="IndexLink"/>
              </w:rPr>
              <w:t>478</w:t>
            </w:r>
          </w:hyperlink>
        </w:p>
        <w:p>
          <w:pPr>
            <w:pStyle w:val="Contents5"/>
            <w:tabs>
              <w:tab w:val="clear" w:pos="7892"/>
              <w:tab w:val="right" w:pos="9026" w:leader="dot"/>
            </w:tabs>
            <w:rPr/>
          </w:pPr>
          <w:hyperlink w:anchor="__RefHeading___Toc607014_1934241801">
            <w:r>
              <w:rPr>
                <w:webHidden/>
                <w:rStyle w:val="IndexLink"/>
                <w:rtl w:val="true"/>
              </w:rPr>
              <w:t>«</w:t>
            </w:r>
            <w:r>
              <w:rPr>
                <w:rStyle w:val="IndexLink"/>
              </w:rPr>
              <w:t>7</w:t>
            </w:r>
            <w:r>
              <w:rPr>
                <w:rStyle w:val="IndexLink"/>
                <w:rtl w:val="true"/>
              </w:rPr>
              <w:t>»</w:t>
              <w:tab/>
            </w:r>
            <w:r>
              <w:rPr>
                <w:rStyle w:val="IndexLink"/>
              </w:rPr>
              <w:t>478</w:t>
            </w:r>
          </w:hyperlink>
        </w:p>
        <w:p>
          <w:pPr>
            <w:pStyle w:val="Contents5"/>
            <w:tabs>
              <w:tab w:val="clear" w:pos="7892"/>
              <w:tab w:val="right" w:pos="9026" w:leader="dot"/>
            </w:tabs>
            <w:rPr/>
          </w:pPr>
          <w:hyperlink w:anchor="__RefHeading___Toc607016_1934241801">
            <w:r>
              <w:rPr>
                <w:webHidden/>
                <w:rStyle w:val="IndexLink"/>
                <w:rtl w:val="true"/>
              </w:rPr>
              <w:t xml:space="preserve">روایت </w:t>
            </w:r>
            <w:r>
              <w:rPr>
                <w:rStyle w:val="IndexLink"/>
              </w:rPr>
              <w:t>5</w:t>
            </w:r>
            <w:r>
              <w:rPr>
                <w:rStyle w:val="IndexLink"/>
                <w:rtl w:val="true"/>
              </w:rPr>
              <w:tab/>
            </w:r>
            <w:r>
              <w:rPr>
                <w:rStyle w:val="IndexLink"/>
              </w:rPr>
              <w:t>478</w:t>
            </w:r>
          </w:hyperlink>
        </w:p>
        <w:p>
          <w:pPr>
            <w:pStyle w:val="Contents5"/>
            <w:tabs>
              <w:tab w:val="clear" w:pos="7892"/>
              <w:tab w:val="right" w:pos="9026" w:leader="dot"/>
            </w:tabs>
            <w:rPr/>
          </w:pPr>
          <w:hyperlink w:anchor="__RefHeading___Toc607018_1934241801">
            <w:r>
              <w:rPr>
                <w:webHidden/>
                <w:rStyle w:val="IndexLink"/>
                <w:rtl w:val="true"/>
              </w:rPr>
              <w:t xml:space="preserve">روایت </w:t>
            </w:r>
            <w:r>
              <w:rPr>
                <w:rStyle w:val="IndexLink"/>
              </w:rPr>
              <w:t>6</w:t>
            </w:r>
            <w:r>
              <w:rPr>
                <w:rStyle w:val="IndexLink"/>
                <w:rtl w:val="true"/>
              </w:rPr>
              <w:tab/>
            </w:r>
            <w:r>
              <w:rPr>
                <w:rStyle w:val="IndexLink"/>
              </w:rPr>
              <w:t>478</w:t>
            </w:r>
          </w:hyperlink>
        </w:p>
        <w:p>
          <w:pPr>
            <w:pStyle w:val="Contents5"/>
            <w:tabs>
              <w:tab w:val="clear" w:pos="7892"/>
              <w:tab w:val="right" w:pos="9026" w:leader="dot"/>
            </w:tabs>
            <w:rPr/>
          </w:pPr>
          <w:hyperlink w:anchor="__RefHeading___Toc607020_1934241801">
            <w:r>
              <w:rPr>
                <w:webHidden/>
                <w:rStyle w:val="IndexLink"/>
                <w:rtl w:val="true"/>
              </w:rPr>
              <w:t xml:space="preserve">روایت </w:t>
            </w:r>
            <w:r>
              <w:rPr>
                <w:rStyle w:val="IndexLink"/>
              </w:rPr>
              <w:t>7</w:t>
            </w:r>
            <w:r>
              <w:rPr>
                <w:rStyle w:val="IndexLink"/>
                <w:rtl w:val="true"/>
              </w:rPr>
              <w:tab/>
            </w:r>
            <w:r>
              <w:rPr>
                <w:rStyle w:val="IndexLink"/>
              </w:rPr>
              <w:t>478</w:t>
            </w:r>
          </w:hyperlink>
        </w:p>
        <w:p>
          <w:pPr>
            <w:pStyle w:val="Contents5"/>
            <w:tabs>
              <w:tab w:val="clear" w:pos="7892"/>
              <w:tab w:val="right" w:pos="9026" w:leader="dot"/>
            </w:tabs>
            <w:rPr/>
          </w:pPr>
          <w:hyperlink w:anchor="__RefHeading___Toc607022_1934241801">
            <w:r>
              <w:rPr>
                <w:webHidden/>
                <w:rStyle w:val="IndexLink"/>
                <w:rtl w:val="true"/>
              </w:rPr>
              <w:t>توضيح</w:t>
            </w:r>
            <w:r>
              <w:rPr>
                <w:rStyle w:val="IndexLink"/>
                <w:rtl w:val="true"/>
              </w:rPr>
              <w:tab/>
            </w:r>
            <w:r>
              <w:rPr>
                <w:rStyle w:val="IndexLink"/>
              </w:rPr>
              <w:t>480</w:t>
            </w:r>
          </w:hyperlink>
        </w:p>
        <w:p>
          <w:pPr>
            <w:pStyle w:val="Contents5"/>
            <w:tabs>
              <w:tab w:val="clear" w:pos="7892"/>
              <w:tab w:val="right" w:pos="9026" w:leader="dot"/>
            </w:tabs>
            <w:rPr/>
          </w:pPr>
          <w:hyperlink w:anchor="__RefHeading___Toc607024_1934241801">
            <w:r>
              <w:rPr>
                <w:webHidden/>
                <w:rStyle w:val="IndexLink"/>
                <w:rtl w:val="true"/>
              </w:rPr>
              <w:t>«</w:t>
            </w:r>
            <w:r>
              <w:rPr>
                <w:rStyle w:val="IndexLink"/>
              </w:rPr>
              <w:t>8</w:t>
            </w:r>
            <w:r>
              <w:rPr>
                <w:rStyle w:val="IndexLink"/>
                <w:rtl w:val="true"/>
              </w:rPr>
              <w:t>»</w:t>
              <w:tab/>
            </w:r>
            <w:r>
              <w:rPr>
                <w:rStyle w:val="IndexLink"/>
              </w:rPr>
              <w:t>480</w:t>
            </w:r>
          </w:hyperlink>
        </w:p>
        <w:p>
          <w:pPr>
            <w:pStyle w:val="Contents5"/>
            <w:tabs>
              <w:tab w:val="clear" w:pos="7892"/>
              <w:tab w:val="right" w:pos="9026" w:leader="dot"/>
            </w:tabs>
            <w:rPr/>
          </w:pPr>
          <w:hyperlink w:anchor="__RefHeading___Toc607026_1934241801">
            <w:r>
              <w:rPr>
                <w:webHidden/>
                <w:rStyle w:val="IndexLink"/>
                <w:rtl w:val="true"/>
              </w:rPr>
              <w:t>«</w:t>
            </w:r>
            <w:r>
              <w:rPr>
                <w:rStyle w:val="IndexLink"/>
              </w:rPr>
              <w:t>9</w:t>
            </w:r>
            <w:r>
              <w:rPr>
                <w:rStyle w:val="IndexLink"/>
                <w:rtl w:val="true"/>
              </w:rPr>
              <w:t>»</w:t>
              <w:tab/>
            </w:r>
            <w:r>
              <w:rPr>
                <w:rStyle w:val="IndexLink"/>
              </w:rPr>
              <w:t>480</w:t>
            </w:r>
          </w:hyperlink>
        </w:p>
        <w:p>
          <w:pPr>
            <w:pStyle w:val="Contents5"/>
            <w:tabs>
              <w:tab w:val="clear" w:pos="7892"/>
              <w:tab w:val="right" w:pos="9026" w:leader="dot"/>
            </w:tabs>
            <w:rPr/>
          </w:pPr>
          <w:hyperlink w:anchor="__RefHeading___Toc607028_1934241801">
            <w:r>
              <w:rPr>
                <w:webHidden/>
                <w:rStyle w:val="IndexLink"/>
                <w:rtl w:val="true"/>
              </w:rPr>
              <w:t>توضیح</w:t>
            </w:r>
            <w:r>
              <w:rPr>
                <w:rStyle w:val="IndexLink"/>
                <w:rtl w:val="true"/>
              </w:rPr>
              <w:tab/>
            </w:r>
            <w:r>
              <w:rPr>
                <w:rStyle w:val="IndexLink"/>
              </w:rPr>
              <w:t>481</w:t>
            </w:r>
          </w:hyperlink>
        </w:p>
        <w:p>
          <w:pPr>
            <w:pStyle w:val="Contents5"/>
            <w:tabs>
              <w:tab w:val="clear" w:pos="7892"/>
              <w:tab w:val="right" w:pos="9026" w:leader="dot"/>
            </w:tabs>
            <w:rPr/>
          </w:pPr>
          <w:hyperlink w:anchor="__RefHeading___Toc607030_1934241801">
            <w:r>
              <w:rPr>
                <w:webHidden/>
                <w:rStyle w:val="IndexLink"/>
                <w:rtl w:val="true"/>
              </w:rPr>
              <w:t xml:space="preserve">روایت </w:t>
            </w:r>
            <w:r>
              <w:rPr>
                <w:rStyle w:val="IndexLink"/>
              </w:rPr>
              <w:t>8</w:t>
            </w:r>
            <w:r>
              <w:rPr>
                <w:rStyle w:val="IndexLink"/>
                <w:rtl w:val="true"/>
              </w:rPr>
              <w:tab/>
            </w:r>
            <w:r>
              <w:rPr>
                <w:rStyle w:val="IndexLink"/>
              </w:rPr>
              <w:t>481</w:t>
            </w:r>
          </w:hyperlink>
        </w:p>
        <w:p>
          <w:pPr>
            <w:pStyle w:val="Contents5"/>
            <w:tabs>
              <w:tab w:val="clear" w:pos="7892"/>
              <w:tab w:val="right" w:pos="9026" w:leader="dot"/>
            </w:tabs>
            <w:rPr/>
          </w:pPr>
          <w:hyperlink w:anchor="__RefHeading___Toc607032_1934241801">
            <w:r>
              <w:rPr>
                <w:webHidden/>
                <w:rStyle w:val="IndexLink"/>
                <w:rtl w:val="true"/>
              </w:rPr>
              <w:t xml:space="preserve">روایت </w:t>
            </w:r>
            <w:r>
              <w:rPr>
                <w:rStyle w:val="IndexLink"/>
              </w:rPr>
              <w:t>9</w:t>
            </w:r>
            <w:r>
              <w:rPr>
                <w:rStyle w:val="IndexLink"/>
                <w:rtl w:val="true"/>
              </w:rPr>
              <w:tab/>
            </w:r>
            <w:r>
              <w:rPr>
                <w:rStyle w:val="IndexLink"/>
              </w:rPr>
              <w:t>481</w:t>
            </w:r>
          </w:hyperlink>
        </w:p>
        <w:p>
          <w:pPr>
            <w:pStyle w:val="Contents5"/>
            <w:tabs>
              <w:tab w:val="clear" w:pos="7892"/>
              <w:tab w:val="right" w:pos="9026" w:leader="dot"/>
            </w:tabs>
            <w:rPr/>
          </w:pPr>
          <w:hyperlink w:anchor="__RefHeading___Toc607034_1934241801">
            <w:r>
              <w:rPr>
                <w:webHidden/>
                <w:rStyle w:val="IndexLink"/>
                <w:rtl w:val="true"/>
              </w:rPr>
              <w:t>بيان</w:t>
            </w:r>
            <w:r>
              <w:rPr>
                <w:rStyle w:val="IndexLink"/>
                <w:rtl w:val="true"/>
              </w:rPr>
              <w:tab/>
            </w:r>
            <w:r>
              <w:rPr>
                <w:rStyle w:val="IndexLink"/>
              </w:rPr>
              <w:t>482</w:t>
            </w:r>
          </w:hyperlink>
        </w:p>
        <w:p>
          <w:pPr>
            <w:pStyle w:val="Contents5"/>
            <w:tabs>
              <w:tab w:val="clear" w:pos="7892"/>
              <w:tab w:val="right" w:pos="9026" w:leader="dot"/>
            </w:tabs>
            <w:rPr/>
          </w:pPr>
          <w:hyperlink w:anchor="__RefHeading___Toc607036_1934241801">
            <w:r>
              <w:rPr>
                <w:webHidden/>
                <w:rStyle w:val="IndexLink"/>
                <w:rtl w:val="true"/>
              </w:rPr>
              <w:t>«</w:t>
            </w:r>
            <w:r>
              <w:rPr>
                <w:rStyle w:val="IndexLink"/>
              </w:rPr>
              <w:t>10</w:t>
            </w:r>
            <w:r>
              <w:rPr>
                <w:rStyle w:val="IndexLink"/>
                <w:rtl w:val="true"/>
              </w:rPr>
              <w:t>»</w:t>
              <w:tab/>
            </w:r>
            <w:r>
              <w:rPr>
                <w:rStyle w:val="IndexLink"/>
              </w:rPr>
              <w:t>482</w:t>
            </w:r>
          </w:hyperlink>
        </w:p>
        <w:p>
          <w:pPr>
            <w:pStyle w:val="Contents5"/>
            <w:tabs>
              <w:tab w:val="clear" w:pos="7892"/>
              <w:tab w:val="right" w:pos="9026" w:leader="dot"/>
            </w:tabs>
            <w:rPr/>
          </w:pPr>
          <w:hyperlink w:anchor="__RefHeading___Toc607038_1934241801">
            <w:r>
              <w:rPr>
                <w:webHidden/>
                <w:rStyle w:val="IndexLink"/>
                <w:rtl w:val="true"/>
              </w:rPr>
              <w:t>توضیح</w:t>
            </w:r>
            <w:r>
              <w:rPr>
                <w:rStyle w:val="IndexLink"/>
                <w:rtl w:val="true"/>
              </w:rPr>
              <w:tab/>
            </w:r>
            <w:r>
              <w:rPr>
                <w:rStyle w:val="IndexLink"/>
              </w:rPr>
              <w:t>482</w:t>
            </w:r>
          </w:hyperlink>
        </w:p>
        <w:p>
          <w:pPr>
            <w:pStyle w:val="Contents5"/>
            <w:tabs>
              <w:tab w:val="clear" w:pos="7892"/>
              <w:tab w:val="right" w:pos="9026" w:leader="dot"/>
            </w:tabs>
            <w:rPr/>
          </w:pPr>
          <w:hyperlink w:anchor="__RefHeading___Toc607040_1934241801">
            <w:r>
              <w:rPr>
                <w:webHidden/>
                <w:rStyle w:val="IndexLink"/>
                <w:rtl w:val="true"/>
              </w:rPr>
              <w:t xml:space="preserve">روایت </w:t>
            </w:r>
            <w:r>
              <w:rPr>
                <w:rStyle w:val="IndexLink"/>
              </w:rPr>
              <w:t>10</w:t>
            </w:r>
            <w:r>
              <w:rPr>
                <w:rStyle w:val="IndexLink"/>
                <w:rtl w:val="true"/>
              </w:rPr>
              <w:tab/>
            </w:r>
            <w:r>
              <w:rPr>
                <w:rStyle w:val="IndexLink"/>
              </w:rPr>
              <w:t>483</w:t>
            </w:r>
          </w:hyperlink>
        </w:p>
        <w:p>
          <w:pPr>
            <w:pStyle w:val="Contents5"/>
            <w:tabs>
              <w:tab w:val="clear" w:pos="7892"/>
              <w:tab w:val="right" w:pos="9026" w:leader="dot"/>
            </w:tabs>
            <w:rPr/>
          </w:pPr>
          <w:hyperlink w:anchor="__RefHeading___Toc607042_1934241801">
            <w:r>
              <w:rPr>
                <w:webHidden/>
                <w:rStyle w:val="IndexLink"/>
                <w:rtl w:val="true"/>
              </w:rPr>
              <w:t>بيان</w:t>
            </w:r>
            <w:r>
              <w:rPr>
                <w:rStyle w:val="IndexLink"/>
                <w:rtl w:val="true"/>
              </w:rPr>
              <w:tab/>
            </w:r>
            <w:r>
              <w:rPr>
                <w:rStyle w:val="IndexLink"/>
              </w:rPr>
              <w:t>484</w:t>
            </w:r>
          </w:hyperlink>
        </w:p>
        <w:p>
          <w:pPr>
            <w:pStyle w:val="Contents5"/>
            <w:tabs>
              <w:tab w:val="clear" w:pos="7892"/>
              <w:tab w:val="right" w:pos="9026" w:leader="dot"/>
            </w:tabs>
            <w:rPr/>
          </w:pPr>
          <w:hyperlink w:anchor="__RefHeading___Toc607044_1934241801">
            <w:r>
              <w:rPr>
                <w:webHidden/>
                <w:rStyle w:val="IndexLink"/>
                <w:rtl w:val="true"/>
              </w:rPr>
              <w:t>«</w:t>
            </w:r>
            <w:r>
              <w:rPr>
                <w:rStyle w:val="IndexLink"/>
              </w:rPr>
              <w:t>11</w:t>
            </w:r>
            <w:r>
              <w:rPr>
                <w:rStyle w:val="IndexLink"/>
                <w:rtl w:val="true"/>
              </w:rPr>
              <w:t>»</w:t>
              <w:tab/>
            </w:r>
            <w:r>
              <w:rPr>
                <w:rStyle w:val="IndexLink"/>
              </w:rPr>
              <w:t>484</w:t>
            </w:r>
          </w:hyperlink>
        </w:p>
        <w:p>
          <w:pPr>
            <w:pStyle w:val="Contents5"/>
            <w:tabs>
              <w:tab w:val="clear" w:pos="7892"/>
              <w:tab w:val="right" w:pos="9026" w:leader="dot"/>
            </w:tabs>
            <w:rPr/>
          </w:pPr>
          <w:hyperlink w:anchor="__RefHeading___Toc607046_1934241801">
            <w:r>
              <w:rPr>
                <w:webHidden/>
                <w:rStyle w:val="IndexLink"/>
                <w:rtl w:val="true"/>
              </w:rPr>
              <w:t>بيان</w:t>
            </w:r>
            <w:r>
              <w:rPr>
                <w:rStyle w:val="IndexLink"/>
                <w:rtl w:val="true"/>
              </w:rPr>
              <w:tab/>
            </w:r>
            <w:r>
              <w:rPr>
                <w:rStyle w:val="IndexLink"/>
              </w:rPr>
              <w:t>484</w:t>
            </w:r>
          </w:hyperlink>
        </w:p>
        <w:p>
          <w:pPr>
            <w:pStyle w:val="Contents5"/>
            <w:tabs>
              <w:tab w:val="clear" w:pos="7892"/>
              <w:tab w:val="right" w:pos="9026" w:leader="dot"/>
            </w:tabs>
            <w:rPr/>
          </w:pPr>
          <w:hyperlink w:anchor="__RefHeading___Toc607048_1934241801">
            <w:r>
              <w:rPr>
                <w:webHidden/>
                <w:rStyle w:val="IndexLink"/>
                <w:rtl w:val="true"/>
              </w:rPr>
              <w:t>«</w:t>
            </w:r>
            <w:r>
              <w:rPr>
                <w:rStyle w:val="IndexLink"/>
              </w:rPr>
              <w:t>12</w:t>
            </w:r>
            <w:r>
              <w:rPr>
                <w:rStyle w:val="IndexLink"/>
                <w:rtl w:val="true"/>
              </w:rPr>
              <w:t>»</w:t>
              <w:tab/>
            </w:r>
            <w:r>
              <w:rPr>
                <w:rStyle w:val="IndexLink"/>
              </w:rPr>
              <w:t>484</w:t>
            </w:r>
          </w:hyperlink>
        </w:p>
        <w:p>
          <w:pPr>
            <w:pStyle w:val="Contents5"/>
            <w:tabs>
              <w:tab w:val="clear" w:pos="7892"/>
              <w:tab w:val="right" w:pos="9026" w:leader="dot"/>
            </w:tabs>
            <w:rPr/>
          </w:pPr>
          <w:hyperlink w:anchor="__RefHeading___Toc607050_1934241801">
            <w:r>
              <w:rPr>
                <w:webHidden/>
                <w:rStyle w:val="IndexLink"/>
                <w:rtl w:val="true"/>
              </w:rPr>
              <w:t>«</w:t>
            </w:r>
            <w:r>
              <w:rPr>
                <w:rStyle w:val="IndexLink"/>
              </w:rPr>
              <w:t>13</w:t>
            </w:r>
            <w:r>
              <w:rPr>
                <w:rStyle w:val="IndexLink"/>
                <w:rtl w:val="true"/>
              </w:rPr>
              <w:t>»</w:t>
              <w:tab/>
            </w:r>
            <w:r>
              <w:rPr>
                <w:rStyle w:val="IndexLink"/>
              </w:rPr>
              <w:t>484</w:t>
            </w:r>
          </w:hyperlink>
        </w:p>
        <w:p>
          <w:pPr>
            <w:pStyle w:val="Contents5"/>
            <w:tabs>
              <w:tab w:val="clear" w:pos="7892"/>
              <w:tab w:val="right" w:pos="9026" w:leader="dot"/>
            </w:tabs>
            <w:rPr/>
          </w:pPr>
          <w:hyperlink w:anchor="__RefHeading___Toc607052_1934241801">
            <w:r>
              <w:rPr>
                <w:webHidden/>
                <w:rStyle w:val="IndexLink"/>
                <w:rtl w:val="true"/>
              </w:rPr>
              <w:t>توضیح</w:t>
            </w:r>
            <w:r>
              <w:rPr>
                <w:rStyle w:val="IndexLink"/>
                <w:rtl w:val="true"/>
              </w:rPr>
              <w:tab/>
            </w:r>
            <w:r>
              <w:rPr>
                <w:rStyle w:val="IndexLink"/>
              </w:rPr>
              <w:t>484</w:t>
            </w:r>
          </w:hyperlink>
        </w:p>
        <w:p>
          <w:pPr>
            <w:pStyle w:val="Contents5"/>
            <w:tabs>
              <w:tab w:val="clear" w:pos="7892"/>
              <w:tab w:val="right" w:pos="9026" w:leader="dot"/>
            </w:tabs>
            <w:rPr/>
          </w:pPr>
          <w:hyperlink w:anchor="__RefHeading___Toc607054_1934241801">
            <w:r>
              <w:rPr>
                <w:webHidden/>
                <w:rStyle w:val="IndexLink"/>
                <w:rtl w:val="true"/>
              </w:rPr>
              <w:t xml:space="preserve">روایت </w:t>
            </w:r>
            <w:r>
              <w:rPr>
                <w:rStyle w:val="IndexLink"/>
              </w:rPr>
              <w:t>11</w:t>
            </w:r>
            <w:r>
              <w:rPr>
                <w:rStyle w:val="IndexLink"/>
                <w:rtl w:val="true"/>
              </w:rPr>
              <w:tab/>
            </w:r>
            <w:r>
              <w:rPr>
                <w:rStyle w:val="IndexLink"/>
              </w:rPr>
              <w:t>485</w:t>
            </w:r>
          </w:hyperlink>
        </w:p>
        <w:p>
          <w:pPr>
            <w:pStyle w:val="Contents5"/>
            <w:tabs>
              <w:tab w:val="clear" w:pos="7892"/>
              <w:tab w:val="right" w:pos="9026" w:leader="dot"/>
            </w:tabs>
            <w:rPr/>
          </w:pPr>
          <w:hyperlink w:anchor="__RefHeading___Toc607056_1934241801">
            <w:r>
              <w:rPr>
                <w:webHidden/>
                <w:rStyle w:val="IndexLink"/>
                <w:rtl w:val="true"/>
              </w:rPr>
              <w:t>توضیح</w:t>
            </w:r>
            <w:r>
              <w:rPr>
                <w:rStyle w:val="IndexLink"/>
                <w:rtl w:val="true"/>
              </w:rPr>
              <w:tab/>
            </w:r>
            <w:r>
              <w:rPr>
                <w:rStyle w:val="IndexLink"/>
              </w:rPr>
              <w:t>485</w:t>
            </w:r>
          </w:hyperlink>
        </w:p>
        <w:p>
          <w:pPr>
            <w:pStyle w:val="Contents5"/>
            <w:tabs>
              <w:tab w:val="clear" w:pos="7892"/>
              <w:tab w:val="right" w:pos="9026" w:leader="dot"/>
            </w:tabs>
            <w:rPr/>
          </w:pPr>
          <w:hyperlink w:anchor="__RefHeading___Toc607058_1934241801">
            <w:r>
              <w:rPr>
                <w:webHidden/>
                <w:rStyle w:val="IndexLink"/>
                <w:rtl w:val="true"/>
              </w:rPr>
              <w:t xml:space="preserve">روایت </w:t>
            </w:r>
            <w:r>
              <w:rPr>
                <w:rStyle w:val="IndexLink"/>
              </w:rPr>
              <w:t>12</w:t>
            </w:r>
            <w:r>
              <w:rPr>
                <w:rStyle w:val="IndexLink"/>
                <w:rtl w:val="true"/>
              </w:rPr>
              <w:tab/>
            </w:r>
            <w:r>
              <w:rPr>
                <w:rStyle w:val="IndexLink"/>
              </w:rPr>
              <w:t>485</w:t>
            </w:r>
          </w:hyperlink>
        </w:p>
        <w:p>
          <w:pPr>
            <w:pStyle w:val="Contents5"/>
            <w:tabs>
              <w:tab w:val="clear" w:pos="7892"/>
              <w:tab w:val="right" w:pos="9026" w:leader="dot"/>
            </w:tabs>
            <w:rPr/>
          </w:pPr>
          <w:hyperlink w:anchor="__RefHeading___Toc607060_1934241801">
            <w:r>
              <w:rPr>
                <w:webHidden/>
                <w:rStyle w:val="IndexLink"/>
                <w:rtl w:val="true"/>
              </w:rPr>
              <w:t xml:space="preserve">روایت </w:t>
            </w:r>
            <w:r>
              <w:rPr>
                <w:rStyle w:val="IndexLink"/>
              </w:rPr>
              <w:t>13</w:t>
            </w:r>
            <w:r>
              <w:rPr>
                <w:rStyle w:val="IndexLink"/>
                <w:rtl w:val="true"/>
              </w:rPr>
              <w:tab/>
            </w:r>
            <w:r>
              <w:rPr>
                <w:rStyle w:val="IndexLink"/>
              </w:rPr>
              <w:t>485</w:t>
            </w:r>
          </w:hyperlink>
        </w:p>
        <w:p>
          <w:pPr>
            <w:pStyle w:val="Contents5"/>
            <w:tabs>
              <w:tab w:val="clear" w:pos="7892"/>
              <w:tab w:val="right" w:pos="9026" w:leader="dot"/>
            </w:tabs>
            <w:rPr/>
          </w:pPr>
          <w:hyperlink w:anchor="__RefHeading___Toc607062_1934241801">
            <w:r>
              <w:rPr>
                <w:webHidden/>
                <w:rStyle w:val="IndexLink"/>
                <w:rtl w:val="true"/>
              </w:rPr>
              <w:t>«</w:t>
            </w:r>
            <w:r>
              <w:rPr>
                <w:rStyle w:val="IndexLink"/>
              </w:rPr>
              <w:t>14</w:t>
            </w:r>
            <w:r>
              <w:rPr>
                <w:rStyle w:val="IndexLink"/>
                <w:rtl w:val="true"/>
              </w:rPr>
              <w:t>»</w:t>
              <w:tab/>
            </w:r>
            <w:r>
              <w:rPr>
                <w:rStyle w:val="IndexLink"/>
              </w:rPr>
              <w:t>486</w:t>
            </w:r>
          </w:hyperlink>
        </w:p>
        <w:p>
          <w:pPr>
            <w:pStyle w:val="Contents5"/>
            <w:tabs>
              <w:tab w:val="clear" w:pos="7892"/>
              <w:tab w:val="right" w:pos="9026" w:leader="dot"/>
            </w:tabs>
            <w:rPr/>
          </w:pPr>
          <w:hyperlink w:anchor="__RefHeading___Toc607064_1934241801">
            <w:r>
              <w:rPr>
                <w:webHidden/>
                <w:rStyle w:val="IndexLink"/>
                <w:rtl w:val="true"/>
              </w:rPr>
              <w:t>«</w:t>
            </w:r>
            <w:r>
              <w:rPr>
                <w:rStyle w:val="IndexLink"/>
              </w:rPr>
              <w:t>15</w:t>
            </w:r>
            <w:r>
              <w:rPr>
                <w:rStyle w:val="IndexLink"/>
                <w:rtl w:val="true"/>
              </w:rPr>
              <w:t>»</w:t>
              <w:tab/>
            </w:r>
            <w:r>
              <w:rPr>
                <w:rStyle w:val="IndexLink"/>
              </w:rPr>
              <w:t>486</w:t>
            </w:r>
          </w:hyperlink>
        </w:p>
        <w:p>
          <w:pPr>
            <w:pStyle w:val="Contents5"/>
            <w:tabs>
              <w:tab w:val="clear" w:pos="7892"/>
              <w:tab w:val="right" w:pos="9026" w:leader="dot"/>
            </w:tabs>
            <w:rPr/>
          </w:pPr>
          <w:hyperlink w:anchor="__RefHeading___Toc607066_1934241801">
            <w:r>
              <w:rPr>
                <w:webHidden/>
                <w:rStyle w:val="IndexLink"/>
                <w:rtl w:val="true"/>
              </w:rPr>
              <w:t>بيان</w:t>
            </w:r>
            <w:r>
              <w:rPr>
                <w:rStyle w:val="IndexLink"/>
                <w:rtl w:val="true"/>
              </w:rPr>
              <w:tab/>
            </w:r>
            <w:r>
              <w:rPr>
                <w:rStyle w:val="IndexLink"/>
              </w:rPr>
              <w:t>486</w:t>
            </w:r>
          </w:hyperlink>
        </w:p>
        <w:p>
          <w:pPr>
            <w:pStyle w:val="Contents5"/>
            <w:tabs>
              <w:tab w:val="clear" w:pos="7892"/>
              <w:tab w:val="right" w:pos="9026" w:leader="dot"/>
            </w:tabs>
            <w:rPr/>
          </w:pPr>
          <w:hyperlink w:anchor="__RefHeading___Toc607068_1934241801">
            <w:r>
              <w:rPr>
                <w:webHidden/>
                <w:rStyle w:val="IndexLink"/>
                <w:rtl w:val="true"/>
              </w:rPr>
              <w:t>«</w:t>
            </w:r>
            <w:r>
              <w:rPr>
                <w:rStyle w:val="IndexLink"/>
              </w:rPr>
              <w:t>16</w:t>
            </w:r>
            <w:r>
              <w:rPr>
                <w:rStyle w:val="IndexLink"/>
                <w:rtl w:val="true"/>
              </w:rPr>
              <w:t>»</w:t>
              <w:tab/>
            </w:r>
            <w:r>
              <w:rPr>
                <w:rStyle w:val="IndexLink"/>
              </w:rPr>
              <w:t>486</w:t>
            </w:r>
          </w:hyperlink>
        </w:p>
        <w:p>
          <w:pPr>
            <w:pStyle w:val="Contents5"/>
            <w:tabs>
              <w:tab w:val="clear" w:pos="7892"/>
              <w:tab w:val="right" w:pos="9026" w:leader="dot"/>
            </w:tabs>
            <w:rPr/>
          </w:pPr>
          <w:hyperlink w:anchor="__RefHeading___Toc607070_1934241801">
            <w:r>
              <w:rPr>
                <w:webHidden/>
                <w:rStyle w:val="IndexLink"/>
                <w:rtl w:val="true"/>
              </w:rPr>
              <w:t>«</w:t>
            </w:r>
            <w:r>
              <w:rPr>
                <w:rStyle w:val="IndexLink"/>
              </w:rPr>
              <w:t>17</w:t>
            </w:r>
            <w:r>
              <w:rPr>
                <w:rStyle w:val="IndexLink"/>
                <w:rtl w:val="true"/>
              </w:rPr>
              <w:t>»</w:t>
              <w:tab/>
            </w:r>
            <w:r>
              <w:rPr>
                <w:rStyle w:val="IndexLink"/>
              </w:rPr>
              <w:t>486</w:t>
            </w:r>
          </w:hyperlink>
        </w:p>
        <w:p>
          <w:pPr>
            <w:pStyle w:val="Contents5"/>
            <w:tabs>
              <w:tab w:val="clear" w:pos="7892"/>
              <w:tab w:val="right" w:pos="9026" w:leader="dot"/>
            </w:tabs>
            <w:rPr/>
          </w:pPr>
          <w:hyperlink w:anchor="__RefHeading___Toc607072_1934241801">
            <w:r>
              <w:rPr>
                <w:webHidden/>
                <w:rStyle w:val="IndexLink"/>
                <w:rtl w:val="true"/>
              </w:rPr>
              <w:t xml:space="preserve">روایت </w:t>
            </w:r>
            <w:r>
              <w:rPr>
                <w:rStyle w:val="IndexLink"/>
              </w:rPr>
              <w:t>14</w:t>
            </w:r>
            <w:r>
              <w:rPr>
                <w:rStyle w:val="IndexLink"/>
                <w:rtl w:val="true"/>
              </w:rPr>
              <w:tab/>
            </w:r>
            <w:r>
              <w:rPr>
                <w:rStyle w:val="IndexLink"/>
              </w:rPr>
              <w:t>486</w:t>
            </w:r>
          </w:hyperlink>
        </w:p>
        <w:p>
          <w:pPr>
            <w:pStyle w:val="Contents5"/>
            <w:tabs>
              <w:tab w:val="clear" w:pos="7892"/>
              <w:tab w:val="right" w:pos="9026" w:leader="dot"/>
            </w:tabs>
            <w:rPr/>
          </w:pPr>
          <w:hyperlink w:anchor="__RefHeading___Toc607074_1934241801">
            <w:r>
              <w:rPr>
                <w:webHidden/>
                <w:rStyle w:val="IndexLink"/>
                <w:rtl w:val="true"/>
              </w:rPr>
              <w:t xml:space="preserve">روایت </w:t>
            </w:r>
            <w:r>
              <w:rPr>
                <w:rStyle w:val="IndexLink"/>
              </w:rPr>
              <w:t>15</w:t>
            </w:r>
            <w:r>
              <w:rPr>
                <w:rStyle w:val="IndexLink"/>
                <w:rtl w:val="true"/>
              </w:rPr>
              <w:tab/>
            </w:r>
            <w:r>
              <w:rPr>
                <w:rStyle w:val="IndexLink"/>
              </w:rPr>
              <w:t>487</w:t>
            </w:r>
          </w:hyperlink>
        </w:p>
        <w:p>
          <w:pPr>
            <w:pStyle w:val="Contents5"/>
            <w:tabs>
              <w:tab w:val="clear" w:pos="7892"/>
              <w:tab w:val="right" w:pos="9026" w:leader="dot"/>
            </w:tabs>
            <w:rPr/>
          </w:pPr>
          <w:hyperlink w:anchor="__RefHeading___Toc607076_1934241801">
            <w:r>
              <w:rPr>
                <w:webHidden/>
                <w:rStyle w:val="IndexLink"/>
                <w:rtl w:val="true"/>
              </w:rPr>
              <w:t>توضیح</w:t>
            </w:r>
            <w:r>
              <w:rPr>
                <w:rStyle w:val="IndexLink"/>
                <w:rtl w:val="true"/>
              </w:rPr>
              <w:tab/>
            </w:r>
            <w:r>
              <w:rPr>
                <w:rStyle w:val="IndexLink"/>
              </w:rPr>
              <w:t>487</w:t>
            </w:r>
          </w:hyperlink>
        </w:p>
        <w:p>
          <w:pPr>
            <w:pStyle w:val="Contents5"/>
            <w:tabs>
              <w:tab w:val="clear" w:pos="7892"/>
              <w:tab w:val="right" w:pos="9026" w:leader="dot"/>
            </w:tabs>
            <w:rPr/>
          </w:pPr>
          <w:hyperlink w:anchor="__RefHeading___Toc607078_1934241801">
            <w:r>
              <w:rPr>
                <w:webHidden/>
                <w:rStyle w:val="IndexLink"/>
                <w:rtl w:val="true"/>
              </w:rPr>
              <w:t xml:space="preserve">روایت </w:t>
            </w:r>
            <w:r>
              <w:rPr>
                <w:rStyle w:val="IndexLink"/>
              </w:rPr>
              <w:t>16</w:t>
            </w:r>
            <w:r>
              <w:rPr>
                <w:rStyle w:val="IndexLink"/>
                <w:rtl w:val="true"/>
              </w:rPr>
              <w:tab/>
            </w:r>
            <w:r>
              <w:rPr>
                <w:rStyle w:val="IndexLink"/>
              </w:rPr>
              <w:t>487</w:t>
            </w:r>
          </w:hyperlink>
        </w:p>
        <w:p>
          <w:pPr>
            <w:pStyle w:val="Contents5"/>
            <w:tabs>
              <w:tab w:val="clear" w:pos="7892"/>
              <w:tab w:val="right" w:pos="9026" w:leader="dot"/>
            </w:tabs>
            <w:rPr/>
          </w:pPr>
          <w:hyperlink w:anchor="__RefHeading___Toc607080_1934241801">
            <w:r>
              <w:rPr>
                <w:webHidden/>
                <w:rStyle w:val="IndexLink"/>
                <w:rtl w:val="true"/>
              </w:rPr>
              <w:t xml:space="preserve">روایت </w:t>
            </w:r>
            <w:r>
              <w:rPr>
                <w:rStyle w:val="IndexLink"/>
              </w:rPr>
              <w:t>17</w:t>
            </w:r>
            <w:r>
              <w:rPr>
                <w:rStyle w:val="IndexLink"/>
                <w:rtl w:val="true"/>
              </w:rPr>
              <w:tab/>
            </w:r>
            <w:r>
              <w:rPr>
                <w:rStyle w:val="IndexLink"/>
              </w:rPr>
              <w:t>487</w:t>
            </w:r>
          </w:hyperlink>
        </w:p>
        <w:p>
          <w:pPr>
            <w:pStyle w:val="Contents5"/>
            <w:tabs>
              <w:tab w:val="clear" w:pos="7892"/>
              <w:tab w:val="right" w:pos="9026" w:leader="dot"/>
            </w:tabs>
            <w:rPr/>
          </w:pPr>
          <w:hyperlink w:anchor="__RefHeading___Toc607082_1934241801">
            <w:r>
              <w:rPr>
                <w:webHidden/>
                <w:rStyle w:val="IndexLink"/>
                <w:rtl w:val="true"/>
              </w:rPr>
              <w:t>«</w:t>
            </w:r>
            <w:r>
              <w:rPr>
                <w:rStyle w:val="IndexLink"/>
              </w:rPr>
              <w:t>18</w:t>
            </w:r>
            <w:r>
              <w:rPr>
                <w:rStyle w:val="IndexLink"/>
                <w:rtl w:val="true"/>
              </w:rPr>
              <w:t>»</w:t>
              <w:tab/>
            </w:r>
            <w:r>
              <w:rPr>
                <w:rStyle w:val="IndexLink"/>
              </w:rPr>
              <w:t>488</w:t>
            </w:r>
          </w:hyperlink>
        </w:p>
        <w:p>
          <w:pPr>
            <w:pStyle w:val="Contents5"/>
            <w:tabs>
              <w:tab w:val="clear" w:pos="7892"/>
              <w:tab w:val="right" w:pos="9026" w:leader="dot"/>
            </w:tabs>
            <w:rPr/>
          </w:pPr>
          <w:hyperlink w:anchor="__RefHeading___Toc607084_1934241801">
            <w:r>
              <w:rPr>
                <w:webHidden/>
                <w:rStyle w:val="IndexLink"/>
                <w:rtl w:val="true"/>
              </w:rPr>
              <w:t>«</w:t>
            </w:r>
            <w:r>
              <w:rPr>
                <w:rStyle w:val="IndexLink"/>
              </w:rPr>
              <w:t>19</w:t>
            </w:r>
            <w:r>
              <w:rPr>
                <w:rStyle w:val="IndexLink"/>
                <w:rtl w:val="true"/>
              </w:rPr>
              <w:t>»</w:t>
              <w:tab/>
            </w:r>
            <w:r>
              <w:rPr>
                <w:rStyle w:val="IndexLink"/>
              </w:rPr>
              <w:t>488</w:t>
            </w:r>
          </w:hyperlink>
        </w:p>
        <w:p>
          <w:pPr>
            <w:pStyle w:val="Contents5"/>
            <w:tabs>
              <w:tab w:val="clear" w:pos="7892"/>
              <w:tab w:val="right" w:pos="9026" w:leader="dot"/>
            </w:tabs>
            <w:rPr/>
          </w:pPr>
          <w:hyperlink w:anchor="__RefHeading___Toc607086_1934241801">
            <w:r>
              <w:rPr>
                <w:webHidden/>
                <w:rStyle w:val="IndexLink"/>
                <w:rtl w:val="true"/>
              </w:rPr>
              <w:t>«</w:t>
            </w:r>
            <w:r>
              <w:rPr>
                <w:rStyle w:val="IndexLink"/>
              </w:rPr>
              <w:t>20</w:t>
            </w:r>
            <w:r>
              <w:rPr>
                <w:rStyle w:val="IndexLink"/>
                <w:rtl w:val="true"/>
              </w:rPr>
              <w:t>»</w:t>
              <w:tab/>
            </w:r>
            <w:r>
              <w:rPr>
                <w:rStyle w:val="IndexLink"/>
              </w:rPr>
              <w:t>488</w:t>
            </w:r>
          </w:hyperlink>
        </w:p>
        <w:p>
          <w:pPr>
            <w:pStyle w:val="Contents5"/>
            <w:tabs>
              <w:tab w:val="clear" w:pos="7892"/>
              <w:tab w:val="right" w:pos="9026" w:leader="dot"/>
            </w:tabs>
            <w:rPr/>
          </w:pPr>
          <w:hyperlink w:anchor="__RefHeading___Toc607088_1934241801">
            <w:r>
              <w:rPr>
                <w:webHidden/>
                <w:rStyle w:val="IndexLink"/>
                <w:rtl w:val="true"/>
              </w:rPr>
              <w:t>«</w:t>
            </w:r>
            <w:r>
              <w:rPr>
                <w:rStyle w:val="IndexLink"/>
              </w:rPr>
              <w:t>21</w:t>
            </w:r>
            <w:r>
              <w:rPr>
                <w:rStyle w:val="IndexLink"/>
                <w:rtl w:val="true"/>
              </w:rPr>
              <w:t>»</w:t>
              <w:tab/>
            </w:r>
            <w:r>
              <w:rPr>
                <w:rStyle w:val="IndexLink"/>
              </w:rPr>
              <w:t>488</w:t>
            </w:r>
          </w:hyperlink>
        </w:p>
        <w:p>
          <w:pPr>
            <w:pStyle w:val="Contents5"/>
            <w:tabs>
              <w:tab w:val="clear" w:pos="7892"/>
              <w:tab w:val="right" w:pos="9026" w:leader="dot"/>
            </w:tabs>
            <w:rPr/>
          </w:pPr>
          <w:hyperlink w:anchor="__RefHeading___Toc607090_1934241801">
            <w:r>
              <w:rPr>
                <w:webHidden/>
                <w:rStyle w:val="IndexLink"/>
                <w:rtl w:val="true"/>
              </w:rPr>
              <w:t xml:space="preserve">روایت </w:t>
            </w:r>
            <w:r>
              <w:rPr>
                <w:rStyle w:val="IndexLink"/>
              </w:rPr>
              <w:t>18</w:t>
            </w:r>
            <w:r>
              <w:rPr>
                <w:rStyle w:val="IndexLink"/>
                <w:rtl w:val="true"/>
              </w:rPr>
              <w:tab/>
            </w:r>
            <w:r>
              <w:rPr>
                <w:rStyle w:val="IndexLink"/>
              </w:rPr>
              <w:t>488</w:t>
            </w:r>
          </w:hyperlink>
        </w:p>
        <w:p>
          <w:pPr>
            <w:pStyle w:val="Contents5"/>
            <w:tabs>
              <w:tab w:val="clear" w:pos="7892"/>
              <w:tab w:val="right" w:pos="9026" w:leader="dot"/>
            </w:tabs>
            <w:rPr/>
          </w:pPr>
          <w:hyperlink w:anchor="__RefHeading___Toc607092_1934241801">
            <w:r>
              <w:rPr>
                <w:webHidden/>
                <w:rStyle w:val="IndexLink"/>
                <w:rtl w:val="true"/>
              </w:rPr>
              <w:t xml:space="preserve">روایت </w:t>
            </w:r>
            <w:r>
              <w:rPr>
                <w:rStyle w:val="IndexLink"/>
              </w:rPr>
              <w:t>19</w:t>
            </w:r>
            <w:r>
              <w:rPr>
                <w:rStyle w:val="IndexLink"/>
                <w:rtl w:val="true"/>
              </w:rPr>
              <w:tab/>
            </w:r>
            <w:r>
              <w:rPr>
                <w:rStyle w:val="IndexLink"/>
              </w:rPr>
              <w:t>488</w:t>
            </w:r>
          </w:hyperlink>
        </w:p>
        <w:p>
          <w:pPr>
            <w:pStyle w:val="Contents5"/>
            <w:tabs>
              <w:tab w:val="clear" w:pos="7892"/>
              <w:tab w:val="right" w:pos="9026" w:leader="dot"/>
            </w:tabs>
            <w:rPr/>
          </w:pPr>
          <w:hyperlink w:anchor="__RefHeading___Toc607094_1934241801">
            <w:r>
              <w:rPr>
                <w:webHidden/>
                <w:rStyle w:val="IndexLink"/>
                <w:rtl w:val="true"/>
              </w:rPr>
              <w:t xml:space="preserve">روایت </w:t>
            </w:r>
            <w:r>
              <w:rPr>
                <w:rStyle w:val="IndexLink"/>
              </w:rPr>
              <w:t>20</w:t>
            </w:r>
            <w:r>
              <w:rPr>
                <w:rStyle w:val="IndexLink"/>
                <w:rtl w:val="true"/>
              </w:rPr>
              <w:tab/>
            </w:r>
            <w:r>
              <w:rPr>
                <w:rStyle w:val="IndexLink"/>
              </w:rPr>
              <w:t>489</w:t>
            </w:r>
          </w:hyperlink>
        </w:p>
        <w:p>
          <w:pPr>
            <w:pStyle w:val="Contents5"/>
            <w:tabs>
              <w:tab w:val="clear" w:pos="7892"/>
              <w:tab w:val="right" w:pos="9026" w:leader="dot"/>
            </w:tabs>
            <w:rPr/>
          </w:pPr>
          <w:hyperlink w:anchor="__RefHeading___Toc607096_1934241801">
            <w:r>
              <w:rPr>
                <w:webHidden/>
                <w:rStyle w:val="IndexLink"/>
                <w:rtl w:val="true"/>
              </w:rPr>
              <w:t xml:space="preserve">روایت </w:t>
            </w:r>
            <w:r>
              <w:rPr>
                <w:rStyle w:val="IndexLink"/>
              </w:rPr>
              <w:t>21</w:t>
            </w:r>
            <w:r>
              <w:rPr>
                <w:rStyle w:val="IndexLink"/>
                <w:rtl w:val="true"/>
              </w:rPr>
              <w:tab/>
            </w:r>
            <w:r>
              <w:rPr>
                <w:rStyle w:val="IndexLink"/>
              </w:rPr>
              <w:t>489</w:t>
            </w:r>
          </w:hyperlink>
        </w:p>
        <w:p>
          <w:pPr>
            <w:pStyle w:val="Contents5"/>
            <w:tabs>
              <w:tab w:val="clear" w:pos="7892"/>
              <w:tab w:val="right" w:pos="9026" w:leader="dot"/>
            </w:tabs>
            <w:rPr/>
          </w:pPr>
          <w:hyperlink w:anchor="__RefHeading___Toc607098_1934241801">
            <w:r>
              <w:rPr>
                <w:webHidden/>
                <w:rStyle w:val="IndexLink"/>
                <w:rtl w:val="true"/>
              </w:rPr>
              <w:t>بيان</w:t>
            </w:r>
            <w:r>
              <w:rPr>
                <w:rStyle w:val="IndexLink"/>
                <w:rtl w:val="true"/>
              </w:rPr>
              <w:tab/>
            </w:r>
            <w:r>
              <w:rPr>
                <w:rStyle w:val="IndexLink"/>
              </w:rPr>
              <w:t>490</w:t>
            </w:r>
          </w:hyperlink>
        </w:p>
        <w:p>
          <w:pPr>
            <w:pStyle w:val="Contents5"/>
            <w:tabs>
              <w:tab w:val="clear" w:pos="7892"/>
              <w:tab w:val="right" w:pos="9026" w:leader="dot"/>
            </w:tabs>
            <w:rPr/>
          </w:pPr>
          <w:hyperlink w:anchor="__RefHeading___Toc607100_1934241801">
            <w:r>
              <w:rPr>
                <w:webHidden/>
                <w:rStyle w:val="IndexLink"/>
                <w:rtl w:val="true"/>
              </w:rPr>
              <w:t>«</w:t>
            </w:r>
            <w:r>
              <w:rPr>
                <w:rStyle w:val="IndexLink"/>
              </w:rPr>
              <w:t>22</w:t>
            </w:r>
            <w:r>
              <w:rPr>
                <w:rStyle w:val="IndexLink"/>
                <w:rtl w:val="true"/>
              </w:rPr>
              <w:t>»</w:t>
              <w:tab/>
            </w:r>
            <w:r>
              <w:rPr>
                <w:rStyle w:val="IndexLink"/>
              </w:rPr>
              <w:t>490</w:t>
            </w:r>
          </w:hyperlink>
        </w:p>
        <w:p>
          <w:pPr>
            <w:pStyle w:val="Contents5"/>
            <w:tabs>
              <w:tab w:val="clear" w:pos="7892"/>
              <w:tab w:val="right" w:pos="9026" w:leader="dot"/>
            </w:tabs>
            <w:rPr/>
          </w:pPr>
          <w:hyperlink w:anchor="__RefHeading___Toc607102_1934241801">
            <w:r>
              <w:rPr>
                <w:webHidden/>
                <w:rStyle w:val="IndexLink"/>
                <w:rtl w:val="true"/>
              </w:rPr>
              <w:t>توضيح</w:t>
            </w:r>
            <w:r>
              <w:rPr>
                <w:rStyle w:val="IndexLink"/>
                <w:rtl w:val="true"/>
              </w:rPr>
              <w:tab/>
            </w:r>
            <w:r>
              <w:rPr>
                <w:rStyle w:val="IndexLink"/>
              </w:rPr>
              <w:t>490</w:t>
            </w:r>
          </w:hyperlink>
        </w:p>
        <w:p>
          <w:pPr>
            <w:pStyle w:val="Contents5"/>
            <w:tabs>
              <w:tab w:val="clear" w:pos="7892"/>
              <w:tab w:val="right" w:pos="9026" w:leader="dot"/>
            </w:tabs>
            <w:rPr/>
          </w:pPr>
          <w:hyperlink w:anchor="__RefHeading___Toc607104_1934241801">
            <w:r>
              <w:rPr>
                <w:webHidden/>
                <w:rStyle w:val="IndexLink"/>
                <w:rtl w:val="true"/>
              </w:rPr>
              <w:t>«</w:t>
            </w:r>
            <w:r>
              <w:rPr>
                <w:rStyle w:val="IndexLink"/>
              </w:rPr>
              <w:t>23</w:t>
            </w:r>
            <w:r>
              <w:rPr>
                <w:rStyle w:val="IndexLink"/>
                <w:rtl w:val="true"/>
              </w:rPr>
              <w:t>»</w:t>
              <w:tab/>
            </w:r>
            <w:r>
              <w:rPr>
                <w:rStyle w:val="IndexLink"/>
              </w:rPr>
              <w:t>490</w:t>
            </w:r>
          </w:hyperlink>
        </w:p>
        <w:p>
          <w:pPr>
            <w:pStyle w:val="Contents5"/>
            <w:tabs>
              <w:tab w:val="clear" w:pos="7892"/>
              <w:tab w:val="right" w:pos="9026" w:leader="dot"/>
            </w:tabs>
            <w:rPr/>
          </w:pPr>
          <w:hyperlink w:anchor="__RefHeading___Toc607106_1934241801">
            <w:r>
              <w:rPr>
                <w:webHidden/>
                <w:rStyle w:val="IndexLink"/>
                <w:rtl w:val="true"/>
              </w:rPr>
              <w:t>توضیح</w:t>
            </w:r>
            <w:r>
              <w:rPr>
                <w:rStyle w:val="IndexLink"/>
                <w:rtl w:val="true"/>
              </w:rPr>
              <w:tab/>
            </w:r>
            <w:r>
              <w:rPr>
                <w:rStyle w:val="IndexLink"/>
              </w:rPr>
              <w:t>490</w:t>
            </w:r>
          </w:hyperlink>
        </w:p>
        <w:p>
          <w:pPr>
            <w:pStyle w:val="Contents5"/>
            <w:tabs>
              <w:tab w:val="clear" w:pos="7892"/>
              <w:tab w:val="right" w:pos="9026" w:leader="dot"/>
            </w:tabs>
            <w:rPr/>
          </w:pPr>
          <w:hyperlink w:anchor="__RefHeading___Toc607108_1934241801">
            <w:r>
              <w:rPr>
                <w:webHidden/>
                <w:rStyle w:val="IndexLink"/>
                <w:rtl w:val="true"/>
              </w:rPr>
              <w:t xml:space="preserve">روایت </w:t>
            </w:r>
            <w:r>
              <w:rPr>
                <w:rStyle w:val="IndexLink"/>
              </w:rPr>
              <w:t>22</w:t>
            </w:r>
            <w:r>
              <w:rPr>
                <w:rStyle w:val="IndexLink"/>
                <w:rtl w:val="true"/>
              </w:rPr>
              <w:tab/>
            </w:r>
            <w:r>
              <w:rPr>
                <w:rStyle w:val="IndexLink"/>
              </w:rPr>
              <w:t>491</w:t>
            </w:r>
          </w:hyperlink>
        </w:p>
        <w:p>
          <w:pPr>
            <w:pStyle w:val="Contents5"/>
            <w:tabs>
              <w:tab w:val="clear" w:pos="7892"/>
              <w:tab w:val="right" w:pos="9026" w:leader="dot"/>
            </w:tabs>
            <w:rPr/>
          </w:pPr>
          <w:hyperlink w:anchor="__RefHeading___Toc607110_1934241801">
            <w:r>
              <w:rPr>
                <w:webHidden/>
                <w:rStyle w:val="IndexLink"/>
                <w:rtl w:val="true"/>
              </w:rPr>
              <w:t>توضیح</w:t>
            </w:r>
            <w:r>
              <w:rPr>
                <w:rStyle w:val="IndexLink"/>
                <w:rtl w:val="true"/>
              </w:rPr>
              <w:tab/>
            </w:r>
            <w:r>
              <w:rPr>
                <w:rStyle w:val="IndexLink"/>
              </w:rPr>
              <w:t>491</w:t>
            </w:r>
          </w:hyperlink>
        </w:p>
        <w:p>
          <w:pPr>
            <w:pStyle w:val="Contents5"/>
            <w:tabs>
              <w:tab w:val="clear" w:pos="7892"/>
              <w:tab w:val="right" w:pos="9026" w:leader="dot"/>
            </w:tabs>
            <w:rPr/>
          </w:pPr>
          <w:hyperlink w:anchor="__RefHeading___Toc607112_1934241801">
            <w:r>
              <w:rPr>
                <w:webHidden/>
                <w:rStyle w:val="IndexLink"/>
                <w:rtl w:val="true"/>
              </w:rPr>
              <w:t xml:space="preserve">روایت </w:t>
            </w:r>
            <w:r>
              <w:rPr>
                <w:rStyle w:val="IndexLink"/>
              </w:rPr>
              <w:t>23</w:t>
            </w:r>
            <w:r>
              <w:rPr>
                <w:rStyle w:val="IndexLink"/>
                <w:rtl w:val="true"/>
              </w:rPr>
              <w:tab/>
            </w:r>
            <w:r>
              <w:rPr>
                <w:rStyle w:val="IndexLink"/>
              </w:rPr>
              <w:t>491</w:t>
            </w:r>
          </w:hyperlink>
        </w:p>
        <w:p>
          <w:pPr>
            <w:pStyle w:val="Contents5"/>
            <w:tabs>
              <w:tab w:val="clear" w:pos="7892"/>
              <w:tab w:val="right" w:pos="9026" w:leader="dot"/>
            </w:tabs>
            <w:rPr/>
          </w:pPr>
          <w:hyperlink w:anchor="__RefHeading___Toc607114_1934241801">
            <w:r>
              <w:rPr>
                <w:webHidden/>
                <w:rStyle w:val="IndexLink"/>
                <w:rtl w:val="true"/>
              </w:rPr>
              <w:t>بيان</w:t>
            </w:r>
            <w:r>
              <w:rPr>
                <w:rStyle w:val="IndexLink"/>
                <w:rtl w:val="true"/>
              </w:rPr>
              <w:tab/>
            </w:r>
            <w:r>
              <w:rPr>
                <w:rStyle w:val="IndexLink"/>
              </w:rPr>
              <w:t>492</w:t>
            </w:r>
          </w:hyperlink>
        </w:p>
        <w:p>
          <w:pPr>
            <w:pStyle w:val="Contents5"/>
            <w:tabs>
              <w:tab w:val="clear" w:pos="7892"/>
              <w:tab w:val="right" w:pos="9026" w:leader="dot"/>
            </w:tabs>
            <w:rPr/>
          </w:pPr>
          <w:hyperlink w:anchor="__RefHeading___Toc607116_1934241801">
            <w:r>
              <w:rPr>
                <w:webHidden/>
                <w:rStyle w:val="IndexLink"/>
                <w:rtl w:val="true"/>
              </w:rPr>
              <w:t>«</w:t>
            </w:r>
            <w:r>
              <w:rPr>
                <w:rStyle w:val="IndexLink"/>
              </w:rPr>
              <w:t>24</w:t>
            </w:r>
            <w:r>
              <w:rPr>
                <w:rStyle w:val="IndexLink"/>
                <w:rtl w:val="true"/>
              </w:rPr>
              <w:t>»</w:t>
              <w:tab/>
            </w:r>
            <w:r>
              <w:rPr>
                <w:rStyle w:val="IndexLink"/>
              </w:rPr>
              <w:t>492</w:t>
            </w:r>
          </w:hyperlink>
        </w:p>
        <w:p>
          <w:pPr>
            <w:pStyle w:val="Contents5"/>
            <w:tabs>
              <w:tab w:val="clear" w:pos="7892"/>
              <w:tab w:val="right" w:pos="9026" w:leader="dot"/>
            </w:tabs>
            <w:rPr/>
          </w:pPr>
          <w:hyperlink w:anchor="__RefHeading___Toc607118_1934241801">
            <w:r>
              <w:rPr>
                <w:webHidden/>
                <w:rStyle w:val="IndexLink"/>
                <w:rtl w:val="true"/>
              </w:rPr>
              <w:t>«</w:t>
            </w:r>
            <w:r>
              <w:rPr>
                <w:rStyle w:val="IndexLink"/>
              </w:rPr>
              <w:t>25</w:t>
            </w:r>
            <w:r>
              <w:rPr>
                <w:rStyle w:val="IndexLink"/>
                <w:rtl w:val="true"/>
              </w:rPr>
              <w:t>»</w:t>
              <w:tab/>
            </w:r>
            <w:r>
              <w:rPr>
                <w:rStyle w:val="IndexLink"/>
              </w:rPr>
              <w:t>492</w:t>
            </w:r>
          </w:hyperlink>
        </w:p>
        <w:p>
          <w:pPr>
            <w:pStyle w:val="Contents5"/>
            <w:tabs>
              <w:tab w:val="clear" w:pos="7892"/>
              <w:tab w:val="right" w:pos="9026" w:leader="dot"/>
            </w:tabs>
            <w:rPr/>
          </w:pPr>
          <w:hyperlink w:anchor="__RefHeading___Toc607120_1934241801">
            <w:r>
              <w:rPr>
                <w:webHidden/>
                <w:rStyle w:val="IndexLink"/>
                <w:rtl w:val="true"/>
              </w:rPr>
              <w:t>«</w:t>
            </w:r>
            <w:r>
              <w:rPr>
                <w:rStyle w:val="IndexLink"/>
              </w:rPr>
              <w:t>26</w:t>
            </w:r>
            <w:r>
              <w:rPr>
                <w:rStyle w:val="IndexLink"/>
                <w:rtl w:val="true"/>
              </w:rPr>
              <w:t>»</w:t>
              <w:tab/>
            </w:r>
            <w:r>
              <w:rPr>
                <w:rStyle w:val="IndexLink"/>
              </w:rPr>
              <w:t>492</w:t>
            </w:r>
          </w:hyperlink>
        </w:p>
        <w:p>
          <w:pPr>
            <w:pStyle w:val="Contents5"/>
            <w:tabs>
              <w:tab w:val="clear" w:pos="7892"/>
              <w:tab w:val="right" w:pos="9026" w:leader="dot"/>
            </w:tabs>
            <w:rPr/>
          </w:pPr>
          <w:hyperlink w:anchor="__RefHeading___Toc607122_1934241801">
            <w:r>
              <w:rPr>
                <w:webHidden/>
                <w:rStyle w:val="IndexLink"/>
                <w:rtl w:val="true"/>
              </w:rPr>
              <w:t>توضیح</w:t>
            </w:r>
            <w:r>
              <w:rPr>
                <w:rStyle w:val="IndexLink"/>
                <w:rtl w:val="true"/>
              </w:rPr>
              <w:tab/>
            </w:r>
            <w:r>
              <w:rPr>
                <w:rStyle w:val="IndexLink"/>
              </w:rPr>
              <w:t>492</w:t>
            </w:r>
          </w:hyperlink>
        </w:p>
        <w:p>
          <w:pPr>
            <w:pStyle w:val="Contents5"/>
            <w:tabs>
              <w:tab w:val="clear" w:pos="7892"/>
              <w:tab w:val="right" w:pos="9026" w:leader="dot"/>
            </w:tabs>
            <w:rPr/>
          </w:pPr>
          <w:hyperlink w:anchor="__RefHeading___Toc607124_1934241801">
            <w:r>
              <w:rPr>
                <w:webHidden/>
                <w:rStyle w:val="IndexLink"/>
                <w:rtl w:val="true"/>
              </w:rPr>
              <w:t xml:space="preserve">روایت </w:t>
            </w:r>
            <w:r>
              <w:rPr>
                <w:rStyle w:val="IndexLink"/>
              </w:rPr>
              <w:t>24</w:t>
            </w:r>
            <w:r>
              <w:rPr>
                <w:rStyle w:val="IndexLink"/>
                <w:rtl w:val="true"/>
              </w:rPr>
              <w:tab/>
            </w:r>
            <w:r>
              <w:rPr>
                <w:rStyle w:val="IndexLink"/>
              </w:rPr>
              <w:t>492</w:t>
            </w:r>
          </w:hyperlink>
        </w:p>
        <w:p>
          <w:pPr>
            <w:pStyle w:val="Contents5"/>
            <w:tabs>
              <w:tab w:val="clear" w:pos="7892"/>
              <w:tab w:val="right" w:pos="9026" w:leader="dot"/>
            </w:tabs>
            <w:rPr/>
          </w:pPr>
          <w:hyperlink w:anchor="__RefHeading___Toc607126_1934241801">
            <w:r>
              <w:rPr>
                <w:webHidden/>
                <w:rStyle w:val="IndexLink"/>
                <w:rtl w:val="true"/>
              </w:rPr>
              <w:t xml:space="preserve">روایت </w:t>
            </w:r>
            <w:r>
              <w:rPr>
                <w:rStyle w:val="IndexLink"/>
              </w:rPr>
              <w:t>25</w:t>
            </w:r>
            <w:r>
              <w:rPr>
                <w:rStyle w:val="IndexLink"/>
                <w:rtl w:val="true"/>
              </w:rPr>
              <w:tab/>
            </w:r>
            <w:r>
              <w:rPr>
                <w:rStyle w:val="IndexLink"/>
              </w:rPr>
              <w:t>493</w:t>
            </w:r>
          </w:hyperlink>
        </w:p>
        <w:p>
          <w:pPr>
            <w:pStyle w:val="Contents5"/>
            <w:tabs>
              <w:tab w:val="clear" w:pos="7892"/>
              <w:tab w:val="right" w:pos="9026" w:leader="dot"/>
            </w:tabs>
            <w:rPr/>
          </w:pPr>
          <w:hyperlink w:anchor="__RefHeading___Toc607128_1934241801">
            <w:r>
              <w:rPr>
                <w:webHidden/>
                <w:rStyle w:val="IndexLink"/>
                <w:rtl w:val="true"/>
              </w:rPr>
              <w:t xml:space="preserve">روایت </w:t>
            </w:r>
            <w:r>
              <w:rPr>
                <w:rStyle w:val="IndexLink"/>
              </w:rPr>
              <w:t>26</w:t>
            </w:r>
            <w:r>
              <w:rPr>
                <w:rStyle w:val="IndexLink"/>
                <w:rtl w:val="true"/>
              </w:rPr>
              <w:tab/>
            </w:r>
            <w:r>
              <w:rPr>
                <w:rStyle w:val="IndexLink"/>
              </w:rPr>
              <w:t>493</w:t>
            </w:r>
          </w:hyperlink>
        </w:p>
        <w:p>
          <w:pPr>
            <w:pStyle w:val="Contents5"/>
            <w:tabs>
              <w:tab w:val="clear" w:pos="7892"/>
              <w:tab w:val="right" w:pos="9026" w:leader="dot"/>
            </w:tabs>
            <w:rPr/>
          </w:pPr>
          <w:hyperlink w:anchor="__RefHeading___Toc607130_1934241801">
            <w:r>
              <w:rPr>
                <w:webHidden/>
                <w:rStyle w:val="IndexLink"/>
                <w:rtl w:val="true"/>
              </w:rPr>
              <w:t>إيضاح</w:t>
            </w:r>
            <w:r>
              <w:rPr>
                <w:rStyle w:val="IndexLink"/>
                <w:rtl w:val="true"/>
              </w:rPr>
              <w:tab/>
            </w:r>
            <w:r>
              <w:rPr>
                <w:rStyle w:val="IndexLink"/>
              </w:rPr>
              <w:t>498</w:t>
            </w:r>
          </w:hyperlink>
        </w:p>
        <w:p>
          <w:pPr>
            <w:pStyle w:val="Contents5"/>
            <w:tabs>
              <w:tab w:val="clear" w:pos="7892"/>
              <w:tab w:val="right" w:pos="9026" w:leader="dot"/>
            </w:tabs>
            <w:rPr/>
          </w:pPr>
          <w:hyperlink w:anchor="__RefHeading___Toc607132_1934241801">
            <w:r>
              <w:rPr>
                <w:webHidden/>
                <w:rStyle w:val="IndexLink"/>
                <w:rtl w:val="true"/>
              </w:rPr>
              <w:t>«</w:t>
            </w:r>
            <w:r>
              <w:rPr>
                <w:rStyle w:val="IndexLink"/>
              </w:rPr>
              <w:t>27</w:t>
            </w:r>
            <w:r>
              <w:rPr>
                <w:rStyle w:val="IndexLink"/>
                <w:rtl w:val="true"/>
              </w:rPr>
              <w:t>»</w:t>
              <w:tab/>
            </w:r>
            <w:r>
              <w:rPr>
                <w:rStyle w:val="IndexLink"/>
              </w:rPr>
              <w:t>498</w:t>
            </w:r>
          </w:hyperlink>
        </w:p>
        <w:p>
          <w:pPr>
            <w:pStyle w:val="Contents5"/>
            <w:tabs>
              <w:tab w:val="clear" w:pos="7892"/>
              <w:tab w:val="right" w:pos="9026" w:leader="dot"/>
            </w:tabs>
            <w:rPr/>
          </w:pPr>
          <w:hyperlink w:anchor="__RefHeading___Toc607134_1934241801">
            <w:r>
              <w:rPr>
                <w:webHidden/>
                <w:rStyle w:val="IndexLink"/>
                <w:rtl w:val="true"/>
              </w:rPr>
              <w:t>«</w:t>
            </w:r>
            <w:r>
              <w:rPr>
                <w:rStyle w:val="IndexLink"/>
              </w:rPr>
              <w:t>28</w:t>
            </w:r>
            <w:r>
              <w:rPr>
                <w:rStyle w:val="IndexLink"/>
                <w:rtl w:val="true"/>
              </w:rPr>
              <w:t>»</w:t>
              <w:tab/>
            </w:r>
            <w:r>
              <w:rPr>
                <w:rStyle w:val="IndexLink"/>
              </w:rPr>
              <w:t>498</w:t>
            </w:r>
          </w:hyperlink>
        </w:p>
        <w:p>
          <w:pPr>
            <w:pStyle w:val="Contents5"/>
            <w:tabs>
              <w:tab w:val="clear" w:pos="7892"/>
              <w:tab w:val="right" w:pos="9026" w:leader="dot"/>
            </w:tabs>
            <w:rPr/>
          </w:pPr>
          <w:hyperlink w:anchor="__RefHeading___Toc607136_1934241801">
            <w:r>
              <w:rPr>
                <w:webHidden/>
                <w:rStyle w:val="IndexLink"/>
                <w:rtl w:val="true"/>
              </w:rPr>
              <w:t>توضیح</w:t>
            </w:r>
            <w:r>
              <w:rPr>
                <w:rStyle w:val="IndexLink"/>
                <w:rtl w:val="true"/>
              </w:rPr>
              <w:tab/>
            </w:r>
            <w:r>
              <w:rPr>
                <w:rStyle w:val="IndexLink"/>
              </w:rPr>
              <w:t>498</w:t>
            </w:r>
          </w:hyperlink>
        </w:p>
        <w:p>
          <w:pPr>
            <w:pStyle w:val="Contents5"/>
            <w:tabs>
              <w:tab w:val="clear" w:pos="7892"/>
              <w:tab w:val="right" w:pos="9026" w:leader="dot"/>
            </w:tabs>
            <w:rPr/>
          </w:pPr>
          <w:hyperlink w:anchor="__RefHeading___Toc607138_1934241801">
            <w:r>
              <w:rPr>
                <w:webHidden/>
                <w:rStyle w:val="IndexLink"/>
                <w:rtl w:val="true"/>
              </w:rPr>
              <w:t xml:space="preserve">روایت </w:t>
            </w:r>
            <w:r>
              <w:rPr>
                <w:rStyle w:val="IndexLink"/>
              </w:rPr>
              <w:t>27</w:t>
            </w:r>
            <w:r>
              <w:rPr>
                <w:rStyle w:val="IndexLink"/>
                <w:rtl w:val="true"/>
              </w:rPr>
              <w:tab/>
            </w:r>
            <w:r>
              <w:rPr>
                <w:rStyle w:val="IndexLink"/>
              </w:rPr>
              <w:t>499</w:t>
            </w:r>
          </w:hyperlink>
        </w:p>
        <w:p>
          <w:pPr>
            <w:pStyle w:val="Contents5"/>
            <w:tabs>
              <w:tab w:val="clear" w:pos="7892"/>
              <w:tab w:val="right" w:pos="9026" w:leader="dot"/>
            </w:tabs>
            <w:rPr/>
          </w:pPr>
          <w:hyperlink w:anchor="__RefHeading___Toc607140_1934241801">
            <w:r>
              <w:rPr>
                <w:webHidden/>
                <w:rStyle w:val="IndexLink"/>
                <w:rtl w:val="true"/>
              </w:rPr>
              <w:t xml:space="preserve">روایت </w:t>
            </w:r>
            <w:r>
              <w:rPr>
                <w:rStyle w:val="IndexLink"/>
              </w:rPr>
              <w:t>28</w:t>
            </w:r>
            <w:r>
              <w:rPr>
                <w:rStyle w:val="IndexLink"/>
                <w:rtl w:val="true"/>
              </w:rPr>
              <w:tab/>
            </w:r>
            <w:r>
              <w:rPr>
                <w:rStyle w:val="IndexLink"/>
              </w:rPr>
              <w:t>499</w:t>
            </w:r>
          </w:hyperlink>
        </w:p>
        <w:p>
          <w:pPr>
            <w:pStyle w:val="Contents5"/>
            <w:tabs>
              <w:tab w:val="clear" w:pos="7892"/>
              <w:tab w:val="right" w:pos="9026" w:leader="dot"/>
            </w:tabs>
            <w:rPr/>
          </w:pPr>
          <w:hyperlink w:anchor="__RefHeading___Toc607142_1934241801">
            <w:r>
              <w:rPr>
                <w:webHidden/>
                <w:rStyle w:val="IndexLink"/>
                <w:rtl w:val="true"/>
              </w:rPr>
              <w:t>«</w:t>
            </w:r>
            <w:r>
              <w:rPr>
                <w:rStyle w:val="IndexLink"/>
              </w:rPr>
              <w:t>29</w:t>
            </w:r>
            <w:r>
              <w:rPr>
                <w:rStyle w:val="IndexLink"/>
                <w:rtl w:val="true"/>
              </w:rPr>
              <w:t>»</w:t>
              <w:tab/>
            </w:r>
            <w:r>
              <w:rPr>
                <w:rStyle w:val="IndexLink"/>
              </w:rPr>
              <w:t>500</w:t>
            </w:r>
          </w:hyperlink>
        </w:p>
        <w:p>
          <w:pPr>
            <w:pStyle w:val="Contents5"/>
            <w:tabs>
              <w:tab w:val="clear" w:pos="7892"/>
              <w:tab w:val="right" w:pos="9026" w:leader="dot"/>
            </w:tabs>
            <w:rPr/>
          </w:pPr>
          <w:hyperlink w:anchor="__RefHeading___Toc607144_1934241801">
            <w:r>
              <w:rPr>
                <w:webHidden/>
                <w:rStyle w:val="IndexLink"/>
                <w:rtl w:val="true"/>
              </w:rPr>
              <w:t xml:space="preserve">روایت </w:t>
            </w:r>
            <w:r>
              <w:rPr>
                <w:rStyle w:val="IndexLink"/>
              </w:rPr>
              <w:t>29</w:t>
            </w:r>
            <w:r>
              <w:rPr>
                <w:rStyle w:val="IndexLink"/>
                <w:rtl w:val="true"/>
              </w:rPr>
              <w:tab/>
            </w:r>
            <w:r>
              <w:rPr>
                <w:rStyle w:val="IndexLink"/>
              </w:rPr>
              <w:t>501</w:t>
            </w:r>
          </w:hyperlink>
        </w:p>
        <w:p>
          <w:pPr>
            <w:pStyle w:val="Contents5"/>
            <w:tabs>
              <w:tab w:val="clear" w:pos="7892"/>
              <w:tab w:val="right" w:pos="9026" w:leader="dot"/>
            </w:tabs>
            <w:rPr/>
          </w:pPr>
          <w:hyperlink w:anchor="__RefHeading___Toc607146_1934241801">
            <w:r>
              <w:rPr>
                <w:webHidden/>
                <w:rStyle w:val="IndexLink"/>
                <w:rtl w:val="true"/>
              </w:rPr>
              <w:t>بيان</w:t>
            </w:r>
            <w:r>
              <w:rPr>
                <w:rStyle w:val="IndexLink"/>
                <w:rtl w:val="true"/>
              </w:rPr>
              <w:tab/>
            </w:r>
            <w:r>
              <w:rPr>
                <w:rStyle w:val="IndexLink"/>
              </w:rPr>
              <w:t>502</w:t>
            </w:r>
          </w:hyperlink>
        </w:p>
        <w:p>
          <w:pPr>
            <w:pStyle w:val="Contents5"/>
            <w:tabs>
              <w:tab w:val="clear" w:pos="7892"/>
              <w:tab w:val="right" w:pos="9026" w:leader="dot"/>
            </w:tabs>
            <w:rPr/>
          </w:pPr>
          <w:hyperlink w:anchor="__RefHeading___Toc607148_1934241801">
            <w:r>
              <w:rPr>
                <w:webHidden/>
                <w:rStyle w:val="IndexLink"/>
                <w:rtl w:val="true"/>
              </w:rPr>
              <w:t>«</w:t>
            </w:r>
            <w:r>
              <w:rPr>
                <w:rStyle w:val="IndexLink"/>
              </w:rPr>
              <w:t>30</w:t>
            </w:r>
            <w:r>
              <w:rPr>
                <w:rStyle w:val="IndexLink"/>
                <w:rtl w:val="true"/>
              </w:rPr>
              <w:t>»</w:t>
              <w:tab/>
            </w:r>
            <w:r>
              <w:rPr>
                <w:rStyle w:val="IndexLink"/>
              </w:rPr>
              <w:t>502</w:t>
            </w:r>
          </w:hyperlink>
        </w:p>
        <w:p>
          <w:pPr>
            <w:pStyle w:val="Contents5"/>
            <w:tabs>
              <w:tab w:val="clear" w:pos="7892"/>
              <w:tab w:val="right" w:pos="9026" w:leader="dot"/>
            </w:tabs>
            <w:rPr/>
          </w:pPr>
          <w:hyperlink w:anchor="__RefHeading___Toc607150_1934241801">
            <w:r>
              <w:rPr>
                <w:webHidden/>
                <w:rStyle w:val="IndexLink"/>
                <w:rtl w:val="true"/>
              </w:rPr>
              <w:t>توضیح</w:t>
            </w:r>
            <w:r>
              <w:rPr>
                <w:rStyle w:val="IndexLink"/>
                <w:rtl w:val="true"/>
              </w:rPr>
              <w:tab/>
            </w:r>
            <w:r>
              <w:rPr>
                <w:rStyle w:val="IndexLink"/>
              </w:rPr>
              <w:t>503</w:t>
            </w:r>
          </w:hyperlink>
        </w:p>
        <w:p>
          <w:pPr>
            <w:pStyle w:val="Contents5"/>
            <w:tabs>
              <w:tab w:val="clear" w:pos="7892"/>
              <w:tab w:val="right" w:pos="9026" w:leader="dot"/>
            </w:tabs>
            <w:rPr/>
          </w:pPr>
          <w:hyperlink w:anchor="__RefHeading___Toc607152_1934241801">
            <w:r>
              <w:rPr>
                <w:webHidden/>
                <w:rStyle w:val="IndexLink"/>
                <w:rtl w:val="true"/>
              </w:rPr>
              <w:t xml:space="preserve">روایت </w:t>
            </w:r>
            <w:r>
              <w:rPr>
                <w:rStyle w:val="IndexLink"/>
              </w:rPr>
              <w:t>30</w:t>
            </w:r>
            <w:r>
              <w:rPr>
                <w:rStyle w:val="IndexLink"/>
                <w:rtl w:val="true"/>
              </w:rPr>
              <w:tab/>
            </w:r>
            <w:r>
              <w:rPr>
                <w:rStyle w:val="IndexLink"/>
              </w:rPr>
              <w:t>503</w:t>
            </w:r>
          </w:hyperlink>
        </w:p>
        <w:p>
          <w:pPr>
            <w:pStyle w:val="Contents5"/>
            <w:tabs>
              <w:tab w:val="clear" w:pos="7892"/>
              <w:tab w:val="right" w:pos="9026" w:leader="dot"/>
            </w:tabs>
            <w:rPr/>
          </w:pPr>
          <w:hyperlink w:anchor="__RefHeading___Toc607154_1934241801">
            <w:r>
              <w:rPr>
                <w:webHidden/>
                <w:rStyle w:val="IndexLink"/>
                <w:rtl w:val="true"/>
              </w:rPr>
              <w:t>بيان</w:t>
            </w:r>
            <w:r>
              <w:rPr>
                <w:rStyle w:val="IndexLink"/>
                <w:rtl w:val="true"/>
              </w:rPr>
              <w:tab/>
            </w:r>
            <w:r>
              <w:rPr>
                <w:rStyle w:val="IndexLink"/>
              </w:rPr>
              <w:t>504</w:t>
            </w:r>
          </w:hyperlink>
        </w:p>
        <w:p>
          <w:pPr>
            <w:pStyle w:val="Contents5"/>
            <w:tabs>
              <w:tab w:val="clear" w:pos="7892"/>
              <w:tab w:val="right" w:pos="9026" w:leader="dot"/>
            </w:tabs>
            <w:rPr/>
          </w:pPr>
          <w:hyperlink w:anchor="__RefHeading___Toc607156_1934241801">
            <w:r>
              <w:rPr>
                <w:webHidden/>
                <w:rStyle w:val="IndexLink"/>
                <w:rtl w:val="true"/>
              </w:rPr>
              <w:t>«</w:t>
            </w:r>
            <w:r>
              <w:rPr>
                <w:rStyle w:val="IndexLink"/>
              </w:rPr>
              <w:t>31</w:t>
            </w:r>
            <w:r>
              <w:rPr>
                <w:rStyle w:val="IndexLink"/>
                <w:rtl w:val="true"/>
              </w:rPr>
              <w:t>»</w:t>
              <w:tab/>
            </w:r>
            <w:r>
              <w:rPr>
                <w:rStyle w:val="IndexLink"/>
              </w:rPr>
              <w:t>504</w:t>
            </w:r>
          </w:hyperlink>
        </w:p>
        <w:p>
          <w:pPr>
            <w:pStyle w:val="Contents5"/>
            <w:tabs>
              <w:tab w:val="clear" w:pos="7892"/>
              <w:tab w:val="right" w:pos="9026" w:leader="dot"/>
            </w:tabs>
            <w:rPr/>
          </w:pPr>
          <w:hyperlink w:anchor="__RefHeading___Toc607158_1934241801">
            <w:r>
              <w:rPr>
                <w:webHidden/>
                <w:rStyle w:val="IndexLink"/>
                <w:rtl w:val="true"/>
              </w:rPr>
              <w:t>توضیح</w:t>
            </w:r>
            <w:r>
              <w:rPr>
                <w:rStyle w:val="IndexLink"/>
                <w:rtl w:val="true"/>
              </w:rPr>
              <w:tab/>
            </w:r>
            <w:r>
              <w:rPr>
                <w:rStyle w:val="IndexLink"/>
              </w:rPr>
              <w:t>505</w:t>
            </w:r>
          </w:hyperlink>
        </w:p>
        <w:p>
          <w:pPr>
            <w:pStyle w:val="Contents5"/>
            <w:tabs>
              <w:tab w:val="clear" w:pos="7892"/>
              <w:tab w:val="right" w:pos="9026" w:leader="dot"/>
            </w:tabs>
            <w:rPr/>
          </w:pPr>
          <w:hyperlink w:anchor="__RefHeading___Toc607160_1934241801">
            <w:r>
              <w:rPr>
                <w:webHidden/>
                <w:rStyle w:val="IndexLink"/>
                <w:rtl w:val="true"/>
              </w:rPr>
              <w:t xml:space="preserve">روایت </w:t>
            </w:r>
            <w:r>
              <w:rPr>
                <w:rStyle w:val="IndexLink"/>
              </w:rPr>
              <w:t>31</w:t>
            </w:r>
            <w:r>
              <w:rPr>
                <w:rStyle w:val="IndexLink"/>
                <w:rtl w:val="true"/>
              </w:rPr>
              <w:tab/>
            </w:r>
            <w:r>
              <w:rPr>
                <w:rStyle w:val="IndexLink"/>
              </w:rPr>
              <w:t>505</w:t>
            </w:r>
          </w:hyperlink>
        </w:p>
        <w:p>
          <w:pPr>
            <w:pStyle w:val="Contents3"/>
            <w:tabs>
              <w:tab w:val="clear" w:pos="8459"/>
              <w:tab w:val="right" w:pos="9026" w:leader="dot"/>
            </w:tabs>
            <w:rPr/>
          </w:pPr>
          <w:hyperlink w:anchor="__RefHeading___Toc607162_1934241801">
            <w:r>
              <w:rPr>
                <w:webHidden/>
                <w:rStyle w:val="IndexLink"/>
                <w:rtl w:val="true"/>
              </w:rPr>
              <w:t xml:space="preserve">باب </w:t>
            </w:r>
            <w:r>
              <w:rPr>
                <w:rStyle w:val="IndexLink"/>
              </w:rPr>
              <w:t>6</w:t>
            </w:r>
            <w:r>
              <w:rPr>
                <w:rStyle w:val="IndexLink"/>
                <w:rtl w:val="true"/>
              </w:rPr>
              <w:t xml:space="preserve"> </w:t>
            </w:r>
            <w:r>
              <w:rPr>
                <w:rStyle w:val="IndexLink"/>
                <w:rtl w:val="true"/>
              </w:rPr>
              <w:t>تجهيز الميت و ما يتعلق به من الأحكام</w:t>
            </w:r>
            <w:r>
              <w:rPr>
                <w:rStyle w:val="IndexLink"/>
                <w:rtl w:val="true"/>
              </w:rPr>
              <w:tab/>
            </w:r>
            <w:r>
              <w:rPr>
                <w:rStyle w:val="IndexLink"/>
              </w:rPr>
              <w:t>507</w:t>
            </w:r>
          </w:hyperlink>
        </w:p>
        <w:p>
          <w:pPr>
            <w:pStyle w:val="Contents4"/>
            <w:tabs>
              <w:tab w:val="clear" w:pos="8176"/>
              <w:tab w:val="right" w:pos="9026" w:leader="dot"/>
            </w:tabs>
            <w:rPr/>
          </w:pPr>
          <w:hyperlink w:anchor="__RefHeading___Toc607164_1934241801">
            <w:r>
              <w:rPr>
                <w:webHidden/>
                <w:rStyle w:val="IndexLink"/>
                <w:rtl w:val="true"/>
              </w:rPr>
              <w:t>روايات</w:t>
            </w:r>
            <w:r>
              <w:rPr>
                <w:rStyle w:val="IndexLink"/>
                <w:rtl w:val="true"/>
              </w:rPr>
              <w:tab/>
            </w:r>
            <w:r>
              <w:rPr>
                <w:rStyle w:val="IndexLink"/>
              </w:rPr>
              <w:t>507</w:t>
            </w:r>
          </w:hyperlink>
        </w:p>
        <w:p>
          <w:pPr>
            <w:pStyle w:val="Contents5"/>
            <w:tabs>
              <w:tab w:val="clear" w:pos="7892"/>
              <w:tab w:val="right" w:pos="9026" w:leader="dot"/>
            </w:tabs>
            <w:rPr/>
          </w:pPr>
          <w:hyperlink w:anchor="__RefHeading___Toc607166_1934241801">
            <w:r>
              <w:rPr>
                <w:webHidden/>
                <w:rStyle w:val="IndexLink"/>
                <w:rtl w:val="true"/>
              </w:rPr>
              <w:t>«</w:t>
            </w:r>
            <w:r>
              <w:rPr>
                <w:rStyle w:val="IndexLink"/>
              </w:rPr>
              <w:t>1</w:t>
            </w:r>
            <w:r>
              <w:rPr>
                <w:rStyle w:val="IndexLink"/>
                <w:rtl w:val="true"/>
              </w:rPr>
              <w:t>»</w:t>
              <w:tab/>
            </w:r>
            <w:r>
              <w:rPr>
                <w:rStyle w:val="IndexLink"/>
              </w:rPr>
              <w:t>507</w:t>
            </w:r>
          </w:hyperlink>
        </w:p>
        <w:p>
          <w:pPr>
            <w:pStyle w:val="Contents5"/>
            <w:tabs>
              <w:tab w:val="clear" w:pos="7892"/>
              <w:tab w:val="right" w:pos="9026" w:leader="dot"/>
            </w:tabs>
            <w:rPr/>
          </w:pPr>
          <w:hyperlink w:anchor="__RefHeading___Toc607168_1934241801">
            <w:r>
              <w:rPr>
                <w:webHidden/>
                <w:rStyle w:val="IndexLink"/>
                <w:rtl w:val="true"/>
              </w:rPr>
              <w:t>«</w:t>
            </w:r>
            <w:r>
              <w:rPr>
                <w:rStyle w:val="IndexLink"/>
              </w:rPr>
              <w:t>2</w:t>
            </w:r>
            <w:r>
              <w:rPr>
                <w:rStyle w:val="IndexLink"/>
                <w:rtl w:val="true"/>
              </w:rPr>
              <w:t>»</w:t>
              <w:tab/>
            </w:r>
            <w:r>
              <w:rPr>
                <w:rStyle w:val="IndexLink"/>
              </w:rPr>
              <w:t>507</w:t>
            </w:r>
          </w:hyperlink>
        </w:p>
        <w:p>
          <w:pPr>
            <w:pStyle w:val="Contents5"/>
            <w:tabs>
              <w:tab w:val="clear" w:pos="7892"/>
              <w:tab w:val="right" w:pos="9026" w:leader="dot"/>
            </w:tabs>
            <w:rPr/>
          </w:pPr>
          <w:hyperlink w:anchor="__RefHeading___Toc607170_1934241801">
            <w:r>
              <w:rPr>
                <w:webHidden/>
                <w:rStyle w:val="IndexLink"/>
                <w:rtl w:val="true"/>
              </w:rPr>
              <w:t>بيان</w:t>
            </w:r>
            <w:r>
              <w:rPr>
                <w:rStyle w:val="IndexLink"/>
                <w:rtl w:val="true"/>
              </w:rPr>
              <w:tab/>
            </w:r>
            <w:r>
              <w:rPr>
                <w:rStyle w:val="IndexLink"/>
              </w:rPr>
              <w:t>507</w:t>
            </w:r>
          </w:hyperlink>
        </w:p>
        <w:p>
          <w:pPr>
            <w:pStyle w:val="Contents5"/>
            <w:tabs>
              <w:tab w:val="clear" w:pos="7892"/>
              <w:tab w:val="right" w:pos="9026" w:leader="dot"/>
            </w:tabs>
            <w:rPr/>
          </w:pPr>
          <w:hyperlink w:anchor="__RefHeading___Toc607172_1934241801">
            <w:r>
              <w:rPr>
                <w:webHidden/>
                <w:rStyle w:val="IndexLink"/>
                <w:rtl w:val="true"/>
              </w:rPr>
              <w:t>«</w:t>
            </w:r>
            <w:r>
              <w:rPr>
                <w:rStyle w:val="IndexLink"/>
              </w:rPr>
              <w:t>3</w:t>
            </w:r>
            <w:r>
              <w:rPr>
                <w:rStyle w:val="IndexLink"/>
                <w:rtl w:val="true"/>
              </w:rPr>
              <w:t>»</w:t>
              <w:tab/>
            </w:r>
            <w:r>
              <w:rPr>
                <w:rStyle w:val="IndexLink"/>
              </w:rPr>
              <w:t>507</w:t>
            </w:r>
          </w:hyperlink>
        </w:p>
        <w:p>
          <w:pPr>
            <w:pStyle w:val="Contents5"/>
            <w:tabs>
              <w:tab w:val="clear" w:pos="7892"/>
              <w:tab w:val="right" w:pos="9026" w:leader="dot"/>
            </w:tabs>
            <w:rPr/>
          </w:pPr>
          <w:hyperlink w:anchor="__RefHeading___Toc607174_1934241801">
            <w:r>
              <w:rPr>
                <w:webHidden/>
                <w:rStyle w:val="IndexLink"/>
                <w:rtl w:val="true"/>
              </w:rPr>
              <w:t>بيان</w:t>
            </w:r>
            <w:r>
              <w:rPr>
                <w:rStyle w:val="IndexLink"/>
                <w:rtl w:val="true"/>
              </w:rPr>
              <w:tab/>
            </w:r>
            <w:r>
              <w:rPr>
                <w:rStyle w:val="IndexLink"/>
              </w:rPr>
              <w:t>507</w:t>
            </w:r>
          </w:hyperlink>
        </w:p>
        <w:p>
          <w:pPr>
            <w:pStyle w:val="Contents3"/>
            <w:tabs>
              <w:tab w:val="clear" w:pos="8459"/>
              <w:tab w:val="right" w:pos="9026" w:leader="dot"/>
            </w:tabs>
            <w:rPr/>
          </w:pPr>
          <w:hyperlink w:anchor="__RefHeading___Toc607176_1934241801">
            <w:r>
              <w:rPr>
                <w:webHidden/>
                <w:rStyle w:val="IndexLink"/>
                <w:rtl w:val="true"/>
              </w:rPr>
              <w:t xml:space="preserve">باب ششم </w:t>
            </w:r>
            <w:r>
              <w:rPr>
                <w:rStyle w:val="IndexLink"/>
                <w:rtl w:val="true"/>
              </w:rPr>
              <w:t xml:space="preserve">: </w:t>
            </w:r>
            <w:r>
              <w:rPr>
                <w:rStyle w:val="IndexLink"/>
                <w:rtl w:val="true"/>
              </w:rPr>
              <w:t>تجهیز و آماده ساختن میّت و احکام مربوط به آن</w:t>
            </w:r>
            <w:r>
              <w:rPr>
                <w:rStyle w:val="IndexLink"/>
                <w:rtl w:val="true"/>
              </w:rPr>
              <w:tab/>
            </w:r>
            <w:r>
              <w:rPr>
                <w:rStyle w:val="IndexLink"/>
              </w:rPr>
              <w:t>507</w:t>
            </w:r>
          </w:hyperlink>
        </w:p>
        <w:p>
          <w:pPr>
            <w:pStyle w:val="Contents4"/>
            <w:tabs>
              <w:tab w:val="clear" w:pos="8176"/>
              <w:tab w:val="right" w:pos="9026" w:leader="dot"/>
            </w:tabs>
            <w:rPr/>
          </w:pPr>
          <w:hyperlink w:anchor="__RefHeading___Toc607178_1934241801">
            <w:r>
              <w:rPr>
                <w:webHidden/>
                <w:rStyle w:val="IndexLink"/>
                <w:rtl w:val="true"/>
              </w:rPr>
              <w:t>روایات</w:t>
            </w:r>
            <w:r>
              <w:rPr>
                <w:rStyle w:val="IndexLink"/>
                <w:rtl w:val="true"/>
              </w:rPr>
              <w:tab/>
            </w:r>
            <w:r>
              <w:rPr>
                <w:rStyle w:val="IndexLink"/>
              </w:rPr>
              <w:t>507</w:t>
            </w:r>
          </w:hyperlink>
        </w:p>
        <w:p>
          <w:pPr>
            <w:pStyle w:val="Contents5"/>
            <w:tabs>
              <w:tab w:val="clear" w:pos="7892"/>
              <w:tab w:val="right" w:pos="9026" w:leader="dot"/>
            </w:tabs>
            <w:rPr/>
          </w:pPr>
          <w:hyperlink w:anchor="__RefHeading___Toc607180_1934241801">
            <w:r>
              <w:rPr>
                <w:webHidden/>
                <w:rStyle w:val="IndexLink"/>
                <w:rtl w:val="true"/>
              </w:rPr>
              <w:t xml:space="preserve">روایت </w:t>
            </w:r>
            <w:r>
              <w:rPr>
                <w:rStyle w:val="IndexLink"/>
              </w:rPr>
              <w:t>1</w:t>
            </w:r>
            <w:r>
              <w:rPr>
                <w:rStyle w:val="IndexLink"/>
                <w:rtl w:val="true"/>
              </w:rPr>
              <w:tab/>
            </w:r>
            <w:r>
              <w:rPr>
                <w:rStyle w:val="IndexLink"/>
              </w:rPr>
              <w:t>507</w:t>
            </w:r>
          </w:hyperlink>
        </w:p>
        <w:p>
          <w:pPr>
            <w:pStyle w:val="Contents5"/>
            <w:tabs>
              <w:tab w:val="clear" w:pos="7892"/>
              <w:tab w:val="right" w:pos="9026" w:leader="dot"/>
            </w:tabs>
            <w:rPr/>
          </w:pPr>
          <w:hyperlink w:anchor="__RefHeading___Toc607182_1934241801">
            <w:r>
              <w:rPr>
                <w:webHidden/>
                <w:rStyle w:val="IndexLink"/>
                <w:rtl w:val="true"/>
              </w:rPr>
              <w:t xml:space="preserve">روایت </w:t>
            </w:r>
            <w:r>
              <w:rPr>
                <w:rStyle w:val="IndexLink"/>
              </w:rPr>
              <w:t>2</w:t>
            </w:r>
            <w:r>
              <w:rPr>
                <w:rStyle w:val="IndexLink"/>
                <w:rtl w:val="true"/>
              </w:rPr>
              <w:tab/>
            </w:r>
            <w:r>
              <w:rPr>
                <w:rStyle w:val="IndexLink"/>
              </w:rPr>
              <w:t>507</w:t>
            </w:r>
          </w:hyperlink>
        </w:p>
        <w:p>
          <w:pPr>
            <w:pStyle w:val="Contents5"/>
            <w:tabs>
              <w:tab w:val="clear" w:pos="7892"/>
              <w:tab w:val="right" w:pos="9026" w:leader="dot"/>
            </w:tabs>
            <w:rPr/>
          </w:pPr>
          <w:hyperlink w:anchor="__RefHeading___Toc607184_1934241801">
            <w:r>
              <w:rPr>
                <w:webHidden/>
                <w:rStyle w:val="IndexLink"/>
                <w:rtl w:val="true"/>
              </w:rPr>
              <w:t>توضیح</w:t>
            </w:r>
            <w:r>
              <w:rPr>
                <w:rStyle w:val="IndexLink"/>
                <w:rtl w:val="true"/>
              </w:rPr>
              <w:tab/>
            </w:r>
            <w:r>
              <w:rPr>
                <w:rStyle w:val="IndexLink"/>
              </w:rPr>
              <w:t>508</w:t>
            </w:r>
          </w:hyperlink>
        </w:p>
        <w:p>
          <w:pPr>
            <w:pStyle w:val="Contents5"/>
            <w:tabs>
              <w:tab w:val="clear" w:pos="7892"/>
              <w:tab w:val="right" w:pos="9026" w:leader="dot"/>
            </w:tabs>
            <w:rPr/>
          </w:pPr>
          <w:hyperlink w:anchor="__RefHeading___Toc607186_1934241801">
            <w:r>
              <w:rPr>
                <w:webHidden/>
                <w:rStyle w:val="IndexLink"/>
                <w:rtl w:val="true"/>
              </w:rPr>
              <w:t xml:space="preserve">روایت </w:t>
            </w:r>
            <w:r>
              <w:rPr>
                <w:rStyle w:val="IndexLink"/>
              </w:rPr>
              <w:t>3</w:t>
            </w:r>
            <w:r>
              <w:rPr>
                <w:rStyle w:val="IndexLink"/>
                <w:rtl w:val="true"/>
              </w:rPr>
              <w:tab/>
            </w:r>
            <w:r>
              <w:rPr>
                <w:rStyle w:val="IndexLink"/>
              </w:rPr>
              <w:t>508</w:t>
            </w:r>
          </w:hyperlink>
        </w:p>
        <w:p>
          <w:pPr>
            <w:pStyle w:val="Contents5"/>
            <w:tabs>
              <w:tab w:val="clear" w:pos="7892"/>
              <w:tab w:val="right" w:pos="9026" w:leader="dot"/>
            </w:tabs>
            <w:rPr/>
          </w:pPr>
          <w:hyperlink w:anchor="__RefHeading___Toc607188_1934241801">
            <w:r>
              <w:rPr>
                <w:webHidden/>
                <w:rStyle w:val="IndexLink"/>
                <w:rtl w:val="true"/>
              </w:rPr>
              <w:t>توضیح</w:t>
            </w:r>
            <w:r>
              <w:rPr>
                <w:rStyle w:val="IndexLink"/>
                <w:rtl w:val="true"/>
              </w:rPr>
              <w:tab/>
            </w:r>
            <w:r>
              <w:rPr>
                <w:rStyle w:val="IndexLink"/>
              </w:rPr>
              <w:t>508</w:t>
            </w:r>
          </w:hyperlink>
        </w:p>
        <w:p>
          <w:pPr>
            <w:pStyle w:val="Contents5"/>
            <w:tabs>
              <w:tab w:val="clear" w:pos="7892"/>
              <w:tab w:val="right" w:pos="9026" w:leader="dot"/>
            </w:tabs>
            <w:rPr/>
          </w:pPr>
          <w:hyperlink w:anchor="__RefHeading___Toc607190_1934241801">
            <w:r>
              <w:rPr>
                <w:webHidden/>
                <w:rStyle w:val="IndexLink"/>
                <w:rtl w:val="true"/>
              </w:rPr>
              <w:t>«</w:t>
            </w:r>
            <w:r>
              <w:rPr>
                <w:rStyle w:val="IndexLink"/>
              </w:rPr>
              <w:t>4</w:t>
            </w:r>
            <w:r>
              <w:rPr>
                <w:rStyle w:val="IndexLink"/>
                <w:rtl w:val="true"/>
              </w:rPr>
              <w:t>»</w:t>
              <w:tab/>
            </w:r>
            <w:r>
              <w:rPr>
                <w:rStyle w:val="IndexLink"/>
              </w:rPr>
              <w:t>509</w:t>
            </w:r>
          </w:hyperlink>
        </w:p>
        <w:p>
          <w:pPr>
            <w:pStyle w:val="Contents5"/>
            <w:tabs>
              <w:tab w:val="clear" w:pos="7892"/>
              <w:tab w:val="right" w:pos="9026" w:leader="dot"/>
            </w:tabs>
            <w:rPr/>
          </w:pPr>
          <w:hyperlink w:anchor="__RefHeading___Toc607192_1934241801">
            <w:r>
              <w:rPr>
                <w:webHidden/>
                <w:rStyle w:val="IndexLink"/>
                <w:rtl w:val="true"/>
              </w:rPr>
              <w:t>بيان</w:t>
            </w:r>
            <w:r>
              <w:rPr>
                <w:rStyle w:val="IndexLink"/>
                <w:rtl w:val="true"/>
              </w:rPr>
              <w:tab/>
            </w:r>
            <w:r>
              <w:rPr>
                <w:rStyle w:val="IndexLink"/>
              </w:rPr>
              <w:t>509</w:t>
            </w:r>
          </w:hyperlink>
        </w:p>
        <w:p>
          <w:pPr>
            <w:pStyle w:val="Contents5"/>
            <w:tabs>
              <w:tab w:val="clear" w:pos="7892"/>
              <w:tab w:val="right" w:pos="9026" w:leader="dot"/>
            </w:tabs>
            <w:rPr/>
          </w:pPr>
          <w:hyperlink w:anchor="__RefHeading___Toc607194_1934241801">
            <w:r>
              <w:rPr>
                <w:webHidden/>
                <w:rStyle w:val="IndexLink"/>
                <w:rtl w:val="true"/>
              </w:rPr>
              <w:t>«</w:t>
            </w:r>
            <w:r>
              <w:rPr>
                <w:rStyle w:val="IndexLink"/>
              </w:rPr>
              <w:t>5</w:t>
            </w:r>
            <w:r>
              <w:rPr>
                <w:rStyle w:val="IndexLink"/>
                <w:rtl w:val="true"/>
              </w:rPr>
              <w:t>»</w:t>
              <w:tab/>
            </w:r>
            <w:r>
              <w:rPr>
                <w:rStyle w:val="IndexLink"/>
              </w:rPr>
              <w:t>509</w:t>
            </w:r>
          </w:hyperlink>
        </w:p>
        <w:p>
          <w:pPr>
            <w:pStyle w:val="Contents5"/>
            <w:tabs>
              <w:tab w:val="clear" w:pos="7892"/>
              <w:tab w:val="right" w:pos="9026" w:leader="dot"/>
            </w:tabs>
            <w:rPr/>
          </w:pPr>
          <w:hyperlink w:anchor="__RefHeading___Toc607196_1934241801">
            <w:r>
              <w:rPr>
                <w:webHidden/>
                <w:rStyle w:val="IndexLink"/>
                <w:rtl w:val="true"/>
              </w:rPr>
              <w:t>بيان</w:t>
            </w:r>
            <w:r>
              <w:rPr>
                <w:rStyle w:val="IndexLink"/>
                <w:rtl w:val="true"/>
              </w:rPr>
              <w:tab/>
            </w:r>
            <w:r>
              <w:rPr>
                <w:rStyle w:val="IndexLink"/>
              </w:rPr>
              <w:t>509</w:t>
            </w:r>
          </w:hyperlink>
        </w:p>
        <w:p>
          <w:pPr>
            <w:pStyle w:val="Contents5"/>
            <w:tabs>
              <w:tab w:val="clear" w:pos="7892"/>
              <w:tab w:val="right" w:pos="9026" w:leader="dot"/>
            </w:tabs>
            <w:rPr/>
          </w:pPr>
          <w:hyperlink w:anchor="__RefHeading___Toc607198_1934241801">
            <w:r>
              <w:rPr>
                <w:webHidden/>
                <w:rStyle w:val="IndexLink"/>
                <w:rtl w:val="true"/>
              </w:rPr>
              <w:t xml:space="preserve">روایت </w:t>
            </w:r>
            <w:r>
              <w:rPr>
                <w:rStyle w:val="IndexLink"/>
              </w:rPr>
              <w:t>4</w:t>
            </w:r>
            <w:r>
              <w:rPr>
                <w:rStyle w:val="IndexLink"/>
                <w:rtl w:val="true"/>
              </w:rPr>
              <w:tab/>
            </w:r>
            <w:r>
              <w:rPr>
                <w:rStyle w:val="IndexLink"/>
              </w:rPr>
              <w:t>509</w:t>
            </w:r>
          </w:hyperlink>
        </w:p>
        <w:p>
          <w:pPr>
            <w:pStyle w:val="Contents5"/>
            <w:tabs>
              <w:tab w:val="clear" w:pos="7892"/>
              <w:tab w:val="right" w:pos="9026" w:leader="dot"/>
            </w:tabs>
            <w:rPr/>
          </w:pPr>
          <w:hyperlink w:anchor="__RefHeading___Toc607200_1934241801">
            <w:r>
              <w:rPr>
                <w:webHidden/>
                <w:rStyle w:val="IndexLink"/>
                <w:rtl w:val="true"/>
              </w:rPr>
              <w:t>توضیح</w:t>
            </w:r>
            <w:r>
              <w:rPr>
                <w:rStyle w:val="IndexLink"/>
                <w:rtl w:val="true"/>
              </w:rPr>
              <w:tab/>
            </w:r>
            <w:r>
              <w:rPr>
                <w:rStyle w:val="IndexLink"/>
              </w:rPr>
              <w:t>509</w:t>
            </w:r>
          </w:hyperlink>
        </w:p>
        <w:p>
          <w:pPr>
            <w:pStyle w:val="Contents5"/>
            <w:tabs>
              <w:tab w:val="clear" w:pos="7892"/>
              <w:tab w:val="right" w:pos="9026" w:leader="dot"/>
            </w:tabs>
            <w:rPr/>
          </w:pPr>
          <w:hyperlink w:anchor="__RefHeading___Toc607202_1934241801">
            <w:r>
              <w:rPr>
                <w:webHidden/>
                <w:rStyle w:val="IndexLink"/>
                <w:rtl w:val="true"/>
              </w:rPr>
              <w:t xml:space="preserve">روایت </w:t>
            </w:r>
            <w:r>
              <w:rPr>
                <w:rStyle w:val="IndexLink"/>
              </w:rPr>
              <w:t>5</w:t>
            </w:r>
            <w:r>
              <w:rPr>
                <w:rStyle w:val="IndexLink"/>
                <w:rtl w:val="true"/>
              </w:rPr>
              <w:tab/>
            </w:r>
            <w:r>
              <w:rPr>
                <w:rStyle w:val="IndexLink"/>
              </w:rPr>
              <w:t>510</w:t>
            </w:r>
          </w:hyperlink>
        </w:p>
        <w:p>
          <w:pPr>
            <w:pStyle w:val="Contents5"/>
            <w:tabs>
              <w:tab w:val="clear" w:pos="7892"/>
              <w:tab w:val="right" w:pos="9026" w:leader="dot"/>
            </w:tabs>
            <w:rPr/>
          </w:pPr>
          <w:hyperlink w:anchor="__RefHeading___Toc607204_1934241801">
            <w:r>
              <w:rPr>
                <w:webHidden/>
                <w:rStyle w:val="IndexLink"/>
                <w:rtl w:val="true"/>
              </w:rPr>
              <w:t>توضیح</w:t>
            </w:r>
            <w:r>
              <w:rPr>
                <w:rStyle w:val="IndexLink"/>
                <w:rtl w:val="true"/>
              </w:rPr>
              <w:tab/>
            </w:r>
            <w:r>
              <w:rPr>
                <w:rStyle w:val="IndexLink"/>
              </w:rPr>
              <w:t>510</w:t>
            </w:r>
          </w:hyperlink>
        </w:p>
        <w:p>
          <w:pPr>
            <w:pStyle w:val="Contents5"/>
            <w:tabs>
              <w:tab w:val="clear" w:pos="7892"/>
              <w:tab w:val="right" w:pos="9026" w:leader="dot"/>
            </w:tabs>
            <w:rPr/>
          </w:pPr>
          <w:hyperlink w:anchor="__RefHeading___Toc607206_1934241801">
            <w:r>
              <w:rPr>
                <w:webHidden/>
                <w:rStyle w:val="IndexLink"/>
                <w:rtl w:val="true"/>
              </w:rPr>
              <w:t>«</w:t>
            </w:r>
            <w:r>
              <w:rPr>
                <w:rStyle w:val="IndexLink"/>
              </w:rPr>
              <w:t>6</w:t>
            </w:r>
            <w:r>
              <w:rPr>
                <w:rStyle w:val="IndexLink"/>
                <w:rtl w:val="true"/>
              </w:rPr>
              <w:t>»</w:t>
              <w:tab/>
            </w:r>
            <w:r>
              <w:rPr>
                <w:rStyle w:val="IndexLink"/>
              </w:rPr>
              <w:t>511</w:t>
            </w:r>
          </w:hyperlink>
        </w:p>
        <w:p>
          <w:pPr>
            <w:pStyle w:val="Contents5"/>
            <w:tabs>
              <w:tab w:val="clear" w:pos="7892"/>
              <w:tab w:val="right" w:pos="9026" w:leader="dot"/>
            </w:tabs>
            <w:rPr/>
          </w:pPr>
          <w:hyperlink w:anchor="__RefHeading___Toc607208_1934241801">
            <w:r>
              <w:rPr>
                <w:webHidden/>
                <w:rStyle w:val="IndexLink"/>
                <w:rtl w:val="true"/>
              </w:rPr>
              <w:t>«</w:t>
            </w:r>
            <w:r>
              <w:rPr>
                <w:rStyle w:val="IndexLink"/>
              </w:rPr>
              <w:t>7</w:t>
            </w:r>
            <w:r>
              <w:rPr>
                <w:rStyle w:val="IndexLink"/>
                <w:rtl w:val="true"/>
              </w:rPr>
              <w:t>»</w:t>
              <w:tab/>
            </w:r>
            <w:r>
              <w:rPr>
                <w:rStyle w:val="IndexLink"/>
              </w:rPr>
              <w:t>511</w:t>
            </w:r>
          </w:hyperlink>
        </w:p>
        <w:p>
          <w:pPr>
            <w:pStyle w:val="Contents5"/>
            <w:tabs>
              <w:tab w:val="clear" w:pos="7892"/>
              <w:tab w:val="right" w:pos="9026" w:leader="dot"/>
            </w:tabs>
            <w:rPr/>
          </w:pPr>
          <w:hyperlink w:anchor="__RefHeading___Toc607210_1934241801">
            <w:r>
              <w:rPr>
                <w:webHidden/>
                <w:rStyle w:val="IndexLink"/>
                <w:rtl w:val="true"/>
              </w:rPr>
              <w:t>بيان</w:t>
            </w:r>
            <w:r>
              <w:rPr>
                <w:rStyle w:val="IndexLink"/>
                <w:rtl w:val="true"/>
              </w:rPr>
              <w:tab/>
            </w:r>
            <w:r>
              <w:rPr>
                <w:rStyle w:val="IndexLink"/>
              </w:rPr>
              <w:t>511</w:t>
            </w:r>
          </w:hyperlink>
        </w:p>
        <w:p>
          <w:pPr>
            <w:pStyle w:val="Contents5"/>
            <w:tabs>
              <w:tab w:val="clear" w:pos="7892"/>
              <w:tab w:val="right" w:pos="9026" w:leader="dot"/>
            </w:tabs>
            <w:rPr/>
          </w:pPr>
          <w:hyperlink w:anchor="__RefHeading___Toc607212_1934241801">
            <w:r>
              <w:rPr>
                <w:webHidden/>
                <w:rStyle w:val="IndexLink"/>
                <w:rtl w:val="true"/>
              </w:rPr>
              <w:t xml:space="preserve">روایت </w:t>
            </w:r>
            <w:r>
              <w:rPr>
                <w:rStyle w:val="IndexLink"/>
              </w:rPr>
              <w:t>6</w:t>
            </w:r>
            <w:r>
              <w:rPr>
                <w:rStyle w:val="IndexLink"/>
                <w:rtl w:val="true"/>
              </w:rPr>
              <w:tab/>
            </w:r>
            <w:r>
              <w:rPr>
                <w:rStyle w:val="IndexLink"/>
              </w:rPr>
              <w:t>511</w:t>
            </w:r>
          </w:hyperlink>
        </w:p>
        <w:p>
          <w:pPr>
            <w:pStyle w:val="Contents5"/>
            <w:tabs>
              <w:tab w:val="clear" w:pos="7892"/>
              <w:tab w:val="right" w:pos="9026" w:leader="dot"/>
            </w:tabs>
            <w:rPr/>
          </w:pPr>
          <w:hyperlink w:anchor="__RefHeading___Toc607214_1934241801">
            <w:r>
              <w:rPr>
                <w:webHidden/>
                <w:rStyle w:val="IndexLink"/>
                <w:rtl w:val="true"/>
              </w:rPr>
              <w:t xml:space="preserve">روایت </w:t>
            </w:r>
            <w:r>
              <w:rPr>
                <w:rStyle w:val="IndexLink"/>
              </w:rPr>
              <w:t>7</w:t>
            </w:r>
            <w:r>
              <w:rPr>
                <w:rStyle w:val="IndexLink"/>
                <w:rtl w:val="true"/>
              </w:rPr>
              <w:tab/>
            </w:r>
            <w:r>
              <w:rPr>
                <w:rStyle w:val="IndexLink"/>
              </w:rPr>
              <w:t>511</w:t>
            </w:r>
          </w:hyperlink>
        </w:p>
        <w:p>
          <w:pPr>
            <w:pStyle w:val="Contents5"/>
            <w:tabs>
              <w:tab w:val="clear" w:pos="7892"/>
              <w:tab w:val="right" w:pos="9026" w:leader="dot"/>
            </w:tabs>
            <w:rPr/>
          </w:pPr>
          <w:hyperlink w:anchor="__RefHeading___Toc607216_1934241801">
            <w:r>
              <w:rPr>
                <w:webHidden/>
                <w:rStyle w:val="IndexLink"/>
                <w:rtl w:val="true"/>
              </w:rPr>
              <w:t>توضیح</w:t>
            </w:r>
            <w:r>
              <w:rPr>
                <w:rStyle w:val="IndexLink"/>
                <w:rtl w:val="true"/>
              </w:rPr>
              <w:tab/>
            </w:r>
            <w:r>
              <w:rPr>
                <w:rStyle w:val="IndexLink"/>
              </w:rPr>
              <w:t>512</w:t>
            </w:r>
          </w:hyperlink>
        </w:p>
        <w:p>
          <w:pPr>
            <w:pStyle w:val="Contents5"/>
            <w:tabs>
              <w:tab w:val="clear" w:pos="7892"/>
              <w:tab w:val="right" w:pos="9026" w:leader="dot"/>
            </w:tabs>
            <w:rPr/>
          </w:pPr>
          <w:hyperlink w:anchor="__RefHeading___Toc607218_1934241801">
            <w:r>
              <w:rPr>
                <w:webHidden/>
                <w:rStyle w:val="IndexLink"/>
                <w:rtl w:val="true"/>
              </w:rPr>
              <w:t>«</w:t>
            </w:r>
            <w:r>
              <w:rPr>
                <w:rStyle w:val="IndexLink"/>
              </w:rPr>
              <w:t>8</w:t>
            </w:r>
            <w:r>
              <w:rPr>
                <w:rStyle w:val="IndexLink"/>
                <w:rtl w:val="true"/>
              </w:rPr>
              <w:t>»</w:t>
              <w:tab/>
            </w:r>
            <w:r>
              <w:rPr>
                <w:rStyle w:val="IndexLink"/>
              </w:rPr>
              <w:t>513</w:t>
            </w:r>
          </w:hyperlink>
        </w:p>
        <w:p>
          <w:pPr>
            <w:pStyle w:val="Contents5"/>
            <w:tabs>
              <w:tab w:val="clear" w:pos="7892"/>
              <w:tab w:val="right" w:pos="9026" w:leader="dot"/>
            </w:tabs>
            <w:rPr/>
          </w:pPr>
          <w:hyperlink w:anchor="__RefHeading___Toc607220_1934241801">
            <w:r>
              <w:rPr>
                <w:webHidden/>
                <w:rStyle w:val="IndexLink"/>
                <w:rtl w:val="true"/>
              </w:rPr>
              <w:t>بيان</w:t>
            </w:r>
            <w:r>
              <w:rPr>
                <w:rStyle w:val="IndexLink"/>
                <w:rtl w:val="true"/>
              </w:rPr>
              <w:tab/>
            </w:r>
            <w:r>
              <w:rPr>
                <w:rStyle w:val="IndexLink"/>
              </w:rPr>
              <w:t>513</w:t>
            </w:r>
          </w:hyperlink>
        </w:p>
        <w:p>
          <w:pPr>
            <w:pStyle w:val="Contents5"/>
            <w:tabs>
              <w:tab w:val="clear" w:pos="7892"/>
              <w:tab w:val="right" w:pos="9026" w:leader="dot"/>
            </w:tabs>
            <w:rPr/>
          </w:pPr>
          <w:hyperlink w:anchor="__RefHeading___Toc607222_1934241801">
            <w:r>
              <w:rPr>
                <w:webHidden/>
                <w:rStyle w:val="IndexLink"/>
                <w:rtl w:val="true"/>
              </w:rPr>
              <w:t>«</w:t>
            </w:r>
            <w:r>
              <w:rPr>
                <w:rStyle w:val="IndexLink"/>
              </w:rPr>
              <w:t>9</w:t>
            </w:r>
            <w:r>
              <w:rPr>
                <w:rStyle w:val="IndexLink"/>
                <w:rtl w:val="true"/>
              </w:rPr>
              <w:t>»</w:t>
              <w:tab/>
            </w:r>
            <w:r>
              <w:rPr>
                <w:rStyle w:val="IndexLink"/>
              </w:rPr>
              <w:t>513</w:t>
            </w:r>
          </w:hyperlink>
        </w:p>
        <w:p>
          <w:pPr>
            <w:pStyle w:val="Contents5"/>
            <w:tabs>
              <w:tab w:val="clear" w:pos="7892"/>
              <w:tab w:val="right" w:pos="9026" w:leader="dot"/>
            </w:tabs>
            <w:rPr/>
          </w:pPr>
          <w:hyperlink w:anchor="__RefHeading___Toc607224_1934241801">
            <w:r>
              <w:rPr>
                <w:webHidden/>
                <w:rStyle w:val="IndexLink"/>
                <w:rtl w:val="true"/>
              </w:rPr>
              <w:t>«</w:t>
            </w:r>
            <w:r>
              <w:rPr>
                <w:rStyle w:val="IndexLink"/>
              </w:rPr>
              <w:t>10</w:t>
            </w:r>
            <w:r>
              <w:rPr>
                <w:rStyle w:val="IndexLink"/>
                <w:rtl w:val="true"/>
              </w:rPr>
              <w:t>»</w:t>
              <w:tab/>
            </w:r>
            <w:r>
              <w:rPr>
                <w:rStyle w:val="IndexLink"/>
              </w:rPr>
              <w:t>513</w:t>
            </w:r>
          </w:hyperlink>
        </w:p>
        <w:p>
          <w:pPr>
            <w:pStyle w:val="Contents5"/>
            <w:tabs>
              <w:tab w:val="clear" w:pos="7892"/>
              <w:tab w:val="right" w:pos="9026" w:leader="dot"/>
            </w:tabs>
            <w:rPr/>
          </w:pPr>
          <w:hyperlink w:anchor="__RefHeading___Toc607226_1934241801">
            <w:r>
              <w:rPr>
                <w:webHidden/>
                <w:rStyle w:val="IndexLink"/>
                <w:rtl w:val="true"/>
              </w:rPr>
              <w:t xml:space="preserve">روایت </w:t>
            </w:r>
            <w:r>
              <w:rPr>
                <w:rStyle w:val="IndexLink"/>
              </w:rPr>
              <w:t>8</w:t>
            </w:r>
            <w:r>
              <w:rPr>
                <w:rStyle w:val="IndexLink"/>
                <w:rtl w:val="true"/>
              </w:rPr>
              <w:tab/>
            </w:r>
            <w:r>
              <w:rPr>
                <w:rStyle w:val="IndexLink"/>
              </w:rPr>
              <w:t>514</w:t>
            </w:r>
          </w:hyperlink>
        </w:p>
        <w:p>
          <w:pPr>
            <w:pStyle w:val="Contents5"/>
            <w:tabs>
              <w:tab w:val="clear" w:pos="7892"/>
              <w:tab w:val="right" w:pos="9026" w:leader="dot"/>
            </w:tabs>
            <w:rPr/>
          </w:pPr>
          <w:hyperlink w:anchor="__RefHeading___Toc607228_1934241801">
            <w:r>
              <w:rPr>
                <w:webHidden/>
                <w:rStyle w:val="IndexLink"/>
                <w:rtl w:val="true"/>
              </w:rPr>
              <w:t>توضیح</w:t>
            </w:r>
            <w:r>
              <w:rPr>
                <w:rStyle w:val="IndexLink"/>
                <w:rtl w:val="true"/>
              </w:rPr>
              <w:tab/>
            </w:r>
            <w:r>
              <w:rPr>
                <w:rStyle w:val="IndexLink"/>
              </w:rPr>
              <w:t>515</w:t>
            </w:r>
          </w:hyperlink>
        </w:p>
        <w:p>
          <w:pPr>
            <w:pStyle w:val="Contents5"/>
            <w:tabs>
              <w:tab w:val="clear" w:pos="7892"/>
              <w:tab w:val="right" w:pos="9026" w:leader="dot"/>
            </w:tabs>
            <w:rPr/>
          </w:pPr>
          <w:hyperlink w:anchor="__RefHeading___Toc607230_1934241801">
            <w:r>
              <w:rPr>
                <w:webHidden/>
                <w:rStyle w:val="IndexLink"/>
                <w:rtl w:val="true"/>
              </w:rPr>
              <w:t xml:space="preserve">روایت </w:t>
            </w:r>
            <w:r>
              <w:rPr>
                <w:rStyle w:val="IndexLink"/>
              </w:rPr>
              <w:t>9</w:t>
            </w:r>
            <w:r>
              <w:rPr>
                <w:rStyle w:val="IndexLink"/>
                <w:rtl w:val="true"/>
              </w:rPr>
              <w:tab/>
            </w:r>
            <w:r>
              <w:rPr>
                <w:rStyle w:val="IndexLink"/>
              </w:rPr>
              <w:t>515</w:t>
            </w:r>
          </w:hyperlink>
        </w:p>
        <w:p>
          <w:pPr>
            <w:pStyle w:val="Contents5"/>
            <w:tabs>
              <w:tab w:val="clear" w:pos="7892"/>
              <w:tab w:val="right" w:pos="9026" w:leader="dot"/>
            </w:tabs>
            <w:rPr/>
          </w:pPr>
          <w:hyperlink w:anchor="__RefHeading___Toc607232_1934241801">
            <w:r>
              <w:rPr>
                <w:webHidden/>
                <w:rStyle w:val="IndexLink"/>
                <w:rtl w:val="true"/>
              </w:rPr>
              <w:t xml:space="preserve">روایت </w:t>
            </w:r>
            <w:r>
              <w:rPr>
                <w:rStyle w:val="IndexLink"/>
              </w:rPr>
              <w:t>10</w:t>
            </w:r>
            <w:r>
              <w:rPr>
                <w:rStyle w:val="IndexLink"/>
                <w:rtl w:val="true"/>
              </w:rPr>
              <w:tab/>
            </w:r>
            <w:r>
              <w:rPr>
                <w:rStyle w:val="IndexLink"/>
              </w:rPr>
              <w:t>515</w:t>
            </w:r>
          </w:hyperlink>
        </w:p>
        <w:p>
          <w:pPr>
            <w:pStyle w:val="Contents5"/>
            <w:tabs>
              <w:tab w:val="clear" w:pos="7892"/>
              <w:tab w:val="right" w:pos="9026" w:leader="dot"/>
            </w:tabs>
            <w:rPr/>
          </w:pPr>
          <w:hyperlink w:anchor="__RefHeading___Toc607234_1934241801">
            <w:r>
              <w:rPr>
                <w:webHidden/>
                <w:rStyle w:val="IndexLink"/>
                <w:rtl w:val="true"/>
              </w:rPr>
              <w:t>بيان</w:t>
            </w:r>
            <w:r>
              <w:rPr>
                <w:rStyle w:val="IndexLink"/>
                <w:rtl w:val="true"/>
              </w:rPr>
              <w:tab/>
            </w:r>
            <w:r>
              <w:rPr>
                <w:rStyle w:val="IndexLink"/>
              </w:rPr>
              <w:t>517</w:t>
            </w:r>
          </w:hyperlink>
        </w:p>
        <w:p>
          <w:pPr>
            <w:pStyle w:val="Contents5"/>
            <w:tabs>
              <w:tab w:val="clear" w:pos="7892"/>
              <w:tab w:val="right" w:pos="9026" w:leader="dot"/>
            </w:tabs>
            <w:rPr/>
          </w:pPr>
          <w:hyperlink w:anchor="__RefHeading___Toc607236_1934241801">
            <w:r>
              <w:rPr>
                <w:webHidden/>
                <w:rStyle w:val="IndexLink"/>
                <w:rtl w:val="true"/>
              </w:rPr>
              <w:t>«</w:t>
            </w:r>
            <w:r>
              <w:rPr>
                <w:rStyle w:val="IndexLink"/>
              </w:rPr>
              <w:t>11</w:t>
            </w:r>
            <w:r>
              <w:rPr>
                <w:rStyle w:val="IndexLink"/>
                <w:rtl w:val="true"/>
              </w:rPr>
              <w:t>»</w:t>
              <w:tab/>
            </w:r>
            <w:r>
              <w:rPr>
                <w:rStyle w:val="IndexLink"/>
              </w:rPr>
              <w:t>517</w:t>
            </w:r>
          </w:hyperlink>
        </w:p>
        <w:p>
          <w:pPr>
            <w:pStyle w:val="Contents5"/>
            <w:tabs>
              <w:tab w:val="clear" w:pos="7892"/>
              <w:tab w:val="right" w:pos="9026" w:leader="dot"/>
            </w:tabs>
            <w:rPr/>
          </w:pPr>
          <w:hyperlink w:anchor="__RefHeading___Toc607238_1934241801">
            <w:r>
              <w:rPr>
                <w:webHidden/>
                <w:rStyle w:val="IndexLink"/>
                <w:rtl w:val="true"/>
              </w:rPr>
              <w:t>توضیح</w:t>
            </w:r>
            <w:r>
              <w:rPr>
                <w:rStyle w:val="IndexLink"/>
                <w:rtl w:val="true"/>
              </w:rPr>
              <w:tab/>
            </w:r>
            <w:r>
              <w:rPr>
                <w:rStyle w:val="IndexLink"/>
              </w:rPr>
              <w:t>517</w:t>
            </w:r>
          </w:hyperlink>
        </w:p>
        <w:p>
          <w:pPr>
            <w:pStyle w:val="Contents5"/>
            <w:tabs>
              <w:tab w:val="clear" w:pos="7892"/>
              <w:tab w:val="right" w:pos="9026" w:leader="dot"/>
            </w:tabs>
            <w:rPr/>
          </w:pPr>
          <w:hyperlink w:anchor="__RefHeading___Toc607240_1934241801">
            <w:r>
              <w:rPr>
                <w:webHidden/>
                <w:rStyle w:val="IndexLink"/>
                <w:rtl w:val="true"/>
              </w:rPr>
              <w:t xml:space="preserve">روایت </w:t>
            </w:r>
            <w:r>
              <w:rPr>
                <w:rStyle w:val="IndexLink"/>
              </w:rPr>
              <w:t>11</w:t>
            </w:r>
            <w:r>
              <w:rPr>
                <w:rStyle w:val="IndexLink"/>
                <w:rtl w:val="true"/>
              </w:rPr>
              <w:tab/>
            </w:r>
            <w:r>
              <w:rPr>
                <w:rStyle w:val="IndexLink"/>
              </w:rPr>
              <w:t>517</w:t>
            </w:r>
          </w:hyperlink>
        </w:p>
        <w:p>
          <w:pPr>
            <w:pStyle w:val="Contents5"/>
            <w:tabs>
              <w:tab w:val="clear" w:pos="7892"/>
              <w:tab w:val="right" w:pos="9026" w:leader="dot"/>
            </w:tabs>
            <w:rPr/>
          </w:pPr>
          <w:hyperlink w:anchor="__RefHeading___Toc607242_1934241801">
            <w:r>
              <w:rPr>
                <w:webHidden/>
                <w:rStyle w:val="IndexLink"/>
                <w:rtl w:val="true"/>
              </w:rPr>
              <w:t>تبيين</w:t>
            </w:r>
            <w:r>
              <w:rPr>
                <w:rStyle w:val="IndexLink"/>
                <w:rtl w:val="true"/>
              </w:rPr>
              <w:tab/>
            </w:r>
            <w:r>
              <w:rPr>
                <w:rStyle w:val="IndexLink"/>
              </w:rPr>
              <w:t>518</w:t>
            </w:r>
          </w:hyperlink>
        </w:p>
        <w:p>
          <w:pPr>
            <w:pStyle w:val="Contents5"/>
            <w:tabs>
              <w:tab w:val="clear" w:pos="7892"/>
              <w:tab w:val="right" w:pos="9026" w:leader="dot"/>
            </w:tabs>
            <w:rPr/>
          </w:pPr>
          <w:hyperlink w:anchor="__RefHeading___Toc607244_1934241801">
            <w:r>
              <w:rPr>
                <w:webHidden/>
                <w:rStyle w:val="IndexLink"/>
                <w:rtl w:val="true"/>
              </w:rPr>
              <w:t>توضیح</w:t>
            </w:r>
            <w:r>
              <w:rPr>
                <w:rStyle w:val="IndexLink"/>
                <w:rtl w:val="true"/>
              </w:rPr>
              <w:tab/>
            </w:r>
            <w:r>
              <w:rPr>
                <w:rStyle w:val="IndexLink"/>
              </w:rPr>
              <w:t>519</w:t>
            </w:r>
          </w:hyperlink>
        </w:p>
        <w:p>
          <w:pPr>
            <w:pStyle w:val="Contents5"/>
            <w:tabs>
              <w:tab w:val="clear" w:pos="7892"/>
              <w:tab w:val="right" w:pos="9026" w:leader="dot"/>
            </w:tabs>
            <w:rPr/>
          </w:pPr>
          <w:hyperlink w:anchor="__RefHeading___Toc607246_1934241801">
            <w:r>
              <w:rPr>
                <w:webHidden/>
                <w:rStyle w:val="IndexLink"/>
                <w:rtl w:val="true"/>
              </w:rPr>
              <w:t>«</w:t>
            </w:r>
            <w:r>
              <w:rPr>
                <w:rStyle w:val="IndexLink"/>
              </w:rPr>
              <w:t>12</w:t>
            </w:r>
            <w:r>
              <w:rPr>
                <w:rStyle w:val="IndexLink"/>
                <w:rtl w:val="true"/>
              </w:rPr>
              <w:t>»</w:t>
              <w:tab/>
            </w:r>
            <w:r>
              <w:rPr>
                <w:rStyle w:val="IndexLink"/>
              </w:rPr>
              <w:t>520</w:t>
            </w:r>
          </w:hyperlink>
        </w:p>
        <w:p>
          <w:pPr>
            <w:pStyle w:val="Contents5"/>
            <w:tabs>
              <w:tab w:val="clear" w:pos="7892"/>
              <w:tab w:val="right" w:pos="9026" w:leader="dot"/>
            </w:tabs>
            <w:rPr/>
          </w:pPr>
          <w:hyperlink w:anchor="__RefHeading___Toc607248_1934241801">
            <w:r>
              <w:rPr>
                <w:webHidden/>
                <w:rStyle w:val="IndexLink"/>
                <w:rtl w:val="true"/>
              </w:rPr>
              <w:t>«</w:t>
            </w:r>
            <w:r>
              <w:rPr>
                <w:rStyle w:val="IndexLink"/>
              </w:rPr>
              <w:t>13</w:t>
            </w:r>
            <w:r>
              <w:rPr>
                <w:rStyle w:val="IndexLink"/>
                <w:rtl w:val="true"/>
              </w:rPr>
              <w:t>»</w:t>
              <w:tab/>
            </w:r>
            <w:r>
              <w:rPr>
                <w:rStyle w:val="IndexLink"/>
              </w:rPr>
              <w:t>520</w:t>
            </w:r>
          </w:hyperlink>
        </w:p>
        <w:p>
          <w:pPr>
            <w:pStyle w:val="Contents5"/>
            <w:tabs>
              <w:tab w:val="clear" w:pos="7892"/>
              <w:tab w:val="right" w:pos="9026" w:leader="dot"/>
            </w:tabs>
            <w:rPr/>
          </w:pPr>
          <w:hyperlink w:anchor="__RefHeading___Toc607250_1934241801">
            <w:r>
              <w:rPr>
                <w:webHidden/>
                <w:rStyle w:val="IndexLink"/>
                <w:rtl w:val="true"/>
              </w:rPr>
              <w:t xml:space="preserve">روایت </w:t>
            </w:r>
            <w:r>
              <w:rPr>
                <w:rStyle w:val="IndexLink"/>
              </w:rPr>
              <w:t>12</w:t>
            </w:r>
            <w:r>
              <w:rPr>
                <w:rStyle w:val="IndexLink"/>
                <w:rtl w:val="true"/>
              </w:rPr>
              <w:tab/>
            </w:r>
            <w:r>
              <w:rPr>
                <w:rStyle w:val="IndexLink"/>
              </w:rPr>
              <w:t>521</w:t>
            </w:r>
          </w:hyperlink>
        </w:p>
        <w:p>
          <w:pPr>
            <w:pStyle w:val="Contents5"/>
            <w:tabs>
              <w:tab w:val="clear" w:pos="7892"/>
              <w:tab w:val="right" w:pos="9026" w:leader="dot"/>
            </w:tabs>
            <w:rPr/>
          </w:pPr>
          <w:hyperlink w:anchor="__RefHeading___Toc607252_1934241801">
            <w:r>
              <w:rPr>
                <w:webHidden/>
                <w:rStyle w:val="IndexLink"/>
                <w:rtl w:val="true"/>
              </w:rPr>
              <w:t xml:space="preserve">روایت </w:t>
            </w:r>
            <w:r>
              <w:rPr>
                <w:rStyle w:val="IndexLink"/>
              </w:rPr>
              <w:t>13</w:t>
            </w:r>
            <w:r>
              <w:rPr>
                <w:rStyle w:val="IndexLink"/>
                <w:rtl w:val="true"/>
              </w:rPr>
              <w:tab/>
            </w:r>
            <w:r>
              <w:rPr>
                <w:rStyle w:val="IndexLink"/>
              </w:rPr>
              <w:t>521</w:t>
            </w:r>
          </w:hyperlink>
        </w:p>
        <w:p>
          <w:pPr>
            <w:pStyle w:val="Contents5"/>
            <w:tabs>
              <w:tab w:val="clear" w:pos="7892"/>
              <w:tab w:val="right" w:pos="9026" w:leader="dot"/>
            </w:tabs>
            <w:rPr/>
          </w:pPr>
          <w:hyperlink w:anchor="__RefHeading___Toc607254_1934241801">
            <w:r>
              <w:rPr>
                <w:webHidden/>
                <w:rStyle w:val="IndexLink"/>
                <w:rtl w:val="true"/>
              </w:rPr>
              <w:t>«</w:t>
            </w:r>
            <w:r>
              <w:rPr>
                <w:rStyle w:val="IndexLink"/>
              </w:rPr>
              <w:t>14</w:t>
            </w:r>
            <w:r>
              <w:rPr>
                <w:rStyle w:val="IndexLink"/>
                <w:rtl w:val="true"/>
              </w:rPr>
              <w:t>»</w:t>
              <w:tab/>
            </w:r>
            <w:r>
              <w:rPr>
                <w:rStyle w:val="IndexLink"/>
              </w:rPr>
              <w:t>522</w:t>
            </w:r>
          </w:hyperlink>
        </w:p>
        <w:p>
          <w:pPr>
            <w:pStyle w:val="Contents5"/>
            <w:tabs>
              <w:tab w:val="clear" w:pos="7892"/>
              <w:tab w:val="right" w:pos="9026" w:leader="dot"/>
            </w:tabs>
            <w:rPr/>
          </w:pPr>
          <w:hyperlink w:anchor="__RefHeading___Toc607256_1934241801">
            <w:r>
              <w:rPr>
                <w:webHidden/>
                <w:rStyle w:val="IndexLink"/>
                <w:rtl w:val="true"/>
              </w:rPr>
              <w:t>«</w:t>
            </w:r>
            <w:r>
              <w:rPr>
                <w:rStyle w:val="IndexLink"/>
              </w:rPr>
              <w:t>15</w:t>
            </w:r>
            <w:r>
              <w:rPr>
                <w:rStyle w:val="IndexLink"/>
                <w:rtl w:val="true"/>
              </w:rPr>
              <w:t>»</w:t>
              <w:tab/>
            </w:r>
            <w:r>
              <w:rPr>
                <w:rStyle w:val="IndexLink"/>
              </w:rPr>
              <w:t>522</w:t>
            </w:r>
          </w:hyperlink>
        </w:p>
        <w:p>
          <w:pPr>
            <w:pStyle w:val="Contents5"/>
            <w:tabs>
              <w:tab w:val="clear" w:pos="7892"/>
              <w:tab w:val="right" w:pos="9026" w:leader="dot"/>
            </w:tabs>
            <w:rPr/>
          </w:pPr>
          <w:hyperlink w:anchor="__RefHeading___Toc607258_1934241801">
            <w:r>
              <w:rPr>
                <w:webHidden/>
                <w:rStyle w:val="IndexLink"/>
                <w:rtl w:val="true"/>
              </w:rPr>
              <w:t>«</w:t>
            </w:r>
            <w:r>
              <w:rPr>
                <w:rStyle w:val="IndexLink"/>
              </w:rPr>
              <w:t>16</w:t>
            </w:r>
            <w:r>
              <w:rPr>
                <w:rStyle w:val="IndexLink"/>
                <w:rtl w:val="true"/>
              </w:rPr>
              <w:t>»</w:t>
              <w:tab/>
            </w:r>
            <w:r>
              <w:rPr>
                <w:rStyle w:val="IndexLink"/>
              </w:rPr>
              <w:t>522</w:t>
            </w:r>
          </w:hyperlink>
        </w:p>
        <w:p>
          <w:pPr>
            <w:pStyle w:val="Contents5"/>
            <w:tabs>
              <w:tab w:val="clear" w:pos="7892"/>
              <w:tab w:val="right" w:pos="9026" w:leader="dot"/>
            </w:tabs>
            <w:rPr/>
          </w:pPr>
          <w:hyperlink w:anchor="__RefHeading___Toc607260_1934241801">
            <w:r>
              <w:rPr>
                <w:webHidden/>
                <w:rStyle w:val="IndexLink"/>
                <w:rtl w:val="true"/>
              </w:rPr>
              <w:t xml:space="preserve">روایت </w:t>
            </w:r>
            <w:r>
              <w:rPr>
                <w:rStyle w:val="IndexLink"/>
              </w:rPr>
              <w:t>14</w:t>
            </w:r>
            <w:r>
              <w:rPr>
                <w:rStyle w:val="IndexLink"/>
                <w:rtl w:val="true"/>
              </w:rPr>
              <w:tab/>
            </w:r>
            <w:r>
              <w:rPr>
                <w:rStyle w:val="IndexLink"/>
              </w:rPr>
              <w:t>522</w:t>
            </w:r>
          </w:hyperlink>
        </w:p>
        <w:p>
          <w:pPr>
            <w:pStyle w:val="Contents5"/>
            <w:tabs>
              <w:tab w:val="clear" w:pos="7892"/>
              <w:tab w:val="right" w:pos="9026" w:leader="dot"/>
            </w:tabs>
            <w:rPr/>
          </w:pPr>
          <w:hyperlink w:anchor="__RefHeading___Toc607262_1934241801">
            <w:r>
              <w:rPr>
                <w:webHidden/>
                <w:rStyle w:val="IndexLink"/>
                <w:rtl w:val="true"/>
              </w:rPr>
              <w:t xml:space="preserve">روایت </w:t>
            </w:r>
            <w:r>
              <w:rPr>
                <w:rStyle w:val="IndexLink"/>
              </w:rPr>
              <w:t>15</w:t>
            </w:r>
            <w:r>
              <w:rPr>
                <w:rStyle w:val="IndexLink"/>
                <w:rtl w:val="true"/>
              </w:rPr>
              <w:tab/>
            </w:r>
            <w:r>
              <w:rPr>
                <w:rStyle w:val="IndexLink"/>
              </w:rPr>
              <w:t>523</w:t>
            </w:r>
          </w:hyperlink>
        </w:p>
        <w:p>
          <w:pPr>
            <w:pStyle w:val="Contents5"/>
            <w:tabs>
              <w:tab w:val="clear" w:pos="7892"/>
              <w:tab w:val="right" w:pos="9026" w:leader="dot"/>
            </w:tabs>
            <w:rPr/>
          </w:pPr>
          <w:hyperlink w:anchor="__RefHeading___Toc607264_1934241801">
            <w:r>
              <w:rPr>
                <w:webHidden/>
                <w:rStyle w:val="IndexLink"/>
                <w:rtl w:val="true"/>
              </w:rPr>
              <w:t xml:space="preserve">روایت </w:t>
            </w:r>
            <w:r>
              <w:rPr>
                <w:rStyle w:val="IndexLink"/>
              </w:rPr>
              <w:t>16</w:t>
            </w:r>
            <w:r>
              <w:rPr>
                <w:rStyle w:val="IndexLink"/>
                <w:rtl w:val="true"/>
              </w:rPr>
              <w:tab/>
            </w:r>
            <w:r>
              <w:rPr>
                <w:rStyle w:val="IndexLink"/>
              </w:rPr>
              <w:t>523</w:t>
            </w:r>
          </w:hyperlink>
        </w:p>
        <w:p>
          <w:pPr>
            <w:pStyle w:val="Contents5"/>
            <w:tabs>
              <w:tab w:val="clear" w:pos="7892"/>
              <w:tab w:val="right" w:pos="9026" w:leader="dot"/>
            </w:tabs>
            <w:rPr/>
          </w:pPr>
          <w:hyperlink w:anchor="__RefHeading___Toc607266_1934241801">
            <w:r>
              <w:rPr>
                <w:webHidden/>
                <w:rStyle w:val="IndexLink"/>
                <w:rtl w:val="true"/>
              </w:rPr>
              <w:t>«</w:t>
            </w:r>
            <w:r>
              <w:rPr>
                <w:rStyle w:val="IndexLink"/>
              </w:rPr>
              <w:t>17</w:t>
            </w:r>
            <w:r>
              <w:rPr>
                <w:rStyle w:val="IndexLink"/>
                <w:rtl w:val="true"/>
              </w:rPr>
              <w:t>»</w:t>
              <w:tab/>
            </w:r>
            <w:r>
              <w:rPr>
                <w:rStyle w:val="IndexLink"/>
              </w:rPr>
              <w:t>524</w:t>
            </w:r>
          </w:hyperlink>
        </w:p>
        <w:p>
          <w:pPr>
            <w:pStyle w:val="Contents5"/>
            <w:tabs>
              <w:tab w:val="clear" w:pos="7892"/>
              <w:tab w:val="right" w:pos="9026" w:leader="dot"/>
            </w:tabs>
            <w:rPr/>
          </w:pPr>
          <w:hyperlink w:anchor="__RefHeading___Toc607268_1934241801">
            <w:r>
              <w:rPr>
                <w:webHidden/>
                <w:rStyle w:val="IndexLink"/>
                <w:rtl w:val="true"/>
              </w:rPr>
              <w:t>«</w:t>
            </w:r>
            <w:r>
              <w:rPr>
                <w:rStyle w:val="IndexLink"/>
              </w:rPr>
              <w:t>18</w:t>
            </w:r>
            <w:r>
              <w:rPr>
                <w:rStyle w:val="IndexLink"/>
                <w:rtl w:val="true"/>
              </w:rPr>
              <w:t>»</w:t>
              <w:tab/>
            </w:r>
            <w:r>
              <w:rPr>
                <w:rStyle w:val="IndexLink"/>
              </w:rPr>
              <w:t>524</w:t>
            </w:r>
          </w:hyperlink>
        </w:p>
        <w:p>
          <w:pPr>
            <w:pStyle w:val="Contents5"/>
            <w:tabs>
              <w:tab w:val="clear" w:pos="7892"/>
              <w:tab w:val="right" w:pos="9026" w:leader="dot"/>
            </w:tabs>
            <w:rPr/>
          </w:pPr>
          <w:hyperlink w:anchor="__RefHeading___Toc607270_1934241801">
            <w:r>
              <w:rPr>
                <w:webHidden/>
                <w:rStyle w:val="IndexLink"/>
                <w:rtl w:val="true"/>
              </w:rPr>
              <w:t>«</w:t>
            </w:r>
            <w:r>
              <w:rPr>
                <w:rStyle w:val="IndexLink"/>
              </w:rPr>
              <w:t>19</w:t>
            </w:r>
            <w:r>
              <w:rPr>
                <w:rStyle w:val="IndexLink"/>
                <w:rtl w:val="true"/>
              </w:rPr>
              <w:t>»</w:t>
              <w:tab/>
            </w:r>
            <w:r>
              <w:rPr>
                <w:rStyle w:val="IndexLink"/>
              </w:rPr>
              <w:t>524</w:t>
            </w:r>
          </w:hyperlink>
        </w:p>
        <w:p>
          <w:pPr>
            <w:pStyle w:val="Contents5"/>
            <w:tabs>
              <w:tab w:val="clear" w:pos="7892"/>
              <w:tab w:val="right" w:pos="9026" w:leader="dot"/>
            </w:tabs>
            <w:rPr/>
          </w:pPr>
          <w:hyperlink w:anchor="__RefHeading___Toc607272_1934241801">
            <w:r>
              <w:rPr>
                <w:webHidden/>
                <w:rStyle w:val="IndexLink"/>
                <w:rtl w:val="true"/>
              </w:rPr>
              <w:t xml:space="preserve">روایت </w:t>
            </w:r>
            <w:r>
              <w:rPr>
                <w:rStyle w:val="IndexLink"/>
              </w:rPr>
              <w:t>17</w:t>
            </w:r>
            <w:r>
              <w:rPr>
                <w:rStyle w:val="IndexLink"/>
                <w:rtl w:val="true"/>
              </w:rPr>
              <w:tab/>
            </w:r>
            <w:r>
              <w:rPr>
                <w:rStyle w:val="IndexLink"/>
              </w:rPr>
              <w:t>524</w:t>
            </w:r>
          </w:hyperlink>
        </w:p>
        <w:p>
          <w:pPr>
            <w:pStyle w:val="Contents5"/>
            <w:tabs>
              <w:tab w:val="clear" w:pos="7892"/>
              <w:tab w:val="right" w:pos="9026" w:leader="dot"/>
            </w:tabs>
            <w:rPr/>
          </w:pPr>
          <w:hyperlink w:anchor="__RefHeading___Toc607274_1934241801">
            <w:r>
              <w:rPr>
                <w:webHidden/>
                <w:rStyle w:val="IndexLink"/>
                <w:rtl w:val="true"/>
              </w:rPr>
              <w:t xml:space="preserve">روایت </w:t>
            </w:r>
            <w:r>
              <w:rPr>
                <w:rStyle w:val="IndexLink"/>
              </w:rPr>
              <w:t>18</w:t>
            </w:r>
            <w:r>
              <w:rPr>
                <w:rStyle w:val="IndexLink"/>
                <w:rtl w:val="true"/>
              </w:rPr>
              <w:tab/>
            </w:r>
            <w:r>
              <w:rPr>
                <w:rStyle w:val="IndexLink"/>
              </w:rPr>
              <w:t>524</w:t>
            </w:r>
          </w:hyperlink>
        </w:p>
        <w:p>
          <w:pPr>
            <w:pStyle w:val="Contents5"/>
            <w:tabs>
              <w:tab w:val="clear" w:pos="7892"/>
              <w:tab w:val="right" w:pos="9026" w:leader="dot"/>
            </w:tabs>
            <w:rPr/>
          </w:pPr>
          <w:hyperlink w:anchor="__RefHeading___Toc607276_1934241801">
            <w:r>
              <w:rPr>
                <w:webHidden/>
                <w:rStyle w:val="IndexLink"/>
                <w:rtl w:val="true"/>
              </w:rPr>
              <w:t xml:space="preserve">روایت </w:t>
            </w:r>
            <w:r>
              <w:rPr>
                <w:rStyle w:val="IndexLink"/>
              </w:rPr>
              <w:t>19</w:t>
            </w:r>
            <w:r>
              <w:rPr>
                <w:rStyle w:val="IndexLink"/>
                <w:rtl w:val="true"/>
              </w:rPr>
              <w:tab/>
            </w:r>
            <w:r>
              <w:rPr>
                <w:rStyle w:val="IndexLink"/>
              </w:rPr>
              <w:t>525</w:t>
            </w:r>
          </w:hyperlink>
        </w:p>
        <w:p>
          <w:pPr>
            <w:pStyle w:val="Contents3"/>
            <w:tabs>
              <w:tab w:val="clear" w:pos="8459"/>
              <w:tab w:val="right" w:pos="9026" w:leader="dot"/>
            </w:tabs>
            <w:rPr/>
          </w:pPr>
          <w:hyperlink w:anchor="__RefHeading___Toc607278_1934241801">
            <w:r>
              <w:rPr>
                <w:webHidden/>
                <w:rStyle w:val="IndexLink"/>
                <w:rtl w:val="true"/>
              </w:rPr>
              <w:t xml:space="preserve">باب </w:t>
            </w:r>
            <w:r>
              <w:rPr>
                <w:rStyle w:val="IndexLink"/>
              </w:rPr>
              <w:t>7</w:t>
            </w:r>
            <w:r>
              <w:rPr>
                <w:rStyle w:val="IndexLink"/>
                <w:rtl w:val="true"/>
              </w:rPr>
              <w:t xml:space="preserve"> </w:t>
            </w:r>
            <w:r>
              <w:rPr>
                <w:rStyle w:val="IndexLink"/>
                <w:rtl w:val="true"/>
              </w:rPr>
              <w:t>تشييع الجنازة و سننه و آدابه</w:t>
            </w:r>
            <w:r>
              <w:rPr>
                <w:rStyle w:val="IndexLink"/>
                <w:rtl w:val="true"/>
              </w:rPr>
              <w:tab/>
            </w:r>
            <w:r>
              <w:rPr>
                <w:rStyle w:val="IndexLink"/>
              </w:rPr>
              <w:t>526</w:t>
            </w:r>
          </w:hyperlink>
        </w:p>
        <w:p>
          <w:pPr>
            <w:pStyle w:val="Contents4"/>
            <w:tabs>
              <w:tab w:val="clear" w:pos="8176"/>
              <w:tab w:val="right" w:pos="9026" w:leader="dot"/>
            </w:tabs>
            <w:rPr/>
          </w:pPr>
          <w:hyperlink w:anchor="__RefHeading___Toc607280_1934241801">
            <w:r>
              <w:rPr>
                <w:webHidden/>
                <w:rStyle w:val="IndexLink"/>
                <w:rtl w:val="true"/>
              </w:rPr>
              <w:t>روايات</w:t>
            </w:r>
            <w:r>
              <w:rPr>
                <w:rStyle w:val="IndexLink"/>
                <w:rtl w:val="true"/>
              </w:rPr>
              <w:tab/>
            </w:r>
            <w:r>
              <w:rPr>
                <w:rStyle w:val="IndexLink"/>
              </w:rPr>
              <w:t>526</w:t>
            </w:r>
          </w:hyperlink>
        </w:p>
        <w:p>
          <w:pPr>
            <w:pStyle w:val="Contents5"/>
            <w:tabs>
              <w:tab w:val="clear" w:pos="7892"/>
              <w:tab w:val="right" w:pos="9026" w:leader="dot"/>
            </w:tabs>
            <w:rPr/>
          </w:pPr>
          <w:hyperlink w:anchor="__RefHeading___Toc607282_1934241801">
            <w:r>
              <w:rPr>
                <w:webHidden/>
                <w:rStyle w:val="IndexLink"/>
                <w:rtl w:val="true"/>
              </w:rPr>
              <w:t>«</w:t>
            </w:r>
            <w:r>
              <w:rPr>
                <w:rStyle w:val="IndexLink"/>
              </w:rPr>
              <w:t>1</w:t>
            </w:r>
            <w:r>
              <w:rPr>
                <w:rStyle w:val="IndexLink"/>
                <w:rtl w:val="true"/>
              </w:rPr>
              <w:t>»</w:t>
              <w:tab/>
            </w:r>
            <w:r>
              <w:rPr>
                <w:rStyle w:val="IndexLink"/>
              </w:rPr>
              <w:t>526</w:t>
            </w:r>
          </w:hyperlink>
        </w:p>
        <w:p>
          <w:pPr>
            <w:pStyle w:val="Contents5"/>
            <w:tabs>
              <w:tab w:val="clear" w:pos="7892"/>
              <w:tab w:val="right" w:pos="9026" w:leader="dot"/>
            </w:tabs>
            <w:rPr/>
          </w:pPr>
          <w:hyperlink w:anchor="__RefHeading___Toc607284_1934241801">
            <w:r>
              <w:rPr>
                <w:webHidden/>
                <w:rStyle w:val="IndexLink"/>
                <w:rtl w:val="true"/>
              </w:rPr>
              <w:t>«</w:t>
            </w:r>
            <w:r>
              <w:rPr>
                <w:rStyle w:val="IndexLink"/>
              </w:rPr>
              <w:t>2</w:t>
            </w:r>
            <w:r>
              <w:rPr>
                <w:rStyle w:val="IndexLink"/>
                <w:rtl w:val="true"/>
              </w:rPr>
              <w:t>»</w:t>
              <w:tab/>
            </w:r>
            <w:r>
              <w:rPr>
                <w:rStyle w:val="IndexLink"/>
              </w:rPr>
              <w:t>526</w:t>
            </w:r>
          </w:hyperlink>
        </w:p>
        <w:p>
          <w:pPr>
            <w:pStyle w:val="Contents5"/>
            <w:tabs>
              <w:tab w:val="clear" w:pos="7892"/>
              <w:tab w:val="right" w:pos="9026" w:leader="dot"/>
            </w:tabs>
            <w:rPr/>
          </w:pPr>
          <w:hyperlink w:anchor="__RefHeading___Toc607286_1934241801">
            <w:r>
              <w:rPr>
                <w:webHidden/>
                <w:rStyle w:val="IndexLink"/>
                <w:rtl w:val="true"/>
              </w:rPr>
              <w:t>بيان</w:t>
            </w:r>
            <w:r>
              <w:rPr>
                <w:rStyle w:val="IndexLink"/>
                <w:rtl w:val="true"/>
              </w:rPr>
              <w:tab/>
            </w:r>
            <w:r>
              <w:rPr>
                <w:rStyle w:val="IndexLink"/>
              </w:rPr>
              <w:t>526</w:t>
            </w:r>
          </w:hyperlink>
        </w:p>
        <w:p>
          <w:pPr>
            <w:pStyle w:val="Contents5"/>
            <w:tabs>
              <w:tab w:val="clear" w:pos="7892"/>
              <w:tab w:val="right" w:pos="9026" w:leader="dot"/>
            </w:tabs>
            <w:rPr/>
          </w:pPr>
          <w:hyperlink w:anchor="__RefHeading___Toc607288_1934241801">
            <w:r>
              <w:rPr>
                <w:webHidden/>
                <w:rStyle w:val="IndexLink"/>
                <w:rtl w:val="true"/>
              </w:rPr>
              <w:t>«</w:t>
            </w:r>
            <w:r>
              <w:rPr>
                <w:rStyle w:val="IndexLink"/>
              </w:rPr>
              <w:t>3</w:t>
            </w:r>
            <w:r>
              <w:rPr>
                <w:rStyle w:val="IndexLink"/>
                <w:rtl w:val="true"/>
              </w:rPr>
              <w:t>»</w:t>
              <w:tab/>
            </w:r>
            <w:r>
              <w:rPr>
                <w:rStyle w:val="IndexLink"/>
              </w:rPr>
              <w:t>526</w:t>
            </w:r>
          </w:hyperlink>
        </w:p>
        <w:p>
          <w:pPr>
            <w:pStyle w:val="Contents3"/>
            <w:tabs>
              <w:tab w:val="clear" w:pos="8459"/>
              <w:tab w:val="right" w:pos="9026" w:leader="dot"/>
            </w:tabs>
            <w:rPr/>
          </w:pPr>
          <w:hyperlink w:anchor="__RefHeading___Toc607290_1934241801">
            <w:r>
              <w:rPr>
                <w:webHidden/>
                <w:rStyle w:val="IndexLink"/>
                <w:rtl w:val="true"/>
              </w:rPr>
              <w:t xml:space="preserve">باب هفتم </w:t>
            </w:r>
            <w:r>
              <w:rPr>
                <w:rStyle w:val="IndexLink"/>
                <w:rtl w:val="true"/>
              </w:rPr>
              <w:t xml:space="preserve">: </w:t>
            </w:r>
            <w:r>
              <w:rPr>
                <w:rStyle w:val="IndexLink"/>
                <w:rtl w:val="true"/>
              </w:rPr>
              <w:t>تشییع جنازه و آداب و سنن مربوط به آن</w:t>
            </w:r>
            <w:r>
              <w:rPr>
                <w:rStyle w:val="IndexLink"/>
                <w:rtl w:val="true"/>
              </w:rPr>
              <w:tab/>
            </w:r>
            <w:r>
              <w:rPr>
                <w:rStyle w:val="IndexLink"/>
              </w:rPr>
              <w:t>526</w:t>
            </w:r>
          </w:hyperlink>
        </w:p>
        <w:p>
          <w:pPr>
            <w:pStyle w:val="Contents4"/>
            <w:tabs>
              <w:tab w:val="clear" w:pos="8176"/>
              <w:tab w:val="right" w:pos="9026" w:leader="dot"/>
            </w:tabs>
            <w:rPr/>
          </w:pPr>
          <w:hyperlink w:anchor="__RefHeading___Toc607292_1934241801">
            <w:r>
              <w:rPr>
                <w:webHidden/>
                <w:rStyle w:val="IndexLink"/>
                <w:rtl w:val="true"/>
              </w:rPr>
              <w:t>روایات</w:t>
            </w:r>
            <w:r>
              <w:rPr>
                <w:rStyle w:val="IndexLink"/>
                <w:rtl w:val="true"/>
              </w:rPr>
              <w:tab/>
            </w:r>
            <w:r>
              <w:rPr>
                <w:rStyle w:val="IndexLink"/>
              </w:rPr>
              <w:t>526</w:t>
            </w:r>
          </w:hyperlink>
        </w:p>
        <w:p>
          <w:pPr>
            <w:pStyle w:val="Contents5"/>
            <w:tabs>
              <w:tab w:val="clear" w:pos="7892"/>
              <w:tab w:val="right" w:pos="9026" w:leader="dot"/>
            </w:tabs>
            <w:rPr/>
          </w:pPr>
          <w:hyperlink w:anchor="__RefHeading___Toc607294_1934241801">
            <w:r>
              <w:rPr>
                <w:webHidden/>
                <w:rStyle w:val="IndexLink"/>
                <w:rtl w:val="true"/>
              </w:rPr>
              <w:t xml:space="preserve">روایت </w:t>
            </w:r>
            <w:r>
              <w:rPr>
                <w:rStyle w:val="IndexLink"/>
              </w:rPr>
              <w:t>1</w:t>
            </w:r>
            <w:r>
              <w:rPr>
                <w:rStyle w:val="IndexLink"/>
                <w:rtl w:val="true"/>
              </w:rPr>
              <w:tab/>
            </w:r>
            <w:r>
              <w:rPr>
                <w:rStyle w:val="IndexLink"/>
              </w:rPr>
              <w:t>526</w:t>
            </w:r>
          </w:hyperlink>
        </w:p>
        <w:p>
          <w:pPr>
            <w:pStyle w:val="Contents5"/>
            <w:tabs>
              <w:tab w:val="clear" w:pos="7892"/>
              <w:tab w:val="right" w:pos="9026" w:leader="dot"/>
            </w:tabs>
            <w:rPr/>
          </w:pPr>
          <w:hyperlink w:anchor="__RefHeading___Toc607296_1934241801">
            <w:r>
              <w:rPr>
                <w:webHidden/>
                <w:rStyle w:val="IndexLink"/>
                <w:rtl w:val="true"/>
              </w:rPr>
              <w:t xml:space="preserve">روایت </w:t>
            </w:r>
            <w:r>
              <w:rPr>
                <w:rStyle w:val="IndexLink"/>
              </w:rPr>
              <w:t>2</w:t>
            </w:r>
            <w:r>
              <w:rPr>
                <w:rStyle w:val="IndexLink"/>
                <w:rtl w:val="true"/>
              </w:rPr>
              <w:tab/>
            </w:r>
            <w:r>
              <w:rPr>
                <w:rStyle w:val="IndexLink"/>
              </w:rPr>
              <w:t>526</w:t>
            </w:r>
          </w:hyperlink>
        </w:p>
        <w:p>
          <w:pPr>
            <w:pStyle w:val="Contents5"/>
            <w:tabs>
              <w:tab w:val="clear" w:pos="7892"/>
              <w:tab w:val="right" w:pos="9026" w:leader="dot"/>
            </w:tabs>
            <w:rPr/>
          </w:pPr>
          <w:hyperlink w:anchor="__RefHeading___Toc607298_1934241801">
            <w:r>
              <w:rPr>
                <w:webHidden/>
                <w:rStyle w:val="IndexLink"/>
                <w:rtl w:val="true"/>
              </w:rPr>
              <w:t>توضیح</w:t>
            </w:r>
            <w:r>
              <w:rPr>
                <w:rStyle w:val="IndexLink"/>
                <w:rtl w:val="true"/>
              </w:rPr>
              <w:tab/>
            </w:r>
            <w:r>
              <w:rPr>
                <w:rStyle w:val="IndexLink"/>
              </w:rPr>
              <w:t>527</w:t>
            </w:r>
          </w:hyperlink>
        </w:p>
        <w:p>
          <w:pPr>
            <w:pStyle w:val="Contents5"/>
            <w:tabs>
              <w:tab w:val="clear" w:pos="7892"/>
              <w:tab w:val="right" w:pos="9026" w:leader="dot"/>
            </w:tabs>
            <w:rPr/>
          </w:pPr>
          <w:hyperlink w:anchor="__RefHeading___Toc607300_1934241801">
            <w:r>
              <w:rPr>
                <w:webHidden/>
                <w:rStyle w:val="IndexLink"/>
                <w:rtl w:val="true"/>
              </w:rPr>
              <w:t xml:space="preserve">روایت </w:t>
            </w:r>
            <w:r>
              <w:rPr>
                <w:rStyle w:val="IndexLink"/>
              </w:rPr>
              <w:t>3</w:t>
            </w:r>
            <w:r>
              <w:rPr>
                <w:rStyle w:val="IndexLink"/>
                <w:rtl w:val="true"/>
              </w:rPr>
              <w:tab/>
            </w:r>
            <w:r>
              <w:rPr>
                <w:rStyle w:val="IndexLink"/>
              </w:rPr>
              <w:t>527</w:t>
            </w:r>
          </w:hyperlink>
        </w:p>
        <w:p>
          <w:pPr>
            <w:pStyle w:val="Contents5"/>
            <w:tabs>
              <w:tab w:val="clear" w:pos="7892"/>
              <w:tab w:val="right" w:pos="9026" w:leader="dot"/>
            </w:tabs>
            <w:rPr/>
          </w:pPr>
          <w:hyperlink w:anchor="__RefHeading___Toc607302_1934241801">
            <w:r>
              <w:rPr>
                <w:webHidden/>
                <w:rStyle w:val="IndexLink"/>
                <w:rtl w:val="true"/>
              </w:rPr>
              <w:t>بيان</w:t>
            </w:r>
            <w:r>
              <w:rPr>
                <w:rStyle w:val="IndexLink"/>
                <w:rtl w:val="true"/>
              </w:rPr>
              <w:tab/>
            </w:r>
            <w:r>
              <w:rPr>
                <w:rStyle w:val="IndexLink"/>
              </w:rPr>
              <w:t>528</w:t>
            </w:r>
          </w:hyperlink>
        </w:p>
        <w:p>
          <w:pPr>
            <w:pStyle w:val="Contents5"/>
            <w:tabs>
              <w:tab w:val="clear" w:pos="7892"/>
              <w:tab w:val="right" w:pos="9026" w:leader="dot"/>
            </w:tabs>
            <w:rPr/>
          </w:pPr>
          <w:hyperlink w:anchor="__RefHeading___Toc607304_1934241801">
            <w:r>
              <w:rPr>
                <w:webHidden/>
                <w:rStyle w:val="IndexLink"/>
                <w:rtl w:val="true"/>
              </w:rPr>
              <w:t>«</w:t>
            </w:r>
            <w:r>
              <w:rPr>
                <w:rStyle w:val="IndexLink"/>
              </w:rPr>
              <w:t>4</w:t>
            </w:r>
            <w:r>
              <w:rPr>
                <w:rStyle w:val="IndexLink"/>
                <w:rtl w:val="true"/>
              </w:rPr>
              <w:t>»</w:t>
              <w:tab/>
            </w:r>
            <w:r>
              <w:rPr>
                <w:rStyle w:val="IndexLink"/>
              </w:rPr>
              <w:t>528</w:t>
            </w:r>
          </w:hyperlink>
        </w:p>
        <w:p>
          <w:pPr>
            <w:pStyle w:val="Contents5"/>
            <w:tabs>
              <w:tab w:val="clear" w:pos="7892"/>
              <w:tab w:val="right" w:pos="9026" w:leader="dot"/>
            </w:tabs>
            <w:rPr/>
          </w:pPr>
          <w:hyperlink w:anchor="__RefHeading___Toc607306_1934241801">
            <w:r>
              <w:rPr>
                <w:webHidden/>
                <w:rStyle w:val="IndexLink"/>
                <w:rtl w:val="true"/>
              </w:rPr>
              <w:t>بيان</w:t>
            </w:r>
            <w:r>
              <w:rPr>
                <w:rStyle w:val="IndexLink"/>
                <w:rtl w:val="true"/>
              </w:rPr>
              <w:tab/>
            </w:r>
            <w:r>
              <w:rPr>
                <w:rStyle w:val="IndexLink"/>
              </w:rPr>
              <w:t>528</w:t>
            </w:r>
          </w:hyperlink>
        </w:p>
        <w:p>
          <w:pPr>
            <w:pStyle w:val="Contents5"/>
            <w:tabs>
              <w:tab w:val="clear" w:pos="7892"/>
              <w:tab w:val="right" w:pos="9026" w:leader="dot"/>
            </w:tabs>
            <w:rPr/>
          </w:pPr>
          <w:hyperlink w:anchor="__RefHeading___Toc607308_1934241801">
            <w:r>
              <w:rPr>
                <w:webHidden/>
                <w:rStyle w:val="IndexLink"/>
                <w:rtl w:val="true"/>
              </w:rPr>
              <w:t>«</w:t>
            </w:r>
            <w:r>
              <w:rPr>
                <w:rStyle w:val="IndexLink"/>
              </w:rPr>
              <w:t>5</w:t>
            </w:r>
            <w:r>
              <w:rPr>
                <w:rStyle w:val="IndexLink"/>
                <w:rtl w:val="true"/>
              </w:rPr>
              <w:t>»</w:t>
              <w:tab/>
            </w:r>
            <w:r>
              <w:rPr>
                <w:rStyle w:val="IndexLink"/>
              </w:rPr>
              <w:t>528</w:t>
            </w:r>
          </w:hyperlink>
        </w:p>
        <w:p>
          <w:pPr>
            <w:pStyle w:val="Contents5"/>
            <w:tabs>
              <w:tab w:val="clear" w:pos="7892"/>
              <w:tab w:val="right" w:pos="9026" w:leader="dot"/>
            </w:tabs>
            <w:rPr/>
          </w:pPr>
          <w:hyperlink w:anchor="__RefHeading___Toc607310_1934241801">
            <w:r>
              <w:rPr>
                <w:webHidden/>
                <w:rStyle w:val="IndexLink"/>
                <w:rtl w:val="true"/>
              </w:rPr>
              <w:t>توضیح</w:t>
            </w:r>
            <w:r>
              <w:rPr>
                <w:rStyle w:val="IndexLink"/>
                <w:rtl w:val="true"/>
              </w:rPr>
              <w:tab/>
            </w:r>
            <w:r>
              <w:rPr>
                <w:rStyle w:val="IndexLink"/>
              </w:rPr>
              <w:t>528</w:t>
            </w:r>
          </w:hyperlink>
        </w:p>
        <w:p>
          <w:pPr>
            <w:pStyle w:val="Contents5"/>
            <w:tabs>
              <w:tab w:val="clear" w:pos="7892"/>
              <w:tab w:val="right" w:pos="9026" w:leader="dot"/>
            </w:tabs>
            <w:rPr/>
          </w:pPr>
          <w:hyperlink w:anchor="__RefHeading___Toc607312_1934241801">
            <w:r>
              <w:rPr>
                <w:webHidden/>
                <w:rStyle w:val="IndexLink"/>
                <w:rtl w:val="true"/>
              </w:rPr>
              <w:t xml:space="preserve">روایت </w:t>
            </w:r>
            <w:r>
              <w:rPr>
                <w:rStyle w:val="IndexLink"/>
              </w:rPr>
              <w:t>4</w:t>
            </w:r>
            <w:r>
              <w:rPr>
                <w:rStyle w:val="IndexLink"/>
                <w:rtl w:val="true"/>
              </w:rPr>
              <w:tab/>
            </w:r>
            <w:r>
              <w:rPr>
                <w:rStyle w:val="IndexLink"/>
              </w:rPr>
              <w:t>529</w:t>
            </w:r>
          </w:hyperlink>
        </w:p>
        <w:p>
          <w:pPr>
            <w:pStyle w:val="Contents5"/>
            <w:tabs>
              <w:tab w:val="clear" w:pos="7892"/>
              <w:tab w:val="right" w:pos="9026" w:leader="dot"/>
            </w:tabs>
            <w:rPr/>
          </w:pPr>
          <w:hyperlink w:anchor="__RefHeading___Toc607314_1934241801">
            <w:r>
              <w:rPr>
                <w:webHidden/>
                <w:rStyle w:val="IndexLink"/>
                <w:rtl w:val="true"/>
              </w:rPr>
              <w:t>توضیح</w:t>
            </w:r>
            <w:r>
              <w:rPr>
                <w:rStyle w:val="IndexLink"/>
                <w:rtl w:val="true"/>
              </w:rPr>
              <w:tab/>
            </w:r>
            <w:r>
              <w:rPr>
                <w:rStyle w:val="IndexLink"/>
              </w:rPr>
              <w:t>529</w:t>
            </w:r>
          </w:hyperlink>
        </w:p>
        <w:p>
          <w:pPr>
            <w:pStyle w:val="Contents5"/>
            <w:tabs>
              <w:tab w:val="clear" w:pos="7892"/>
              <w:tab w:val="right" w:pos="9026" w:leader="dot"/>
            </w:tabs>
            <w:rPr/>
          </w:pPr>
          <w:hyperlink w:anchor="__RefHeading___Toc607316_1934241801">
            <w:r>
              <w:rPr>
                <w:webHidden/>
                <w:rStyle w:val="IndexLink"/>
                <w:rtl w:val="true"/>
              </w:rPr>
              <w:t xml:space="preserve">روایت </w:t>
            </w:r>
            <w:r>
              <w:rPr>
                <w:rStyle w:val="IndexLink"/>
              </w:rPr>
              <w:t>5</w:t>
            </w:r>
            <w:r>
              <w:rPr>
                <w:rStyle w:val="IndexLink"/>
                <w:rtl w:val="true"/>
              </w:rPr>
              <w:tab/>
            </w:r>
            <w:r>
              <w:rPr>
                <w:rStyle w:val="IndexLink"/>
              </w:rPr>
              <w:t>529</w:t>
            </w:r>
          </w:hyperlink>
        </w:p>
        <w:p>
          <w:pPr>
            <w:pStyle w:val="Contents5"/>
            <w:tabs>
              <w:tab w:val="clear" w:pos="7892"/>
              <w:tab w:val="right" w:pos="9026" w:leader="dot"/>
            </w:tabs>
            <w:rPr/>
          </w:pPr>
          <w:hyperlink w:anchor="__RefHeading___Toc607318_1934241801">
            <w:r>
              <w:rPr>
                <w:webHidden/>
                <w:rStyle w:val="IndexLink"/>
                <w:rtl w:val="true"/>
              </w:rPr>
              <w:t>«</w:t>
            </w:r>
            <w:r>
              <w:rPr>
                <w:rStyle w:val="IndexLink"/>
              </w:rPr>
              <w:t>6</w:t>
            </w:r>
            <w:r>
              <w:rPr>
                <w:rStyle w:val="IndexLink"/>
                <w:rtl w:val="true"/>
              </w:rPr>
              <w:t>»</w:t>
              <w:tab/>
            </w:r>
            <w:r>
              <w:rPr>
                <w:rStyle w:val="IndexLink"/>
              </w:rPr>
              <w:t>530</w:t>
            </w:r>
          </w:hyperlink>
        </w:p>
        <w:p>
          <w:pPr>
            <w:pStyle w:val="Contents5"/>
            <w:tabs>
              <w:tab w:val="clear" w:pos="7892"/>
              <w:tab w:val="right" w:pos="9026" w:leader="dot"/>
            </w:tabs>
            <w:rPr/>
          </w:pPr>
          <w:hyperlink w:anchor="__RefHeading___Toc607320_1934241801">
            <w:r>
              <w:rPr>
                <w:webHidden/>
                <w:rStyle w:val="IndexLink"/>
                <w:rtl w:val="true"/>
              </w:rPr>
              <w:t>«</w:t>
            </w:r>
            <w:r>
              <w:rPr>
                <w:rStyle w:val="IndexLink"/>
              </w:rPr>
              <w:t>7</w:t>
            </w:r>
            <w:r>
              <w:rPr>
                <w:rStyle w:val="IndexLink"/>
                <w:rtl w:val="true"/>
              </w:rPr>
              <w:t>»</w:t>
              <w:tab/>
            </w:r>
            <w:r>
              <w:rPr>
                <w:rStyle w:val="IndexLink"/>
              </w:rPr>
              <w:t>530</w:t>
            </w:r>
          </w:hyperlink>
        </w:p>
        <w:p>
          <w:pPr>
            <w:pStyle w:val="Contents5"/>
            <w:tabs>
              <w:tab w:val="clear" w:pos="7892"/>
              <w:tab w:val="right" w:pos="9026" w:leader="dot"/>
            </w:tabs>
            <w:rPr/>
          </w:pPr>
          <w:hyperlink w:anchor="__RefHeading___Toc607322_1934241801">
            <w:r>
              <w:rPr>
                <w:webHidden/>
                <w:rStyle w:val="IndexLink"/>
                <w:rtl w:val="true"/>
              </w:rPr>
              <w:t>«</w:t>
            </w:r>
            <w:r>
              <w:rPr>
                <w:rStyle w:val="IndexLink"/>
              </w:rPr>
              <w:t>8</w:t>
            </w:r>
            <w:r>
              <w:rPr>
                <w:rStyle w:val="IndexLink"/>
                <w:rtl w:val="true"/>
              </w:rPr>
              <w:t>»</w:t>
              <w:tab/>
            </w:r>
            <w:r>
              <w:rPr>
                <w:rStyle w:val="IndexLink"/>
              </w:rPr>
              <w:t>530</w:t>
            </w:r>
          </w:hyperlink>
        </w:p>
        <w:p>
          <w:pPr>
            <w:pStyle w:val="Contents5"/>
            <w:tabs>
              <w:tab w:val="clear" w:pos="7892"/>
              <w:tab w:val="right" w:pos="9026" w:leader="dot"/>
            </w:tabs>
            <w:rPr/>
          </w:pPr>
          <w:hyperlink w:anchor="__RefHeading___Toc607324_1934241801">
            <w:r>
              <w:rPr>
                <w:webHidden/>
                <w:rStyle w:val="IndexLink"/>
                <w:rtl w:val="true"/>
              </w:rPr>
              <w:t>«</w:t>
            </w:r>
            <w:r>
              <w:rPr>
                <w:rStyle w:val="IndexLink"/>
              </w:rPr>
              <w:t>9</w:t>
            </w:r>
            <w:r>
              <w:rPr>
                <w:rStyle w:val="IndexLink"/>
                <w:rtl w:val="true"/>
              </w:rPr>
              <w:t>»</w:t>
              <w:tab/>
            </w:r>
            <w:r>
              <w:rPr>
                <w:rStyle w:val="IndexLink"/>
              </w:rPr>
              <w:t>530</w:t>
            </w:r>
          </w:hyperlink>
        </w:p>
        <w:p>
          <w:pPr>
            <w:pStyle w:val="Contents5"/>
            <w:tabs>
              <w:tab w:val="clear" w:pos="7892"/>
              <w:tab w:val="right" w:pos="9026" w:leader="dot"/>
            </w:tabs>
            <w:rPr/>
          </w:pPr>
          <w:hyperlink w:anchor="__RefHeading___Toc607326_1934241801">
            <w:r>
              <w:rPr>
                <w:webHidden/>
                <w:rStyle w:val="IndexLink"/>
                <w:rtl w:val="true"/>
              </w:rPr>
              <w:t xml:space="preserve">روایت </w:t>
            </w:r>
            <w:r>
              <w:rPr>
                <w:rStyle w:val="IndexLink"/>
              </w:rPr>
              <w:t>6</w:t>
            </w:r>
            <w:r>
              <w:rPr>
                <w:rStyle w:val="IndexLink"/>
                <w:rtl w:val="true"/>
              </w:rPr>
              <w:tab/>
            </w:r>
            <w:r>
              <w:rPr>
                <w:rStyle w:val="IndexLink"/>
              </w:rPr>
              <w:t>530</w:t>
            </w:r>
          </w:hyperlink>
        </w:p>
        <w:p>
          <w:pPr>
            <w:pStyle w:val="Contents5"/>
            <w:tabs>
              <w:tab w:val="clear" w:pos="7892"/>
              <w:tab w:val="right" w:pos="9026" w:leader="dot"/>
            </w:tabs>
            <w:rPr/>
          </w:pPr>
          <w:hyperlink w:anchor="__RefHeading___Toc607328_1934241801">
            <w:r>
              <w:rPr>
                <w:webHidden/>
                <w:rStyle w:val="IndexLink"/>
                <w:rtl w:val="true"/>
              </w:rPr>
              <w:t xml:space="preserve">روایت </w:t>
            </w:r>
            <w:r>
              <w:rPr>
                <w:rStyle w:val="IndexLink"/>
              </w:rPr>
              <w:t>7</w:t>
            </w:r>
            <w:r>
              <w:rPr>
                <w:rStyle w:val="IndexLink"/>
                <w:rtl w:val="true"/>
              </w:rPr>
              <w:tab/>
            </w:r>
            <w:r>
              <w:rPr>
                <w:rStyle w:val="IndexLink"/>
              </w:rPr>
              <w:t>531</w:t>
            </w:r>
          </w:hyperlink>
        </w:p>
        <w:p>
          <w:pPr>
            <w:pStyle w:val="Contents5"/>
            <w:tabs>
              <w:tab w:val="clear" w:pos="7892"/>
              <w:tab w:val="right" w:pos="9026" w:leader="dot"/>
            </w:tabs>
            <w:rPr/>
          </w:pPr>
          <w:hyperlink w:anchor="__RefHeading___Toc607330_1934241801">
            <w:r>
              <w:rPr>
                <w:webHidden/>
                <w:rStyle w:val="IndexLink"/>
                <w:rtl w:val="true"/>
              </w:rPr>
              <w:t xml:space="preserve">روایت </w:t>
            </w:r>
            <w:r>
              <w:rPr>
                <w:rStyle w:val="IndexLink"/>
              </w:rPr>
              <w:t>8</w:t>
            </w:r>
            <w:r>
              <w:rPr>
                <w:rStyle w:val="IndexLink"/>
                <w:rtl w:val="true"/>
              </w:rPr>
              <w:tab/>
            </w:r>
            <w:r>
              <w:rPr>
                <w:rStyle w:val="IndexLink"/>
              </w:rPr>
              <w:t>531</w:t>
            </w:r>
          </w:hyperlink>
        </w:p>
        <w:p>
          <w:pPr>
            <w:pStyle w:val="Contents5"/>
            <w:tabs>
              <w:tab w:val="clear" w:pos="7892"/>
              <w:tab w:val="right" w:pos="9026" w:leader="dot"/>
            </w:tabs>
            <w:rPr/>
          </w:pPr>
          <w:hyperlink w:anchor="__RefHeading___Toc607332_1934241801">
            <w:r>
              <w:rPr>
                <w:webHidden/>
                <w:rStyle w:val="IndexLink"/>
                <w:rtl w:val="true"/>
              </w:rPr>
              <w:t xml:space="preserve">روایت </w:t>
            </w:r>
            <w:r>
              <w:rPr>
                <w:rStyle w:val="IndexLink"/>
              </w:rPr>
              <w:t>9</w:t>
            </w:r>
            <w:r>
              <w:rPr>
                <w:rStyle w:val="IndexLink"/>
                <w:rtl w:val="true"/>
              </w:rPr>
              <w:tab/>
            </w:r>
            <w:r>
              <w:rPr>
                <w:rStyle w:val="IndexLink"/>
              </w:rPr>
              <w:t>531</w:t>
            </w:r>
          </w:hyperlink>
        </w:p>
        <w:p>
          <w:pPr>
            <w:pStyle w:val="Contents5"/>
            <w:tabs>
              <w:tab w:val="clear" w:pos="7892"/>
              <w:tab w:val="right" w:pos="9026" w:leader="dot"/>
            </w:tabs>
            <w:rPr/>
          </w:pPr>
          <w:hyperlink w:anchor="__RefHeading___Toc607334_1934241801">
            <w:r>
              <w:rPr>
                <w:webHidden/>
                <w:rStyle w:val="IndexLink"/>
                <w:rtl w:val="true"/>
              </w:rPr>
              <w:t>بيان</w:t>
            </w:r>
            <w:r>
              <w:rPr>
                <w:rStyle w:val="IndexLink"/>
                <w:rtl w:val="true"/>
              </w:rPr>
              <w:tab/>
            </w:r>
            <w:r>
              <w:rPr>
                <w:rStyle w:val="IndexLink"/>
              </w:rPr>
              <w:t>532</w:t>
            </w:r>
          </w:hyperlink>
        </w:p>
        <w:p>
          <w:pPr>
            <w:pStyle w:val="Contents5"/>
            <w:tabs>
              <w:tab w:val="clear" w:pos="7892"/>
              <w:tab w:val="right" w:pos="9026" w:leader="dot"/>
            </w:tabs>
            <w:rPr/>
          </w:pPr>
          <w:hyperlink w:anchor="__RefHeading___Toc607336_1934241801">
            <w:r>
              <w:rPr>
                <w:webHidden/>
                <w:rStyle w:val="IndexLink"/>
                <w:rtl w:val="true"/>
              </w:rPr>
              <w:t>«</w:t>
            </w:r>
            <w:r>
              <w:rPr>
                <w:rStyle w:val="IndexLink"/>
              </w:rPr>
              <w:t>10</w:t>
            </w:r>
            <w:r>
              <w:rPr>
                <w:rStyle w:val="IndexLink"/>
                <w:rtl w:val="true"/>
              </w:rPr>
              <w:t>»</w:t>
              <w:tab/>
            </w:r>
            <w:r>
              <w:rPr>
                <w:rStyle w:val="IndexLink"/>
              </w:rPr>
              <w:t>532</w:t>
            </w:r>
          </w:hyperlink>
        </w:p>
        <w:p>
          <w:pPr>
            <w:pStyle w:val="Contents5"/>
            <w:tabs>
              <w:tab w:val="clear" w:pos="7892"/>
              <w:tab w:val="right" w:pos="9026" w:leader="dot"/>
            </w:tabs>
            <w:rPr/>
          </w:pPr>
          <w:hyperlink w:anchor="__RefHeading___Toc607338_1934241801">
            <w:r>
              <w:rPr>
                <w:webHidden/>
                <w:rStyle w:val="IndexLink"/>
                <w:rtl w:val="true"/>
              </w:rPr>
              <w:t>بيان</w:t>
            </w:r>
            <w:r>
              <w:rPr>
                <w:rStyle w:val="IndexLink"/>
                <w:rtl w:val="true"/>
              </w:rPr>
              <w:tab/>
            </w:r>
            <w:r>
              <w:rPr>
                <w:rStyle w:val="IndexLink"/>
              </w:rPr>
              <w:t>532</w:t>
            </w:r>
          </w:hyperlink>
        </w:p>
        <w:p>
          <w:pPr>
            <w:pStyle w:val="Contents5"/>
            <w:tabs>
              <w:tab w:val="clear" w:pos="7892"/>
              <w:tab w:val="right" w:pos="9026" w:leader="dot"/>
            </w:tabs>
            <w:rPr/>
          </w:pPr>
          <w:hyperlink w:anchor="__RefHeading___Toc607340_1934241801">
            <w:r>
              <w:rPr>
                <w:webHidden/>
                <w:rStyle w:val="IndexLink"/>
                <w:rtl w:val="true"/>
              </w:rPr>
              <w:t>«</w:t>
            </w:r>
            <w:r>
              <w:rPr>
                <w:rStyle w:val="IndexLink"/>
              </w:rPr>
              <w:t>11</w:t>
            </w:r>
            <w:r>
              <w:rPr>
                <w:rStyle w:val="IndexLink"/>
                <w:rtl w:val="true"/>
              </w:rPr>
              <w:t>»</w:t>
              <w:tab/>
            </w:r>
            <w:r>
              <w:rPr>
                <w:rStyle w:val="IndexLink"/>
              </w:rPr>
              <w:t>532</w:t>
            </w:r>
          </w:hyperlink>
        </w:p>
        <w:p>
          <w:pPr>
            <w:pStyle w:val="Contents5"/>
            <w:tabs>
              <w:tab w:val="clear" w:pos="7892"/>
              <w:tab w:val="right" w:pos="9026" w:leader="dot"/>
            </w:tabs>
            <w:rPr/>
          </w:pPr>
          <w:hyperlink w:anchor="__RefHeading___Toc607342_1934241801">
            <w:r>
              <w:rPr>
                <w:webHidden/>
                <w:rStyle w:val="IndexLink"/>
                <w:rtl w:val="true"/>
              </w:rPr>
              <w:t>بيان</w:t>
            </w:r>
            <w:r>
              <w:rPr>
                <w:rStyle w:val="IndexLink"/>
                <w:rtl w:val="true"/>
              </w:rPr>
              <w:tab/>
            </w:r>
            <w:r>
              <w:rPr>
                <w:rStyle w:val="IndexLink"/>
              </w:rPr>
              <w:t>532</w:t>
            </w:r>
          </w:hyperlink>
        </w:p>
        <w:p>
          <w:pPr>
            <w:pStyle w:val="Contents5"/>
            <w:tabs>
              <w:tab w:val="clear" w:pos="7892"/>
              <w:tab w:val="right" w:pos="9026" w:leader="dot"/>
            </w:tabs>
            <w:rPr/>
          </w:pPr>
          <w:hyperlink w:anchor="__RefHeading___Toc607344_1934241801">
            <w:r>
              <w:rPr>
                <w:webHidden/>
                <w:rStyle w:val="IndexLink"/>
                <w:rtl w:val="true"/>
              </w:rPr>
              <w:t>توضیح</w:t>
            </w:r>
            <w:r>
              <w:rPr>
                <w:rStyle w:val="IndexLink"/>
                <w:rtl w:val="true"/>
              </w:rPr>
              <w:tab/>
            </w:r>
            <w:r>
              <w:rPr>
                <w:rStyle w:val="IndexLink"/>
              </w:rPr>
              <w:t>532</w:t>
            </w:r>
          </w:hyperlink>
        </w:p>
        <w:p>
          <w:pPr>
            <w:pStyle w:val="Contents5"/>
            <w:tabs>
              <w:tab w:val="clear" w:pos="7892"/>
              <w:tab w:val="right" w:pos="9026" w:leader="dot"/>
            </w:tabs>
            <w:rPr/>
          </w:pPr>
          <w:hyperlink w:anchor="__RefHeading___Toc607346_1934241801">
            <w:r>
              <w:rPr>
                <w:webHidden/>
                <w:rStyle w:val="IndexLink"/>
                <w:rtl w:val="true"/>
              </w:rPr>
              <w:t xml:space="preserve">روایت </w:t>
            </w:r>
            <w:r>
              <w:rPr>
                <w:rStyle w:val="IndexLink"/>
              </w:rPr>
              <w:t>10</w:t>
            </w:r>
            <w:r>
              <w:rPr>
                <w:rStyle w:val="IndexLink"/>
                <w:rtl w:val="true"/>
              </w:rPr>
              <w:tab/>
            </w:r>
            <w:r>
              <w:rPr>
                <w:rStyle w:val="IndexLink"/>
              </w:rPr>
              <w:t>533</w:t>
            </w:r>
          </w:hyperlink>
        </w:p>
        <w:p>
          <w:pPr>
            <w:pStyle w:val="Contents5"/>
            <w:tabs>
              <w:tab w:val="clear" w:pos="7892"/>
              <w:tab w:val="right" w:pos="9026" w:leader="dot"/>
            </w:tabs>
            <w:rPr/>
          </w:pPr>
          <w:hyperlink w:anchor="__RefHeading___Toc607348_1934241801">
            <w:r>
              <w:rPr>
                <w:webHidden/>
                <w:rStyle w:val="IndexLink"/>
                <w:rtl w:val="true"/>
              </w:rPr>
              <w:t>توضیح</w:t>
            </w:r>
            <w:r>
              <w:rPr>
                <w:rStyle w:val="IndexLink"/>
                <w:rtl w:val="true"/>
              </w:rPr>
              <w:tab/>
            </w:r>
            <w:r>
              <w:rPr>
                <w:rStyle w:val="IndexLink"/>
              </w:rPr>
              <w:t>533</w:t>
            </w:r>
          </w:hyperlink>
        </w:p>
        <w:p>
          <w:pPr>
            <w:pStyle w:val="Contents5"/>
            <w:tabs>
              <w:tab w:val="clear" w:pos="7892"/>
              <w:tab w:val="right" w:pos="9026" w:leader="dot"/>
            </w:tabs>
            <w:rPr/>
          </w:pPr>
          <w:hyperlink w:anchor="__RefHeading___Toc607350_1934241801">
            <w:r>
              <w:rPr>
                <w:webHidden/>
                <w:rStyle w:val="IndexLink"/>
                <w:rtl w:val="true"/>
              </w:rPr>
              <w:t xml:space="preserve">روایت </w:t>
            </w:r>
            <w:r>
              <w:rPr>
                <w:rStyle w:val="IndexLink"/>
              </w:rPr>
              <w:t>11</w:t>
            </w:r>
            <w:r>
              <w:rPr>
                <w:rStyle w:val="IndexLink"/>
                <w:rtl w:val="true"/>
              </w:rPr>
              <w:tab/>
            </w:r>
            <w:r>
              <w:rPr>
                <w:rStyle w:val="IndexLink"/>
              </w:rPr>
              <w:t>533</w:t>
            </w:r>
          </w:hyperlink>
        </w:p>
        <w:p>
          <w:pPr>
            <w:pStyle w:val="Contents5"/>
            <w:tabs>
              <w:tab w:val="clear" w:pos="7892"/>
              <w:tab w:val="right" w:pos="9026" w:leader="dot"/>
            </w:tabs>
            <w:rPr/>
          </w:pPr>
          <w:hyperlink w:anchor="__RefHeading___Toc607352_1934241801">
            <w:r>
              <w:rPr>
                <w:webHidden/>
                <w:rStyle w:val="IndexLink"/>
                <w:rtl w:val="true"/>
              </w:rPr>
              <w:t>توضیح</w:t>
            </w:r>
            <w:r>
              <w:rPr>
                <w:rStyle w:val="IndexLink"/>
                <w:rtl w:val="true"/>
              </w:rPr>
              <w:tab/>
            </w:r>
            <w:r>
              <w:rPr>
                <w:rStyle w:val="IndexLink"/>
              </w:rPr>
              <w:t>533</w:t>
            </w:r>
          </w:hyperlink>
        </w:p>
        <w:p>
          <w:pPr>
            <w:pStyle w:val="Contents5"/>
            <w:tabs>
              <w:tab w:val="clear" w:pos="7892"/>
              <w:tab w:val="right" w:pos="9026" w:leader="dot"/>
            </w:tabs>
            <w:rPr/>
          </w:pPr>
          <w:hyperlink w:anchor="__RefHeading___Toc607354_1934241801">
            <w:r>
              <w:rPr>
                <w:webHidden/>
                <w:rStyle w:val="IndexLink"/>
                <w:rtl w:val="true"/>
              </w:rPr>
              <w:t>«</w:t>
            </w:r>
            <w:r>
              <w:rPr>
                <w:rStyle w:val="IndexLink"/>
              </w:rPr>
              <w:t>12</w:t>
            </w:r>
            <w:r>
              <w:rPr>
                <w:rStyle w:val="IndexLink"/>
                <w:rtl w:val="true"/>
              </w:rPr>
              <w:t>»</w:t>
              <w:tab/>
            </w:r>
            <w:r>
              <w:rPr>
                <w:rStyle w:val="IndexLink"/>
              </w:rPr>
              <w:t>534</w:t>
            </w:r>
          </w:hyperlink>
        </w:p>
        <w:p>
          <w:pPr>
            <w:pStyle w:val="Contents5"/>
            <w:tabs>
              <w:tab w:val="clear" w:pos="7892"/>
              <w:tab w:val="right" w:pos="9026" w:leader="dot"/>
            </w:tabs>
            <w:rPr/>
          </w:pPr>
          <w:hyperlink w:anchor="__RefHeading___Toc607356_1934241801">
            <w:r>
              <w:rPr>
                <w:webHidden/>
                <w:rStyle w:val="IndexLink"/>
                <w:rtl w:val="true"/>
              </w:rPr>
              <w:t>«</w:t>
            </w:r>
            <w:r>
              <w:rPr>
                <w:rStyle w:val="IndexLink"/>
              </w:rPr>
              <w:t>13</w:t>
            </w:r>
            <w:r>
              <w:rPr>
                <w:rStyle w:val="IndexLink"/>
                <w:rtl w:val="true"/>
              </w:rPr>
              <w:t>»</w:t>
              <w:tab/>
            </w:r>
            <w:r>
              <w:rPr>
                <w:rStyle w:val="IndexLink"/>
              </w:rPr>
              <w:t>534</w:t>
            </w:r>
          </w:hyperlink>
        </w:p>
        <w:p>
          <w:pPr>
            <w:pStyle w:val="Contents5"/>
            <w:tabs>
              <w:tab w:val="clear" w:pos="7892"/>
              <w:tab w:val="right" w:pos="9026" w:leader="dot"/>
            </w:tabs>
            <w:rPr/>
          </w:pPr>
          <w:hyperlink w:anchor="__RefHeading___Toc607358_1934241801">
            <w:r>
              <w:rPr>
                <w:webHidden/>
                <w:rStyle w:val="IndexLink"/>
                <w:rtl w:val="true"/>
              </w:rPr>
              <w:t>بيان</w:t>
            </w:r>
            <w:r>
              <w:rPr>
                <w:rStyle w:val="IndexLink"/>
                <w:rtl w:val="true"/>
              </w:rPr>
              <w:tab/>
            </w:r>
            <w:r>
              <w:rPr>
                <w:rStyle w:val="IndexLink"/>
              </w:rPr>
              <w:t>534</w:t>
            </w:r>
          </w:hyperlink>
        </w:p>
        <w:p>
          <w:pPr>
            <w:pStyle w:val="Contents5"/>
            <w:tabs>
              <w:tab w:val="clear" w:pos="7892"/>
              <w:tab w:val="right" w:pos="9026" w:leader="dot"/>
            </w:tabs>
            <w:rPr/>
          </w:pPr>
          <w:hyperlink w:anchor="__RefHeading___Toc607360_1934241801">
            <w:r>
              <w:rPr>
                <w:webHidden/>
                <w:rStyle w:val="IndexLink"/>
                <w:rtl w:val="true"/>
              </w:rPr>
              <w:t xml:space="preserve">روایت </w:t>
            </w:r>
            <w:r>
              <w:rPr>
                <w:rStyle w:val="IndexLink"/>
              </w:rPr>
              <w:t>12</w:t>
            </w:r>
            <w:r>
              <w:rPr>
                <w:rStyle w:val="IndexLink"/>
                <w:rtl w:val="true"/>
              </w:rPr>
              <w:tab/>
            </w:r>
            <w:r>
              <w:rPr>
                <w:rStyle w:val="IndexLink"/>
              </w:rPr>
              <w:t>534</w:t>
            </w:r>
          </w:hyperlink>
        </w:p>
        <w:p>
          <w:pPr>
            <w:pStyle w:val="Contents5"/>
            <w:tabs>
              <w:tab w:val="clear" w:pos="7892"/>
              <w:tab w:val="right" w:pos="9026" w:leader="dot"/>
            </w:tabs>
            <w:rPr/>
          </w:pPr>
          <w:hyperlink w:anchor="__RefHeading___Toc607362_1934241801">
            <w:r>
              <w:rPr>
                <w:webHidden/>
                <w:rStyle w:val="IndexLink"/>
                <w:rtl w:val="true"/>
              </w:rPr>
              <w:t xml:space="preserve">روایت </w:t>
            </w:r>
            <w:r>
              <w:rPr>
                <w:rStyle w:val="IndexLink"/>
              </w:rPr>
              <w:t>13</w:t>
            </w:r>
            <w:r>
              <w:rPr>
                <w:rStyle w:val="IndexLink"/>
                <w:rtl w:val="true"/>
              </w:rPr>
              <w:tab/>
            </w:r>
            <w:r>
              <w:rPr>
                <w:rStyle w:val="IndexLink"/>
              </w:rPr>
              <w:t>535</w:t>
            </w:r>
          </w:hyperlink>
        </w:p>
        <w:p>
          <w:pPr>
            <w:pStyle w:val="Contents5"/>
            <w:tabs>
              <w:tab w:val="clear" w:pos="7892"/>
              <w:tab w:val="right" w:pos="9026" w:leader="dot"/>
            </w:tabs>
            <w:rPr/>
          </w:pPr>
          <w:hyperlink w:anchor="__RefHeading___Toc607364_1934241801">
            <w:r>
              <w:rPr>
                <w:webHidden/>
                <w:rStyle w:val="IndexLink"/>
                <w:rtl w:val="true"/>
              </w:rPr>
              <w:t>توضیح</w:t>
            </w:r>
            <w:r>
              <w:rPr>
                <w:rStyle w:val="IndexLink"/>
                <w:rtl w:val="true"/>
              </w:rPr>
              <w:tab/>
            </w:r>
            <w:r>
              <w:rPr>
                <w:rStyle w:val="IndexLink"/>
              </w:rPr>
              <w:t>535</w:t>
            </w:r>
          </w:hyperlink>
        </w:p>
        <w:p>
          <w:pPr>
            <w:pStyle w:val="Contents5"/>
            <w:tabs>
              <w:tab w:val="clear" w:pos="7892"/>
              <w:tab w:val="right" w:pos="9026" w:leader="dot"/>
            </w:tabs>
            <w:rPr/>
          </w:pPr>
          <w:hyperlink w:anchor="__RefHeading___Toc607366_1934241801">
            <w:r>
              <w:rPr>
                <w:webHidden/>
                <w:rStyle w:val="IndexLink"/>
                <w:rtl w:val="true"/>
              </w:rPr>
              <w:t>«</w:t>
            </w:r>
            <w:r>
              <w:rPr>
                <w:rStyle w:val="IndexLink"/>
              </w:rPr>
              <w:t>14</w:t>
            </w:r>
            <w:r>
              <w:rPr>
                <w:rStyle w:val="IndexLink"/>
                <w:rtl w:val="true"/>
              </w:rPr>
              <w:t>»</w:t>
              <w:tab/>
            </w:r>
            <w:r>
              <w:rPr>
                <w:rStyle w:val="IndexLink"/>
              </w:rPr>
              <w:t>536</w:t>
            </w:r>
          </w:hyperlink>
        </w:p>
        <w:p>
          <w:pPr>
            <w:pStyle w:val="Contents5"/>
            <w:tabs>
              <w:tab w:val="clear" w:pos="7892"/>
              <w:tab w:val="right" w:pos="9026" w:leader="dot"/>
            </w:tabs>
            <w:rPr/>
          </w:pPr>
          <w:hyperlink w:anchor="__RefHeading___Toc607368_1934241801">
            <w:r>
              <w:rPr>
                <w:webHidden/>
                <w:rStyle w:val="IndexLink"/>
                <w:rtl w:val="true"/>
              </w:rPr>
              <w:t xml:space="preserve">روایت </w:t>
            </w:r>
            <w:r>
              <w:rPr>
                <w:rStyle w:val="IndexLink"/>
              </w:rPr>
              <w:t>14</w:t>
            </w:r>
            <w:r>
              <w:rPr>
                <w:rStyle w:val="IndexLink"/>
                <w:rtl w:val="true"/>
              </w:rPr>
              <w:tab/>
            </w:r>
            <w:r>
              <w:rPr>
                <w:rStyle w:val="IndexLink"/>
              </w:rPr>
              <w:t>537</w:t>
            </w:r>
          </w:hyperlink>
        </w:p>
        <w:p>
          <w:pPr>
            <w:pStyle w:val="Contents5"/>
            <w:tabs>
              <w:tab w:val="clear" w:pos="7892"/>
              <w:tab w:val="right" w:pos="9026" w:leader="dot"/>
            </w:tabs>
            <w:rPr/>
          </w:pPr>
          <w:hyperlink w:anchor="__RefHeading___Toc607370_1934241801">
            <w:r>
              <w:rPr>
                <w:webHidden/>
                <w:rStyle w:val="IndexLink"/>
                <w:rtl w:val="true"/>
              </w:rPr>
              <w:t>بيان</w:t>
            </w:r>
            <w:r>
              <w:rPr>
                <w:rStyle w:val="IndexLink"/>
                <w:rtl w:val="true"/>
              </w:rPr>
              <w:tab/>
            </w:r>
            <w:r>
              <w:rPr>
                <w:rStyle w:val="IndexLink"/>
              </w:rPr>
              <w:t>538</w:t>
            </w:r>
          </w:hyperlink>
        </w:p>
        <w:p>
          <w:pPr>
            <w:pStyle w:val="Contents5"/>
            <w:tabs>
              <w:tab w:val="clear" w:pos="7892"/>
              <w:tab w:val="right" w:pos="9026" w:leader="dot"/>
            </w:tabs>
            <w:rPr/>
          </w:pPr>
          <w:hyperlink w:anchor="__RefHeading___Toc607372_1934241801">
            <w:r>
              <w:rPr>
                <w:webHidden/>
                <w:rStyle w:val="IndexLink"/>
                <w:rtl w:val="true"/>
              </w:rPr>
              <w:t>«</w:t>
            </w:r>
            <w:r>
              <w:rPr>
                <w:rStyle w:val="IndexLink"/>
              </w:rPr>
              <w:t>15</w:t>
            </w:r>
            <w:r>
              <w:rPr>
                <w:rStyle w:val="IndexLink"/>
                <w:rtl w:val="true"/>
              </w:rPr>
              <w:t>»</w:t>
              <w:tab/>
            </w:r>
            <w:r>
              <w:rPr>
                <w:rStyle w:val="IndexLink"/>
              </w:rPr>
              <w:t>538</w:t>
            </w:r>
          </w:hyperlink>
        </w:p>
        <w:p>
          <w:pPr>
            <w:pStyle w:val="Contents5"/>
            <w:tabs>
              <w:tab w:val="clear" w:pos="7892"/>
              <w:tab w:val="right" w:pos="9026" w:leader="dot"/>
            </w:tabs>
            <w:rPr/>
          </w:pPr>
          <w:hyperlink w:anchor="__RefHeading___Toc607374_1934241801">
            <w:r>
              <w:rPr>
                <w:webHidden/>
                <w:rStyle w:val="IndexLink"/>
                <w:rtl w:val="true"/>
              </w:rPr>
              <w:t>«</w:t>
            </w:r>
            <w:r>
              <w:rPr>
                <w:rStyle w:val="IndexLink"/>
              </w:rPr>
              <w:t>16</w:t>
            </w:r>
            <w:r>
              <w:rPr>
                <w:rStyle w:val="IndexLink"/>
                <w:rtl w:val="true"/>
              </w:rPr>
              <w:t>»</w:t>
              <w:tab/>
            </w:r>
            <w:r>
              <w:rPr>
                <w:rStyle w:val="IndexLink"/>
              </w:rPr>
              <w:t>538</w:t>
            </w:r>
          </w:hyperlink>
        </w:p>
        <w:p>
          <w:pPr>
            <w:pStyle w:val="Contents5"/>
            <w:tabs>
              <w:tab w:val="clear" w:pos="7892"/>
              <w:tab w:val="right" w:pos="9026" w:leader="dot"/>
            </w:tabs>
            <w:rPr/>
          </w:pPr>
          <w:hyperlink w:anchor="__RefHeading___Toc607376_1934241801">
            <w:r>
              <w:rPr>
                <w:webHidden/>
                <w:rStyle w:val="IndexLink"/>
                <w:rtl w:val="true"/>
              </w:rPr>
              <w:t>«</w:t>
            </w:r>
            <w:r>
              <w:rPr>
                <w:rStyle w:val="IndexLink"/>
              </w:rPr>
              <w:t>17</w:t>
            </w:r>
            <w:r>
              <w:rPr>
                <w:rStyle w:val="IndexLink"/>
                <w:rtl w:val="true"/>
              </w:rPr>
              <w:t>»</w:t>
              <w:tab/>
            </w:r>
            <w:r>
              <w:rPr>
                <w:rStyle w:val="IndexLink"/>
              </w:rPr>
              <w:t>538</w:t>
            </w:r>
          </w:hyperlink>
        </w:p>
        <w:p>
          <w:pPr>
            <w:pStyle w:val="Contents5"/>
            <w:tabs>
              <w:tab w:val="clear" w:pos="7892"/>
              <w:tab w:val="right" w:pos="9026" w:leader="dot"/>
            </w:tabs>
            <w:rPr/>
          </w:pPr>
          <w:hyperlink w:anchor="__RefHeading___Toc607378_1934241801">
            <w:r>
              <w:rPr>
                <w:webHidden/>
                <w:rStyle w:val="IndexLink"/>
                <w:rtl w:val="true"/>
              </w:rPr>
              <w:t>توضیح</w:t>
            </w:r>
            <w:r>
              <w:rPr>
                <w:rStyle w:val="IndexLink"/>
                <w:rtl w:val="true"/>
              </w:rPr>
              <w:tab/>
            </w:r>
            <w:r>
              <w:rPr>
                <w:rStyle w:val="IndexLink"/>
              </w:rPr>
              <w:t>538</w:t>
            </w:r>
          </w:hyperlink>
        </w:p>
        <w:p>
          <w:pPr>
            <w:pStyle w:val="Contents5"/>
            <w:tabs>
              <w:tab w:val="clear" w:pos="7892"/>
              <w:tab w:val="right" w:pos="9026" w:leader="dot"/>
            </w:tabs>
            <w:rPr/>
          </w:pPr>
          <w:hyperlink w:anchor="__RefHeading___Toc607380_1934241801">
            <w:r>
              <w:rPr>
                <w:webHidden/>
                <w:rStyle w:val="IndexLink"/>
                <w:rtl w:val="true"/>
              </w:rPr>
              <w:t xml:space="preserve">روایت </w:t>
            </w:r>
            <w:r>
              <w:rPr>
                <w:rStyle w:val="IndexLink"/>
              </w:rPr>
              <w:t>15</w:t>
            </w:r>
            <w:r>
              <w:rPr>
                <w:rStyle w:val="IndexLink"/>
                <w:rtl w:val="true"/>
              </w:rPr>
              <w:tab/>
            </w:r>
            <w:r>
              <w:rPr>
                <w:rStyle w:val="IndexLink"/>
              </w:rPr>
              <w:t>539</w:t>
            </w:r>
          </w:hyperlink>
        </w:p>
        <w:p>
          <w:pPr>
            <w:pStyle w:val="Contents5"/>
            <w:tabs>
              <w:tab w:val="clear" w:pos="7892"/>
              <w:tab w:val="right" w:pos="9026" w:leader="dot"/>
            </w:tabs>
            <w:rPr/>
          </w:pPr>
          <w:hyperlink w:anchor="__RefHeading___Toc607382_1934241801">
            <w:r>
              <w:rPr>
                <w:webHidden/>
                <w:rStyle w:val="IndexLink"/>
                <w:rtl w:val="true"/>
              </w:rPr>
              <w:t xml:space="preserve">روایت </w:t>
            </w:r>
            <w:r>
              <w:rPr>
                <w:rStyle w:val="IndexLink"/>
              </w:rPr>
              <w:t>16</w:t>
            </w:r>
            <w:r>
              <w:rPr>
                <w:rStyle w:val="IndexLink"/>
                <w:rtl w:val="true"/>
              </w:rPr>
              <w:tab/>
            </w:r>
            <w:r>
              <w:rPr>
                <w:rStyle w:val="IndexLink"/>
              </w:rPr>
              <w:t>539</w:t>
            </w:r>
          </w:hyperlink>
        </w:p>
        <w:p>
          <w:pPr>
            <w:pStyle w:val="Contents5"/>
            <w:tabs>
              <w:tab w:val="clear" w:pos="7892"/>
              <w:tab w:val="right" w:pos="9026" w:leader="dot"/>
            </w:tabs>
            <w:rPr/>
          </w:pPr>
          <w:hyperlink w:anchor="__RefHeading___Toc607384_1934241801">
            <w:r>
              <w:rPr>
                <w:webHidden/>
                <w:rStyle w:val="IndexLink"/>
                <w:rtl w:val="true"/>
              </w:rPr>
              <w:t xml:space="preserve">روایت </w:t>
            </w:r>
            <w:r>
              <w:rPr>
                <w:rStyle w:val="IndexLink"/>
              </w:rPr>
              <w:t>17</w:t>
            </w:r>
            <w:r>
              <w:rPr>
                <w:rStyle w:val="IndexLink"/>
                <w:rtl w:val="true"/>
              </w:rPr>
              <w:tab/>
            </w:r>
            <w:r>
              <w:rPr>
                <w:rStyle w:val="IndexLink"/>
              </w:rPr>
              <w:t>539</w:t>
            </w:r>
          </w:hyperlink>
        </w:p>
        <w:p>
          <w:pPr>
            <w:pStyle w:val="Contents5"/>
            <w:tabs>
              <w:tab w:val="clear" w:pos="7892"/>
              <w:tab w:val="right" w:pos="9026" w:leader="dot"/>
            </w:tabs>
            <w:rPr/>
          </w:pPr>
          <w:hyperlink w:anchor="__RefHeading___Toc607386_1934241801">
            <w:r>
              <w:rPr>
                <w:webHidden/>
                <w:rStyle w:val="IndexLink"/>
                <w:rtl w:val="true"/>
              </w:rPr>
              <w:t>«</w:t>
            </w:r>
            <w:r>
              <w:rPr>
                <w:rStyle w:val="IndexLink"/>
              </w:rPr>
              <w:t>18</w:t>
            </w:r>
            <w:r>
              <w:rPr>
                <w:rStyle w:val="IndexLink"/>
                <w:rtl w:val="true"/>
              </w:rPr>
              <w:t>»</w:t>
              <w:tab/>
            </w:r>
            <w:r>
              <w:rPr>
                <w:rStyle w:val="IndexLink"/>
              </w:rPr>
              <w:t>540</w:t>
            </w:r>
          </w:hyperlink>
        </w:p>
        <w:p>
          <w:pPr>
            <w:pStyle w:val="Contents5"/>
            <w:tabs>
              <w:tab w:val="clear" w:pos="7892"/>
              <w:tab w:val="right" w:pos="9026" w:leader="dot"/>
            </w:tabs>
            <w:rPr/>
          </w:pPr>
          <w:hyperlink w:anchor="__RefHeading___Toc607388_1934241801">
            <w:r>
              <w:rPr>
                <w:webHidden/>
                <w:rStyle w:val="IndexLink"/>
                <w:rtl w:val="true"/>
              </w:rPr>
              <w:t>«</w:t>
            </w:r>
            <w:r>
              <w:rPr>
                <w:rStyle w:val="IndexLink"/>
              </w:rPr>
              <w:t>19</w:t>
            </w:r>
            <w:r>
              <w:rPr>
                <w:rStyle w:val="IndexLink"/>
                <w:rtl w:val="true"/>
              </w:rPr>
              <w:t>»</w:t>
              <w:tab/>
            </w:r>
            <w:r>
              <w:rPr>
                <w:rStyle w:val="IndexLink"/>
              </w:rPr>
              <w:t>540</w:t>
            </w:r>
          </w:hyperlink>
        </w:p>
        <w:p>
          <w:pPr>
            <w:pStyle w:val="Contents5"/>
            <w:tabs>
              <w:tab w:val="clear" w:pos="7892"/>
              <w:tab w:val="right" w:pos="9026" w:leader="dot"/>
            </w:tabs>
            <w:rPr/>
          </w:pPr>
          <w:hyperlink w:anchor="__RefHeading___Toc607390_1934241801">
            <w:r>
              <w:rPr>
                <w:webHidden/>
                <w:rStyle w:val="IndexLink"/>
                <w:rtl w:val="true"/>
              </w:rPr>
              <w:t>«</w:t>
            </w:r>
            <w:r>
              <w:rPr>
                <w:rStyle w:val="IndexLink"/>
              </w:rPr>
              <w:t>20</w:t>
            </w:r>
            <w:r>
              <w:rPr>
                <w:rStyle w:val="IndexLink"/>
                <w:rtl w:val="true"/>
              </w:rPr>
              <w:t>»</w:t>
              <w:tab/>
            </w:r>
            <w:r>
              <w:rPr>
                <w:rStyle w:val="IndexLink"/>
              </w:rPr>
              <w:t>540</w:t>
            </w:r>
          </w:hyperlink>
        </w:p>
        <w:p>
          <w:pPr>
            <w:pStyle w:val="Contents5"/>
            <w:tabs>
              <w:tab w:val="clear" w:pos="7892"/>
              <w:tab w:val="right" w:pos="9026" w:leader="dot"/>
            </w:tabs>
            <w:rPr/>
          </w:pPr>
          <w:hyperlink w:anchor="__RefHeading___Toc607392_1934241801">
            <w:r>
              <w:rPr>
                <w:webHidden/>
                <w:rStyle w:val="IndexLink"/>
                <w:rtl w:val="true"/>
              </w:rPr>
              <w:t>توضيح</w:t>
            </w:r>
            <w:r>
              <w:rPr>
                <w:rStyle w:val="IndexLink"/>
                <w:rtl w:val="true"/>
              </w:rPr>
              <w:tab/>
            </w:r>
            <w:r>
              <w:rPr>
                <w:rStyle w:val="IndexLink"/>
              </w:rPr>
              <w:t>540</w:t>
            </w:r>
          </w:hyperlink>
        </w:p>
        <w:p>
          <w:pPr>
            <w:pStyle w:val="Contents5"/>
            <w:tabs>
              <w:tab w:val="clear" w:pos="7892"/>
              <w:tab w:val="right" w:pos="9026" w:leader="dot"/>
            </w:tabs>
            <w:rPr/>
          </w:pPr>
          <w:hyperlink w:anchor="__RefHeading___Toc607394_1934241801">
            <w:r>
              <w:rPr>
                <w:webHidden/>
                <w:rStyle w:val="IndexLink"/>
                <w:rtl w:val="true"/>
              </w:rPr>
              <w:t>«</w:t>
            </w:r>
            <w:r>
              <w:rPr>
                <w:rStyle w:val="IndexLink"/>
              </w:rPr>
              <w:t>21</w:t>
            </w:r>
            <w:r>
              <w:rPr>
                <w:rStyle w:val="IndexLink"/>
                <w:rtl w:val="true"/>
              </w:rPr>
              <w:t>»</w:t>
              <w:tab/>
            </w:r>
            <w:r>
              <w:rPr>
                <w:rStyle w:val="IndexLink"/>
              </w:rPr>
              <w:t>540</w:t>
            </w:r>
          </w:hyperlink>
        </w:p>
        <w:p>
          <w:pPr>
            <w:pStyle w:val="Contents5"/>
            <w:tabs>
              <w:tab w:val="clear" w:pos="7892"/>
              <w:tab w:val="right" w:pos="9026" w:leader="dot"/>
            </w:tabs>
            <w:rPr/>
          </w:pPr>
          <w:hyperlink w:anchor="__RefHeading___Toc607396_1934241801">
            <w:r>
              <w:rPr>
                <w:webHidden/>
                <w:rStyle w:val="IndexLink"/>
                <w:rtl w:val="true"/>
              </w:rPr>
              <w:t xml:space="preserve">روایت </w:t>
            </w:r>
            <w:r>
              <w:rPr>
                <w:rStyle w:val="IndexLink"/>
              </w:rPr>
              <w:t>18</w:t>
            </w:r>
            <w:r>
              <w:rPr>
                <w:rStyle w:val="IndexLink"/>
                <w:rtl w:val="true"/>
              </w:rPr>
              <w:tab/>
            </w:r>
            <w:r>
              <w:rPr>
                <w:rStyle w:val="IndexLink"/>
              </w:rPr>
              <w:t>540</w:t>
            </w:r>
          </w:hyperlink>
        </w:p>
        <w:p>
          <w:pPr>
            <w:pStyle w:val="Contents5"/>
            <w:tabs>
              <w:tab w:val="clear" w:pos="7892"/>
              <w:tab w:val="right" w:pos="9026" w:leader="dot"/>
            </w:tabs>
            <w:rPr/>
          </w:pPr>
          <w:hyperlink w:anchor="__RefHeading___Toc607398_1934241801">
            <w:r>
              <w:rPr>
                <w:webHidden/>
                <w:rStyle w:val="IndexLink"/>
                <w:rtl w:val="true"/>
              </w:rPr>
              <w:t xml:space="preserve">روایت </w:t>
            </w:r>
            <w:r>
              <w:rPr>
                <w:rStyle w:val="IndexLink"/>
              </w:rPr>
              <w:t>19</w:t>
            </w:r>
            <w:r>
              <w:rPr>
                <w:rStyle w:val="IndexLink"/>
                <w:rtl w:val="true"/>
              </w:rPr>
              <w:tab/>
            </w:r>
            <w:r>
              <w:rPr>
                <w:rStyle w:val="IndexLink"/>
              </w:rPr>
              <w:t>540</w:t>
            </w:r>
          </w:hyperlink>
        </w:p>
        <w:p>
          <w:pPr>
            <w:pStyle w:val="Contents5"/>
            <w:tabs>
              <w:tab w:val="clear" w:pos="7892"/>
              <w:tab w:val="right" w:pos="9026" w:leader="dot"/>
            </w:tabs>
            <w:rPr/>
          </w:pPr>
          <w:hyperlink w:anchor="__RefHeading___Toc607400_1934241801">
            <w:r>
              <w:rPr>
                <w:webHidden/>
                <w:rStyle w:val="IndexLink"/>
                <w:rtl w:val="true"/>
              </w:rPr>
              <w:t xml:space="preserve">روایت </w:t>
            </w:r>
            <w:r>
              <w:rPr>
                <w:rStyle w:val="IndexLink"/>
              </w:rPr>
              <w:t>20</w:t>
            </w:r>
            <w:r>
              <w:rPr>
                <w:rStyle w:val="IndexLink"/>
                <w:rtl w:val="true"/>
              </w:rPr>
              <w:tab/>
            </w:r>
            <w:r>
              <w:rPr>
                <w:rStyle w:val="IndexLink"/>
              </w:rPr>
              <w:t>541</w:t>
            </w:r>
          </w:hyperlink>
        </w:p>
        <w:p>
          <w:pPr>
            <w:pStyle w:val="Contents5"/>
            <w:tabs>
              <w:tab w:val="clear" w:pos="7892"/>
              <w:tab w:val="right" w:pos="9026" w:leader="dot"/>
            </w:tabs>
            <w:rPr/>
          </w:pPr>
          <w:hyperlink w:anchor="__RefHeading___Toc607402_1934241801">
            <w:r>
              <w:rPr>
                <w:webHidden/>
                <w:rStyle w:val="IndexLink"/>
                <w:rtl w:val="true"/>
              </w:rPr>
              <w:t>توضیح</w:t>
            </w:r>
            <w:r>
              <w:rPr>
                <w:rStyle w:val="IndexLink"/>
                <w:rtl w:val="true"/>
              </w:rPr>
              <w:tab/>
            </w:r>
            <w:r>
              <w:rPr>
                <w:rStyle w:val="IndexLink"/>
              </w:rPr>
              <w:t>541</w:t>
            </w:r>
          </w:hyperlink>
        </w:p>
        <w:p>
          <w:pPr>
            <w:pStyle w:val="Contents5"/>
            <w:tabs>
              <w:tab w:val="clear" w:pos="7892"/>
              <w:tab w:val="right" w:pos="9026" w:leader="dot"/>
            </w:tabs>
            <w:rPr/>
          </w:pPr>
          <w:hyperlink w:anchor="__RefHeading___Toc607404_1934241801">
            <w:r>
              <w:rPr>
                <w:webHidden/>
                <w:rStyle w:val="IndexLink"/>
                <w:rtl w:val="true"/>
              </w:rPr>
              <w:t xml:space="preserve">روایت </w:t>
            </w:r>
            <w:r>
              <w:rPr>
                <w:rStyle w:val="IndexLink"/>
              </w:rPr>
              <w:t>21</w:t>
            </w:r>
            <w:r>
              <w:rPr>
                <w:rStyle w:val="IndexLink"/>
                <w:rtl w:val="true"/>
              </w:rPr>
              <w:tab/>
            </w:r>
            <w:r>
              <w:rPr>
                <w:rStyle w:val="IndexLink"/>
              </w:rPr>
              <w:t>541</w:t>
            </w:r>
          </w:hyperlink>
        </w:p>
        <w:p>
          <w:pPr>
            <w:pStyle w:val="Contents5"/>
            <w:tabs>
              <w:tab w:val="clear" w:pos="7892"/>
              <w:tab w:val="right" w:pos="9026" w:leader="dot"/>
            </w:tabs>
            <w:rPr/>
          </w:pPr>
          <w:hyperlink w:anchor="__RefHeading___Toc607406_1934241801">
            <w:r>
              <w:rPr>
                <w:webHidden/>
                <w:rStyle w:val="IndexLink"/>
                <w:rtl w:val="true"/>
              </w:rPr>
              <w:t>بيان</w:t>
            </w:r>
            <w:r>
              <w:rPr>
                <w:rStyle w:val="IndexLink"/>
                <w:rtl w:val="true"/>
              </w:rPr>
              <w:tab/>
            </w:r>
            <w:r>
              <w:rPr>
                <w:rStyle w:val="IndexLink"/>
              </w:rPr>
              <w:t>542</w:t>
            </w:r>
          </w:hyperlink>
        </w:p>
        <w:p>
          <w:pPr>
            <w:pStyle w:val="Contents5"/>
            <w:tabs>
              <w:tab w:val="clear" w:pos="7892"/>
              <w:tab w:val="right" w:pos="9026" w:leader="dot"/>
            </w:tabs>
            <w:rPr/>
          </w:pPr>
          <w:hyperlink w:anchor="__RefHeading___Toc607408_1934241801">
            <w:r>
              <w:rPr>
                <w:webHidden/>
                <w:rStyle w:val="IndexLink"/>
                <w:rtl w:val="true"/>
              </w:rPr>
              <w:t>«</w:t>
            </w:r>
            <w:r>
              <w:rPr>
                <w:rStyle w:val="IndexLink"/>
              </w:rPr>
              <w:t>22</w:t>
            </w:r>
            <w:r>
              <w:rPr>
                <w:rStyle w:val="IndexLink"/>
                <w:rtl w:val="true"/>
              </w:rPr>
              <w:t>»</w:t>
              <w:tab/>
            </w:r>
            <w:r>
              <w:rPr>
                <w:rStyle w:val="IndexLink"/>
              </w:rPr>
              <w:t>542</w:t>
            </w:r>
          </w:hyperlink>
        </w:p>
        <w:p>
          <w:pPr>
            <w:pStyle w:val="Contents5"/>
            <w:tabs>
              <w:tab w:val="clear" w:pos="7892"/>
              <w:tab w:val="right" w:pos="9026" w:leader="dot"/>
            </w:tabs>
            <w:rPr/>
          </w:pPr>
          <w:hyperlink w:anchor="__RefHeading___Toc607410_1934241801">
            <w:r>
              <w:rPr>
                <w:webHidden/>
                <w:rStyle w:val="IndexLink"/>
                <w:rtl w:val="true"/>
              </w:rPr>
              <w:t>«</w:t>
            </w:r>
            <w:r>
              <w:rPr>
                <w:rStyle w:val="IndexLink"/>
              </w:rPr>
              <w:t>23</w:t>
            </w:r>
            <w:r>
              <w:rPr>
                <w:rStyle w:val="IndexLink"/>
                <w:rtl w:val="true"/>
              </w:rPr>
              <w:t>»</w:t>
              <w:tab/>
            </w:r>
            <w:r>
              <w:rPr>
                <w:rStyle w:val="IndexLink"/>
              </w:rPr>
              <w:t>542</w:t>
            </w:r>
          </w:hyperlink>
        </w:p>
        <w:p>
          <w:pPr>
            <w:pStyle w:val="Contents5"/>
            <w:tabs>
              <w:tab w:val="clear" w:pos="7892"/>
              <w:tab w:val="right" w:pos="9026" w:leader="dot"/>
            </w:tabs>
            <w:rPr/>
          </w:pPr>
          <w:hyperlink w:anchor="__RefHeading___Toc607412_1934241801">
            <w:r>
              <w:rPr>
                <w:webHidden/>
                <w:rStyle w:val="IndexLink"/>
                <w:rtl w:val="true"/>
              </w:rPr>
              <w:t>بيان</w:t>
            </w:r>
            <w:r>
              <w:rPr>
                <w:rStyle w:val="IndexLink"/>
                <w:rtl w:val="true"/>
              </w:rPr>
              <w:tab/>
            </w:r>
            <w:r>
              <w:rPr>
                <w:rStyle w:val="IndexLink"/>
              </w:rPr>
              <w:t>542</w:t>
            </w:r>
          </w:hyperlink>
        </w:p>
        <w:p>
          <w:pPr>
            <w:pStyle w:val="Contents5"/>
            <w:tabs>
              <w:tab w:val="clear" w:pos="7892"/>
              <w:tab w:val="right" w:pos="9026" w:leader="dot"/>
            </w:tabs>
            <w:rPr/>
          </w:pPr>
          <w:hyperlink w:anchor="__RefHeading___Toc607414_1934241801">
            <w:r>
              <w:rPr>
                <w:webHidden/>
                <w:rStyle w:val="IndexLink"/>
                <w:rtl w:val="true"/>
              </w:rPr>
              <w:t>توضیح</w:t>
            </w:r>
            <w:r>
              <w:rPr>
                <w:rStyle w:val="IndexLink"/>
                <w:rtl w:val="true"/>
              </w:rPr>
              <w:tab/>
            </w:r>
            <w:r>
              <w:rPr>
                <w:rStyle w:val="IndexLink"/>
              </w:rPr>
              <w:t>542</w:t>
            </w:r>
          </w:hyperlink>
        </w:p>
        <w:p>
          <w:pPr>
            <w:pStyle w:val="Contents5"/>
            <w:tabs>
              <w:tab w:val="clear" w:pos="7892"/>
              <w:tab w:val="right" w:pos="9026" w:leader="dot"/>
            </w:tabs>
            <w:rPr/>
          </w:pPr>
          <w:hyperlink w:anchor="__RefHeading___Toc607416_1934241801">
            <w:r>
              <w:rPr>
                <w:webHidden/>
                <w:rStyle w:val="IndexLink"/>
                <w:rtl w:val="true"/>
              </w:rPr>
              <w:t xml:space="preserve">روایت </w:t>
            </w:r>
            <w:r>
              <w:rPr>
                <w:rStyle w:val="IndexLink"/>
              </w:rPr>
              <w:t>22</w:t>
            </w:r>
            <w:r>
              <w:rPr>
                <w:rStyle w:val="IndexLink"/>
                <w:rtl w:val="true"/>
              </w:rPr>
              <w:tab/>
            </w:r>
            <w:r>
              <w:rPr>
                <w:rStyle w:val="IndexLink"/>
              </w:rPr>
              <w:t>543</w:t>
            </w:r>
          </w:hyperlink>
        </w:p>
        <w:p>
          <w:pPr>
            <w:pStyle w:val="Contents5"/>
            <w:tabs>
              <w:tab w:val="clear" w:pos="7892"/>
              <w:tab w:val="right" w:pos="9026" w:leader="dot"/>
            </w:tabs>
            <w:rPr/>
          </w:pPr>
          <w:hyperlink w:anchor="__RefHeading___Toc607418_1934241801">
            <w:r>
              <w:rPr>
                <w:webHidden/>
                <w:rStyle w:val="IndexLink"/>
                <w:rtl w:val="true"/>
              </w:rPr>
              <w:t xml:space="preserve">روایت </w:t>
            </w:r>
            <w:r>
              <w:rPr>
                <w:rStyle w:val="IndexLink"/>
              </w:rPr>
              <w:t>23</w:t>
            </w:r>
            <w:r>
              <w:rPr>
                <w:rStyle w:val="IndexLink"/>
                <w:rtl w:val="true"/>
              </w:rPr>
              <w:tab/>
            </w:r>
            <w:r>
              <w:rPr>
                <w:rStyle w:val="IndexLink"/>
              </w:rPr>
              <w:t>543</w:t>
            </w:r>
          </w:hyperlink>
        </w:p>
        <w:p>
          <w:pPr>
            <w:pStyle w:val="Contents5"/>
            <w:tabs>
              <w:tab w:val="clear" w:pos="7892"/>
              <w:tab w:val="right" w:pos="9026" w:leader="dot"/>
            </w:tabs>
            <w:rPr/>
          </w:pPr>
          <w:hyperlink w:anchor="__RefHeading___Toc607420_1934241801">
            <w:r>
              <w:rPr>
                <w:webHidden/>
                <w:rStyle w:val="IndexLink"/>
                <w:rtl w:val="true"/>
              </w:rPr>
              <w:t>توضیح</w:t>
            </w:r>
            <w:r>
              <w:rPr>
                <w:rStyle w:val="IndexLink"/>
                <w:rtl w:val="true"/>
              </w:rPr>
              <w:tab/>
            </w:r>
            <w:r>
              <w:rPr>
                <w:rStyle w:val="IndexLink"/>
              </w:rPr>
              <w:t>543</w:t>
            </w:r>
          </w:hyperlink>
        </w:p>
        <w:p>
          <w:pPr>
            <w:pStyle w:val="Contents5"/>
            <w:tabs>
              <w:tab w:val="clear" w:pos="7892"/>
              <w:tab w:val="right" w:pos="9026" w:leader="dot"/>
            </w:tabs>
            <w:rPr/>
          </w:pPr>
          <w:hyperlink w:anchor="__RefHeading___Toc607422_1934241801">
            <w:r>
              <w:rPr>
                <w:webHidden/>
                <w:rStyle w:val="IndexLink"/>
                <w:rtl w:val="true"/>
              </w:rPr>
              <w:t>«</w:t>
            </w:r>
            <w:r>
              <w:rPr>
                <w:rStyle w:val="IndexLink"/>
              </w:rPr>
              <w:t>24</w:t>
            </w:r>
            <w:r>
              <w:rPr>
                <w:rStyle w:val="IndexLink"/>
                <w:rtl w:val="true"/>
              </w:rPr>
              <w:t>»</w:t>
              <w:tab/>
            </w:r>
            <w:r>
              <w:rPr>
                <w:rStyle w:val="IndexLink"/>
              </w:rPr>
              <w:t>544</w:t>
            </w:r>
          </w:hyperlink>
        </w:p>
        <w:p>
          <w:pPr>
            <w:pStyle w:val="Contents5"/>
            <w:tabs>
              <w:tab w:val="clear" w:pos="7892"/>
              <w:tab w:val="right" w:pos="9026" w:leader="dot"/>
            </w:tabs>
            <w:rPr/>
          </w:pPr>
          <w:hyperlink w:anchor="__RefHeading___Toc607424_1934241801">
            <w:r>
              <w:rPr>
                <w:webHidden/>
                <w:rStyle w:val="IndexLink"/>
                <w:rtl w:val="true"/>
              </w:rPr>
              <w:t>بيان</w:t>
            </w:r>
            <w:r>
              <w:rPr>
                <w:rStyle w:val="IndexLink"/>
                <w:rtl w:val="true"/>
              </w:rPr>
              <w:tab/>
            </w:r>
            <w:r>
              <w:rPr>
                <w:rStyle w:val="IndexLink"/>
              </w:rPr>
              <w:t>544</w:t>
            </w:r>
          </w:hyperlink>
        </w:p>
        <w:p>
          <w:pPr>
            <w:pStyle w:val="Contents5"/>
            <w:tabs>
              <w:tab w:val="clear" w:pos="7892"/>
              <w:tab w:val="right" w:pos="9026" w:leader="dot"/>
            </w:tabs>
            <w:rPr/>
          </w:pPr>
          <w:hyperlink w:anchor="__RefHeading___Toc607426_1934241801">
            <w:r>
              <w:rPr>
                <w:webHidden/>
                <w:rStyle w:val="IndexLink"/>
                <w:rtl w:val="true"/>
              </w:rPr>
              <w:t xml:space="preserve">روایت </w:t>
            </w:r>
            <w:r>
              <w:rPr>
                <w:rStyle w:val="IndexLink"/>
              </w:rPr>
              <w:t>24</w:t>
            </w:r>
            <w:r>
              <w:rPr>
                <w:rStyle w:val="IndexLink"/>
                <w:rtl w:val="true"/>
              </w:rPr>
              <w:tab/>
            </w:r>
            <w:r>
              <w:rPr>
                <w:rStyle w:val="IndexLink"/>
              </w:rPr>
              <w:t>544</w:t>
            </w:r>
          </w:hyperlink>
        </w:p>
        <w:p>
          <w:pPr>
            <w:pStyle w:val="Contents5"/>
            <w:tabs>
              <w:tab w:val="clear" w:pos="7892"/>
              <w:tab w:val="right" w:pos="9026" w:leader="dot"/>
            </w:tabs>
            <w:rPr/>
          </w:pPr>
          <w:hyperlink w:anchor="__RefHeading___Toc607428_1934241801">
            <w:r>
              <w:rPr>
                <w:webHidden/>
                <w:rStyle w:val="IndexLink"/>
                <w:rtl w:val="true"/>
              </w:rPr>
              <w:t>توضیح</w:t>
            </w:r>
            <w:r>
              <w:rPr>
                <w:rStyle w:val="IndexLink"/>
                <w:rtl w:val="true"/>
              </w:rPr>
              <w:tab/>
            </w:r>
            <w:r>
              <w:rPr>
                <w:rStyle w:val="IndexLink"/>
              </w:rPr>
              <w:t>545</w:t>
            </w:r>
          </w:hyperlink>
        </w:p>
        <w:p>
          <w:pPr>
            <w:pStyle w:val="Contents5"/>
            <w:tabs>
              <w:tab w:val="clear" w:pos="7892"/>
              <w:tab w:val="right" w:pos="9026" w:leader="dot"/>
            </w:tabs>
            <w:rPr/>
          </w:pPr>
          <w:hyperlink w:anchor="__RefHeading___Toc607430_1934241801">
            <w:r>
              <w:rPr>
                <w:webHidden/>
                <w:rStyle w:val="IndexLink"/>
                <w:rtl w:val="true"/>
              </w:rPr>
              <w:t>«</w:t>
            </w:r>
            <w:r>
              <w:rPr>
                <w:rStyle w:val="IndexLink"/>
              </w:rPr>
              <w:t>25</w:t>
            </w:r>
            <w:r>
              <w:rPr>
                <w:rStyle w:val="IndexLink"/>
                <w:rtl w:val="true"/>
              </w:rPr>
              <w:t>»</w:t>
              <w:tab/>
            </w:r>
            <w:r>
              <w:rPr>
                <w:rStyle w:val="IndexLink"/>
              </w:rPr>
              <w:t>546</w:t>
            </w:r>
          </w:hyperlink>
        </w:p>
        <w:p>
          <w:pPr>
            <w:pStyle w:val="Contents5"/>
            <w:tabs>
              <w:tab w:val="clear" w:pos="7892"/>
              <w:tab w:val="right" w:pos="9026" w:leader="dot"/>
            </w:tabs>
            <w:rPr/>
          </w:pPr>
          <w:hyperlink w:anchor="__RefHeading___Toc607432_1934241801">
            <w:r>
              <w:rPr>
                <w:webHidden/>
                <w:rStyle w:val="IndexLink"/>
                <w:rtl w:val="true"/>
              </w:rPr>
              <w:t>بيان</w:t>
            </w:r>
            <w:r>
              <w:rPr>
                <w:rStyle w:val="IndexLink"/>
                <w:rtl w:val="true"/>
              </w:rPr>
              <w:tab/>
            </w:r>
            <w:r>
              <w:rPr>
                <w:rStyle w:val="IndexLink"/>
              </w:rPr>
              <w:t>546</w:t>
            </w:r>
          </w:hyperlink>
        </w:p>
        <w:p>
          <w:pPr>
            <w:pStyle w:val="Contents5"/>
            <w:tabs>
              <w:tab w:val="clear" w:pos="7892"/>
              <w:tab w:val="right" w:pos="9026" w:leader="dot"/>
            </w:tabs>
            <w:rPr/>
          </w:pPr>
          <w:hyperlink w:anchor="__RefHeading___Toc607434_1934241801">
            <w:r>
              <w:rPr>
                <w:webHidden/>
                <w:rStyle w:val="IndexLink"/>
                <w:rtl w:val="true"/>
              </w:rPr>
              <w:t>«</w:t>
            </w:r>
            <w:r>
              <w:rPr>
                <w:rStyle w:val="IndexLink"/>
              </w:rPr>
              <w:t>26</w:t>
            </w:r>
            <w:r>
              <w:rPr>
                <w:rStyle w:val="IndexLink"/>
                <w:rtl w:val="true"/>
              </w:rPr>
              <w:t>»</w:t>
              <w:tab/>
            </w:r>
            <w:r>
              <w:rPr>
                <w:rStyle w:val="IndexLink"/>
              </w:rPr>
              <w:t>546</w:t>
            </w:r>
          </w:hyperlink>
        </w:p>
        <w:p>
          <w:pPr>
            <w:pStyle w:val="Contents5"/>
            <w:tabs>
              <w:tab w:val="clear" w:pos="7892"/>
              <w:tab w:val="right" w:pos="9026" w:leader="dot"/>
            </w:tabs>
            <w:rPr/>
          </w:pPr>
          <w:hyperlink w:anchor="__RefHeading___Toc607436_1934241801">
            <w:r>
              <w:rPr>
                <w:webHidden/>
                <w:rStyle w:val="IndexLink"/>
                <w:rtl w:val="true"/>
              </w:rPr>
              <w:t xml:space="preserve">روایت </w:t>
            </w:r>
            <w:r>
              <w:rPr>
                <w:rStyle w:val="IndexLink"/>
              </w:rPr>
              <w:t>25</w:t>
            </w:r>
            <w:r>
              <w:rPr>
                <w:rStyle w:val="IndexLink"/>
                <w:rtl w:val="true"/>
              </w:rPr>
              <w:tab/>
            </w:r>
            <w:r>
              <w:rPr>
                <w:rStyle w:val="IndexLink"/>
              </w:rPr>
              <w:t>547</w:t>
            </w:r>
          </w:hyperlink>
        </w:p>
        <w:p>
          <w:pPr>
            <w:pStyle w:val="Contents5"/>
            <w:tabs>
              <w:tab w:val="clear" w:pos="7892"/>
              <w:tab w:val="right" w:pos="9026" w:leader="dot"/>
            </w:tabs>
            <w:rPr/>
          </w:pPr>
          <w:hyperlink w:anchor="__RefHeading___Toc607438_1934241801">
            <w:r>
              <w:rPr>
                <w:webHidden/>
                <w:rStyle w:val="IndexLink"/>
                <w:rtl w:val="true"/>
              </w:rPr>
              <w:t>توضیح</w:t>
            </w:r>
            <w:r>
              <w:rPr>
                <w:rStyle w:val="IndexLink"/>
                <w:rtl w:val="true"/>
              </w:rPr>
              <w:tab/>
            </w:r>
            <w:r>
              <w:rPr>
                <w:rStyle w:val="IndexLink"/>
              </w:rPr>
              <w:t>547</w:t>
            </w:r>
          </w:hyperlink>
        </w:p>
        <w:p>
          <w:pPr>
            <w:pStyle w:val="Contents5"/>
            <w:tabs>
              <w:tab w:val="clear" w:pos="7892"/>
              <w:tab w:val="right" w:pos="9026" w:leader="dot"/>
            </w:tabs>
            <w:rPr/>
          </w:pPr>
          <w:hyperlink w:anchor="__RefHeading___Toc607440_1934241801">
            <w:r>
              <w:rPr>
                <w:webHidden/>
                <w:rStyle w:val="IndexLink"/>
                <w:rtl w:val="true"/>
              </w:rPr>
              <w:t xml:space="preserve">روایت </w:t>
            </w:r>
            <w:r>
              <w:rPr>
                <w:rStyle w:val="IndexLink"/>
              </w:rPr>
              <w:t>26</w:t>
            </w:r>
            <w:r>
              <w:rPr>
                <w:rStyle w:val="IndexLink"/>
                <w:rtl w:val="true"/>
              </w:rPr>
              <w:tab/>
            </w:r>
            <w:r>
              <w:rPr>
                <w:rStyle w:val="IndexLink"/>
              </w:rPr>
              <w:t>547</w:t>
            </w:r>
          </w:hyperlink>
        </w:p>
        <w:p>
          <w:pPr>
            <w:pStyle w:val="Contents5"/>
            <w:tabs>
              <w:tab w:val="clear" w:pos="7892"/>
              <w:tab w:val="right" w:pos="9026" w:leader="dot"/>
            </w:tabs>
            <w:rPr/>
          </w:pPr>
          <w:hyperlink w:anchor="__RefHeading___Toc607442_1934241801">
            <w:r>
              <w:rPr>
                <w:webHidden/>
                <w:rStyle w:val="IndexLink"/>
                <w:rtl w:val="true"/>
              </w:rPr>
              <w:t>«</w:t>
            </w:r>
            <w:r>
              <w:rPr>
                <w:rStyle w:val="IndexLink"/>
              </w:rPr>
              <w:t>27</w:t>
            </w:r>
            <w:r>
              <w:rPr>
                <w:rStyle w:val="IndexLink"/>
                <w:rtl w:val="true"/>
              </w:rPr>
              <w:t>»</w:t>
              <w:tab/>
            </w:r>
            <w:r>
              <w:rPr>
                <w:rStyle w:val="IndexLink"/>
              </w:rPr>
              <w:t>548</w:t>
            </w:r>
          </w:hyperlink>
        </w:p>
        <w:p>
          <w:pPr>
            <w:pStyle w:val="Contents5"/>
            <w:tabs>
              <w:tab w:val="clear" w:pos="7892"/>
              <w:tab w:val="right" w:pos="9026" w:leader="dot"/>
            </w:tabs>
            <w:rPr/>
          </w:pPr>
          <w:hyperlink w:anchor="__RefHeading___Toc607444_1934241801">
            <w:r>
              <w:rPr>
                <w:webHidden/>
                <w:rStyle w:val="IndexLink"/>
                <w:rtl w:val="true"/>
              </w:rPr>
              <w:t>بيان</w:t>
            </w:r>
            <w:r>
              <w:rPr>
                <w:rStyle w:val="IndexLink"/>
                <w:rtl w:val="true"/>
              </w:rPr>
              <w:tab/>
            </w:r>
            <w:r>
              <w:rPr>
                <w:rStyle w:val="IndexLink"/>
              </w:rPr>
              <w:t>548</w:t>
            </w:r>
          </w:hyperlink>
        </w:p>
        <w:p>
          <w:pPr>
            <w:pStyle w:val="Contents5"/>
            <w:tabs>
              <w:tab w:val="clear" w:pos="7892"/>
              <w:tab w:val="right" w:pos="9026" w:leader="dot"/>
            </w:tabs>
            <w:rPr/>
          </w:pPr>
          <w:hyperlink w:anchor="__RefHeading___Toc607446_1934241801">
            <w:r>
              <w:rPr>
                <w:webHidden/>
                <w:rStyle w:val="IndexLink"/>
                <w:rtl w:val="true"/>
              </w:rPr>
              <w:t xml:space="preserve">روایت </w:t>
            </w:r>
            <w:r>
              <w:rPr>
                <w:rStyle w:val="IndexLink"/>
              </w:rPr>
              <w:t>27</w:t>
            </w:r>
            <w:r>
              <w:rPr>
                <w:rStyle w:val="IndexLink"/>
                <w:rtl w:val="true"/>
              </w:rPr>
              <w:tab/>
            </w:r>
            <w:r>
              <w:rPr>
                <w:rStyle w:val="IndexLink"/>
              </w:rPr>
              <w:t>548</w:t>
            </w:r>
          </w:hyperlink>
        </w:p>
        <w:p>
          <w:pPr>
            <w:pStyle w:val="Contents5"/>
            <w:tabs>
              <w:tab w:val="clear" w:pos="7892"/>
              <w:tab w:val="right" w:pos="9026" w:leader="dot"/>
            </w:tabs>
            <w:rPr/>
          </w:pPr>
          <w:hyperlink w:anchor="__RefHeading___Toc607448_1934241801">
            <w:r>
              <w:rPr>
                <w:webHidden/>
                <w:rStyle w:val="IndexLink"/>
                <w:rtl w:val="true"/>
              </w:rPr>
              <w:t>توضیح</w:t>
            </w:r>
            <w:r>
              <w:rPr>
                <w:rStyle w:val="IndexLink"/>
                <w:rtl w:val="true"/>
              </w:rPr>
              <w:tab/>
            </w:r>
            <w:r>
              <w:rPr>
                <w:rStyle w:val="IndexLink"/>
              </w:rPr>
              <w:t>549</w:t>
            </w:r>
          </w:hyperlink>
        </w:p>
        <w:p>
          <w:pPr>
            <w:pStyle w:val="Contents5"/>
            <w:tabs>
              <w:tab w:val="clear" w:pos="7892"/>
              <w:tab w:val="right" w:pos="9026" w:leader="dot"/>
            </w:tabs>
            <w:rPr/>
          </w:pPr>
          <w:hyperlink w:anchor="__RefHeading___Toc607450_1934241801">
            <w:r>
              <w:rPr>
                <w:webHidden/>
                <w:rStyle w:val="IndexLink"/>
                <w:rtl w:val="true"/>
              </w:rPr>
              <w:t>«</w:t>
            </w:r>
            <w:r>
              <w:rPr>
                <w:rStyle w:val="IndexLink"/>
              </w:rPr>
              <w:t>28</w:t>
            </w:r>
            <w:r>
              <w:rPr>
                <w:rStyle w:val="IndexLink"/>
                <w:rtl w:val="true"/>
              </w:rPr>
              <w:t>»</w:t>
              <w:tab/>
            </w:r>
            <w:r>
              <w:rPr>
                <w:rStyle w:val="IndexLink"/>
              </w:rPr>
              <w:t>550</w:t>
            </w:r>
          </w:hyperlink>
        </w:p>
        <w:p>
          <w:pPr>
            <w:pStyle w:val="Contents5"/>
            <w:tabs>
              <w:tab w:val="clear" w:pos="7892"/>
              <w:tab w:val="right" w:pos="9026" w:leader="dot"/>
            </w:tabs>
            <w:rPr/>
          </w:pPr>
          <w:hyperlink w:anchor="__RefHeading___Toc607452_1934241801">
            <w:r>
              <w:rPr>
                <w:webHidden/>
                <w:rStyle w:val="IndexLink"/>
                <w:rtl w:val="true"/>
              </w:rPr>
              <w:t>«</w:t>
            </w:r>
            <w:r>
              <w:rPr>
                <w:rStyle w:val="IndexLink"/>
              </w:rPr>
              <w:t>29</w:t>
            </w:r>
            <w:r>
              <w:rPr>
                <w:rStyle w:val="IndexLink"/>
                <w:rtl w:val="true"/>
              </w:rPr>
              <w:t>»</w:t>
              <w:tab/>
            </w:r>
            <w:r>
              <w:rPr>
                <w:rStyle w:val="IndexLink"/>
              </w:rPr>
              <w:t>550</w:t>
            </w:r>
          </w:hyperlink>
        </w:p>
        <w:p>
          <w:pPr>
            <w:pStyle w:val="Contents5"/>
            <w:tabs>
              <w:tab w:val="clear" w:pos="7892"/>
              <w:tab w:val="right" w:pos="9026" w:leader="dot"/>
            </w:tabs>
            <w:rPr/>
          </w:pPr>
          <w:hyperlink w:anchor="__RefHeading___Toc607454_1934241801">
            <w:r>
              <w:rPr>
                <w:webHidden/>
                <w:rStyle w:val="IndexLink"/>
                <w:rtl w:val="true"/>
              </w:rPr>
              <w:t>«</w:t>
            </w:r>
            <w:r>
              <w:rPr>
                <w:rStyle w:val="IndexLink"/>
              </w:rPr>
              <w:t>30</w:t>
            </w:r>
            <w:r>
              <w:rPr>
                <w:rStyle w:val="IndexLink"/>
                <w:rtl w:val="true"/>
              </w:rPr>
              <w:t>»</w:t>
              <w:tab/>
            </w:r>
            <w:r>
              <w:rPr>
                <w:rStyle w:val="IndexLink"/>
              </w:rPr>
              <w:t>550</w:t>
            </w:r>
          </w:hyperlink>
        </w:p>
        <w:p>
          <w:pPr>
            <w:pStyle w:val="Contents5"/>
            <w:tabs>
              <w:tab w:val="clear" w:pos="7892"/>
              <w:tab w:val="right" w:pos="9026" w:leader="dot"/>
            </w:tabs>
            <w:rPr/>
          </w:pPr>
          <w:hyperlink w:anchor="__RefHeading___Toc607456_1934241801">
            <w:r>
              <w:rPr>
                <w:webHidden/>
                <w:rStyle w:val="IndexLink"/>
                <w:rtl w:val="true"/>
              </w:rPr>
              <w:t>«</w:t>
            </w:r>
            <w:r>
              <w:rPr>
                <w:rStyle w:val="IndexLink"/>
              </w:rPr>
              <w:t>31</w:t>
            </w:r>
            <w:r>
              <w:rPr>
                <w:rStyle w:val="IndexLink"/>
                <w:rtl w:val="true"/>
              </w:rPr>
              <w:t>»</w:t>
              <w:tab/>
            </w:r>
            <w:r>
              <w:rPr>
                <w:rStyle w:val="IndexLink"/>
              </w:rPr>
              <w:t>550</w:t>
            </w:r>
          </w:hyperlink>
        </w:p>
        <w:p>
          <w:pPr>
            <w:pStyle w:val="Contents5"/>
            <w:tabs>
              <w:tab w:val="clear" w:pos="7892"/>
              <w:tab w:val="right" w:pos="9026" w:leader="dot"/>
            </w:tabs>
            <w:rPr/>
          </w:pPr>
          <w:hyperlink w:anchor="__RefHeading___Toc607458_1934241801">
            <w:r>
              <w:rPr>
                <w:webHidden/>
                <w:rStyle w:val="IndexLink"/>
                <w:rtl w:val="true"/>
              </w:rPr>
              <w:t>بيان</w:t>
            </w:r>
            <w:r>
              <w:rPr>
                <w:rStyle w:val="IndexLink"/>
                <w:rtl w:val="true"/>
              </w:rPr>
              <w:tab/>
            </w:r>
            <w:r>
              <w:rPr>
                <w:rStyle w:val="IndexLink"/>
              </w:rPr>
              <w:t>550</w:t>
            </w:r>
          </w:hyperlink>
        </w:p>
        <w:p>
          <w:pPr>
            <w:pStyle w:val="Contents5"/>
            <w:tabs>
              <w:tab w:val="clear" w:pos="7892"/>
              <w:tab w:val="right" w:pos="9026" w:leader="dot"/>
            </w:tabs>
            <w:rPr/>
          </w:pPr>
          <w:hyperlink w:anchor="__RefHeading___Toc607460_1934241801">
            <w:r>
              <w:rPr>
                <w:webHidden/>
                <w:rStyle w:val="IndexLink"/>
                <w:rtl w:val="true"/>
              </w:rPr>
              <w:t xml:space="preserve">روایت </w:t>
            </w:r>
            <w:r>
              <w:rPr>
                <w:rStyle w:val="IndexLink"/>
              </w:rPr>
              <w:t>28</w:t>
            </w:r>
            <w:r>
              <w:rPr>
                <w:rStyle w:val="IndexLink"/>
                <w:rtl w:val="true"/>
              </w:rPr>
              <w:tab/>
            </w:r>
            <w:r>
              <w:rPr>
                <w:rStyle w:val="IndexLink"/>
              </w:rPr>
              <w:t>551</w:t>
            </w:r>
          </w:hyperlink>
        </w:p>
        <w:p>
          <w:pPr>
            <w:pStyle w:val="Contents5"/>
            <w:tabs>
              <w:tab w:val="clear" w:pos="7892"/>
              <w:tab w:val="right" w:pos="9026" w:leader="dot"/>
            </w:tabs>
            <w:rPr/>
          </w:pPr>
          <w:hyperlink w:anchor="__RefHeading___Toc607462_1934241801">
            <w:r>
              <w:rPr>
                <w:webHidden/>
                <w:rStyle w:val="IndexLink"/>
                <w:rtl w:val="true"/>
              </w:rPr>
              <w:t xml:space="preserve">روایت </w:t>
            </w:r>
            <w:r>
              <w:rPr>
                <w:rStyle w:val="IndexLink"/>
              </w:rPr>
              <w:t>29</w:t>
            </w:r>
            <w:r>
              <w:rPr>
                <w:rStyle w:val="IndexLink"/>
                <w:rtl w:val="true"/>
              </w:rPr>
              <w:tab/>
            </w:r>
            <w:r>
              <w:rPr>
                <w:rStyle w:val="IndexLink"/>
              </w:rPr>
              <w:t>551</w:t>
            </w:r>
          </w:hyperlink>
        </w:p>
        <w:p>
          <w:pPr>
            <w:pStyle w:val="Contents5"/>
            <w:tabs>
              <w:tab w:val="clear" w:pos="7892"/>
              <w:tab w:val="right" w:pos="9026" w:leader="dot"/>
            </w:tabs>
            <w:rPr/>
          </w:pPr>
          <w:hyperlink w:anchor="__RefHeading___Toc607464_1934241801">
            <w:r>
              <w:rPr>
                <w:webHidden/>
                <w:rStyle w:val="IndexLink"/>
                <w:rtl w:val="true"/>
              </w:rPr>
              <w:t xml:space="preserve">روایت </w:t>
            </w:r>
            <w:r>
              <w:rPr>
                <w:rStyle w:val="IndexLink"/>
              </w:rPr>
              <w:t>30</w:t>
            </w:r>
            <w:r>
              <w:rPr>
                <w:rStyle w:val="IndexLink"/>
                <w:rtl w:val="true"/>
              </w:rPr>
              <w:tab/>
            </w:r>
            <w:r>
              <w:rPr>
                <w:rStyle w:val="IndexLink"/>
              </w:rPr>
              <w:t>551</w:t>
            </w:r>
          </w:hyperlink>
        </w:p>
        <w:p>
          <w:pPr>
            <w:pStyle w:val="Contents5"/>
            <w:tabs>
              <w:tab w:val="clear" w:pos="7892"/>
              <w:tab w:val="right" w:pos="9026" w:leader="dot"/>
            </w:tabs>
            <w:rPr/>
          </w:pPr>
          <w:hyperlink w:anchor="__RefHeading___Toc607466_1934241801">
            <w:r>
              <w:rPr>
                <w:webHidden/>
                <w:rStyle w:val="IndexLink"/>
                <w:rtl w:val="true"/>
              </w:rPr>
              <w:t xml:space="preserve">روایت </w:t>
            </w:r>
            <w:r>
              <w:rPr>
                <w:rStyle w:val="IndexLink"/>
              </w:rPr>
              <w:t>31</w:t>
            </w:r>
            <w:r>
              <w:rPr>
                <w:rStyle w:val="IndexLink"/>
                <w:rtl w:val="true"/>
              </w:rPr>
              <w:tab/>
            </w:r>
            <w:r>
              <w:rPr>
                <w:rStyle w:val="IndexLink"/>
              </w:rPr>
              <w:t>552</w:t>
            </w:r>
          </w:hyperlink>
        </w:p>
        <w:p>
          <w:pPr>
            <w:pStyle w:val="Contents5"/>
            <w:tabs>
              <w:tab w:val="clear" w:pos="7892"/>
              <w:tab w:val="right" w:pos="9026" w:leader="dot"/>
            </w:tabs>
            <w:rPr/>
          </w:pPr>
          <w:hyperlink w:anchor="__RefHeading___Toc607468_1934241801">
            <w:r>
              <w:rPr>
                <w:webHidden/>
                <w:rStyle w:val="IndexLink"/>
                <w:rtl w:val="true"/>
              </w:rPr>
              <w:t>توضیح</w:t>
            </w:r>
            <w:r>
              <w:rPr>
                <w:rStyle w:val="IndexLink"/>
                <w:rtl w:val="true"/>
              </w:rPr>
              <w:tab/>
            </w:r>
            <w:r>
              <w:rPr>
                <w:rStyle w:val="IndexLink"/>
              </w:rPr>
              <w:t>552</w:t>
            </w:r>
          </w:hyperlink>
        </w:p>
        <w:p>
          <w:pPr>
            <w:pStyle w:val="Contents5"/>
            <w:tabs>
              <w:tab w:val="clear" w:pos="7892"/>
              <w:tab w:val="right" w:pos="9026" w:leader="dot"/>
            </w:tabs>
            <w:rPr/>
          </w:pPr>
          <w:hyperlink w:anchor="__RefHeading___Toc607470_1934241801">
            <w:r>
              <w:rPr>
                <w:webHidden/>
                <w:rStyle w:val="IndexLink"/>
                <w:rtl w:val="true"/>
              </w:rPr>
              <w:t>«</w:t>
            </w:r>
            <w:r>
              <w:rPr>
                <w:rStyle w:val="IndexLink"/>
              </w:rPr>
              <w:t>32</w:t>
            </w:r>
            <w:r>
              <w:rPr>
                <w:rStyle w:val="IndexLink"/>
                <w:rtl w:val="true"/>
              </w:rPr>
              <w:t>»</w:t>
              <w:tab/>
            </w:r>
            <w:r>
              <w:rPr>
                <w:rStyle w:val="IndexLink"/>
              </w:rPr>
              <w:t>555</w:t>
            </w:r>
          </w:hyperlink>
        </w:p>
        <w:p>
          <w:pPr>
            <w:pStyle w:val="Contents5"/>
            <w:tabs>
              <w:tab w:val="clear" w:pos="7892"/>
              <w:tab w:val="right" w:pos="9026" w:leader="dot"/>
            </w:tabs>
            <w:rPr/>
          </w:pPr>
          <w:hyperlink w:anchor="__RefHeading___Toc607472_1934241801">
            <w:r>
              <w:rPr>
                <w:webHidden/>
                <w:rStyle w:val="IndexLink"/>
                <w:rtl w:val="true"/>
              </w:rPr>
              <w:t>بيان</w:t>
            </w:r>
            <w:r>
              <w:rPr>
                <w:rStyle w:val="IndexLink"/>
                <w:rtl w:val="true"/>
              </w:rPr>
              <w:tab/>
            </w:r>
            <w:r>
              <w:rPr>
                <w:rStyle w:val="IndexLink"/>
              </w:rPr>
              <w:t>555</w:t>
            </w:r>
          </w:hyperlink>
        </w:p>
        <w:p>
          <w:pPr>
            <w:pStyle w:val="Contents5"/>
            <w:tabs>
              <w:tab w:val="clear" w:pos="7892"/>
              <w:tab w:val="right" w:pos="9026" w:leader="dot"/>
            </w:tabs>
            <w:rPr/>
          </w:pPr>
          <w:hyperlink w:anchor="__RefHeading___Toc607474_1934241801">
            <w:r>
              <w:rPr>
                <w:webHidden/>
                <w:rStyle w:val="IndexLink"/>
                <w:rtl w:val="true"/>
              </w:rPr>
              <w:t xml:space="preserve">روایت </w:t>
            </w:r>
            <w:r>
              <w:rPr>
                <w:rStyle w:val="IndexLink"/>
              </w:rPr>
              <w:t>32</w:t>
            </w:r>
            <w:r>
              <w:rPr>
                <w:rStyle w:val="IndexLink"/>
                <w:rtl w:val="true"/>
              </w:rPr>
              <w:tab/>
            </w:r>
            <w:r>
              <w:rPr>
                <w:rStyle w:val="IndexLink"/>
              </w:rPr>
              <w:t>555</w:t>
            </w:r>
          </w:hyperlink>
        </w:p>
        <w:p>
          <w:pPr>
            <w:pStyle w:val="Contents5"/>
            <w:tabs>
              <w:tab w:val="clear" w:pos="7892"/>
              <w:tab w:val="right" w:pos="9026" w:leader="dot"/>
            </w:tabs>
            <w:rPr/>
          </w:pPr>
          <w:hyperlink w:anchor="__RefHeading___Toc607476_1934241801">
            <w:r>
              <w:rPr>
                <w:webHidden/>
                <w:rStyle w:val="IndexLink"/>
                <w:rtl w:val="true"/>
              </w:rPr>
              <w:t>توضیح</w:t>
            </w:r>
            <w:r>
              <w:rPr>
                <w:rStyle w:val="IndexLink"/>
                <w:rtl w:val="true"/>
              </w:rPr>
              <w:tab/>
            </w:r>
            <w:r>
              <w:rPr>
                <w:rStyle w:val="IndexLink"/>
              </w:rPr>
              <w:t>556</w:t>
            </w:r>
          </w:hyperlink>
        </w:p>
        <w:p>
          <w:pPr>
            <w:pStyle w:val="Contents5"/>
            <w:tabs>
              <w:tab w:val="clear" w:pos="7892"/>
              <w:tab w:val="right" w:pos="9026" w:leader="dot"/>
            </w:tabs>
            <w:rPr/>
          </w:pPr>
          <w:hyperlink w:anchor="__RefHeading___Toc607478_1934241801">
            <w:r>
              <w:rPr>
                <w:webHidden/>
                <w:rStyle w:val="IndexLink"/>
                <w:rtl w:val="true"/>
              </w:rPr>
              <w:t>أقول</w:t>
            </w:r>
            <w:r>
              <w:rPr>
                <w:rStyle w:val="IndexLink"/>
                <w:rtl w:val="true"/>
              </w:rPr>
              <w:tab/>
            </w:r>
            <w:r>
              <w:rPr>
                <w:rStyle w:val="IndexLink"/>
              </w:rPr>
              <w:t>559</w:t>
            </w:r>
          </w:hyperlink>
        </w:p>
        <w:p>
          <w:pPr>
            <w:pStyle w:val="Contents5"/>
            <w:tabs>
              <w:tab w:val="clear" w:pos="7892"/>
              <w:tab w:val="right" w:pos="9026" w:leader="dot"/>
            </w:tabs>
            <w:rPr/>
          </w:pPr>
          <w:hyperlink w:anchor="__RefHeading___Toc607480_1934241801">
            <w:r>
              <w:rPr>
                <w:webHidden/>
                <w:rStyle w:val="IndexLink"/>
                <w:rtl w:val="true"/>
              </w:rPr>
              <w:t>«</w:t>
            </w:r>
            <w:r>
              <w:rPr>
                <w:rStyle w:val="IndexLink"/>
              </w:rPr>
              <w:t>33</w:t>
            </w:r>
            <w:r>
              <w:rPr>
                <w:rStyle w:val="IndexLink"/>
                <w:rtl w:val="true"/>
              </w:rPr>
              <w:t>»</w:t>
              <w:tab/>
            </w:r>
            <w:r>
              <w:rPr>
                <w:rStyle w:val="IndexLink"/>
              </w:rPr>
              <w:t>559</w:t>
            </w:r>
          </w:hyperlink>
        </w:p>
        <w:p>
          <w:pPr>
            <w:pStyle w:val="Contents5"/>
            <w:tabs>
              <w:tab w:val="clear" w:pos="7892"/>
              <w:tab w:val="right" w:pos="9026" w:leader="dot"/>
            </w:tabs>
            <w:rPr/>
          </w:pPr>
          <w:hyperlink w:anchor="__RefHeading___Toc607482_1934241801">
            <w:r>
              <w:rPr>
                <w:webHidden/>
                <w:rStyle w:val="IndexLink"/>
                <w:rtl w:val="true"/>
              </w:rPr>
              <w:t>تبيين</w:t>
            </w:r>
            <w:r>
              <w:rPr>
                <w:rStyle w:val="IndexLink"/>
                <w:rtl w:val="true"/>
              </w:rPr>
              <w:tab/>
            </w:r>
            <w:r>
              <w:rPr>
                <w:rStyle w:val="IndexLink"/>
              </w:rPr>
              <w:t>559</w:t>
            </w:r>
          </w:hyperlink>
        </w:p>
        <w:p>
          <w:pPr>
            <w:pStyle w:val="Contents5"/>
            <w:tabs>
              <w:tab w:val="clear" w:pos="7892"/>
              <w:tab w:val="right" w:pos="9026" w:leader="dot"/>
            </w:tabs>
            <w:rPr/>
          </w:pPr>
          <w:hyperlink w:anchor="__RefHeading___Toc607484_1934241801">
            <w:r>
              <w:rPr>
                <w:webHidden/>
                <w:rStyle w:val="IndexLink"/>
                <w:rtl w:val="true"/>
              </w:rPr>
              <w:t>می گویم</w:t>
            </w:r>
            <w:r>
              <w:rPr>
                <w:rStyle w:val="IndexLink"/>
                <w:rtl w:val="true"/>
              </w:rPr>
              <w:tab/>
            </w:r>
            <w:r>
              <w:rPr>
                <w:rStyle w:val="IndexLink"/>
              </w:rPr>
              <w:t>559</w:t>
            </w:r>
          </w:hyperlink>
        </w:p>
        <w:p>
          <w:pPr>
            <w:pStyle w:val="Contents5"/>
            <w:tabs>
              <w:tab w:val="clear" w:pos="7892"/>
              <w:tab w:val="right" w:pos="9026" w:leader="dot"/>
            </w:tabs>
            <w:rPr/>
          </w:pPr>
          <w:hyperlink w:anchor="__RefHeading___Toc607486_1934241801">
            <w:r>
              <w:rPr>
                <w:webHidden/>
                <w:rStyle w:val="IndexLink"/>
                <w:rtl w:val="true"/>
              </w:rPr>
              <w:t xml:space="preserve">روایت </w:t>
            </w:r>
            <w:r>
              <w:rPr>
                <w:rStyle w:val="IndexLink"/>
              </w:rPr>
              <w:t>33</w:t>
            </w:r>
            <w:r>
              <w:rPr>
                <w:rStyle w:val="IndexLink"/>
                <w:rtl w:val="true"/>
              </w:rPr>
              <w:tab/>
            </w:r>
            <w:r>
              <w:rPr>
                <w:rStyle w:val="IndexLink"/>
              </w:rPr>
              <w:t>560</w:t>
            </w:r>
          </w:hyperlink>
        </w:p>
        <w:p>
          <w:pPr>
            <w:pStyle w:val="Contents5"/>
            <w:tabs>
              <w:tab w:val="clear" w:pos="7892"/>
              <w:tab w:val="right" w:pos="9026" w:leader="dot"/>
            </w:tabs>
            <w:rPr/>
          </w:pPr>
          <w:hyperlink w:anchor="__RefHeading___Toc607488_1934241801">
            <w:r>
              <w:rPr>
                <w:webHidden/>
                <w:rStyle w:val="IndexLink"/>
                <w:rtl w:val="true"/>
              </w:rPr>
              <w:t>توضیح</w:t>
            </w:r>
            <w:r>
              <w:rPr>
                <w:rStyle w:val="IndexLink"/>
                <w:rtl w:val="true"/>
              </w:rPr>
              <w:tab/>
            </w:r>
            <w:r>
              <w:rPr>
                <w:rStyle w:val="IndexLink"/>
              </w:rPr>
              <w:t>560</w:t>
            </w:r>
          </w:hyperlink>
        </w:p>
        <w:p>
          <w:pPr>
            <w:pStyle w:val="Contents5"/>
            <w:tabs>
              <w:tab w:val="clear" w:pos="7892"/>
              <w:tab w:val="right" w:pos="9026" w:leader="dot"/>
            </w:tabs>
            <w:rPr/>
          </w:pPr>
          <w:hyperlink w:anchor="__RefHeading___Toc607490_1934241801">
            <w:r>
              <w:rPr>
                <w:webHidden/>
                <w:rStyle w:val="IndexLink"/>
                <w:rtl w:val="true"/>
              </w:rPr>
              <w:t>أقول</w:t>
            </w:r>
            <w:r>
              <w:rPr>
                <w:rStyle w:val="IndexLink"/>
                <w:rtl w:val="true"/>
              </w:rPr>
              <w:tab/>
            </w:r>
            <w:r>
              <w:rPr>
                <w:rStyle w:val="IndexLink"/>
              </w:rPr>
              <w:t>561</w:t>
            </w:r>
          </w:hyperlink>
        </w:p>
        <w:p>
          <w:pPr>
            <w:pStyle w:val="Contents5"/>
            <w:tabs>
              <w:tab w:val="clear" w:pos="7892"/>
              <w:tab w:val="right" w:pos="9026" w:leader="dot"/>
            </w:tabs>
            <w:rPr/>
          </w:pPr>
          <w:hyperlink w:anchor="__RefHeading___Toc607492_1934241801">
            <w:r>
              <w:rPr>
                <w:webHidden/>
                <w:rStyle w:val="IndexLink"/>
                <w:rtl w:val="true"/>
              </w:rPr>
              <w:t>«</w:t>
            </w:r>
            <w:r>
              <w:rPr>
                <w:rStyle w:val="IndexLink"/>
              </w:rPr>
              <w:t>34</w:t>
            </w:r>
            <w:r>
              <w:rPr>
                <w:rStyle w:val="IndexLink"/>
                <w:rtl w:val="true"/>
              </w:rPr>
              <w:t>»</w:t>
              <w:tab/>
            </w:r>
            <w:r>
              <w:rPr>
                <w:rStyle w:val="IndexLink"/>
              </w:rPr>
              <w:t>561</w:t>
            </w:r>
          </w:hyperlink>
        </w:p>
        <w:p>
          <w:pPr>
            <w:pStyle w:val="Contents5"/>
            <w:tabs>
              <w:tab w:val="clear" w:pos="7892"/>
              <w:tab w:val="right" w:pos="9026" w:leader="dot"/>
            </w:tabs>
            <w:rPr/>
          </w:pPr>
          <w:hyperlink w:anchor="__RefHeading___Toc607494_1934241801">
            <w:r>
              <w:rPr>
                <w:webHidden/>
                <w:rStyle w:val="IndexLink"/>
                <w:rtl w:val="true"/>
              </w:rPr>
              <w:t>«</w:t>
            </w:r>
            <w:r>
              <w:rPr>
                <w:rStyle w:val="IndexLink"/>
              </w:rPr>
              <w:t>35</w:t>
            </w:r>
            <w:r>
              <w:rPr>
                <w:rStyle w:val="IndexLink"/>
                <w:rtl w:val="true"/>
              </w:rPr>
              <w:t>»</w:t>
              <w:tab/>
            </w:r>
            <w:r>
              <w:rPr>
                <w:rStyle w:val="IndexLink"/>
              </w:rPr>
              <w:t>561</w:t>
            </w:r>
          </w:hyperlink>
        </w:p>
        <w:p>
          <w:pPr>
            <w:pStyle w:val="Contents5"/>
            <w:tabs>
              <w:tab w:val="clear" w:pos="7892"/>
              <w:tab w:val="right" w:pos="9026" w:leader="dot"/>
            </w:tabs>
            <w:rPr/>
          </w:pPr>
          <w:hyperlink w:anchor="__RefHeading___Toc607496_1934241801">
            <w:r>
              <w:rPr>
                <w:webHidden/>
                <w:rStyle w:val="IndexLink"/>
                <w:rtl w:val="true"/>
              </w:rPr>
              <w:t>می گویم</w:t>
            </w:r>
            <w:r>
              <w:rPr>
                <w:rStyle w:val="IndexLink"/>
                <w:rtl w:val="true"/>
              </w:rPr>
              <w:tab/>
            </w:r>
            <w:r>
              <w:rPr>
                <w:rStyle w:val="IndexLink"/>
              </w:rPr>
              <w:t>561</w:t>
            </w:r>
          </w:hyperlink>
        </w:p>
        <w:p>
          <w:pPr>
            <w:pStyle w:val="Contents5"/>
            <w:tabs>
              <w:tab w:val="clear" w:pos="7892"/>
              <w:tab w:val="right" w:pos="9026" w:leader="dot"/>
            </w:tabs>
            <w:rPr/>
          </w:pPr>
          <w:hyperlink w:anchor="__RefHeading___Toc607498_1934241801">
            <w:r>
              <w:rPr>
                <w:webHidden/>
                <w:rStyle w:val="IndexLink"/>
                <w:rtl w:val="true"/>
              </w:rPr>
              <w:t xml:space="preserve">روایت </w:t>
            </w:r>
            <w:r>
              <w:rPr>
                <w:rStyle w:val="IndexLink"/>
              </w:rPr>
              <w:t>34</w:t>
            </w:r>
            <w:r>
              <w:rPr>
                <w:rStyle w:val="IndexLink"/>
                <w:rtl w:val="true"/>
              </w:rPr>
              <w:tab/>
            </w:r>
            <w:r>
              <w:rPr>
                <w:rStyle w:val="IndexLink"/>
              </w:rPr>
              <w:t>562</w:t>
            </w:r>
          </w:hyperlink>
        </w:p>
        <w:p>
          <w:pPr>
            <w:pStyle w:val="Contents5"/>
            <w:tabs>
              <w:tab w:val="clear" w:pos="7892"/>
              <w:tab w:val="right" w:pos="9026" w:leader="dot"/>
            </w:tabs>
            <w:rPr/>
          </w:pPr>
          <w:hyperlink w:anchor="__RefHeading___Toc607500_1934241801">
            <w:r>
              <w:rPr>
                <w:webHidden/>
                <w:rStyle w:val="IndexLink"/>
                <w:rtl w:val="true"/>
              </w:rPr>
              <w:t xml:space="preserve">روایت </w:t>
            </w:r>
            <w:r>
              <w:rPr>
                <w:rStyle w:val="IndexLink"/>
              </w:rPr>
              <w:t>35</w:t>
            </w:r>
            <w:r>
              <w:rPr>
                <w:rStyle w:val="IndexLink"/>
                <w:rtl w:val="true"/>
              </w:rPr>
              <w:tab/>
            </w:r>
            <w:r>
              <w:rPr>
                <w:rStyle w:val="IndexLink"/>
              </w:rPr>
              <w:t>562</w:t>
            </w:r>
          </w:hyperlink>
        </w:p>
        <w:p>
          <w:pPr>
            <w:pStyle w:val="Contents5"/>
            <w:tabs>
              <w:tab w:val="clear" w:pos="7892"/>
              <w:tab w:val="right" w:pos="9026" w:leader="dot"/>
            </w:tabs>
            <w:rPr/>
          </w:pPr>
          <w:hyperlink w:anchor="__RefHeading___Toc607502_1934241801">
            <w:r>
              <w:rPr>
                <w:webHidden/>
                <w:rStyle w:val="IndexLink"/>
                <w:rtl w:val="true"/>
              </w:rPr>
              <w:t>«</w:t>
            </w:r>
            <w:r>
              <w:rPr>
                <w:rStyle w:val="IndexLink"/>
              </w:rPr>
              <w:t>36</w:t>
            </w:r>
            <w:r>
              <w:rPr>
                <w:rStyle w:val="IndexLink"/>
                <w:rtl w:val="true"/>
              </w:rPr>
              <w:t>»</w:t>
              <w:tab/>
            </w:r>
            <w:r>
              <w:rPr>
                <w:rStyle w:val="IndexLink"/>
              </w:rPr>
              <w:t>563</w:t>
            </w:r>
          </w:hyperlink>
        </w:p>
        <w:p>
          <w:pPr>
            <w:pStyle w:val="Contents5"/>
            <w:tabs>
              <w:tab w:val="clear" w:pos="7892"/>
              <w:tab w:val="right" w:pos="9026" w:leader="dot"/>
            </w:tabs>
            <w:rPr/>
          </w:pPr>
          <w:hyperlink w:anchor="__RefHeading___Toc607504_1934241801">
            <w:r>
              <w:rPr>
                <w:webHidden/>
                <w:rStyle w:val="IndexLink"/>
                <w:rtl w:val="true"/>
              </w:rPr>
              <w:t>أقول</w:t>
            </w:r>
            <w:r>
              <w:rPr>
                <w:rStyle w:val="IndexLink"/>
                <w:rtl w:val="true"/>
              </w:rPr>
              <w:tab/>
            </w:r>
            <w:r>
              <w:rPr>
                <w:rStyle w:val="IndexLink"/>
              </w:rPr>
              <w:t>563</w:t>
            </w:r>
          </w:hyperlink>
        </w:p>
        <w:p>
          <w:pPr>
            <w:pStyle w:val="Contents5"/>
            <w:tabs>
              <w:tab w:val="clear" w:pos="7892"/>
              <w:tab w:val="right" w:pos="9026" w:leader="dot"/>
            </w:tabs>
            <w:rPr/>
          </w:pPr>
          <w:hyperlink w:anchor="__RefHeading___Toc607506_1934241801">
            <w:r>
              <w:rPr>
                <w:webHidden/>
                <w:rStyle w:val="IndexLink"/>
                <w:rtl w:val="true"/>
              </w:rPr>
              <w:t xml:space="preserve">روایت </w:t>
            </w:r>
            <w:r>
              <w:rPr>
                <w:rStyle w:val="IndexLink"/>
              </w:rPr>
              <w:t>36</w:t>
            </w:r>
            <w:r>
              <w:rPr>
                <w:rStyle w:val="IndexLink"/>
                <w:rtl w:val="true"/>
              </w:rPr>
              <w:tab/>
            </w:r>
            <w:r>
              <w:rPr>
                <w:rStyle w:val="IndexLink"/>
              </w:rPr>
              <w:t>563</w:t>
            </w:r>
          </w:hyperlink>
        </w:p>
        <w:p>
          <w:pPr>
            <w:pStyle w:val="Contents5"/>
            <w:tabs>
              <w:tab w:val="clear" w:pos="7892"/>
              <w:tab w:val="right" w:pos="9026" w:leader="dot"/>
            </w:tabs>
            <w:rPr/>
          </w:pPr>
          <w:hyperlink w:anchor="__RefHeading___Toc607508_1934241801">
            <w:r>
              <w:rPr>
                <w:webHidden/>
                <w:rStyle w:val="IndexLink"/>
                <w:rtl w:val="true"/>
              </w:rPr>
              <w:t>توضیح</w:t>
            </w:r>
            <w:r>
              <w:rPr>
                <w:rStyle w:val="IndexLink"/>
                <w:rtl w:val="true"/>
              </w:rPr>
              <w:tab/>
            </w:r>
            <w:r>
              <w:rPr>
                <w:rStyle w:val="IndexLink"/>
              </w:rPr>
              <w:t>563</w:t>
            </w:r>
          </w:hyperlink>
        </w:p>
        <w:p>
          <w:pPr>
            <w:pStyle w:val="Contents5"/>
            <w:tabs>
              <w:tab w:val="clear" w:pos="7892"/>
              <w:tab w:val="right" w:pos="9026" w:leader="dot"/>
            </w:tabs>
            <w:rPr/>
          </w:pPr>
          <w:hyperlink w:anchor="__RefHeading___Toc607510_1934241801">
            <w:r>
              <w:rPr>
                <w:webHidden/>
                <w:rStyle w:val="IndexLink"/>
                <w:rtl w:val="true"/>
              </w:rPr>
              <w:t>«</w:t>
            </w:r>
            <w:r>
              <w:rPr>
                <w:rStyle w:val="IndexLink"/>
              </w:rPr>
              <w:t>37</w:t>
            </w:r>
            <w:r>
              <w:rPr>
                <w:rStyle w:val="IndexLink"/>
                <w:rtl w:val="true"/>
              </w:rPr>
              <w:t>»</w:t>
              <w:tab/>
            </w:r>
            <w:r>
              <w:rPr>
                <w:rStyle w:val="IndexLink"/>
              </w:rPr>
              <w:t>571</w:t>
            </w:r>
          </w:hyperlink>
        </w:p>
        <w:p>
          <w:pPr>
            <w:pStyle w:val="Contents5"/>
            <w:tabs>
              <w:tab w:val="clear" w:pos="7892"/>
              <w:tab w:val="right" w:pos="9026" w:leader="dot"/>
            </w:tabs>
            <w:rPr/>
          </w:pPr>
          <w:hyperlink w:anchor="__RefHeading___Toc607512_1934241801">
            <w:r>
              <w:rPr>
                <w:webHidden/>
                <w:rStyle w:val="IndexLink"/>
                <w:rtl w:val="true"/>
              </w:rPr>
              <w:t>توضيح</w:t>
            </w:r>
            <w:r>
              <w:rPr>
                <w:rStyle w:val="IndexLink"/>
                <w:rtl w:val="true"/>
              </w:rPr>
              <w:tab/>
            </w:r>
            <w:r>
              <w:rPr>
                <w:rStyle w:val="IndexLink"/>
              </w:rPr>
              <w:t>571</w:t>
            </w:r>
          </w:hyperlink>
        </w:p>
        <w:p>
          <w:pPr>
            <w:pStyle w:val="Contents5"/>
            <w:tabs>
              <w:tab w:val="clear" w:pos="7892"/>
              <w:tab w:val="right" w:pos="9026" w:leader="dot"/>
            </w:tabs>
            <w:rPr/>
          </w:pPr>
          <w:hyperlink w:anchor="__RefHeading___Toc607514_1934241801">
            <w:r>
              <w:rPr>
                <w:webHidden/>
                <w:rStyle w:val="IndexLink"/>
                <w:rtl w:val="true"/>
              </w:rPr>
              <w:t>«</w:t>
            </w:r>
            <w:r>
              <w:rPr>
                <w:rStyle w:val="IndexLink"/>
              </w:rPr>
              <w:t>38</w:t>
            </w:r>
            <w:r>
              <w:rPr>
                <w:rStyle w:val="IndexLink"/>
                <w:rtl w:val="true"/>
              </w:rPr>
              <w:t>»</w:t>
              <w:tab/>
            </w:r>
            <w:r>
              <w:rPr>
                <w:rStyle w:val="IndexLink"/>
              </w:rPr>
              <w:t>571</w:t>
            </w:r>
          </w:hyperlink>
        </w:p>
        <w:p>
          <w:pPr>
            <w:pStyle w:val="Contents5"/>
            <w:tabs>
              <w:tab w:val="clear" w:pos="7892"/>
              <w:tab w:val="right" w:pos="9026" w:leader="dot"/>
            </w:tabs>
            <w:rPr/>
          </w:pPr>
          <w:hyperlink w:anchor="__RefHeading___Toc607516_1934241801">
            <w:r>
              <w:rPr>
                <w:webHidden/>
                <w:rStyle w:val="IndexLink"/>
                <w:rtl w:val="true"/>
              </w:rPr>
              <w:t xml:space="preserve">روایت </w:t>
            </w:r>
            <w:r>
              <w:rPr>
                <w:rStyle w:val="IndexLink"/>
              </w:rPr>
              <w:t>37</w:t>
            </w:r>
            <w:r>
              <w:rPr>
                <w:rStyle w:val="IndexLink"/>
                <w:rtl w:val="true"/>
              </w:rPr>
              <w:tab/>
            </w:r>
            <w:r>
              <w:rPr>
                <w:rStyle w:val="IndexLink"/>
              </w:rPr>
              <w:t>571</w:t>
            </w:r>
          </w:hyperlink>
        </w:p>
        <w:p>
          <w:pPr>
            <w:pStyle w:val="Contents5"/>
            <w:tabs>
              <w:tab w:val="clear" w:pos="7892"/>
              <w:tab w:val="right" w:pos="9026" w:leader="dot"/>
            </w:tabs>
            <w:rPr/>
          </w:pPr>
          <w:hyperlink w:anchor="__RefHeading___Toc607518_1934241801">
            <w:r>
              <w:rPr>
                <w:webHidden/>
                <w:rStyle w:val="IndexLink"/>
                <w:rtl w:val="true"/>
              </w:rPr>
              <w:t>توضیح</w:t>
            </w:r>
            <w:r>
              <w:rPr>
                <w:rStyle w:val="IndexLink"/>
                <w:rtl w:val="true"/>
              </w:rPr>
              <w:tab/>
            </w:r>
            <w:r>
              <w:rPr>
                <w:rStyle w:val="IndexLink"/>
              </w:rPr>
              <w:t>572</w:t>
            </w:r>
          </w:hyperlink>
        </w:p>
        <w:p>
          <w:pPr>
            <w:pStyle w:val="Contents5"/>
            <w:tabs>
              <w:tab w:val="clear" w:pos="7892"/>
              <w:tab w:val="right" w:pos="9026" w:leader="dot"/>
            </w:tabs>
            <w:rPr/>
          </w:pPr>
          <w:hyperlink w:anchor="__RefHeading___Toc607520_1934241801">
            <w:r>
              <w:rPr>
                <w:webHidden/>
                <w:rStyle w:val="IndexLink"/>
                <w:rtl w:val="true"/>
              </w:rPr>
              <w:t xml:space="preserve">روایت </w:t>
            </w:r>
            <w:r>
              <w:rPr>
                <w:rStyle w:val="IndexLink"/>
              </w:rPr>
              <w:t>38</w:t>
            </w:r>
            <w:r>
              <w:rPr>
                <w:rStyle w:val="IndexLink"/>
                <w:rtl w:val="true"/>
              </w:rPr>
              <w:tab/>
            </w:r>
            <w:r>
              <w:rPr>
                <w:rStyle w:val="IndexLink"/>
              </w:rPr>
              <w:t>572</w:t>
            </w:r>
          </w:hyperlink>
        </w:p>
        <w:p>
          <w:pPr>
            <w:pStyle w:val="Contents5"/>
            <w:tabs>
              <w:tab w:val="clear" w:pos="7892"/>
              <w:tab w:val="right" w:pos="9026" w:leader="dot"/>
            </w:tabs>
            <w:rPr/>
          </w:pPr>
          <w:hyperlink w:anchor="__RefHeading___Toc607522_1934241801">
            <w:r>
              <w:rPr>
                <w:webHidden/>
                <w:rStyle w:val="IndexLink"/>
                <w:rtl w:val="true"/>
              </w:rPr>
              <w:t>إيضاح</w:t>
            </w:r>
            <w:r>
              <w:rPr>
                <w:rStyle w:val="IndexLink"/>
                <w:rtl w:val="true"/>
              </w:rPr>
              <w:tab/>
            </w:r>
            <w:r>
              <w:rPr>
                <w:rStyle w:val="IndexLink"/>
              </w:rPr>
              <w:t>573</w:t>
            </w:r>
          </w:hyperlink>
        </w:p>
        <w:p>
          <w:pPr>
            <w:pStyle w:val="Contents5"/>
            <w:tabs>
              <w:tab w:val="clear" w:pos="7892"/>
              <w:tab w:val="right" w:pos="9026" w:leader="dot"/>
            </w:tabs>
            <w:rPr/>
          </w:pPr>
          <w:hyperlink w:anchor="__RefHeading___Toc607524_1934241801">
            <w:r>
              <w:rPr>
                <w:webHidden/>
                <w:rStyle w:val="IndexLink"/>
                <w:rtl w:val="true"/>
              </w:rPr>
              <w:t>توضیح</w:t>
            </w:r>
            <w:r>
              <w:rPr>
                <w:rStyle w:val="IndexLink"/>
                <w:rtl w:val="true"/>
              </w:rPr>
              <w:tab/>
            </w:r>
            <w:r>
              <w:rPr>
                <w:rStyle w:val="IndexLink"/>
              </w:rPr>
              <w:t>573</w:t>
            </w:r>
          </w:hyperlink>
        </w:p>
        <w:p>
          <w:pPr>
            <w:pStyle w:val="Contents5"/>
            <w:tabs>
              <w:tab w:val="clear" w:pos="7892"/>
              <w:tab w:val="right" w:pos="9026" w:leader="dot"/>
            </w:tabs>
            <w:rPr/>
          </w:pPr>
          <w:hyperlink w:anchor="__RefHeading___Toc607526_1934241801">
            <w:r>
              <w:rPr>
                <w:webHidden/>
                <w:rStyle w:val="IndexLink"/>
                <w:rtl w:val="true"/>
              </w:rPr>
              <w:t>«</w:t>
            </w:r>
            <w:r>
              <w:rPr>
                <w:rStyle w:val="IndexLink"/>
              </w:rPr>
              <w:t>39</w:t>
            </w:r>
            <w:r>
              <w:rPr>
                <w:rStyle w:val="IndexLink"/>
                <w:rtl w:val="true"/>
              </w:rPr>
              <w:t>»</w:t>
              <w:tab/>
            </w:r>
            <w:r>
              <w:rPr>
                <w:rStyle w:val="IndexLink"/>
              </w:rPr>
              <w:t>575</w:t>
            </w:r>
          </w:hyperlink>
        </w:p>
        <w:p>
          <w:pPr>
            <w:pStyle w:val="Contents5"/>
            <w:tabs>
              <w:tab w:val="clear" w:pos="7892"/>
              <w:tab w:val="right" w:pos="9026" w:leader="dot"/>
            </w:tabs>
            <w:rPr/>
          </w:pPr>
          <w:hyperlink w:anchor="__RefHeading___Toc607528_1934241801">
            <w:r>
              <w:rPr>
                <w:webHidden/>
                <w:rStyle w:val="IndexLink"/>
                <w:rtl w:val="true"/>
              </w:rPr>
              <w:t>«</w:t>
            </w:r>
            <w:r>
              <w:rPr>
                <w:rStyle w:val="IndexLink"/>
              </w:rPr>
              <w:t>40</w:t>
            </w:r>
            <w:r>
              <w:rPr>
                <w:rStyle w:val="IndexLink"/>
                <w:rtl w:val="true"/>
              </w:rPr>
              <w:t>»</w:t>
              <w:tab/>
            </w:r>
            <w:r>
              <w:rPr>
                <w:rStyle w:val="IndexLink"/>
              </w:rPr>
              <w:t>575</w:t>
            </w:r>
          </w:hyperlink>
        </w:p>
        <w:p>
          <w:pPr>
            <w:pStyle w:val="Contents5"/>
            <w:tabs>
              <w:tab w:val="clear" w:pos="7892"/>
              <w:tab w:val="right" w:pos="9026" w:leader="dot"/>
            </w:tabs>
            <w:rPr/>
          </w:pPr>
          <w:hyperlink w:anchor="__RefHeading___Toc607530_1934241801">
            <w:r>
              <w:rPr>
                <w:webHidden/>
                <w:rStyle w:val="IndexLink"/>
                <w:rtl w:val="true"/>
              </w:rPr>
              <w:t xml:space="preserve">روایت </w:t>
            </w:r>
            <w:r>
              <w:rPr>
                <w:rStyle w:val="IndexLink"/>
              </w:rPr>
              <w:t>39</w:t>
            </w:r>
            <w:r>
              <w:rPr>
                <w:rStyle w:val="IndexLink"/>
                <w:rtl w:val="true"/>
              </w:rPr>
              <w:tab/>
            </w:r>
            <w:r>
              <w:rPr>
                <w:rStyle w:val="IndexLink"/>
              </w:rPr>
              <w:t>575</w:t>
            </w:r>
          </w:hyperlink>
        </w:p>
        <w:p>
          <w:pPr>
            <w:pStyle w:val="Contents5"/>
            <w:tabs>
              <w:tab w:val="clear" w:pos="7892"/>
              <w:tab w:val="right" w:pos="9026" w:leader="dot"/>
            </w:tabs>
            <w:rPr/>
          </w:pPr>
          <w:hyperlink w:anchor="__RefHeading___Toc607532_1934241801">
            <w:r>
              <w:rPr>
                <w:webHidden/>
                <w:rStyle w:val="IndexLink"/>
                <w:rtl w:val="true"/>
              </w:rPr>
              <w:t xml:space="preserve">روایت </w:t>
            </w:r>
            <w:r>
              <w:rPr>
                <w:rStyle w:val="IndexLink"/>
              </w:rPr>
              <w:t>40</w:t>
            </w:r>
            <w:r>
              <w:rPr>
                <w:rStyle w:val="IndexLink"/>
                <w:rtl w:val="true"/>
              </w:rPr>
              <w:tab/>
            </w:r>
            <w:r>
              <w:rPr>
                <w:rStyle w:val="IndexLink"/>
              </w:rPr>
              <w:t>575</w:t>
            </w:r>
          </w:hyperlink>
        </w:p>
        <w:p>
          <w:pPr>
            <w:pStyle w:val="Contents5"/>
            <w:tabs>
              <w:tab w:val="clear" w:pos="7892"/>
              <w:tab w:val="right" w:pos="9026" w:leader="dot"/>
            </w:tabs>
            <w:rPr/>
          </w:pPr>
          <w:hyperlink w:anchor="__RefHeading___Toc607534_1934241801">
            <w:r>
              <w:rPr>
                <w:webHidden/>
                <w:rStyle w:val="IndexLink"/>
                <w:rtl w:val="true"/>
              </w:rPr>
              <w:t>بيان</w:t>
            </w:r>
            <w:r>
              <w:rPr>
                <w:rStyle w:val="IndexLink"/>
                <w:rtl w:val="true"/>
              </w:rPr>
              <w:tab/>
            </w:r>
            <w:r>
              <w:rPr>
                <w:rStyle w:val="IndexLink"/>
              </w:rPr>
              <w:t>579</w:t>
            </w:r>
          </w:hyperlink>
        </w:p>
        <w:p>
          <w:pPr>
            <w:pStyle w:val="Contents5"/>
            <w:tabs>
              <w:tab w:val="clear" w:pos="7892"/>
              <w:tab w:val="right" w:pos="9026" w:leader="dot"/>
            </w:tabs>
            <w:rPr/>
          </w:pPr>
          <w:hyperlink w:anchor="__RefHeading___Toc607536_1934241801">
            <w:r>
              <w:rPr>
                <w:webHidden/>
                <w:rStyle w:val="IndexLink"/>
                <w:rtl w:val="true"/>
              </w:rPr>
              <w:t>توضیح</w:t>
            </w:r>
            <w:r>
              <w:rPr>
                <w:rStyle w:val="IndexLink"/>
                <w:rtl w:val="true"/>
              </w:rPr>
              <w:tab/>
            </w:r>
            <w:r>
              <w:rPr>
                <w:rStyle w:val="IndexLink"/>
              </w:rPr>
              <w:t>580</w:t>
            </w:r>
          </w:hyperlink>
        </w:p>
        <w:p>
          <w:pPr>
            <w:pStyle w:val="Contents3"/>
            <w:tabs>
              <w:tab w:val="clear" w:pos="8459"/>
              <w:tab w:val="right" w:pos="9026" w:leader="dot"/>
            </w:tabs>
            <w:rPr/>
          </w:pPr>
          <w:hyperlink w:anchor="__RefHeading___Toc607538_1934241801">
            <w:r>
              <w:rPr>
                <w:webHidden/>
                <w:rStyle w:val="IndexLink"/>
                <w:rtl w:val="true"/>
              </w:rPr>
              <w:t xml:space="preserve">باب </w:t>
            </w:r>
            <w:r>
              <w:rPr>
                <w:rStyle w:val="IndexLink"/>
              </w:rPr>
              <w:t>8</w:t>
            </w:r>
            <w:r>
              <w:rPr>
                <w:rStyle w:val="IndexLink"/>
                <w:rtl w:val="true"/>
              </w:rPr>
              <w:t xml:space="preserve"> </w:t>
            </w:r>
            <w:r>
              <w:rPr>
                <w:rStyle w:val="IndexLink"/>
                <w:rtl w:val="true"/>
              </w:rPr>
              <w:t>وجوب غسل الميت و علله و آدابه و أحكامه</w:t>
            </w:r>
            <w:r>
              <w:rPr>
                <w:rStyle w:val="IndexLink"/>
                <w:rtl w:val="true"/>
              </w:rPr>
              <w:tab/>
            </w:r>
            <w:r>
              <w:rPr>
                <w:rStyle w:val="IndexLink"/>
              </w:rPr>
              <w:t>581</w:t>
            </w:r>
          </w:hyperlink>
        </w:p>
        <w:p>
          <w:pPr>
            <w:pStyle w:val="Contents4"/>
            <w:tabs>
              <w:tab w:val="clear" w:pos="8176"/>
              <w:tab w:val="right" w:pos="9026" w:leader="dot"/>
            </w:tabs>
            <w:rPr/>
          </w:pPr>
          <w:hyperlink w:anchor="__RefHeading___Toc607540_1934241801">
            <w:r>
              <w:rPr>
                <w:webHidden/>
                <w:rStyle w:val="IndexLink"/>
                <w:rtl w:val="true"/>
              </w:rPr>
              <w:t>روايات</w:t>
            </w:r>
            <w:r>
              <w:rPr>
                <w:rStyle w:val="IndexLink"/>
                <w:rtl w:val="true"/>
              </w:rPr>
              <w:tab/>
            </w:r>
            <w:r>
              <w:rPr>
                <w:rStyle w:val="IndexLink"/>
              </w:rPr>
              <w:t>581</w:t>
            </w:r>
          </w:hyperlink>
        </w:p>
        <w:p>
          <w:pPr>
            <w:pStyle w:val="Contents5"/>
            <w:tabs>
              <w:tab w:val="clear" w:pos="7892"/>
              <w:tab w:val="right" w:pos="9026" w:leader="dot"/>
            </w:tabs>
            <w:rPr/>
          </w:pPr>
          <w:hyperlink w:anchor="__RefHeading___Toc607542_1934241801">
            <w:r>
              <w:rPr>
                <w:webHidden/>
                <w:rStyle w:val="IndexLink"/>
                <w:rtl w:val="true"/>
              </w:rPr>
              <w:t>«</w:t>
            </w:r>
            <w:r>
              <w:rPr>
                <w:rStyle w:val="IndexLink"/>
              </w:rPr>
              <w:t>1</w:t>
            </w:r>
            <w:r>
              <w:rPr>
                <w:rStyle w:val="IndexLink"/>
                <w:rtl w:val="true"/>
              </w:rPr>
              <w:t>»</w:t>
              <w:tab/>
            </w:r>
            <w:r>
              <w:rPr>
                <w:rStyle w:val="IndexLink"/>
              </w:rPr>
              <w:t>581</w:t>
            </w:r>
          </w:hyperlink>
        </w:p>
        <w:p>
          <w:pPr>
            <w:pStyle w:val="Contents5"/>
            <w:tabs>
              <w:tab w:val="clear" w:pos="7892"/>
              <w:tab w:val="right" w:pos="9026" w:leader="dot"/>
            </w:tabs>
            <w:rPr/>
          </w:pPr>
          <w:hyperlink w:anchor="__RefHeading___Toc607544_1934241801">
            <w:r>
              <w:rPr>
                <w:webHidden/>
                <w:rStyle w:val="IndexLink"/>
                <w:rtl w:val="true"/>
              </w:rPr>
              <w:t>«</w:t>
            </w:r>
            <w:r>
              <w:rPr>
                <w:rStyle w:val="IndexLink"/>
              </w:rPr>
              <w:t>2</w:t>
            </w:r>
            <w:r>
              <w:rPr>
                <w:rStyle w:val="IndexLink"/>
                <w:rtl w:val="true"/>
              </w:rPr>
              <w:t>»</w:t>
              <w:tab/>
            </w:r>
            <w:r>
              <w:rPr>
                <w:rStyle w:val="IndexLink"/>
              </w:rPr>
              <w:t>581</w:t>
            </w:r>
          </w:hyperlink>
        </w:p>
        <w:p>
          <w:pPr>
            <w:pStyle w:val="Contents5"/>
            <w:tabs>
              <w:tab w:val="clear" w:pos="7892"/>
              <w:tab w:val="right" w:pos="9026" w:leader="dot"/>
            </w:tabs>
            <w:rPr/>
          </w:pPr>
          <w:hyperlink w:anchor="__RefHeading___Toc607546_1934241801">
            <w:r>
              <w:rPr>
                <w:webHidden/>
                <w:rStyle w:val="IndexLink"/>
                <w:rtl w:val="true"/>
              </w:rPr>
              <w:t>«</w:t>
            </w:r>
            <w:r>
              <w:rPr>
                <w:rStyle w:val="IndexLink"/>
              </w:rPr>
              <w:t>3</w:t>
            </w:r>
            <w:r>
              <w:rPr>
                <w:rStyle w:val="IndexLink"/>
                <w:rtl w:val="true"/>
              </w:rPr>
              <w:t>»</w:t>
              <w:tab/>
            </w:r>
            <w:r>
              <w:rPr>
                <w:rStyle w:val="IndexLink"/>
              </w:rPr>
              <w:t>581</w:t>
            </w:r>
          </w:hyperlink>
        </w:p>
        <w:p>
          <w:pPr>
            <w:pStyle w:val="Contents5"/>
            <w:tabs>
              <w:tab w:val="clear" w:pos="7892"/>
              <w:tab w:val="right" w:pos="9026" w:leader="dot"/>
            </w:tabs>
            <w:rPr/>
          </w:pPr>
          <w:hyperlink w:anchor="__RefHeading___Toc607548_1934241801">
            <w:r>
              <w:rPr>
                <w:webHidden/>
                <w:rStyle w:val="IndexLink"/>
                <w:rtl w:val="true"/>
              </w:rPr>
              <w:t>«</w:t>
            </w:r>
            <w:r>
              <w:rPr>
                <w:rStyle w:val="IndexLink"/>
              </w:rPr>
              <w:t>4</w:t>
            </w:r>
            <w:r>
              <w:rPr>
                <w:rStyle w:val="IndexLink"/>
                <w:rtl w:val="true"/>
              </w:rPr>
              <w:t>»</w:t>
              <w:tab/>
            </w:r>
            <w:r>
              <w:rPr>
                <w:rStyle w:val="IndexLink"/>
              </w:rPr>
              <w:t>581</w:t>
            </w:r>
          </w:hyperlink>
        </w:p>
        <w:p>
          <w:pPr>
            <w:pStyle w:val="Contents3"/>
            <w:tabs>
              <w:tab w:val="clear" w:pos="8459"/>
              <w:tab w:val="right" w:pos="9026" w:leader="dot"/>
            </w:tabs>
            <w:rPr/>
          </w:pPr>
          <w:hyperlink w:anchor="__RefHeading___Toc607550_1934241801">
            <w:r>
              <w:rPr>
                <w:webHidden/>
                <w:rStyle w:val="IndexLink"/>
                <w:rtl w:val="true"/>
              </w:rPr>
              <w:t xml:space="preserve">باب هشتم </w:t>
            </w:r>
            <w:r>
              <w:rPr>
                <w:rStyle w:val="IndexLink"/>
                <w:rtl w:val="true"/>
              </w:rPr>
              <w:t xml:space="preserve">: </w:t>
            </w:r>
            <w:r>
              <w:rPr>
                <w:rStyle w:val="IndexLink"/>
                <w:rtl w:val="true"/>
              </w:rPr>
              <w:t>وجوب غسل میّت و علل، آداب و احکام آن</w:t>
            </w:r>
            <w:r>
              <w:rPr>
                <w:rStyle w:val="IndexLink"/>
                <w:rtl w:val="true"/>
              </w:rPr>
              <w:tab/>
            </w:r>
            <w:r>
              <w:rPr>
                <w:rStyle w:val="IndexLink"/>
              </w:rPr>
              <w:t>581</w:t>
            </w:r>
          </w:hyperlink>
        </w:p>
        <w:p>
          <w:pPr>
            <w:pStyle w:val="Contents4"/>
            <w:tabs>
              <w:tab w:val="clear" w:pos="8176"/>
              <w:tab w:val="right" w:pos="9026" w:leader="dot"/>
            </w:tabs>
            <w:rPr/>
          </w:pPr>
          <w:hyperlink w:anchor="__RefHeading___Toc607552_1934241801">
            <w:r>
              <w:rPr>
                <w:webHidden/>
                <w:rStyle w:val="IndexLink"/>
                <w:rtl w:val="true"/>
              </w:rPr>
              <w:t>روایات</w:t>
            </w:r>
            <w:r>
              <w:rPr>
                <w:rStyle w:val="IndexLink"/>
                <w:rtl w:val="true"/>
              </w:rPr>
              <w:tab/>
            </w:r>
            <w:r>
              <w:rPr>
                <w:rStyle w:val="IndexLink"/>
              </w:rPr>
              <w:t>581</w:t>
            </w:r>
          </w:hyperlink>
        </w:p>
        <w:p>
          <w:pPr>
            <w:pStyle w:val="Contents5"/>
            <w:tabs>
              <w:tab w:val="clear" w:pos="7892"/>
              <w:tab w:val="right" w:pos="9026" w:leader="dot"/>
            </w:tabs>
            <w:rPr/>
          </w:pPr>
          <w:hyperlink w:anchor="__RefHeading___Toc607554_1934241801">
            <w:r>
              <w:rPr>
                <w:webHidden/>
                <w:rStyle w:val="IndexLink"/>
                <w:rtl w:val="true"/>
              </w:rPr>
              <w:t xml:space="preserve">روایت </w:t>
            </w:r>
            <w:r>
              <w:rPr>
                <w:rStyle w:val="IndexLink"/>
              </w:rPr>
              <w:t>1</w:t>
            </w:r>
            <w:r>
              <w:rPr>
                <w:rStyle w:val="IndexLink"/>
                <w:rtl w:val="true"/>
              </w:rPr>
              <w:tab/>
            </w:r>
            <w:r>
              <w:rPr>
                <w:rStyle w:val="IndexLink"/>
              </w:rPr>
              <w:t>581</w:t>
            </w:r>
          </w:hyperlink>
        </w:p>
        <w:p>
          <w:pPr>
            <w:pStyle w:val="Contents5"/>
            <w:tabs>
              <w:tab w:val="clear" w:pos="7892"/>
              <w:tab w:val="right" w:pos="9026" w:leader="dot"/>
            </w:tabs>
            <w:rPr/>
          </w:pPr>
          <w:hyperlink w:anchor="__RefHeading___Toc607556_1934241801">
            <w:r>
              <w:rPr>
                <w:webHidden/>
                <w:rStyle w:val="IndexLink"/>
                <w:rtl w:val="true"/>
              </w:rPr>
              <w:t xml:space="preserve">روایت </w:t>
            </w:r>
            <w:r>
              <w:rPr>
                <w:rStyle w:val="IndexLink"/>
              </w:rPr>
              <w:t>2</w:t>
            </w:r>
            <w:r>
              <w:rPr>
                <w:rStyle w:val="IndexLink"/>
                <w:rtl w:val="true"/>
              </w:rPr>
              <w:tab/>
            </w:r>
            <w:r>
              <w:rPr>
                <w:rStyle w:val="IndexLink"/>
              </w:rPr>
              <w:t>581</w:t>
            </w:r>
          </w:hyperlink>
        </w:p>
        <w:p>
          <w:pPr>
            <w:pStyle w:val="Contents5"/>
            <w:tabs>
              <w:tab w:val="clear" w:pos="7892"/>
              <w:tab w:val="right" w:pos="9026" w:leader="dot"/>
            </w:tabs>
            <w:rPr/>
          </w:pPr>
          <w:hyperlink w:anchor="__RefHeading___Toc607558_1934241801">
            <w:r>
              <w:rPr>
                <w:webHidden/>
                <w:rStyle w:val="IndexLink"/>
                <w:rtl w:val="true"/>
              </w:rPr>
              <w:t xml:space="preserve">روایت </w:t>
            </w:r>
            <w:r>
              <w:rPr>
                <w:rStyle w:val="IndexLink"/>
              </w:rPr>
              <w:t>3</w:t>
            </w:r>
            <w:r>
              <w:rPr>
                <w:rStyle w:val="IndexLink"/>
                <w:rtl w:val="true"/>
              </w:rPr>
              <w:tab/>
            </w:r>
            <w:r>
              <w:rPr>
                <w:rStyle w:val="IndexLink"/>
              </w:rPr>
              <w:t>581</w:t>
            </w:r>
          </w:hyperlink>
        </w:p>
        <w:p>
          <w:pPr>
            <w:pStyle w:val="Contents5"/>
            <w:tabs>
              <w:tab w:val="clear" w:pos="7892"/>
              <w:tab w:val="right" w:pos="9026" w:leader="dot"/>
            </w:tabs>
            <w:rPr/>
          </w:pPr>
          <w:hyperlink w:anchor="__RefHeading___Toc607560_1934241801">
            <w:r>
              <w:rPr>
                <w:webHidden/>
                <w:rStyle w:val="IndexLink"/>
                <w:rtl w:val="true"/>
              </w:rPr>
              <w:t xml:space="preserve">روایت </w:t>
            </w:r>
            <w:r>
              <w:rPr>
                <w:rStyle w:val="IndexLink"/>
              </w:rPr>
              <w:t>4</w:t>
            </w:r>
            <w:r>
              <w:rPr>
                <w:rStyle w:val="IndexLink"/>
                <w:rtl w:val="true"/>
              </w:rPr>
              <w:tab/>
            </w:r>
            <w:r>
              <w:rPr>
                <w:rStyle w:val="IndexLink"/>
              </w:rPr>
              <w:t>582</w:t>
            </w:r>
          </w:hyperlink>
        </w:p>
        <w:p>
          <w:pPr>
            <w:pStyle w:val="Contents5"/>
            <w:tabs>
              <w:tab w:val="clear" w:pos="7892"/>
              <w:tab w:val="right" w:pos="9026" w:leader="dot"/>
            </w:tabs>
            <w:rPr/>
          </w:pPr>
          <w:hyperlink w:anchor="__RefHeading___Toc607562_1934241801">
            <w:r>
              <w:rPr>
                <w:webHidden/>
                <w:rStyle w:val="IndexLink"/>
                <w:rtl w:val="true"/>
              </w:rPr>
              <w:t>بيان</w:t>
            </w:r>
            <w:r>
              <w:rPr>
                <w:rStyle w:val="IndexLink"/>
                <w:rtl w:val="true"/>
              </w:rPr>
              <w:tab/>
            </w:r>
            <w:r>
              <w:rPr>
                <w:rStyle w:val="IndexLink"/>
              </w:rPr>
              <w:t>583</w:t>
            </w:r>
          </w:hyperlink>
        </w:p>
        <w:p>
          <w:pPr>
            <w:pStyle w:val="Contents5"/>
            <w:tabs>
              <w:tab w:val="clear" w:pos="7892"/>
              <w:tab w:val="right" w:pos="9026" w:leader="dot"/>
            </w:tabs>
            <w:rPr/>
          </w:pPr>
          <w:hyperlink w:anchor="__RefHeading___Toc607564_1934241801">
            <w:r>
              <w:rPr>
                <w:webHidden/>
                <w:rStyle w:val="IndexLink"/>
                <w:rtl w:val="true"/>
              </w:rPr>
              <w:t>أقول</w:t>
            </w:r>
            <w:r>
              <w:rPr>
                <w:rStyle w:val="IndexLink"/>
                <w:rtl w:val="true"/>
              </w:rPr>
              <w:tab/>
            </w:r>
            <w:r>
              <w:rPr>
                <w:rStyle w:val="IndexLink"/>
              </w:rPr>
              <w:t>583</w:t>
            </w:r>
          </w:hyperlink>
        </w:p>
        <w:p>
          <w:pPr>
            <w:pStyle w:val="Contents5"/>
            <w:tabs>
              <w:tab w:val="clear" w:pos="7892"/>
              <w:tab w:val="right" w:pos="9026" w:leader="dot"/>
            </w:tabs>
            <w:rPr/>
          </w:pPr>
          <w:hyperlink w:anchor="__RefHeading___Toc607566_1934241801">
            <w:r>
              <w:rPr>
                <w:webHidden/>
                <w:rStyle w:val="IndexLink"/>
                <w:rtl w:val="true"/>
              </w:rPr>
              <w:t>توضیح</w:t>
            </w:r>
            <w:r>
              <w:rPr>
                <w:rStyle w:val="IndexLink"/>
                <w:rtl w:val="true"/>
              </w:rPr>
              <w:tab/>
            </w:r>
            <w:r>
              <w:rPr>
                <w:rStyle w:val="IndexLink"/>
              </w:rPr>
              <w:t>584</w:t>
            </w:r>
          </w:hyperlink>
        </w:p>
        <w:p>
          <w:pPr>
            <w:pStyle w:val="Contents5"/>
            <w:tabs>
              <w:tab w:val="clear" w:pos="7892"/>
              <w:tab w:val="right" w:pos="9026" w:leader="dot"/>
            </w:tabs>
            <w:rPr/>
          </w:pPr>
          <w:hyperlink w:anchor="__RefHeading___Toc607568_1934241801">
            <w:r>
              <w:rPr>
                <w:webHidden/>
                <w:rStyle w:val="IndexLink"/>
                <w:rtl w:val="true"/>
              </w:rPr>
              <w:t>می گویم</w:t>
            </w:r>
            <w:r>
              <w:rPr>
                <w:rStyle w:val="IndexLink"/>
                <w:rtl w:val="true"/>
              </w:rPr>
              <w:tab/>
            </w:r>
            <w:r>
              <w:rPr>
                <w:rStyle w:val="IndexLink"/>
              </w:rPr>
              <w:t>584</w:t>
            </w:r>
          </w:hyperlink>
        </w:p>
        <w:p>
          <w:pPr>
            <w:pStyle w:val="Contents5"/>
            <w:tabs>
              <w:tab w:val="clear" w:pos="7892"/>
              <w:tab w:val="right" w:pos="9026" w:leader="dot"/>
            </w:tabs>
            <w:rPr/>
          </w:pPr>
          <w:hyperlink w:anchor="__RefHeading___Toc607570_1934241801">
            <w:r>
              <w:rPr>
                <w:webHidden/>
                <w:rStyle w:val="IndexLink"/>
                <w:rtl w:val="true"/>
              </w:rPr>
              <w:t>«</w:t>
            </w:r>
            <w:r>
              <w:rPr>
                <w:rStyle w:val="IndexLink"/>
              </w:rPr>
              <w:t>5</w:t>
            </w:r>
            <w:r>
              <w:rPr>
                <w:rStyle w:val="IndexLink"/>
                <w:rtl w:val="true"/>
              </w:rPr>
              <w:t>»</w:t>
              <w:tab/>
            </w:r>
            <w:r>
              <w:rPr>
                <w:rStyle w:val="IndexLink"/>
              </w:rPr>
              <w:t>585</w:t>
            </w:r>
          </w:hyperlink>
        </w:p>
        <w:p>
          <w:pPr>
            <w:pStyle w:val="Contents5"/>
            <w:tabs>
              <w:tab w:val="clear" w:pos="7892"/>
              <w:tab w:val="right" w:pos="9026" w:leader="dot"/>
            </w:tabs>
            <w:rPr/>
          </w:pPr>
          <w:hyperlink w:anchor="__RefHeading___Toc607572_1934241801">
            <w:r>
              <w:rPr>
                <w:webHidden/>
                <w:rStyle w:val="IndexLink"/>
                <w:rtl w:val="true"/>
              </w:rPr>
              <w:t>بيان</w:t>
            </w:r>
            <w:r>
              <w:rPr>
                <w:rStyle w:val="IndexLink"/>
                <w:rtl w:val="true"/>
              </w:rPr>
              <w:tab/>
            </w:r>
            <w:r>
              <w:rPr>
                <w:rStyle w:val="IndexLink"/>
              </w:rPr>
              <w:t>585</w:t>
            </w:r>
          </w:hyperlink>
        </w:p>
        <w:p>
          <w:pPr>
            <w:pStyle w:val="Contents5"/>
            <w:tabs>
              <w:tab w:val="clear" w:pos="7892"/>
              <w:tab w:val="right" w:pos="9026" w:leader="dot"/>
            </w:tabs>
            <w:rPr/>
          </w:pPr>
          <w:hyperlink w:anchor="__RefHeading___Toc607574_1934241801">
            <w:r>
              <w:rPr>
                <w:webHidden/>
                <w:rStyle w:val="IndexLink"/>
                <w:rtl w:val="true"/>
              </w:rPr>
              <w:t>«</w:t>
            </w:r>
            <w:r>
              <w:rPr>
                <w:rStyle w:val="IndexLink"/>
              </w:rPr>
              <w:t>6</w:t>
            </w:r>
            <w:r>
              <w:rPr>
                <w:rStyle w:val="IndexLink"/>
                <w:rtl w:val="true"/>
              </w:rPr>
              <w:t>»</w:t>
              <w:tab/>
            </w:r>
            <w:r>
              <w:rPr>
                <w:rStyle w:val="IndexLink"/>
              </w:rPr>
              <w:t>585</w:t>
            </w:r>
          </w:hyperlink>
        </w:p>
        <w:p>
          <w:pPr>
            <w:pStyle w:val="Contents5"/>
            <w:tabs>
              <w:tab w:val="clear" w:pos="7892"/>
              <w:tab w:val="right" w:pos="9026" w:leader="dot"/>
            </w:tabs>
            <w:rPr/>
          </w:pPr>
          <w:hyperlink w:anchor="__RefHeading___Toc607576_1934241801">
            <w:r>
              <w:rPr>
                <w:webHidden/>
                <w:rStyle w:val="IndexLink"/>
                <w:rtl w:val="true"/>
              </w:rPr>
              <w:t xml:space="preserve">روایت </w:t>
            </w:r>
            <w:r>
              <w:rPr>
                <w:rStyle w:val="IndexLink"/>
              </w:rPr>
              <w:t>5</w:t>
            </w:r>
            <w:r>
              <w:rPr>
                <w:rStyle w:val="IndexLink"/>
                <w:rtl w:val="true"/>
              </w:rPr>
              <w:tab/>
            </w:r>
            <w:r>
              <w:rPr>
                <w:rStyle w:val="IndexLink"/>
              </w:rPr>
              <w:t>585</w:t>
            </w:r>
          </w:hyperlink>
        </w:p>
        <w:p>
          <w:pPr>
            <w:pStyle w:val="Contents5"/>
            <w:tabs>
              <w:tab w:val="clear" w:pos="7892"/>
              <w:tab w:val="right" w:pos="9026" w:leader="dot"/>
            </w:tabs>
            <w:rPr/>
          </w:pPr>
          <w:hyperlink w:anchor="__RefHeading___Toc607578_1934241801">
            <w:r>
              <w:rPr>
                <w:webHidden/>
                <w:rStyle w:val="IndexLink"/>
                <w:rtl w:val="true"/>
              </w:rPr>
              <w:t>توضیح</w:t>
            </w:r>
            <w:r>
              <w:rPr>
                <w:rStyle w:val="IndexLink"/>
                <w:rtl w:val="true"/>
              </w:rPr>
              <w:tab/>
            </w:r>
            <w:r>
              <w:rPr>
                <w:rStyle w:val="IndexLink"/>
              </w:rPr>
              <w:t>585</w:t>
            </w:r>
          </w:hyperlink>
        </w:p>
        <w:p>
          <w:pPr>
            <w:pStyle w:val="Contents5"/>
            <w:tabs>
              <w:tab w:val="clear" w:pos="7892"/>
              <w:tab w:val="right" w:pos="9026" w:leader="dot"/>
            </w:tabs>
            <w:rPr/>
          </w:pPr>
          <w:hyperlink w:anchor="__RefHeading___Toc607580_1934241801">
            <w:r>
              <w:rPr>
                <w:webHidden/>
                <w:rStyle w:val="IndexLink"/>
                <w:rtl w:val="true"/>
              </w:rPr>
              <w:t xml:space="preserve">روایت </w:t>
            </w:r>
            <w:r>
              <w:rPr>
                <w:rStyle w:val="IndexLink"/>
              </w:rPr>
              <w:t>6</w:t>
            </w:r>
            <w:r>
              <w:rPr>
                <w:rStyle w:val="IndexLink"/>
                <w:rtl w:val="true"/>
              </w:rPr>
              <w:tab/>
            </w:r>
            <w:r>
              <w:rPr>
                <w:rStyle w:val="IndexLink"/>
              </w:rPr>
              <w:t>585</w:t>
            </w:r>
          </w:hyperlink>
        </w:p>
        <w:p>
          <w:pPr>
            <w:pStyle w:val="Contents5"/>
            <w:tabs>
              <w:tab w:val="clear" w:pos="7892"/>
              <w:tab w:val="right" w:pos="9026" w:leader="dot"/>
            </w:tabs>
            <w:rPr/>
          </w:pPr>
          <w:hyperlink w:anchor="__RefHeading___Toc607582_1934241801">
            <w:r>
              <w:rPr>
                <w:webHidden/>
                <w:rStyle w:val="IndexLink"/>
                <w:rtl w:val="true"/>
              </w:rPr>
              <w:t>بيان</w:t>
            </w:r>
            <w:r>
              <w:rPr>
                <w:rStyle w:val="IndexLink"/>
                <w:rtl w:val="true"/>
              </w:rPr>
              <w:tab/>
            </w:r>
            <w:r>
              <w:rPr>
                <w:rStyle w:val="IndexLink"/>
              </w:rPr>
              <w:t>586</w:t>
            </w:r>
          </w:hyperlink>
        </w:p>
        <w:p>
          <w:pPr>
            <w:pStyle w:val="Contents5"/>
            <w:tabs>
              <w:tab w:val="clear" w:pos="7892"/>
              <w:tab w:val="right" w:pos="9026" w:leader="dot"/>
            </w:tabs>
            <w:rPr/>
          </w:pPr>
          <w:hyperlink w:anchor="__RefHeading___Toc607584_1934241801">
            <w:r>
              <w:rPr>
                <w:webHidden/>
                <w:rStyle w:val="IndexLink"/>
                <w:rtl w:val="true"/>
              </w:rPr>
              <w:t>«</w:t>
            </w:r>
            <w:r>
              <w:rPr>
                <w:rStyle w:val="IndexLink"/>
              </w:rPr>
              <w:t>7</w:t>
            </w:r>
            <w:r>
              <w:rPr>
                <w:rStyle w:val="IndexLink"/>
                <w:rtl w:val="true"/>
              </w:rPr>
              <w:t>»</w:t>
              <w:tab/>
            </w:r>
            <w:r>
              <w:rPr>
                <w:rStyle w:val="IndexLink"/>
              </w:rPr>
              <w:t>586</w:t>
            </w:r>
          </w:hyperlink>
        </w:p>
        <w:p>
          <w:pPr>
            <w:pStyle w:val="Contents5"/>
            <w:tabs>
              <w:tab w:val="clear" w:pos="7892"/>
              <w:tab w:val="right" w:pos="9026" w:leader="dot"/>
            </w:tabs>
            <w:rPr/>
          </w:pPr>
          <w:hyperlink w:anchor="__RefHeading___Toc607586_1934241801">
            <w:r>
              <w:rPr>
                <w:webHidden/>
                <w:rStyle w:val="IndexLink"/>
                <w:rtl w:val="true"/>
              </w:rPr>
              <w:t>بيان</w:t>
            </w:r>
            <w:r>
              <w:rPr>
                <w:rStyle w:val="IndexLink"/>
                <w:rtl w:val="true"/>
              </w:rPr>
              <w:tab/>
            </w:r>
            <w:r>
              <w:rPr>
                <w:rStyle w:val="IndexLink"/>
              </w:rPr>
              <w:t>586</w:t>
            </w:r>
          </w:hyperlink>
        </w:p>
        <w:p>
          <w:pPr>
            <w:pStyle w:val="Contents5"/>
            <w:tabs>
              <w:tab w:val="clear" w:pos="7892"/>
              <w:tab w:val="right" w:pos="9026" w:leader="dot"/>
            </w:tabs>
            <w:rPr/>
          </w:pPr>
          <w:hyperlink w:anchor="__RefHeading___Toc607588_1934241801">
            <w:r>
              <w:rPr>
                <w:webHidden/>
                <w:rStyle w:val="IndexLink"/>
                <w:rtl w:val="true"/>
              </w:rPr>
              <w:t>«</w:t>
            </w:r>
            <w:r>
              <w:rPr>
                <w:rStyle w:val="IndexLink"/>
              </w:rPr>
              <w:t>8</w:t>
            </w:r>
            <w:r>
              <w:rPr>
                <w:rStyle w:val="IndexLink"/>
                <w:rtl w:val="true"/>
              </w:rPr>
              <w:t>»</w:t>
              <w:tab/>
            </w:r>
            <w:r>
              <w:rPr>
                <w:rStyle w:val="IndexLink"/>
              </w:rPr>
              <w:t>586</w:t>
            </w:r>
          </w:hyperlink>
        </w:p>
        <w:p>
          <w:pPr>
            <w:pStyle w:val="Contents5"/>
            <w:tabs>
              <w:tab w:val="clear" w:pos="7892"/>
              <w:tab w:val="right" w:pos="9026" w:leader="dot"/>
            </w:tabs>
            <w:rPr/>
          </w:pPr>
          <w:hyperlink w:anchor="__RefHeading___Toc607590_1934241801">
            <w:r>
              <w:rPr>
                <w:webHidden/>
                <w:rStyle w:val="IndexLink"/>
                <w:rtl w:val="true"/>
              </w:rPr>
              <w:t>توضیح</w:t>
            </w:r>
            <w:r>
              <w:rPr>
                <w:rStyle w:val="IndexLink"/>
                <w:rtl w:val="true"/>
              </w:rPr>
              <w:tab/>
            </w:r>
            <w:r>
              <w:rPr>
                <w:rStyle w:val="IndexLink"/>
              </w:rPr>
              <w:t>586</w:t>
            </w:r>
          </w:hyperlink>
        </w:p>
        <w:p>
          <w:pPr>
            <w:pStyle w:val="Contents5"/>
            <w:tabs>
              <w:tab w:val="clear" w:pos="7892"/>
              <w:tab w:val="right" w:pos="9026" w:leader="dot"/>
            </w:tabs>
            <w:rPr/>
          </w:pPr>
          <w:hyperlink w:anchor="__RefHeading___Toc607592_1934241801">
            <w:r>
              <w:rPr>
                <w:webHidden/>
                <w:rStyle w:val="IndexLink"/>
                <w:rtl w:val="true"/>
              </w:rPr>
              <w:t xml:space="preserve">روایت </w:t>
            </w:r>
            <w:r>
              <w:rPr>
                <w:rStyle w:val="IndexLink"/>
              </w:rPr>
              <w:t>7</w:t>
            </w:r>
            <w:r>
              <w:rPr>
                <w:rStyle w:val="IndexLink"/>
                <w:rtl w:val="true"/>
              </w:rPr>
              <w:tab/>
            </w:r>
            <w:r>
              <w:rPr>
                <w:rStyle w:val="IndexLink"/>
              </w:rPr>
              <w:t>587</w:t>
            </w:r>
          </w:hyperlink>
        </w:p>
        <w:p>
          <w:pPr>
            <w:pStyle w:val="Contents5"/>
            <w:tabs>
              <w:tab w:val="clear" w:pos="7892"/>
              <w:tab w:val="right" w:pos="9026" w:leader="dot"/>
            </w:tabs>
            <w:rPr/>
          </w:pPr>
          <w:hyperlink w:anchor="__RefHeading___Toc607594_1934241801">
            <w:r>
              <w:rPr>
                <w:webHidden/>
                <w:rStyle w:val="IndexLink"/>
                <w:rtl w:val="true"/>
              </w:rPr>
              <w:t>توضیح</w:t>
            </w:r>
            <w:r>
              <w:rPr>
                <w:rStyle w:val="IndexLink"/>
                <w:rtl w:val="true"/>
              </w:rPr>
              <w:tab/>
            </w:r>
            <w:r>
              <w:rPr>
                <w:rStyle w:val="IndexLink"/>
              </w:rPr>
              <w:t>587</w:t>
            </w:r>
          </w:hyperlink>
        </w:p>
        <w:p>
          <w:pPr>
            <w:pStyle w:val="Contents5"/>
            <w:tabs>
              <w:tab w:val="clear" w:pos="7892"/>
              <w:tab w:val="right" w:pos="9026" w:leader="dot"/>
            </w:tabs>
            <w:rPr/>
          </w:pPr>
          <w:hyperlink w:anchor="__RefHeading___Toc607596_1934241801">
            <w:r>
              <w:rPr>
                <w:webHidden/>
                <w:rStyle w:val="IndexLink"/>
                <w:rtl w:val="true"/>
              </w:rPr>
              <w:t xml:space="preserve">روایت </w:t>
            </w:r>
            <w:r>
              <w:rPr>
                <w:rStyle w:val="IndexLink"/>
              </w:rPr>
              <w:t>8</w:t>
            </w:r>
            <w:r>
              <w:rPr>
                <w:rStyle w:val="IndexLink"/>
                <w:rtl w:val="true"/>
              </w:rPr>
              <w:tab/>
            </w:r>
            <w:r>
              <w:rPr>
                <w:rStyle w:val="IndexLink"/>
              </w:rPr>
              <w:t>587</w:t>
            </w:r>
          </w:hyperlink>
        </w:p>
        <w:p>
          <w:pPr>
            <w:pStyle w:val="Contents5"/>
            <w:tabs>
              <w:tab w:val="clear" w:pos="7892"/>
              <w:tab w:val="right" w:pos="9026" w:leader="dot"/>
            </w:tabs>
            <w:rPr/>
          </w:pPr>
          <w:hyperlink w:anchor="__RefHeading___Toc607598_1934241801">
            <w:r>
              <w:rPr>
                <w:webHidden/>
                <w:rStyle w:val="IndexLink"/>
                <w:rtl w:val="true"/>
              </w:rPr>
              <w:t>«</w:t>
            </w:r>
            <w:r>
              <w:rPr>
                <w:rStyle w:val="IndexLink"/>
              </w:rPr>
              <w:t>9</w:t>
            </w:r>
            <w:r>
              <w:rPr>
                <w:rStyle w:val="IndexLink"/>
                <w:rtl w:val="true"/>
              </w:rPr>
              <w:t>»</w:t>
              <w:tab/>
            </w:r>
            <w:r>
              <w:rPr>
                <w:rStyle w:val="IndexLink"/>
              </w:rPr>
              <w:t>588</w:t>
            </w:r>
          </w:hyperlink>
        </w:p>
        <w:p>
          <w:pPr>
            <w:pStyle w:val="Contents5"/>
            <w:tabs>
              <w:tab w:val="clear" w:pos="7892"/>
              <w:tab w:val="right" w:pos="9026" w:leader="dot"/>
            </w:tabs>
            <w:rPr/>
          </w:pPr>
          <w:hyperlink w:anchor="__RefHeading___Toc607600_1934241801">
            <w:r>
              <w:rPr>
                <w:webHidden/>
                <w:rStyle w:val="IndexLink"/>
                <w:rtl w:val="true"/>
              </w:rPr>
              <w:t xml:space="preserve">روایت </w:t>
            </w:r>
            <w:r>
              <w:rPr>
                <w:rStyle w:val="IndexLink"/>
              </w:rPr>
              <w:t>9</w:t>
            </w:r>
            <w:r>
              <w:rPr>
                <w:rStyle w:val="IndexLink"/>
                <w:rtl w:val="true"/>
              </w:rPr>
              <w:tab/>
            </w:r>
            <w:r>
              <w:rPr>
                <w:rStyle w:val="IndexLink"/>
              </w:rPr>
              <w:t>588</w:t>
            </w:r>
          </w:hyperlink>
        </w:p>
        <w:p>
          <w:pPr>
            <w:pStyle w:val="Contents5"/>
            <w:tabs>
              <w:tab w:val="clear" w:pos="7892"/>
              <w:tab w:val="right" w:pos="9026" w:leader="dot"/>
            </w:tabs>
            <w:rPr/>
          </w:pPr>
          <w:hyperlink w:anchor="__RefHeading___Toc607602_1934241801">
            <w:r>
              <w:rPr>
                <w:webHidden/>
                <w:rStyle w:val="IndexLink"/>
                <w:rtl w:val="true"/>
              </w:rPr>
              <w:t>تبيين</w:t>
            </w:r>
            <w:r>
              <w:rPr>
                <w:rStyle w:val="IndexLink"/>
                <w:rtl w:val="true"/>
              </w:rPr>
              <w:tab/>
            </w:r>
            <w:r>
              <w:rPr>
                <w:rStyle w:val="IndexLink"/>
              </w:rPr>
              <w:t>592</w:t>
            </w:r>
          </w:hyperlink>
        </w:p>
        <w:p>
          <w:pPr>
            <w:pStyle w:val="Contents5"/>
            <w:tabs>
              <w:tab w:val="clear" w:pos="7892"/>
              <w:tab w:val="right" w:pos="9026" w:leader="dot"/>
            </w:tabs>
            <w:rPr/>
          </w:pPr>
          <w:hyperlink w:anchor="__RefHeading___Toc607604_1934241801">
            <w:r>
              <w:rPr>
                <w:webHidden/>
                <w:rStyle w:val="IndexLink"/>
                <w:rtl w:val="true"/>
              </w:rPr>
              <w:t>توضیح</w:t>
            </w:r>
            <w:r>
              <w:rPr>
                <w:rStyle w:val="IndexLink"/>
                <w:rtl w:val="true"/>
              </w:rPr>
              <w:tab/>
            </w:r>
            <w:r>
              <w:rPr>
                <w:rStyle w:val="IndexLink"/>
              </w:rPr>
              <w:t>593</w:t>
            </w:r>
          </w:hyperlink>
        </w:p>
        <w:p>
          <w:pPr>
            <w:pStyle w:val="Contents5"/>
            <w:tabs>
              <w:tab w:val="clear" w:pos="7892"/>
              <w:tab w:val="right" w:pos="9026" w:leader="dot"/>
            </w:tabs>
            <w:rPr/>
          </w:pPr>
          <w:hyperlink w:anchor="__RefHeading___Toc607606_1934241801">
            <w:r>
              <w:rPr>
                <w:webHidden/>
                <w:rStyle w:val="IndexLink"/>
                <w:rtl w:val="true"/>
              </w:rPr>
              <w:t>«</w:t>
            </w:r>
            <w:r>
              <w:rPr>
                <w:rStyle w:val="IndexLink"/>
              </w:rPr>
              <w:t>10</w:t>
            </w:r>
            <w:r>
              <w:rPr>
                <w:rStyle w:val="IndexLink"/>
                <w:rtl w:val="true"/>
              </w:rPr>
              <w:t>»</w:t>
              <w:tab/>
            </w:r>
            <w:r>
              <w:rPr>
                <w:rStyle w:val="IndexLink"/>
              </w:rPr>
              <w:t>604</w:t>
            </w:r>
          </w:hyperlink>
        </w:p>
        <w:p>
          <w:pPr>
            <w:pStyle w:val="Contents5"/>
            <w:tabs>
              <w:tab w:val="clear" w:pos="7892"/>
              <w:tab w:val="right" w:pos="9026" w:leader="dot"/>
            </w:tabs>
            <w:rPr/>
          </w:pPr>
          <w:hyperlink w:anchor="__RefHeading___Toc607608_1934241801">
            <w:r>
              <w:rPr>
                <w:webHidden/>
                <w:rStyle w:val="IndexLink"/>
                <w:rtl w:val="true"/>
              </w:rPr>
              <w:t>«</w:t>
            </w:r>
            <w:r>
              <w:rPr>
                <w:rStyle w:val="IndexLink"/>
              </w:rPr>
              <w:t>11</w:t>
            </w:r>
            <w:r>
              <w:rPr>
                <w:rStyle w:val="IndexLink"/>
                <w:rtl w:val="true"/>
              </w:rPr>
              <w:t>»</w:t>
              <w:tab/>
            </w:r>
            <w:r>
              <w:rPr>
                <w:rStyle w:val="IndexLink"/>
              </w:rPr>
              <w:t>604</w:t>
            </w:r>
          </w:hyperlink>
        </w:p>
        <w:p>
          <w:pPr>
            <w:pStyle w:val="Contents5"/>
            <w:tabs>
              <w:tab w:val="clear" w:pos="7892"/>
              <w:tab w:val="right" w:pos="9026" w:leader="dot"/>
            </w:tabs>
            <w:rPr/>
          </w:pPr>
          <w:hyperlink w:anchor="__RefHeading___Toc607610_1934241801">
            <w:r>
              <w:rPr>
                <w:webHidden/>
                <w:rStyle w:val="IndexLink"/>
                <w:rtl w:val="true"/>
              </w:rPr>
              <w:t>«</w:t>
            </w:r>
            <w:r>
              <w:rPr>
                <w:rStyle w:val="IndexLink"/>
              </w:rPr>
              <w:t>12</w:t>
            </w:r>
            <w:r>
              <w:rPr>
                <w:rStyle w:val="IndexLink"/>
                <w:rtl w:val="true"/>
              </w:rPr>
              <w:t>»</w:t>
              <w:tab/>
            </w:r>
            <w:r>
              <w:rPr>
                <w:rStyle w:val="IndexLink"/>
              </w:rPr>
              <w:t>604</w:t>
            </w:r>
          </w:hyperlink>
        </w:p>
        <w:p>
          <w:pPr>
            <w:pStyle w:val="Contents5"/>
            <w:tabs>
              <w:tab w:val="clear" w:pos="7892"/>
              <w:tab w:val="right" w:pos="9026" w:leader="dot"/>
            </w:tabs>
            <w:rPr/>
          </w:pPr>
          <w:hyperlink w:anchor="__RefHeading___Toc607612_1934241801">
            <w:r>
              <w:rPr>
                <w:webHidden/>
                <w:rStyle w:val="IndexLink"/>
                <w:rtl w:val="true"/>
              </w:rPr>
              <w:t xml:space="preserve">روایت </w:t>
            </w:r>
            <w:r>
              <w:rPr>
                <w:rStyle w:val="IndexLink"/>
              </w:rPr>
              <w:t>10</w:t>
            </w:r>
            <w:r>
              <w:rPr>
                <w:rStyle w:val="IndexLink"/>
                <w:rtl w:val="true"/>
              </w:rPr>
              <w:tab/>
            </w:r>
            <w:r>
              <w:rPr>
                <w:rStyle w:val="IndexLink"/>
              </w:rPr>
              <w:t>605</w:t>
            </w:r>
          </w:hyperlink>
        </w:p>
        <w:p>
          <w:pPr>
            <w:pStyle w:val="Contents5"/>
            <w:tabs>
              <w:tab w:val="clear" w:pos="7892"/>
              <w:tab w:val="right" w:pos="9026" w:leader="dot"/>
            </w:tabs>
            <w:rPr/>
          </w:pPr>
          <w:hyperlink w:anchor="__RefHeading___Toc607614_1934241801">
            <w:r>
              <w:rPr>
                <w:webHidden/>
                <w:rStyle w:val="IndexLink"/>
                <w:rtl w:val="true"/>
              </w:rPr>
              <w:t xml:space="preserve">روایت </w:t>
            </w:r>
            <w:r>
              <w:rPr>
                <w:rStyle w:val="IndexLink"/>
              </w:rPr>
              <w:t>11</w:t>
            </w:r>
            <w:r>
              <w:rPr>
                <w:rStyle w:val="IndexLink"/>
                <w:rtl w:val="true"/>
              </w:rPr>
              <w:tab/>
            </w:r>
            <w:r>
              <w:rPr>
                <w:rStyle w:val="IndexLink"/>
              </w:rPr>
              <w:t>605</w:t>
            </w:r>
          </w:hyperlink>
        </w:p>
        <w:p>
          <w:pPr>
            <w:pStyle w:val="Contents5"/>
            <w:tabs>
              <w:tab w:val="clear" w:pos="7892"/>
              <w:tab w:val="right" w:pos="9026" w:leader="dot"/>
            </w:tabs>
            <w:rPr/>
          </w:pPr>
          <w:hyperlink w:anchor="__RefHeading___Toc607616_1934241801">
            <w:r>
              <w:rPr>
                <w:webHidden/>
                <w:rStyle w:val="IndexLink"/>
                <w:rtl w:val="true"/>
              </w:rPr>
              <w:t xml:space="preserve">روایت </w:t>
            </w:r>
            <w:r>
              <w:rPr>
                <w:rStyle w:val="IndexLink"/>
              </w:rPr>
              <w:t>12</w:t>
            </w:r>
            <w:r>
              <w:rPr>
                <w:rStyle w:val="IndexLink"/>
                <w:rtl w:val="true"/>
              </w:rPr>
              <w:tab/>
            </w:r>
            <w:r>
              <w:rPr>
                <w:rStyle w:val="IndexLink"/>
              </w:rPr>
              <w:t>605</w:t>
            </w:r>
          </w:hyperlink>
        </w:p>
        <w:p>
          <w:pPr>
            <w:pStyle w:val="Contents5"/>
            <w:tabs>
              <w:tab w:val="clear" w:pos="7892"/>
              <w:tab w:val="right" w:pos="9026" w:leader="dot"/>
            </w:tabs>
            <w:rPr/>
          </w:pPr>
          <w:hyperlink w:anchor="__RefHeading___Toc607618_1934241801">
            <w:r>
              <w:rPr>
                <w:webHidden/>
                <w:rStyle w:val="IndexLink"/>
                <w:rtl w:val="true"/>
              </w:rPr>
              <w:t>«</w:t>
            </w:r>
            <w:r>
              <w:rPr>
                <w:rStyle w:val="IndexLink"/>
              </w:rPr>
              <w:t>13</w:t>
            </w:r>
            <w:r>
              <w:rPr>
                <w:rStyle w:val="IndexLink"/>
                <w:rtl w:val="true"/>
              </w:rPr>
              <w:t>»</w:t>
              <w:tab/>
            </w:r>
            <w:r>
              <w:rPr>
                <w:rStyle w:val="IndexLink"/>
              </w:rPr>
              <w:t>606</w:t>
            </w:r>
          </w:hyperlink>
        </w:p>
        <w:p>
          <w:pPr>
            <w:pStyle w:val="Contents5"/>
            <w:tabs>
              <w:tab w:val="clear" w:pos="7892"/>
              <w:tab w:val="right" w:pos="9026" w:leader="dot"/>
            </w:tabs>
            <w:rPr/>
          </w:pPr>
          <w:hyperlink w:anchor="__RefHeading___Toc607620_1934241801">
            <w:r>
              <w:rPr>
                <w:webHidden/>
                <w:rStyle w:val="IndexLink"/>
                <w:rtl w:val="true"/>
              </w:rPr>
              <w:t>«</w:t>
            </w:r>
            <w:r>
              <w:rPr>
                <w:rStyle w:val="IndexLink"/>
              </w:rPr>
              <w:t>14</w:t>
            </w:r>
            <w:r>
              <w:rPr>
                <w:rStyle w:val="IndexLink"/>
                <w:rtl w:val="true"/>
              </w:rPr>
              <w:t>»</w:t>
              <w:tab/>
            </w:r>
            <w:r>
              <w:rPr>
                <w:rStyle w:val="IndexLink"/>
              </w:rPr>
              <w:t>606</w:t>
            </w:r>
          </w:hyperlink>
        </w:p>
        <w:p>
          <w:pPr>
            <w:pStyle w:val="Contents5"/>
            <w:tabs>
              <w:tab w:val="clear" w:pos="7892"/>
              <w:tab w:val="right" w:pos="9026" w:leader="dot"/>
            </w:tabs>
            <w:rPr/>
          </w:pPr>
          <w:hyperlink w:anchor="__RefHeading___Toc607622_1934241801">
            <w:r>
              <w:rPr>
                <w:webHidden/>
                <w:rStyle w:val="IndexLink"/>
                <w:rtl w:val="true"/>
              </w:rPr>
              <w:t>إيضاح</w:t>
            </w:r>
            <w:r>
              <w:rPr>
                <w:rStyle w:val="IndexLink"/>
                <w:rtl w:val="true"/>
              </w:rPr>
              <w:tab/>
            </w:r>
            <w:r>
              <w:rPr>
                <w:rStyle w:val="IndexLink"/>
              </w:rPr>
              <w:t>606</w:t>
            </w:r>
          </w:hyperlink>
        </w:p>
        <w:p>
          <w:pPr>
            <w:pStyle w:val="Contents5"/>
            <w:tabs>
              <w:tab w:val="clear" w:pos="7892"/>
              <w:tab w:val="right" w:pos="9026" w:leader="dot"/>
            </w:tabs>
            <w:rPr/>
          </w:pPr>
          <w:hyperlink w:anchor="__RefHeading___Toc607624_1934241801">
            <w:r>
              <w:rPr>
                <w:webHidden/>
                <w:rStyle w:val="IndexLink"/>
                <w:rtl w:val="true"/>
              </w:rPr>
              <w:t>«</w:t>
            </w:r>
            <w:r>
              <w:rPr>
                <w:rStyle w:val="IndexLink"/>
              </w:rPr>
              <w:t>15</w:t>
            </w:r>
            <w:r>
              <w:rPr>
                <w:rStyle w:val="IndexLink"/>
                <w:rtl w:val="true"/>
              </w:rPr>
              <w:t>»</w:t>
              <w:tab/>
            </w:r>
            <w:r>
              <w:rPr>
                <w:rStyle w:val="IndexLink"/>
              </w:rPr>
              <w:t>606</w:t>
            </w:r>
          </w:hyperlink>
        </w:p>
        <w:p>
          <w:pPr>
            <w:pStyle w:val="Contents5"/>
            <w:tabs>
              <w:tab w:val="clear" w:pos="7892"/>
              <w:tab w:val="right" w:pos="9026" w:leader="dot"/>
            </w:tabs>
            <w:rPr/>
          </w:pPr>
          <w:hyperlink w:anchor="__RefHeading___Toc607626_1934241801">
            <w:r>
              <w:rPr>
                <w:webHidden/>
                <w:rStyle w:val="IndexLink"/>
                <w:rtl w:val="true"/>
              </w:rPr>
              <w:t xml:space="preserve">روایت </w:t>
            </w:r>
            <w:r>
              <w:rPr>
                <w:rStyle w:val="IndexLink"/>
              </w:rPr>
              <w:t>13</w:t>
            </w:r>
            <w:r>
              <w:rPr>
                <w:rStyle w:val="IndexLink"/>
                <w:rtl w:val="true"/>
              </w:rPr>
              <w:tab/>
            </w:r>
            <w:r>
              <w:rPr>
                <w:rStyle w:val="IndexLink"/>
              </w:rPr>
              <w:t>606</w:t>
            </w:r>
          </w:hyperlink>
        </w:p>
        <w:p>
          <w:pPr>
            <w:pStyle w:val="Contents5"/>
            <w:tabs>
              <w:tab w:val="clear" w:pos="7892"/>
              <w:tab w:val="right" w:pos="9026" w:leader="dot"/>
            </w:tabs>
            <w:rPr/>
          </w:pPr>
          <w:hyperlink w:anchor="__RefHeading___Toc607628_1934241801">
            <w:r>
              <w:rPr>
                <w:webHidden/>
                <w:rStyle w:val="IndexLink"/>
                <w:rtl w:val="true"/>
              </w:rPr>
              <w:t xml:space="preserve">روایت </w:t>
            </w:r>
            <w:r>
              <w:rPr>
                <w:rStyle w:val="IndexLink"/>
              </w:rPr>
              <w:t>14</w:t>
            </w:r>
            <w:r>
              <w:rPr>
                <w:rStyle w:val="IndexLink"/>
                <w:rtl w:val="true"/>
              </w:rPr>
              <w:tab/>
            </w:r>
            <w:r>
              <w:rPr>
                <w:rStyle w:val="IndexLink"/>
              </w:rPr>
              <w:t>606</w:t>
            </w:r>
          </w:hyperlink>
        </w:p>
        <w:p>
          <w:pPr>
            <w:pStyle w:val="Contents5"/>
            <w:tabs>
              <w:tab w:val="clear" w:pos="7892"/>
              <w:tab w:val="right" w:pos="9026" w:leader="dot"/>
            </w:tabs>
            <w:rPr/>
          </w:pPr>
          <w:hyperlink w:anchor="__RefHeading___Toc607630_1934241801">
            <w:r>
              <w:rPr>
                <w:webHidden/>
                <w:rStyle w:val="IndexLink"/>
                <w:rtl w:val="true"/>
              </w:rPr>
              <w:t>توضیح</w:t>
            </w:r>
            <w:r>
              <w:rPr>
                <w:rStyle w:val="IndexLink"/>
                <w:rtl w:val="true"/>
              </w:rPr>
              <w:tab/>
            </w:r>
            <w:r>
              <w:rPr>
                <w:rStyle w:val="IndexLink"/>
              </w:rPr>
              <w:t>607</w:t>
            </w:r>
          </w:hyperlink>
        </w:p>
        <w:p>
          <w:pPr>
            <w:pStyle w:val="Contents5"/>
            <w:tabs>
              <w:tab w:val="clear" w:pos="7892"/>
              <w:tab w:val="right" w:pos="9026" w:leader="dot"/>
            </w:tabs>
            <w:rPr/>
          </w:pPr>
          <w:hyperlink w:anchor="__RefHeading___Toc607632_1934241801">
            <w:r>
              <w:rPr>
                <w:webHidden/>
                <w:rStyle w:val="IndexLink"/>
                <w:rtl w:val="true"/>
              </w:rPr>
              <w:t xml:space="preserve">روایت </w:t>
            </w:r>
            <w:r>
              <w:rPr>
                <w:rStyle w:val="IndexLink"/>
              </w:rPr>
              <w:t>15</w:t>
            </w:r>
            <w:r>
              <w:rPr>
                <w:rStyle w:val="IndexLink"/>
                <w:rtl w:val="true"/>
              </w:rPr>
              <w:tab/>
            </w:r>
            <w:r>
              <w:rPr>
                <w:rStyle w:val="IndexLink"/>
              </w:rPr>
              <w:t>607</w:t>
            </w:r>
          </w:hyperlink>
        </w:p>
        <w:p>
          <w:pPr>
            <w:pStyle w:val="Contents5"/>
            <w:tabs>
              <w:tab w:val="clear" w:pos="7892"/>
              <w:tab w:val="right" w:pos="9026" w:leader="dot"/>
            </w:tabs>
            <w:rPr/>
          </w:pPr>
          <w:hyperlink w:anchor="__RefHeading___Toc607634_1934241801">
            <w:r>
              <w:rPr>
                <w:webHidden/>
                <w:rStyle w:val="IndexLink"/>
                <w:rtl w:val="true"/>
              </w:rPr>
              <w:t>بيان</w:t>
            </w:r>
            <w:r>
              <w:rPr>
                <w:rStyle w:val="IndexLink"/>
                <w:rtl w:val="true"/>
              </w:rPr>
              <w:tab/>
            </w:r>
            <w:r>
              <w:rPr>
                <w:rStyle w:val="IndexLink"/>
              </w:rPr>
              <w:t>608</w:t>
            </w:r>
          </w:hyperlink>
        </w:p>
        <w:p>
          <w:pPr>
            <w:pStyle w:val="Contents5"/>
            <w:tabs>
              <w:tab w:val="clear" w:pos="7892"/>
              <w:tab w:val="right" w:pos="9026" w:leader="dot"/>
            </w:tabs>
            <w:rPr/>
          </w:pPr>
          <w:hyperlink w:anchor="__RefHeading___Toc607636_1934241801">
            <w:r>
              <w:rPr>
                <w:webHidden/>
                <w:rStyle w:val="IndexLink"/>
                <w:rtl w:val="true"/>
              </w:rPr>
              <w:t>«</w:t>
            </w:r>
            <w:r>
              <w:rPr>
                <w:rStyle w:val="IndexLink"/>
              </w:rPr>
              <w:t>16</w:t>
            </w:r>
            <w:r>
              <w:rPr>
                <w:rStyle w:val="IndexLink"/>
                <w:rtl w:val="true"/>
              </w:rPr>
              <w:t>»</w:t>
              <w:tab/>
            </w:r>
            <w:r>
              <w:rPr>
                <w:rStyle w:val="IndexLink"/>
              </w:rPr>
              <w:t>608</w:t>
            </w:r>
          </w:hyperlink>
        </w:p>
        <w:p>
          <w:pPr>
            <w:pStyle w:val="Contents5"/>
            <w:tabs>
              <w:tab w:val="clear" w:pos="7892"/>
              <w:tab w:val="right" w:pos="9026" w:leader="dot"/>
            </w:tabs>
            <w:rPr/>
          </w:pPr>
          <w:hyperlink w:anchor="__RefHeading___Toc607638_1934241801">
            <w:r>
              <w:rPr>
                <w:webHidden/>
                <w:rStyle w:val="IndexLink"/>
                <w:rtl w:val="true"/>
              </w:rPr>
              <w:t>بيان</w:t>
            </w:r>
            <w:r>
              <w:rPr>
                <w:rStyle w:val="IndexLink"/>
                <w:rtl w:val="true"/>
              </w:rPr>
              <w:tab/>
            </w:r>
            <w:r>
              <w:rPr>
                <w:rStyle w:val="IndexLink"/>
              </w:rPr>
              <w:t>608</w:t>
            </w:r>
          </w:hyperlink>
        </w:p>
        <w:p>
          <w:pPr>
            <w:pStyle w:val="Contents5"/>
            <w:tabs>
              <w:tab w:val="clear" w:pos="7892"/>
              <w:tab w:val="right" w:pos="9026" w:leader="dot"/>
            </w:tabs>
            <w:rPr/>
          </w:pPr>
          <w:hyperlink w:anchor="__RefHeading___Toc607640_1934241801">
            <w:r>
              <w:rPr>
                <w:webHidden/>
                <w:rStyle w:val="IndexLink"/>
                <w:rtl w:val="true"/>
              </w:rPr>
              <w:t>«</w:t>
            </w:r>
            <w:r>
              <w:rPr>
                <w:rStyle w:val="IndexLink"/>
              </w:rPr>
              <w:t>17</w:t>
            </w:r>
            <w:r>
              <w:rPr>
                <w:rStyle w:val="IndexLink"/>
                <w:rtl w:val="true"/>
              </w:rPr>
              <w:t>»</w:t>
              <w:tab/>
            </w:r>
            <w:r>
              <w:rPr>
                <w:rStyle w:val="IndexLink"/>
              </w:rPr>
              <w:t>608</w:t>
            </w:r>
          </w:hyperlink>
        </w:p>
        <w:p>
          <w:pPr>
            <w:pStyle w:val="Contents5"/>
            <w:tabs>
              <w:tab w:val="clear" w:pos="7892"/>
              <w:tab w:val="right" w:pos="9026" w:leader="dot"/>
            </w:tabs>
            <w:rPr/>
          </w:pPr>
          <w:hyperlink w:anchor="__RefHeading___Toc607642_1934241801">
            <w:r>
              <w:rPr>
                <w:webHidden/>
                <w:rStyle w:val="IndexLink"/>
                <w:rtl w:val="true"/>
              </w:rPr>
              <w:t>«</w:t>
            </w:r>
            <w:r>
              <w:rPr>
                <w:rStyle w:val="IndexLink"/>
              </w:rPr>
              <w:t>18</w:t>
            </w:r>
            <w:r>
              <w:rPr>
                <w:rStyle w:val="IndexLink"/>
                <w:rtl w:val="true"/>
              </w:rPr>
              <w:t>»</w:t>
              <w:tab/>
            </w:r>
            <w:r>
              <w:rPr>
                <w:rStyle w:val="IndexLink"/>
              </w:rPr>
              <w:t>608</w:t>
            </w:r>
          </w:hyperlink>
        </w:p>
        <w:p>
          <w:pPr>
            <w:pStyle w:val="Contents5"/>
            <w:tabs>
              <w:tab w:val="clear" w:pos="7892"/>
              <w:tab w:val="right" w:pos="9026" w:leader="dot"/>
            </w:tabs>
            <w:rPr/>
          </w:pPr>
          <w:hyperlink w:anchor="__RefHeading___Toc607644_1934241801">
            <w:r>
              <w:rPr>
                <w:webHidden/>
                <w:rStyle w:val="IndexLink"/>
                <w:rtl w:val="true"/>
              </w:rPr>
              <w:t>توضیح</w:t>
            </w:r>
            <w:r>
              <w:rPr>
                <w:rStyle w:val="IndexLink"/>
                <w:rtl w:val="true"/>
              </w:rPr>
              <w:tab/>
            </w:r>
            <w:r>
              <w:rPr>
                <w:rStyle w:val="IndexLink"/>
              </w:rPr>
              <w:t>608</w:t>
            </w:r>
          </w:hyperlink>
        </w:p>
        <w:p>
          <w:pPr>
            <w:pStyle w:val="Contents5"/>
            <w:tabs>
              <w:tab w:val="clear" w:pos="7892"/>
              <w:tab w:val="right" w:pos="9026" w:leader="dot"/>
            </w:tabs>
            <w:rPr/>
          </w:pPr>
          <w:hyperlink w:anchor="__RefHeading___Toc607646_1934241801">
            <w:r>
              <w:rPr>
                <w:webHidden/>
                <w:rStyle w:val="IndexLink"/>
                <w:rtl w:val="true"/>
              </w:rPr>
              <w:t xml:space="preserve">روایت </w:t>
            </w:r>
            <w:r>
              <w:rPr>
                <w:rStyle w:val="IndexLink"/>
              </w:rPr>
              <w:t>16</w:t>
            </w:r>
            <w:r>
              <w:rPr>
                <w:rStyle w:val="IndexLink"/>
                <w:rtl w:val="true"/>
              </w:rPr>
              <w:tab/>
            </w:r>
            <w:r>
              <w:rPr>
                <w:rStyle w:val="IndexLink"/>
              </w:rPr>
              <w:t>609</w:t>
            </w:r>
          </w:hyperlink>
        </w:p>
        <w:p>
          <w:pPr>
            <w:pStyle w:val="Contents5"/>
            <w:tabs>
              <w:tab w:val="clear" w:pos="7892"/>
              <w:tab w:val="right" w:pos="9026" w:leader="dot"/>
            </w:tabs>
            <w:rPr/>
          </w:pPr>
          <w:hyperlink w:anchor="__RefHeading___Toc607648_1934241801">
            <w:r>
              <w:rPr>
                <w:webHidden/>
                <w:rStyle w:val="IndexLink"/>
                <w:rtl w:val="true"/>
              </w:rPr>
              <w:t>توضیح</w:t>
            </w:r>
            <w:r>
              <w:rPr>
                <w:rStyle w:val="IndexLink"/>
                <w:rtl w:val="true"/>
              </w:rPr>
              <w:tab/>
            </w:r>
            <w:r>
              <w:rPr>
                <w:rStyle w:val="IndexLink"/>
              </w:rPr>
              <w:t>609</w:t>
            </w:r>
          </w:hyperlink>
        </w:p>
        <w:p>
          <w:pPr>
            <w:pStyle w:val="Contents5"/>
            <w:tabs>
              <w:tab w:val="clear" w:pos="7892"/>
              <w:tab w:val="right" w:pos="9026" w:leader="dot"/>
            </w:tabs>
            <w:rPr/>
          </w:pPr>
          <w:hyperlink w:anchor="__RefHeading___Toc607650_1934241801">
            <w:r>
              <w:rPr>
                <w:webHidden/>
                <w:rStyle w:val="IndexLink"/>
                <w:rtl w:val="true"/>
              </w:rPr>
              <w:t xml:space="preserve">روایت </w:t>
            </w:r>
            <w:r>
              <w:rPr>
                <w:rStyle w:val="IndexLink"/>
              </w:rPr>
              <w:t>17</w:t>
            </w:r>
            <w:r>
              <w:rPr>
                <w:rStyle w:val="IndexLink"/>
                <w:rtl w:val="true"/>
              </w:rPr>
              <w:tab/>
            </w:r>
            <w:r>
              <w:rPr>
                <w:rStyle w:val="IndexLink"/>
              </w:rPr>
              <w:t>609</w:t>
            </w:r>
          </w:hyperlink>
        </w:p>
        <w:p>
          <w:pPr>
            <w:pStyle w:val="Contents5"/>
            <w:tabs>
              <w:tab w:val="clear" w:pos="7892"/>
              <w:tab w:val="right" w:pos="9026" w:leader="dot"/>
            </w:tabs>
            <w:rPr/>
          </w:pPr>
          <w:hyperlink w:anchor="__RefHeading___Toc607652_1934241801">
            <w:r>
              <w:rPr>
                <w:webHidden/>
                <w:rStyle w:val="IndexLink"/>
                <w:rtl w:val="true"/>
              </w:rPr>
              <w:t xml:space="preserve">روایت </w:t>
            </w:r>
            <w:r>
              <w:rPr>
                <w:rStyle w:val="IndexLink"/>
              </w:rPr>
              <w:t>18</w:t>
            </w:r>
            <w:r>
              <w:rPr>
                <w:rStyle w:val="IndexLink"/>
                <w:rtl w:val="true"/>
              </w:rPr>
              <w:tab/>
            </w:r>
            <w:r>
              <w:rPr>
                <w:rStyle w:val="IndexLink"/>
              </w:rPr>
              <w:t>609</w:t>
            </w:r>
          </w:hyperlink>
        </w:p>
        <w:p>
          <w:pPr>
            <w:pStyle w:val="Contents5"/>
            <w:tabs>
              <w:tab w:val="clear" w:pos="7892"/>
              <w:tab w:val="right" w:pos="9026" w:leader="dot"/>
            </w:tabs>
            <w:rPr/>
          </w:pPr>
          <w:hyperlink w:anchor="__RefHeading___Toc607654_1934241801">
            <w:r>
              <w:rPr>
                <w:webHidden/>
                <w:rStyle w:val="IndexLink"/>
                <w:rtl w:val="true"/>
              </w:rPr>
              <w:t>«</w:t>
            </w:r>
            <w:r>
              <w:rPr>
                <w:rStyle w:val="IndexLink"/>
              </w:rPr>
              <w:t>19</w:t>
            </w:r>
            <w:r>
              <w:rPr>
                <w:rStyle w:val="IndexLink"/>
                <w:rtl w:val="true"/>
              </w:rPr>
              <w:t>»</w:t>
              <w:tab/>
            </w:r>
            <w:r>
              <w:rPr>
                <w:rStyle w:val="IndexLink"/>
              </w:rPr>
              <w:t>610</w:t>
            </w:r>
          </w:hyperlink>
        </w:p>
        <w:p>
          <w:pPr>
            <w:pStyle w:val="Contents5"/>
            <w:tabs>
              <w:tab w:val="clear" w:pos="7892"/>
              <w:tab w:val="right" w:pos="9026" w:leader="dot"/>
            </w:tabs>
            <w:rPr/>
          </w:pPr>
          <w:hyperlink w:anchor="__RefHeading___Toc607656_1934241801">
            <w:r>
              <w:rPr>
                <w:webHidden/>
                <w:rStyle w:val="IndexLink"/>
                <w:rtl w:val="true"/>
              </w:rPr>
              <w:t>«</w:t>
            </w:r>
            <w:r>
              <w:rPr>
                <w:rStyle w:val="IndexLink"/>
              </w:rPr>
              <w:t>20</w:t>
            </w:r>
            <w:r>
              <w:rPr>
                <w:rStyle w:val="IndexLink"/>
                <w:rtl w:val="true"/>
              </w:rPr>
              <w:t>»</w:t>
              <w:tab/>
            </w:r>
            <w:r>
              <w:rPr>
                <w:rStyle w:val="IndexLink"/>
              </w:rPr>
              <w:t>610</w:t>
            </w:r>
          </w:hyperlink>
        </w:p>
        <w:p>
          <w:pPr>
            <w:pStyle w:val="Contents5"/>
            <w:tabs>
              <w:tab w:val="clear" w:pos="7892"/>
              <w:tab w:val="right" w:pos="9026" w:leader="dot"/>
            </w:tabs>
            <w:rPr/>
          </w:pPr>
          <w:hyperlink w:anchor="__RefHeading___Toc607658_1934241801">
            <w:r>
              <w:rPr>
                <w:webHidden/>
                <w:rStyle w:val="IndexLink"/>
                <w:rtl w:val="true"/>
              </w:rPr>
              <w:t>بيان</w:t>
            </w:r>
            <w:r>
              <w:rPr>
                <w:rStyle w:val="IndexLink"/>
                <w:rtl w:val="true"/>
              </w:rPr>
              <w:tab/>
            </w:r>
            <w:r>
              <w:rPr>
                <w:rStyle w:val="IndexLink"/>
              </w:rPr>
              <w:t>610</w:t>
            </w:r>
          </w:hyperlink>
        </w:p>
        <w:p>
          <w:pPr>
            <w:pStyle w:val="Contents5"/>
            <w:tabs>
              <w:tab w:val="clear" w:pos="7892"/>
              <w:tab w:val="right" w:pos="9026" w:leader="dot"/>
            </w:tabs>
            <w:rPr/>
          </w:pPr>
          <w:hyperlink w:anchor="__RefHeading___Toc607660_1934241801">
            <w:r>
              <w:rPr>
                <w:webHidden/>
                <w:rStyle w:val="IndexLink"/>
                <w:rtl w:val="true"/>
              </w:rPr>
              <w:t xml:space="preserve">روایت </w:t>
            </w:r>
            <w:r>
              <w:rPr>
                <w:rStyle w:val="IndexLink"/>
              </w:rPr>
              <w:t>19</w:t>
            </w:r>
            <w:r>
              <w:rPr>
                <w:rStyle w:val="IndexLink"/>
                <w:rtl w:val="true"/>
              </w:rPr>
              <w:tab/>
            </w:r>
            <w:r>
              <w:rPr>
                <w:rStyle w:val="IndexLink"/>
              </w:rPr>
              <w:t>611</w:t>
            </w:r>
          </w:hyperlink>
        </w:p>
        <w:p>
          <w:pPr>
            <w:pStyle w:val="Contents5"/>
            <w:tabs>
              <w:tab w:val="clear" w:pos="7892"/>
              <w:tab w:val="right" w:pos="9026" w:leader="dot"/>
            </w:tabs>
            <w:rPr/>
          </w:pPr>
          <w:hyperlink w:anchor="__RefHeading___Toc607662_1934241801">
            <w:r>
              <w:rPr>
                <w:webHidden/>
                <w:rStyle w:val="IndexLink"/>
                <w:rtl w:val="true"/>
              </w:rPr>
              <w:t xml:space="preserve">روایت </w:t>
            </w:r>
            <w:r>
              <w:rPr>
                <w:rStyle w:val="IndexLink"/>
              </w:rPr>
              <w:t>20</w:t>
            </w:r>
            <w:r>
              <w:rPr>
                <w:rStyle w:val="IndexLink"/>
                <w:rtl w:val="true"/>
              </w:rPr>
              <w:tab/>
            </w:r>
            <w:r>
              <w:rPr>
                <w:rStyle w:val="IndexLink"/>
              </w:rPr>
              <w:t>611</w:t>
            </w:r>
          </w:hyperlink>
        </w:p>
        <w:p>
          <w:pPr>
            <w:pStyle w:val="Contents5"/>
            <w:tabs>
              <w:tab w:val="clear" w:pos="7892"/>
              <w:tab w:val="right" w:pos="9026" w:leader="dot"/>
            </w:tabs>
            <w:rPr/>
          </w:pPr>
          <w:hyperlink w:anchor="__RefHeading___Toc607664_1934241801">
            <w:r>
              <w:rPr>
                <w:webHidden/>
                <w:rStyle w:val="IndexLink"/>
                <w:rtl w:val="true"/>
              </w:rPr>
              <w:t>توضیح</w:t>
            </w:r>
            <w:r>
              <w:rPr>
                <w:rStyle w:val="IndexLink"/>
                <w:rtl w:val="true"/>
              </w:rPr>
              <w:tab/>
            </w:r>
            <w:r>
              <w:rPr>
                <w:rStyle w:val="IndexLink"/>
              </w:rPr>
              <w:t>611</w:t>
            </w:r>
          </w:hyperlink>
        </w:p>
        <w:p>
          <w:pPr>
            <w:pStyle w:val="Contents5"/>
            <w:tabs>
              <w:tab w:val="clear" w:pos="7892"/>
              <w:tab w:val="right" w:pos="9026" w:leader="dot"/>
            </w:tabs>
            <w:rPr/>
          </w:pPr>
          <w:hyperlink w:anchor="__RefHeading___Toc607666_1934241801">
            <w:r>
              <w:rPr>
                <w:webHidden/>
                <w:rStyle w:val="IndexLink"/>
                <w:rtl w:val="true"/>
              </w:rPr>
              <w:t>«</w:t>
            </w:r>
            <w:r>
              <w:rPr>
                <w:rStyle w:val="IndexLink"/>
              </w:rPr>
              <w:t>21</w:t>
            </w:r>
            <w:r>
              <w:rPr>
                <w:rStyle w:val="IndexLink"/>
                <w:rtl w:val="true"/>
              </w:rPr>
              <w:t>»</w:t>
              <w:tab/>
            </w:r>
            <w:r>
              <w:rPr>
                <w:rStyle w:val="IndexLink"/>
              </w:rPr>
              <w:t>612</w:t>
            </w:r>
          </w:hyperlink>
        </w:p>
        <w:p>
          <w:pPr>
            <w:pStyle w:val="Contents5"/>
            <w:tabs>
              <w:tab w:val="clear" w:pos="7892"/>
              <w:tab w:val="right" w:pos="9026" w:leader="dot"/>
            </w:tabs>
            <w:rPr/>
          </w:pPr>
          <w:hyperlink w:anchor="__RefHeading___Toc607668_1934241801">
            <w:r>
              <w:rPr>
                <w:webHidden/>
                <w:rStyle w:val="IndexLink"/>
                <w:rtl w:val="true"/>
              </w:rPr>
              <w:t xml:space="preserve">روایت </w:t>
            </w:r>
            <w:r>
              <w:rPr>
                <w:rStyle w:val="IndexLink"/>
              </w:rPr>
              <w:t>21</w:t>
            </w:r>
            <w:r>
              <w:rPr>
                <w:rStyle w:val="IndexLink"/>
                <w:rtl w:val="true"/>
              </w:rPr>
              <w:tab/>
            </w:r>
            <w:r>
              <w:rPr>
                <w:rStyle w:val="IndexLink"/>
              </w:rPr>
              <w:t>612</w:t>
            </w:r>
          </w:hyperlink>
        </w:p>
        <w:p>
          <w:pPr>
            <w:pStyle w:val="Contents5"/>
            <w:tabs>
              <w:tab w:val="clear" w:pos="7892"/>
              <w:tab w:val="right" w:pos="9026" w:leader="dot"/>
            </w:tabs>
            <w:rPr/>
          </w:pPr>
          <w:hyperlink w:anchor="__RefHeading___Toc607670_1934241801">
            <w:r>
              <w:rPr>
                <w:webHidden/>
                <w:rStyle w:val="IndexLink"/>
                <w:rtl w:val="true"/>
              </w:rPr>
              <w:t>توضيح</w:t>
            </w:r>
            <w:r>
              <w:rPr>
                <w:rStyle w:val="IndexLink"/>
                <w:rtl w:val="true"/>
              </w:rPr>
              <w:tab/>
            </w:r>
            <w:r>
              <w:rPr>
                <w:rStyle w:val="IndexLink"/>
              </w:rPr>
              <w:t>613</w:t>
            </w:r>
          </w:hyperlink>
        </w:p>
        <w:p>
          <w:pPr>
            <w:pStyle w:val="Contents5"/>
            <w:tabs>
              <w:tab w:val="clear" w:pos="7892"/>
              <w:tab w:val="right" w:pos="9026" w:leader="dot"/>
            </w:tabs>
            <w:rPr/>
          </w:pPr>
          <w:hyperlink w:anchor="__RefHeading___Toc607672_1934241801">
            <w:r>
              <w:rPr>
                <w:webHidden/>
                <w:rStyle w:val="IndexLink"/>
                <w:rtl w:val="true"/>
              </w:rPr>
              <w:t>توضیح</w:t>
            </w:r>
            <w:r>
              <w:rPr>
                <w:rStyle w:val="IndexLink"/>
                <w:rtl w:val="true"/>
              </w:rPr>
              <w:tab/>
            </w:r>
            <w:r>
              <w:rPr>
                <w:rStyle w:val="IndexLink"/>
              </w:rPr>
              <w:t>614</w:t>
            </w:r>
          </w:hyperlink>
        </w:p>
        <w:p>
          <w:pPr>
            <w:pStyle w:val="Contents5"/>
            <w:tabs>
              <w:tab w:val="clear" w:pos="7892"/>
              <w:tab w:val="right" w:pos="9026" w:leader="dot"/>
            </w:tabs>
            <w:rPr/>
          </w:pPr>
          <w:hyperlink w:anchor="__RefHeading___Toc607674_1934241801">
            <w:r>
              <w:rPr>
                <w:webHidden/>
                <w:rStyle w:val="IndexLink"/>
                <w:rtl w:val="true"/>
              </w:rPr>
              <w:t>«</w:t>
            </w:r>
            <w:r>
              <w:rPr>
                <w:rStyle w:val="IndexLink"/>
              </w:rPr>
              <w:t>22</w:t>
            </w:r>
            <w:r>
              <w:rPr>
                <w:rStyle w:val="IndexLink"/>
                <w:rtl w:val="true"/>
              </w:rPr>
              <w:t>»</w:t>
              <w:tab/>
            </w:r>
            <w:r>
              <w:rPr>
                <w:rStyle w:val="IndexLink"/>
              </w:rPr>
              <w:t>617</w:t>
            </w:r>
          </w:hyperlink>
        </w:p>
        <w:p>
          <w:pPr>
            <w:pStyle w:val="Contents5"/>
            <w:tabs>
              <w:tab w:val="clear" w:pos="7892"/>
              <w:tab w:val="right" w:pos="9026" w:leader="dot"/>
            </w:tabs>
            <w:rPr/>
          </w:pPr>
          <w:hyperlink w:anchor="__RefHeading___Toc607676_1934241801">
            <w:r>
              <w:rPr>
                <w:webHidden/>
                <w:rStyle w:val="IndexLink"/>
                <w:rtl w:val="true"/>
              </w:rPr>
              <w:t>«</w:t>
            </w:r>
            <w:r>
              <w:rPr>
                <w:rStyle w:val="IndexLink"/>
              </w:rPr>
              <w:t>23</w:t>
            </w:r>
            <w:r>
              <w:rPr>
                <w:rStyle w:val="IndexLink"/>
                <w:rtl w:val="true"/>
              </w:rPr>
              <w:t>»</w:t>
              <w:tab/>
            </w:r>
            <w:r>
              <w:rPr>
                <w:rStyle w:val="IndexLink"/>
              </w:rPr>
              <w:t>617</w:t>
            </w:r>
          </w:hyperlink>
        </w:p>
        <w:p>
          <w:pPr>
            <w:pStyle w:val="Contents5"/>
            <w:tabs>
              <w:tab w:val="clear" w:pos="7892"/>
              <w:tab w:val="right" w:pos="9026" w:leader="dot"/>
            </w:tabs>
            <w:rPr/>
          </w:pPr>
          <w:hyperlink w:anchor="__RefHeading___Toc607678_1934241801">
            <w:r>
              <w:rPr>
                <w:webHidden/>
                <w:rStyle w:val="IndexLink"/>
                <w:rtl w:val="true"/>
              </w:rPr>
              <w:t xml:space="preserve">روایت </w:t>
            </w:r>
            <w:r>
              <w:rPr>
                <w:rStyle w:val="IndexLink"/>
              </w:rPr>
              <w:t>22</w:t>
            </w:r>
            <w:r>
              <w:rPr>
                <w:rStyle w:val="IndexLink"/>
                <w:rtl w:val="true"/>
              </w:rPr>
              <w:tab/>
            </w:r>
            <w:r>
              <w:rPr>
                <w:rStyle w:val="IndexLink"/>
              </w:rPr>
              <w:t>617</w:t>
            </w:r>
          </w:hyperlink>
        </w:p>
        <w:p>
          <w:pPr>
            <w:pStyle w:val="Contents5"/>
            <w:tabs>
              <w:tab w:val="clear" w:pos="7892"/>
              <w:tab w:val="right" w:pos="9026" w:leader="dot"/>
            </w:tabs>
            <w:rPr/>
          </w:pPr>
          <w:hyperlink w:anchor="__RefHeading___Toc607680_1934241801">
            <w:r>
              <w:rPr>
                <w:webHidden/>
                <w:rStyle w:val="IndexLink"/>
                <w:rtl w:val="true"/>
              </w:rPr>
              <w:t xml:space="preserve">روایت </w:t>
            </w:r>
            <w:r>
              <w:rPr>
                <w:rStyle w:val="IndexLink"/>
              </w:rPr>
              <w:t>23</w:t>
            </w:r>
            <w:r>
              <w:rPr>
                <w:rStyle w:val="IndexLink"/>
                <w:rtl w:val="true"/>
              </w:rPr>
              <w:tab/>
            </w:r>
            <w:r>
              <w:rPr>
                <w:rStyle w:val="IndexLink"/>
              </w:rPr>
              <w:t>618</w:t>
            </w:r>
          </w:hyperlink>
        </w:p>
        <w:p>
          <w:pPr>
            <w:pStyle w:val="Contents5"/>
            <w:tabs>
              <w:tab w:val="clear" w:pos="7892"/>
              <w:tab w:val="right" w:pos="9026" w:leader="dot"/>
            </w:tabs>
            <w:rPr/>
          </w:pPr>
          <w:hyperlink w:anchor="__RefHeading___Toc607682_1934241801">
            <w:r>
              <w:rPr>
                <w:webHidden/>
                <w:rStyle w:val="IndexLink"/>
                <w:rtl w:val="true"/>
              </w:rPr>
              <w:t>بيان</w:t>
            </w:r>
            <w:r>
              <w:rPr>
                <w:rStyle w:val="IndexLink"/>
                <w:rtl w:val="true"/>
              </w:rPr>
              <w:tab/>
            </w:r>
            <w:r>
              <w:rPr>
                <w:rStyle w:val="IndexLink"/>
              </w:rPr>
              <w:t>619</w:t>
            </w:r>
          </w:hyperlink>
        </w:p>
        <w:p>
          <w:pPr>
            <w:pStyle w:val="Contents5"/>
            <w:tabs>
              <w:tab w:val="clear" w:pos="7892"/>
              <w:tab w:val="right" w:pos="9026" w:leader="dot"/>
            </w:tabs>
            <w:rPr/>
          </w:pPr>
          <w:hyperlink w:anchor="__RefHeading___Toc607684_1934241801">
            <w:r>
              <w:rPr>
                <w:webHidden/>
                <w:rStyle w:val="IndexLink"/>
                <w:rtl w:val="true"/>
              </w:rPr>
              <w:t>«</w:t>
            </w:r>
            <w:r>
              <w:rPr>
                <w:rStyle w:val="IndexLink"/>
              </w:rPr>
              <w:t>24</w:t>
            </w:r>
            <w:r>
              <w:rPr>
                <w:rStyle w:val="IndexLink"/>
                <w:rtl w:val="true"/>
              </w:rPr>
              <w:t>»</w:t>
              <w:tab/>
            </w:r>
            <w:r>
              <w:rPr>
                <w:rStyle w:val="IndexLink"/>
              </w:rPr>
              <w:t>619</w:t>
            </w:r>
          </w:hyperlink>
        </w:p>
        <w:p>
          <w:pPr>
            <w:pStyle w:val="Contents5"/>
            <w:tabs>
              <w:tab w:val="clear" w:pos="7892"/>
              <w:tab w:val="right" w:pos="9026" w:leader="dot"/>
            </w:tabs>
            <w:rPr/>
          </w:pPr>
          <w:hyperlink w:anchor="__RefHeading___Toc607686_1934241801">
            <w:r>
              <w:rPr>
                <w:webHidden/>
                <w:rStyle w:val="IndexLink"/>
                <w:rtl w:val="true"/>
              </w:rPr>
              <w:t>«</w:t>
            </w:r>
            <w:r>
              <w:rPr>
                <w:rStyle w:val="IndexLink"/>
              </w:rPr>
              <w:t>25</w:t>
            </w:r>
            <w:r>
              <w:rPr>
                <w:rStyle w:val="IndexLink"/>
                <w:rtl w:val="true"/>
              </w:rPr>
              <w:t>»</w:t>
              <w:tab/>
            </w:r>
            <w:r>
              <w:rPr>
                <w:rStyle w:val="IndexLink"/>
              </w:rPr>
              <w:t>619</w:t>
            </w:r>
          </w:hyperlink>
        </w:p>
        <w:p>
          <w:pPr>
            <w:pStyle w:val="Contents5"/>
            <w:tabs>
              <w:tab w:val="clear" w:pos="7892"/>
              <w:tab w:val="right" w:pos="9026" w:leader="dot"/>
            </w:tabs>
            <w:rPr/>
          </w:pPr>
          <w:hyperlink w:anchor="__RefHeading___Toc607688_1934241801">
            <w:r>
              <w:rPr>
                <w:webHidden/>
                <w:rStyle w:val="IndexLink"/>
                <w:rtl w:val="true"/>
              </w:rPr>
              <w:t>«</w:t>
            </w:r>
            <w:r>
              <w:rPr>
                <w:rStyle w:val="IndexLink"/>
              </w:rPr>
              <w:t>26</w:t>
            </w:r>
            <w:r>
              <w:rPr>
                <w:rStyle w:val="IndexLink"/>
                <w:rtl w:val="true"/>
              </w:rPr>
              <w:t>»</w:t>
              <w:tab/>
            </w:r>
            <w:r>
              <w:rPr>
                <w:rStyle w:val="IndexLink"/>
              </w:rPr>
              <w:t>619</w:t>
            </w:r>
          </w:hyperlink>
        </w:p>
        <w:p>
          <w:pPr>
            <w:pStyle w:val="Contents5"/>
            <w:tabs>
              <w:tab w:val="clear" w:pos="7892"/>
              <w:tab w:val="right" w:pos="9026" w:leader="dot"/>
            </w:tabs>
            <w:rPr/>
          </w:pPr>
          <w:hyperlink w:anchor="__RefHeading___Toc607690_1934241801">
            <w:r>
              <w:rPr>
                <w:webHidden/>
                <w:rStyle w:val="IndexLink"/>
                <w:rtl w:val="true"/>
              </w:rPr>
              <w:t>توضیح</w:t>
            </w:r>
            <w:r>
              <w:rPr>
                <w:rStyle w:val="IndexLink"/>
                <w:rtl w:val="true"/>
              </w:rPr>
              <w:tab/>
            </w:r>
            <w:r>
              <w:rPr>
                <w:rStyle w:val="IndexLink"/>
              </w:rPr>
              <w:t>619</w:t>
            </w:r>
          </w:hyperlink>
        </w:p>
        <w:p>
          <w:pPr>
            <w:pStyle w:val="Contents5"/>
            <w:tabs>
              <w:tab w:val="clear" w:pos="7892"/>
              <w:tab w:val="right" w:pos="9026" w:leader="dot"/>
            </w:tabs>
            <w:rPr/>
          </w:pPr>
          <w:hyperlink w:anchor="__RefHeading___Toc607692_1934241801">
            <w:r>
              <w:rPr>
                <w:webHidden/>
                <w:rStyle w:val="IndexLink"/>
                <w:rtl w:val="true"/>
              </w:rPr>
              <w:t xml:space="preserve">روایت </w:t>
            </w:r>
            <w:r>
              <w:rPr>
                <w:rStyle w:val="IndexLink"/>
              </w:rPr>
              <w:t>24</w:t>
            </w:r>
            <w:r>
              <w:rPr>
                <w:rStyle w:val="IndexLink"/>
                <w:rtl w:val="true"/>
              </w:rPr>
              <w:tab/>
            </w:r>
            <w:r>
              <w:rPr>
                <w:rStyle w:val="IndexLink"/>
              </w:rPr>
              <w:t>619</w:t>
            </w:r>
          </w:hyperlink>
        </w:p>
        <w:p>
          <w:pPr>
            <w:pStyle w:val="Contents5"/>
            <w:tabs>
              <w:tab w:val="clear" w:pos="7892"/>
              <w:tab w:val="right" w:pos="9026" w:leader="dot"/>
            </w:tabs>
            <w:rPr/>
          </w:pPr>
          <w:hyperlink w:anchor="__RefHeading___Toc607694_1934241801">
            <w:r>
              <w:rPr>
                <w:webHidden/>
                <w:rStyle w:val="IndexLink"/>
                <w:rtl w:val="true"/>
              </w:rPr>
              <w:t xml:space="preserve">روایت </w:t>
            </w:r>
            <w:r>
              <w:rPr>
                <w:rStyle w:val="IndexLink"/>
              </w:rPr>
              <w:t>25</w:t>
            </w:r>
            <w:r>
              <w:rPr>
                <w:rStyle w:val="IndexLink"/>
                <w:rtl w:val="true"/>
              </w:rPr>
              <w:tab/>
            </w:r>
            <w:r>
              <w:rPr>
                <w:rStyle w:val="IndexLink"/>
              </w:rPr>
              <w:t>620</w:t>
            </w:r>
          </w:hyperlink>
        </w:p>
        <w:p>
          <w:pPr>
            <w:pStyle w:val="Contents5"/>
            <w:tabs>
              <w:tab w:val="clear" w:pos="7892"/>
              <w:tab w:val="right" w:pos="9026" w:leader="dot"/>
            </w:tabs>
            <w:rPr/>
          </w:pPr>
          <w:hyperlink w:anchor="__RefHeading___Toc607696_1934241801">
            <w:r>
              <w:rPr>
                <w:webHidden/>
                <w:rStyle w:val="IndexLink"/>
                <w:rtl w:val="true"/>
              </w:rPr>
              <w:t xml:space="preserve">روایت </w:t>
            </w:r>
            <w:r>
              <w:rPr>
                <w:rStyle w:val="IndexLink"/>
              </w:rPr>
              <w:t>26</w:t>
            </w:r>
            <w:r>
              <w:rPr>
                <w:rStyle w:val="IndexLink"/>
                <w:rtl w:val="true"/>
              </w:rPr>
              <w:tab/>
            </w:r>
            <w:r>
              <w:rPr>
                <w:rStyle w:val="IndexLink"/>
              </w:rPr>
              <w:t>620</w:t>
            </w:r>
          </w:hyperlink>
        </w:p>
        <w:p>
          <w:pPr>
            <w:pStyle w:val="Contents5"/>
            <w:tabs>
              <w:tab w:val="clear" w:pos="7892"/>
              <w:tab w:val="right" w:pos="9026" w:leader="dot"/>
            </w:tabs>
            <w:rPr/>
          </w:pPr>
          <w:hyperlink w:anchor="__RefHeading___Toc607698_1934241801">
            <w:r>
              <w:rPr>
                <w:webHidden/>
                <w:rStyle w:val="IndexLink"/>
                <w:rtl w:val="true"/>
              </w:rPr>
              <w:t>توضيح</w:t>
            </w:r>
            <w:r>
              <w:rPr>
                <w:rStyle w:val="IndexLink"/>
                <w:rtl w:val="true"/>
              </w:rPr>
              <w:tab/>
            </w:r>
            <w:r>
              <w:rPr>
                <w:rStyle w:val="IndexLink"/>
              </w:rPr>
              <w:t>621</w:t>
            </w:r>
          </w:hyperlink>
        </w:p>
        <w:p>
          <w:pPr>
            <w:pStyle w:val="Contents5"/>
            <w:tabs>
              <w:tab w:val="clear" w:pos="7892"/>
              <w:tab w:val="right" w:pos="9026" w:leader="dot"/>
            </w:tabs>
            <w:rPr/>
          </w:pPr>
          <w:hyperlink w:anchor="__RefHeading___Toc607700_1934241801">
            <w:r>
              <w:rPr>
                <w:webHidden/>
                <w:rStyle w:val="IndexLink"/>
                <w:rtl w:val="true"/>
              </w:rPr>
              <w:t>«</w:t>
            </w:r>
            <w:r>
              <w:rPr>
                <w:rStyle w:val="IndexLink"/>
              </w:rPr>
              <w:t>27</w:t>
            </w:r>
            <w:r>
              <w:rPr>
                <w:rStyle w:val="IndexLink"/>
                <w:rtl w:val="true"/>
              </w:rPr>
              <w:t>»</w:t>
              <w:tab/>
            </w:r>
            <w:r>
              <w:rPr>
                <w:rStyle w:val="IndexLink"/>
              </w:rPr>
              <w:t>621</w:t>
            </w:r>
          </w:hyperlink>
        </w:p>
        <w:p>
          <w:pPr>
            <w:pStyle w:val="Contents5"/>
            <w:tabs>
              <w:tab w:val="clear" w:pos="7892"/>
              <w:tab w:val="right" w:pos="9026" w:leader="dot"/>
            </w:tabs>
            <w:rPr/>
          </w:pPr>
          <w:hyperlink w:anchor="__RefHeading___Toc607702_1934241801">
            <w:r>
              <w:rPr>
                <w:webHidden/>
                <w:rStyle w:val="IndexLink"/>
                <w:rtl w:val="true"/>
              </w:rPr>
              <w:t>توضیح</w:t>
            </w:r>
            <w:r>
              <w:rPr>
                <w:rStyle w:val="IndexLink"/>
                <w:rtl w:val="true"/>
              </w:rPr>
              <w:tab/>
            </w:r>
            <w:r>
              <w:rPr>
                <w:rStyle w:val="IndexLink"/>
              </w:rPr>
              <w:t>621</w:t>
            </w:r>
          </w:hyperlink>
        </w:p>
        <w:p>
          <w:pPr>
            <w:pStyle w:val="Contents5"/>
            <w:tabs>
              <w:tab w:val="clear" w:pos="7892"/>
              <w:tab w:val="right" w:pos="9026" w:leader="dot"/>
            </w:tabs>
            <w:rPr/>
          </w:pPr>
          <w:hyperlink w:anchor="__RefHeading___Toc607704_1934241801">
            <w:r>
              <w:rPr>
                <w:webHidden/>
                <w:rStyle w:val="IndexLink"/>
                <w:rtl w:val="true"/>
              </w:rPr>
              <w:t xml:space="preserve">روایت </w:t>
            </w:r>
            <w:r>
              <w:rPr>
                <w:rStyle w:val="IndexLink"/>
              </w:rPr>
              <w:t>27</w:t>
            </w:r>
            <w:r>
              <w:rPr>
                <w:rStyle w:val="IndexLink"/>
                <w:rtl w:val="true"/>
              </w:rPr>
              <w:tab/>
            </w:r>
            <w:r>
              <w:rPr>
                <w:rStyle w:val="IndexLink"/>
              </w:rPr>
              <w:t>622</w:t>
            </w:r>
          </w:hyperlink>
        </w:p>
        <w:p>
          <w:pPr>
            <w:pStyle w:val="Contents5"/>
            <w:tabs>
              <w:tab w:val="clear" w:pos="7892"/>
              <w:tab w:val="right" w:pos="9026" w:leader="dot"/>
            </w:tabs>
            <w:rPr/>
          </w:pPr>
          <w:hyperlink w:anchor="__RefHeading___Toc607706_1934241801">
            <w:r>
              <w:rPr>
                <w:webHidden/>
                <w:rStyle w:val="IndexLink"/>
                <w:rtl w:val="true"/>
              </w:rPr>
              <w:t>بيان</w:t>
            </w:r>
            <w:r>
              <w:rPr>
                <w:rStyle w:val="IndexLink"/>
                <w:rtl w:val="true"/>
              </w:rPr>
              <w:tab/>
            </w:r>
            <w:r>
              <w:rPr>
                <w:rStyle w:val="IndexLink"/>
              </w:rPr>
              <w:t>625</w:t>
            </w:r>
          </w:hyperlink>
        </w:p>
        <w:p>
          <w:pPr>
            <w:pStyle w:val="Contents5"/>
            <w:tabs>
              <w:tab w:val="clear" w:pos="7892"/>
              <w:tab w:val="right" w:pos="9026" w:leader="dot"/>
            </w:tabs>
            <w:rPr/>
          </w:pPr>
          <w:hyperlink w:anchor="__RefHeading___Toc607708_1934241801">
            <w:r>
              <w:rPr>
                <w:webHidden/>
                <w:rStyle w:val="IndexLink"/>
                <w:rtl w:val="true"/>
              </w:rPr>
              <w:t>«</w:t>
            </w:r>
            <w:r>
              <w:rPr>
                <w:rStyle w:val="IndexLink"/>
              </w:rPr>
              <w:t>28</w:t>
            </w:r>
            <w:r>
              <w:rPr>
                <w:rStyle w:val="IndexLink"/>
                <w:rtl w:val="true"/>
              </w:rPr>
              <w:t>»</w:t>
              <w:tab/>
            </w:r>
            <w:r>
              <w:rPr>
                <w:rStyle w:val="IndexLink"/>
              </w:rPr>
              <w:t>625</w:t>
            </w:r>
          </w:hyperlink>
        </w:p>
        <w:p>
          <w:pPr>
            <w:pStyle w:val="Contents5"/>
            <w:tabs>
              <w:tab w:val="clear" w:pos="7892"/>
              <w:tab w:val="right" w:pos="9026" w:leader="dot"/>
            </w:tabs>
            <w:rPr/>
          </w:pPr>
          <w:hyperlink w:anchor="__RefHeading___Toc607710_1934241801">
            <w:r>
              <w:rPr>
                <w:webHidden/>
                <w:rStyle w:val="IndexLink"/>
                <w:rtl w:val="true"/>
              </w:rPr>
              <w:t>توضیح</w:t>
            </w:r>
            <w:r>
              <w:rPr>
                <w:rStyle w:val="IndexLink"/>
                <w:rtl w:val="true"/>
              </w:rPr>
              <w:tab/>
            </w:r>
            <w:r>
              <w:rPr>
                <w:rStyle w:val="IndexLink"/>
              </w:rPr>
              <w:t>626</w:t>
            </w:r>
          </w:hyperlink>
        </w:p>
        <w:p>
          <w:pPr>
            <w:pStyle w:val="Contents5"/>
            <w:tabs>
              <w:tab w:val="clear" w:pos="7892"/>
              <w:tab w:val="right" w:pos="9026" w:leader="dot"/>
            </w:tabs>
            <w:rPr/>
          </w:pPr>
          <w:hyperlink w:anchor="__RefHeading___Toc607712_1934241801">
            <w:r>
              <w:rPr>
                <w:webHidden/>
                <w:rStyle w:val="IndexLink"/>
                <w:rtl w:val="true"/>
              </w:rPr>
              <w:t xml:space="preserve">روایت </w:t>
            </w:r>
            <w:r>
              <w:rPr>
                <w:rStyle w:val="IndexLink"/>
              </w:rPr>
              <w:t>28</w:t>
            </w:r>
            <w:r>
              <w:rPr>
                <w:rStyle w:val="IndexLink"/>
                <w:rtl w:val="true"/>
              </w:rPr>
              <w:tab/>
            </w:r>
            <w:r>
              <w:rPr>
                <w:rStyle w:val="IndexLink"/>
              </w:rPr>
              <w:t>626</w:t>
            </w:r>
          </w:hyperlink>
        </w:p>
        <w:p>
          <w:pPr>
            <w:pStyle w:val="Contents5"/>
            <w:tabs>
              <w:tab w:val="clear" w:pos="7892"/>
              <w:tab w:val="right" w:pos="9026" w:leader="dot"/>
            </w:tabs>
            <w:rPr/>
          </w:pPr>
          <w:hyperlink w:anchor="__RefHeading___Toc607714_1934241801">
            <w:r>
              <w:rPr>
                <w:webHidden/>
                <w:rStyle w:val="IndexLink"/>
                <w:rtl w:val="true"/>
              </w:rPr>
              <w:t>«</w:t>
            </w:r>
            <w:r>
              <w:rPr>
                <w:rStyle w:val="IndexLink"/>
              </w:rPr>
              <w:t>29</w:t>
            </w:r>
            <w:r>
              <w:rPr>
                <w:rStyle w:val="IndexLink"/>
                <w:rtl w:val="true"/>
              </w:rPr>
              <w:t>»</w:t>
              <w:tab/>
            </w:r>
            <w:r>
              <w:rPr>
                <w:rStyle w:val="IndexLink"/>
              </w:rPr>
              <w:t>627</w:t>
            </w:r>
          </w:hyperlink>
        </w:p>
        <w:p>
          <w:pPr>
            <w:pStyle w:val="Contents5"/>
            <w:tabs>
              <w:tab w:val="clear" w:pos="7892"/>
              <w:tab w:val="right" w:pos="9026" w:leader="dot"/>
            </w:tabs>
            <w:rPr/>
          </w:pPr>
          <w:hyperlink w:anchor="__RefHeading___Toc607716_1934241801">
            <w:r>
              <w:rPr>
                <w:webHidden/>
                <w:rStyle w:val="IndexLink"/>
                <w:rtl w:val="true"/>
              </w:rPr>
              <w:t xml:space="preserve">روایت </w:t>
            </w:r>
            <w:r>
              <w:rPr>
                <w:rStyle w:val="IndexLink"/>
              </w:rPr>
              <w:t>29</w:t>
            </w:r>
            <w:r>
              <w:rPr>
                <w:rStyle w:val="IndexLink"/>
                <w:rtl w:val="true"/>
              </w:rPr>
              <w:tab/>
            </w:r>
            <w:r>
              <w:rPr>
                <w:rStyle w:val="IndexLink"/>
              </w:rPr>
              <w:t>628</w:t>
            </w:r>
          </w:hyperlink>
        </w:p>
        <w:p>
          <w:pPr>
            <w:pStyle w:val="Contents5"/>
            <w:tabs>
              <w:tab w:val="clear" w:pos="7892"/>
              <w:tab w:val="right" w:pos="9026" w:leader="dot"/>
            </w:tabs>
            <w:rPr/>
          </w:pPr>
          <w:hyperlink w:anchor="__RefHeading___Toc607718_1934241801">
            <w:r>
              <w:rPr>
                <w:webHidden/>
                <w:rStyle w:val="IndexLink"/>
                <w:rtl w:val="true"/>
              </w:rPr>
              <w:t>«</w:t>
            </w:r>
            <w:r>
              <w:rPr>
                <w:rStyle w:val="IndexLink"/>
              </w:rPr>
              <w:t>30</w:t>
            </w:r>
            <w:r>
              <w:rPr>
                <w:rStyle w:val="IndexLink"/>
                <w:rtl w:val="true"/>
              </w:rPr>
              <w:t>»</w:t>
              <w:tab/>
            </w:r>
            <w:r>
              <w:rPr>
                <w:rStyle w:val="IndexLink"/>
              </w:rPr>
              <w:t>629</w:t>
            </w:r>
          </w:hyperlink>
        </w:p>
        <w:p>
          <w:pPr>
            <w:pStyle w:val="Contents5"/>
            <w:tabs>
              <w:tab w:val="clear" w:pos="7892"/>
              <w:tab w:val="right" w:pos="9026" w:leader="dot"/>
            </w:tabs>
            <w:rPr/>
          </w:pPr>
          <w:hyperlink w:anchor="__RefHeading___Toc607720_1934241801">
            <w:r>
              <w:rPr>
                <w:webHidden/>
                <w:rStyle w:val="IndexLink"/>
                <w:rtl w:val="true"/>
              </w:rPr>
              <w:t>«</w:t>
            </w:r>
            <w:r>
              <w:rPr>
                <w:rStyle w:val="IndexLink"/>
              </w:rPr>
              <w:t>31</w:t>
            </w:r>
            <w:r>
              <w:rPr>
                <w:rStyle w:val="IndexLink"/>
                <w:rtl w:val="true"/>
              </w:rPr>
              <w:t>»</w:t>
              <w:tab/>
            </w:r>
            <w:r>
              <w:rPr>
                <w:rStyle w:val="IndexLink"/>
              </w:rPr>
              <w:t>629</w:t>
            </w:r>
          </w:hyperlink>
        </w:p>
        <w:p>
          <w:pPr>
            <w:pStyle w:val="Contents5"/>
            <w:tabs>
              <w:tab w:val="clear" w:pos="7892"/>
              <w:tab w:val="right" w:pos="9026" w:leader="dot"/>
            </w:tabs>
            <w:rPr/>
          </w:pPr>
          <w:hyperlink w:anchor="__RefHeading___Toc607722_1934241801">
            <w:r>
              <w:rPr>
                <w:webHidden/>
                <w:rStyle w:val="IndexLink"/>
                <w:rtl w:val="true"/>
              </w:rPr>
              <w:t>«</w:t>
            </w:r>
            <w:r>
              <w:rPr>
                <w:rStyle w:val="IndexLink"/>
              </w:rPr>
              <w:t>32</w:t>
            </w:r>
            <w:r>
              <w:rPr>
                <w:rStyle w:val="IndexLink"/>
                <w:rtl w:val="true"/>
              </w:rPr>
              <w:t>»</w:t>
              <w:tab/>
            </w:r>
            <w:r>
              <w:rPr>
                <w:rStyle w:val="IndexLink"/>
              </w:rPr>
              <w:t>629</w:t>
            </w:r>
          </w:hyperlink>
        </w:p>
        <w:p>
          <w:pPr>
            <w:pStyle w:val="Contents5"/>
            <w:tabs>
              <w:tab w:val="clear" w:pos="7892"/>
              <w:tab w:val="right" w:pos="9026" w:leader="dot"/>
            </w:tabs>
            <w:rPr/>
          </w:pPr>
          <w:hyperlink w:anchor="__RefHeading___Toc607724_1934241801">
            <w:r>
              <w:rPr>
                <w:webHidden/>
                <w:rStyle w:val="IndexLink"/>
                <w:rtl w:val="true"/>
              </w:rPr>
              <w:t xml:space="preserve">روایت </w:t>
            </w:r>
            <w:r>
              <w:rPr>
                <w:rStyle w:val="IndexLink"/>
              </w:rPr>
              <w:t>30</w:t>
            </w:r>
            <w:r>
              <w:rPr>
                <w:rStyle w:val="IndexLink"/>
                <w:rtl w:val="true"/>
              </w:rPr>
              <w:tab/>
            </w:r>
            <w:r>
              <w:rPr>
                <w:rStyle w:val="IndexLink"/>
              </w:rPr>
              <w:t>629</w:t>
            </w:r>
          </w:hyperlink>
        </w:p>
        <w:p>
          <w:pPr>
            <w:pStyle w:val="Contents5"/>
            <w:tabs>
              <w:tab w:val="clear" w:pos="7892"/>
              <w:tab w:val="right" w:pos="9026" w:leader="dot"/>
            </w:tabs>
            <w:rPr/>
          </w:pPr>
          <w:hyperlink w:anchor="__RefHeading___Toc607726_1934241801">
            <w:r>
              <w:rPr>
                <w:webHidden/>
                <w:rStyle w:val="IndexLink"/>
                <w:rtl w:val="true"/>
              </w:rPr>
              <w:t xml:space="preserve">روایت </w:t>
            </w:r>
            <w:r>
              <w:rPr>
                <w:rStyle w:val="IndexLink"/>
              </w:rPr>
              <w:t>31</w:t>
            </w:r>
            <w:r>
              <w:rPr>
                <w:rStyle w:val="IndexLink"/>
                <w:rtl w:val="true"/>
              </w:rPr>
              <w:tab/>
            </w:r>
            <w:r>
              <w:rPr>
                <w:rStyle w:val="IndexLink"/>
              </w:rPr>
              <w:t>629</w:t>
            </w:r>
          </w:hyperlink>
        </w:p>
        <w:p>
          <w:pPr>
            <w:pStyle w:val="Contents5"/>
            <w:tabs>
              <w:tab w:val="clear" w:pos="7892"/>
              <w:tab w:val="right" w:pos="9026" w:leader="dot"/>
            </w:tabs>
            <w:rPr/>
          </w:pPr>
          <w:hyperlink w:anchor="__RefHeading___Toc607728_1934241801">
            <w:r>
              <w:rPr>
                <w:webHidden/>
                <w:rStyle w:val="IndexLink"/>
                <w:rtl w:val="true"/>
              </w:rPr>
              <w:t xml:space="preserve">روایت </w:t>
            </w:r>
            <w:r>
              <w:rPr>
                <w:rStyle w:val="IndexLink"/>
              </w:rPr>
              <w:t>32</w:t>
            </w:r>
            <w:r>
              <w:rPr>
                <w:rStyle w:val="IndexLink"/>
                <w:rtl w:val="true"/>
              </w:rPr>
              <w:tab/>
            </w:r>
            <w:r>
              <w:rPr>
                <w:rStyle w:val="IndexLink"/>
              </w:rPr>
              <w:t>630</w:t>
            </w:r>
          </w:hyperlink>
        </w:p>
        <w:p>
          <w:pPr>
            <w:pStyle w:val="Contents3"/>
            <w:tabs>
              <w:tab w:val="clear" w:pos="8459"/>
              <w:tab w:val="right" w:pos="9026" w:leader="dot"/>
            </w:tabs>
            <w:rPr/>
          </w:pPr>
          <w:hyperlink w:anchor="__RefHeading___Toc607730_1934241801">
            <w:r>
              <w:rPr>
                <w:webHidden/>
                <w:rStyle w:val="IndexLink"/>
                <w:rtl w:val="true"/>
              </w:rPr>
              <w:t xml:space="preserve">باب </w:t>
            </w:r>
            <w:r>
              <w:rPr>
                <w:rStyle w:val="IndexLink"/>
              </w:rPr>
              <w:t>9</w:t>
            </w:r>
            <w:r>
              <w:rPr>
                <w:rStyle w:val="IndexLink"/>
                <w:rtl w:val="true"/>
              </w:rPr>
              <w:t xml:space="preserve"> </w:t>
            </w:r>
            <w:r>
              <w:rPr>
                <w:rStyle w:val="IndexLink"/>
                <w:rtl w:val="true"/>
              </w:rPr>
              <w:t>التكفين و آدابه و أحكامه</w:t>
            </w:r>
            <w:r>
              <w:rPr>
                <w:rStyle w:val="IndexLink"/>
                <w:rtl w:val="true"/>
              </w:rPr>
              <w:tab/>
            </w:r>
            <w:r>
              <w:rPr>
                <w:rStyle w:val="IndexLink"/>
              </w:rPr>
              <w:t>631</w:t>
            </w:r>
          </w:hyperlink>
        </w:p>
        <w:p>
          <w:pPr>
            <w:pStyle w:val="Contents4"/>
            <w:tabs>
              <w:tab w:val="clear" w:pos="8176"/>
              <w:tab w:val="right" w:pos="9026" w:leader="dot"/>
            </w:tabs>
            <w:rPr/>
          </w:pPr>
          <w:hyperlink w:anchor="__RefHeading___Toc607732_1934241801">
            <w:r>
              <w:rPr>
                <w:webHidden/>
                <w:rStyle w:val="IndexLink"/>
                <w:rtl w:val="true"/>
              </w:rPr>
              <w:t>روايات</w:t>
            </w:r>
            <w:r>
              <w:rPr>
                <w:rStyle w:val="IndexLink"/>
                <w:rtl w:val="true"/>
              </w:rPr>
              <w:tab/>
            </w:r>
            <w:r>
              <w:rPr>
                <w:rStyle w:val="IndexLink"/>
              </w:rPr>
              <w:t>631</w:t>
            </w:r>
          </w:hyperlink>
        </w:p>
        <w:p>
          <w:pPr>
            <w:pStyle w:val="Contents5"/>
            <w:tabs>
              <w:tab w:val="clear" w:pos="7892"/>
              <w:tab w:val="right" w:pos="9026" w:leader="dot"/>
            </w:tabs>
            <w:rPr/>
          </w:pPr>
          <w:hyperlink w:anchor="__RefHeading___Toc607734_1934241801">
            <w:r>
              <w:rPr>
                <w:webHidden/>
                <w:rStyle w:val="IndexLink"/>
                <w:rtl w:val="true"/>
              </w:rPr>
              <w:t>«</w:t>
            </w:r>
            <w:r>
              <w:rPr>
                <w:rStyle w:val="IndexLink"/>
              </w:rPr>
              <w:t>1</w:t>
            </w:r>
            <w:r>
              <w:rPr>
                <w:rStyle w:val="IndexLink"/>
                <w:rtl w:val="true"/>
              </w:rPr>
              <w:t>»</w:t>
              <w:tab/>
            </w:r>
            <w:r>
              <w:rPr>
                <w:rStyle w:val="IndexLink"/>
              </w:rPr>
              <w:t>631</w:t>
            </w:r>
          </w:hyperlink>
        </w:p>
        <w:p>
          <w:pPr>
            <w:pStyle w:val="Contents5"/>
            <w:tabs>
              <w:tab w:val="clear" w:pos="7892"/>
              <w:tab w:val="right" w:pos="9026" w:leader="dot"/>
            </w:tabs>
            <w:rPr/>
          </w:pPr>
          <w:hyperlink w:anchor="__RefHeading___Toc607736_1934241801">
            <w:r>
              <w:rPr>
                <w:webHidden/>
                <w:rStyle w:val="IndexLink"/>
                <w:rtl w:val="true"/>
              </w:rPr>
              <w:t>بيان</w:t>
            </w:r>
            <w:r>
              <w:rPr>
                <w:rStyle w:val="IndexLink"/>
                <w:rtl w:val="true"/>
              </w:rPr>
              <w:tab/>
            </w:r>
            <w:r>
              <w:rPr>
                <w:rStyle w:val="IndexLink"/>
              </w:rPr>
              <w:t>631</w:t>
            </w:r>
          </w:hyperlink>
        </w:p>
        <w:p>
          <w:pPr>
            <w:pStyle w:val="Contents5"/>
            <w:tabs>
              <w:tab w:val="clear" w:pos="7892"/>
              <w:tab w:val="right" w:pos="9026" w:leader="dot"/>
            </w:tabs>
            <w:rPr/>
          </w:pPr>
          <w:hyperlink w:anchor="__RefHeading___Toc607738_1934241801">
            <w:r>
              <w:rPr>
                <w:webHidden/>
                <w:rStyle w:val="IndexLink"/>
                <w:rtl w:val="true"/>
              </w:rPr>
              <w:t>«</w:t>
            </w:r>
            <w:r>
              <w:rPr>
                <w:rStyle w:val="IndexLink"/>
              </w:rPr>
              <w:t>2</w:t>
            </w:r>
            <w:r>
              <w:rPr>
                <w:rStyle w:val="IndexLink"/>
                <w:rtl w:val="true"/>
              </w:rPr>
              <w:t>»</w:t>
              <w:tab/>
            </w:r>
            <w:r>
              <w:rPr>
                <w:rStyle w:val="IndexLink"/>
              </w:rPr>
              <w:t>631</w:t>
            </w:r>
          </w:hyperlink>
        </w:p>
        <w:p>
          <w:pPr>
            <w:pStyle w:val="Contents5"/>
            <w:tabs>
              <w:tab w:val="clear" w:pos="7892"/>
              <w:tab w:val="right" w:pos="9026" w:leader="dot"/>
            </w:tabs>
            <w:rPr/>
          </w:pPr>
          <w:hyperlink w:anchor="__RefHeading___Toc607740_1934241801">
            <w:r>
              <w:rPr>
                <w:webHidden/>
                <w:rStyle w:val="IndexLink"/>
                <w:rtl w:val="true"/>
              </w:rPr>
              <w:t>«</w:t>
            </w:r>
            <w:r>
              <w:rPr>
                <w:rStyle w:val="IndexLink"/>
              </w:rPr>
              <w:t>3</w:t>
            </w:r>
            <w:r>
              <w:rPr>
                <w:rStyle w:val="IndexLink"/>
                <w:rtl w:val="true"/>
              </w:rPr>
              <w:t>»</w:t>
              <w:tab/>
            </w:r>
            <w:r>
              <w:rPr>
                <w:rStyle w:val="IndexLink"/>
              </w:rPr>
              <w:t>631</w:t>
            </w:r>
          </w:hyperlink>
        </w:p>
        <w:p>
          <w:pPr>
            <w:pStyle w:val="Contents3"/>
            <w:tabs>
              <w:tab w:val="clear" w:pos="8459"/>
              <w:tab w:val="right" w:pos="9026" w:leader="dot"/>
            </w:tabs>
            <w:rPr/>
          </w:pPr>
          <w:hyperlink w:anchor="__RefHeading___Toc607742_1934241801">
            <w:r>
              <w:rPr>
                <w:webHidden/>
                <w:rStyle w:val="IndexLink"/>
                <w:rtl w:val="true"/>
              </w:rPr>
              <w:t>باب نهم</w:t>
            </w:r>
            <w:r>
              <w:rPr>
                <w:rStyle w:val="IndexLink"/>
                <w:rtl w:val="true"/>
              </w:rPr>
              <w:t xml:space="preserve">: </w:t>
            </w:r>
            <w:r>
              <w:rPr>
                <w:rStyle w:val="IndexLink"/>
                <w:rtl w:val="true"/>
              </w:rPr>
              <w:t>کفن کردن و آداب و احکام مربوط به آن</w:t>
            </w:r>
            <w:r>
              <w:rPr>
                <w:rStyle w:val="IndexLink"/>
                <w:rtl w:val="true"/>
              </w:rPr>
              <w:tab/>
            </w:r>
            <w:r>
              <w:rPr>
                <w:rStyle w:val="IndexLink"/>
              </w:rPr>
              <w:t>631</w:t>
            </w:r>
          </w:hyperlink>
        </w:p>
        <w:p>
          <w:pPr>
            <w:pStyle w:val="Contents4"/>
            <w:tabs>
              <w:tab w:val="clear" w:pos="8176"/>
              <w:tab w:val="right" w:pos="9026" w:leader="dot"/>
            </w:tabs>
            <w:rPr/>
          </w:pPr>
          <w:hyperlink w:anchor="__RefHeading___Toc607744_1934241801">
            <w:r>
              <w:rPr>
                <w:webHidden/>
                <w:rStyle w:val="IndexLink"/>
                <w:rtl w:val="true"/>
              </w:rPr>
              <w:t>روایات</w:t>
            </w:r>
            <w:r>
              <w:rPr>
                <w:rStyle w:val="IndexLink"/>
                <w:rtl w:val="true"/>
              </w:rPr>
              <w:tab/>
            </w:r>
            <w:r>
              <w:rPr>
                <w:rStyle w:val="IndexLink"/>
              </w:rPr>
              <w:t>631</w:t>
            </w:r>
          </w:hyperlink>
        </w:p>
        <w:p>
          <w:pPr>
            <w:pStyle w:val="Contents5"/>
            <w:tabs>
              <w:tab w:val="clear" w:pos="7892"/>
              <w:tab w:val="right" w:pos="9026" w:leader="dot"/>
            </w:tabs>
            <w:rPr/>
          </w:pPr>
          <w:hyperlink w:anchor="__RefHeading___Toc607746_1934241801">
            <w:r>
              <w:rPr>
                <w:webHidden/>
                <w:rStyle w:val="IndexLink"/>
                <w:rtl w:val="true"/>
              </w:rPr>
              <w:t xml:space="preserve">روایت </w:t>
            </w:r>
            <w:r>
              <w:rPr>
                <w:rStyle w:val="IndexLink"/>
              </w:rPr>
              <w:t>1</w:t>
            </w:r>
            <w:r>
              <w:rPr>
                <w:rStyle w:val="IndexLink"/>
                <w:rtl w:val="true"/>
              </w:rPr>
              <w:tab/>
            </w:r>
            <w:r>
              <w:rPr>
                <w:rStyle w:val="IndexLink"/>
              </w:rPr>
              <w:t>631</w:t>
            </w:r>
          </w:hyperlink>
        </w:p>
        <w:p>
          <w:pPr>
            <w:pStyle w:val="Contents5"/>
            <w:tabs>
              <w:tab w:val="clear" w:pos="7892"/>
              <w:tab w:val="right" w:pos="9026" w:leader="dot"/>
            </w:tabs>
            <w:rPr/>
          </w:pPr>
          <w:hyperlink w:anchor="__RefHeading___Toc607748_1934241801">
            <w:r>
              <w:rPr>
                <w:webHidden/>
                <w:rStyle w:val="IndexLink"/>
                <w:rtl w:val="true"/>
              </w:rPr>
              <w:t>توضیح</w:t>
            </w:r>
            <w:r>
              <w:rPr>
                <w:rStyle w:val="IndexLink"/>
                <w:rtl w:val="true"/>
              </w:rPr>
              <w:tab/>
            </w:r>
            <w:r>
              <w:rPr>
                <w:rStyle w:val="IndexLink"/>
              </w:rPr>
              <w:t>631</w:t>
            </w:r>
          </w:hyperlink>
        </w:p>
        <w:p>
          <w:pPr>
            <w:pStyle w:val="Contents5"/>
            <w:tabs>
              <w:tab w:val="clear" w:pos="7892"/>
              <w:tab w:val="right" w:pos="9026" w:leader="dot"/>
            </w:tabs>
            <w:rPr/>
          </w:pPr>
          <w:hyperlink w:anchor="__RefHeading___Toc607750_1934241801">
            <w:r>
              <w:rPr>
                <w:webHidden/>
                <w:rStyle w:val="IndexLink"/>
                <w:rtl w:val="true"/>
              </w:rPr>
              <w:t xml:space="preserve">روایت </w:t>
            </w:r>
            <w:r>
              <w:rPr>
                <w:rStyle w:val="IndexLink"/>
              </w:rPr>
              <w:t>2</w:t>
            </w:r>
            <w:r>
              <w:rPr>
                <w:rStyle w:val="IndexLink"/>
                <w:rtl w:val="true"/>
              </w:rPr>
              <w:tab/>
            </w:r>
            <w:r>
              <w:rPr>
                <w:rStyle w:val="IndexLink"/>
              </w:rPr>
              <w:t>632</w:t>
            </w:r>
          </w:hyperlink>
        </w:p>
        <w:p>
          <w:pPr>
            <w:pStyle w:val="Contents5"/>
            <w:tabs>
              <w:tab w:val="clear" w:pos="7892"/>
              <w:tab w:val="right" w:pos="9026" w:leader="dot"/>
            </w:tabs>
            <w:rPr/>
          </w:pPr>
          <w:hyperlink w:anchor="__RefHeading___Toc607752_1934241801">
            <w:r>
              <w:rPr>
                <w:webHidden/>
                <w:rStyle w:val="IndexLink"/>
                <w:rtl w:val="true"/>
              </w:rPr>
              <w:t xml:space="preserve">روایت </w:t>
            </w:r>
            <w:r>
              <w:rPr>
                <w:rStyle w:val="IndexLink"/>
              </w:rPr>
              <w:t>3</w:t>
            </w:r>
            <w:r>
              <w:rPr>
                <w:rStyle w:val="IndexLink"/>
                <w:rtl w:val="true"/>
              </w:rPr>
              <w:tab/>
            </w:r>
            <w:r>
              <w:rPr>
                <w:rStyle w:val="IndexLink"/>
              </w:rPr>
              <w:t>632</w:t>
            </w:r>
          </w:hyperlink>
        </w:p>
        <w:p>
          <w:pPr>
            <w:pStyle w:val="Contents5"/>
            <w:tabs>
              <w:tab w:val="clear" w:pos="7892"/>
              <w:tab w:val="right" w:pos="9026" w:leader="dot"/>
            </w:tabs>
            <w:rPr/>
          </w:pPr>
          <w:hyperlink w:anchor="__RefHeading___Toc607754_1934241801">
            <w:r>
              <w:rPr>
                <w:webHidden/>
                <w:rStyle w:val="IndexLink"/>
                <w:rtl w:val="true"/>
              </w:rPr>
              <w:t>بيان</w:t>
            </w:r>
            <w:r>
              <w:rPr>
                <w:rStyle w:val="IndexLink"/>
                <w:rtl w:val="true"/>
              </w:rPr>
              <w:tab/>
            </w:r>
            <w:r>
              <w:rPr>
                <w:rStyle w:val="IndexLink"/>
              </w:rPr>
              <w:t>633</w:t>
            </w:r>
          </w:hyperlink>
        </w:p>
        <w:p>
          <w:pPr>
            <w:pStyle w:val="Contents5"/>
            <w:tabs>
              <w:tab w:val="clear" w:pos="7892"/>
              <w:tab w:val="right" w:pos="9026" w:leader="dot"/>
            </w:tabs>
            <w:rPr/>
          </w:pPr>
          <w:hyperlink w:anchor="__RefHeading___Toc607756_1934241801">
            <w:r>
              <w:rPr>
                <w:webHidden/>
                <w:rStyle w:val="IndexLink"/>
                <w:rtl w:val="true"/>
              </w:rPr>
              <w:t>«</w:t>
            </w:r>
            <w:r>
              <w:rPr>
                <w:rStyle w:val="IndexLink"/>
              </w:rPr>
              <w:t>4</w:t>
            </w:r>
            <w:r>
              <w:rPr>
                <w:rStyle w:val="IndexLink"/>
                <w:rtl w:val="true"/>
              </w:rPr>
              <w:t>»</w:t>
              <w:tab/>
            </w:r>
            <w:r>
              <w:rPr>
                <w:rStyle w:val="IndexLink"/>
              </w:rPr>
              <w:t>633</w:t>
            </w:r>
          </w:hyperlink>
        </w:p>
        <w:p>
          <w:pPr>
            <w:pStyle w:val="Contents5"/>
            <w:tabs>
              <w:tab w:val="clear" w:pos="7892"/>
              <w:tab w:val="right" w:pos="9026" w:leader="dot"/>
            </w:tabs>
            <w:rPr/>
          </w:pPr>
          <w:hyperlink w:anchor="__RefHeading___Toc607758_1934241801">
            <w:r>
              <w:rPr>
                <w:webHidden/>
                <w:rStyle w:val="IndexLink"/>
                <w:rtl w:val="true"/>
              </w:rPr>
              <w:t>«</w:t>
            </w:r>
            <w:r>
              <w:rPr>
                <w:rStyle w:val="IndexLink"/>
              </w:rPr>
              <w:t>5</w:t>
            </w:r>
            <w:r>
              <w:rPr>
                <w:rStyle w:val="IndexLink"/>
                <w:rtl w:val="true"/>
              </w:rPr>
              <w:t>»</w:t>
              <w:tab/>
            </w:r>
            <w:r>
              <w:rPr>
                <w:rStyle w:val="IndexLink"/>
              </w:rPr>
              <w:t>633</w:t>
            </w:r>
          </w:hyperlink>
        </w:p>
        <w:p>
          <w:pPr>
            <w:pStyle w:val="Contents5"/>
            <w:tabs>
              <w:tab w:val="clear" w:pos="7892"/>
              <w:tab w:val="right" w:pos="9026" w:leader="dot"/>
            </w:tabs>
            <w:rPr/>
          </w:pPr>
          <w:hyperlink w:anchor="__RefHeading___Toc607760_1934241801">
            <w:r>
              <w:rPr>
                <w:webHidden/>
                <w:rStyle w:val="IndexLink"/>
                <w:rtl w:val="true"/>
              </w:rPr>
              <w:t>«</w:t>
            </w:r>
            <w:r>
              <w:rPr>
                <w:rStyle w:val="IndexLink"/>
              </w:rPr>
              <w:t>6</w:t>
            </w:r>
            <w:r>
              <w:rPr>
                <w:rStyle w:val="IndexLink"/>
                <w:rtl w:val="true"/>
              </w:rPr>
              <w:t>»</w:t>
              <w:tab/>
            </w:r>
            <w:r>
              <w:rPr>
                <w:rStyle w:val="IndexLink"/>
              </w:rPr>
              <w:t>633</w:t>
            </w:r>
          </w:hyperlink>
        </w:p>
        <w:p>
          <w:pPr>
            <w:pStyle w:val="Contents5"/>
            <w:tabs>
              <w:tab w:val="clear" w:pos="7892"/>
              <w:tab w:val="right" w:pos="9026" w:leader="dot"/>
            </w:tabs>
            <w:rPr/>
          </w:pPr>
          <w:hyperlink w:anchor="__RefHeading___Toc607762_1934241801">
            <w:r>
              <w:rPr>
                <w:webHidden/>
                <w:rStyle w:val="IndexLink"/>
                <w:rtl w:val="true"/>
              </w:rPr>
              <w:t>بيان</w:t>
            </w:r>
            <w:r>
              <w:rPr>
                <w:rStyle w:val="IndexLink"/>
                <w:rtl w:val="true"/>
              </w:rPr>
              <w:tab/>
            </w:r>
            <w:r>
              <w:rPr>
                <w:rStyle w:val="IndexLink"/>
              </w:rPr>
              <w:t>633</w:t>
            </w:r>
          </w:hyperlink>
        </w:p>
        <w:p>
          <w:pPr>
            <w:pStyle w:val="Contents5"/>
            <w:tabs>
              <w:tab w:val="clear" w:pos="7892"/>
              <w:tab w:val="right" w:pos="9026" w:leader="dot"/>
            </w:tabs>
            <w:rPr/>
          </w:pPr>
          <w:hyperlink w:anchor="__RefHeading___Toc607764_1934241801">
            <w:r>
              <w:rPr>
                <w:webHidden/>
                <w:rStyle w:val="IndexLink"/>
                <w:rtl w:val="true"/>
              </w:rPr>
              <w:t>توضیح</w:t>
            </w:r>
            <w:r>
              <w:rPr>
                <w:rStyle w:val="IndexLink"/>
                <w:rtl w:val="true"/>
              </w:rPr>
              <w:tab/>
            </w:r>
            <w:r>
              <w:rPr>
                <w:rStyle w:val="IndexLink"/>
              </w:rPr>
              <w:t>633</w:t>
            </w:r>
          </w:hyperlink>
        </w:p>
        <w:p>
          <w:pPr>
            <w:pStyle w:val="Contents5"/>
            <w:tabs>
              <w:tab w:val="clear" w:pos="7892"/>
              <w:tab w:val="right" w:pos="9026" w:leader="dot"/>
            </w:tabs>
            <w:rPr/>
          </w:pPr>
          <w:hyperlink w:anchor="__RefHeading___Toc607766_1934241801">
            <w:r>
              <w:rPr>
                <w:webHidden/>
                <w:rStyle w:val="IndexLink"/>
                <w:rtl w:val="true"/>
              </w:rPr>
              <w:t xml:space="preserve">روایت </w:t>
            </w:r>
            <w:r>
              <w:rPr>
                <w:rStyle w:val="IndexLink"/>
              </w:rPr>
              <w:t>4</w:t>
            </w:r>
            <w:r>
              <w:rPr>
                <w:rStyle w:val="IndexLink"/>
                <w:rtl w:val="true"/>
              </w:rPr>
              <w:tab/>
            </w:r>
            <w:r>
              <w:rPr>
                <w:rStyle w:val="IndexLink"/>
              </w:rPr>
              <w:t>633</w:t>
            </w:r>
          </w:hyperlink>
        </w:p>
        <w:p>
          <w:pPr>
            <w:pStyle w:val="Contents5"/>
            <w:tabs>
              <w:tab w:val="clear" w:pos="7892"/>
              <w:tab w:val="right" w:pos="9026" w:leader="dot"/>
            </w:tabs>
            <w:rPr/>
          </w:pPr>
          <w:hyperlink w:anchor="__RefHeading___Toc607768_1934241801">
            <w:r>
              <w:rPr>
                <w:webHidden/>
                <w:rStyle w:val="IndexLink"/>
                <w:rtl w:val="true"/>
              </w:rPr>
              <w:t xml:space="preserve">روایت </w:t>
            </w:r>
            <w:r>
              <w:rPr>
                <w:rStyle w:val="IndexLink"/>
              </w:rPr>
              <w:t>5</w:t>
            </w:r>
            <w:r>
              <w:rPr>
                <w:rStyle w:val="IndexLink"/>
                <w:rtl w:val="true"/>
              </w:rPr>
              <w:tab/>
            </w:r>
            <w:r>
              <w:rPr>
                <w:rStyle w:val="IndexLink"/>
              </w:rPr>
              <w:t>634</w:t>
            </w:r>
          </w:hyperlink>
        </w:p>
        <w:p>
          <w:pPr>
            <w:pStyle w:val="Contents5"/>
            <w:tabs>
              <w:tab w:val="clear" w:pos="7892"/>
              <w:tab w:val="right" w:pos="9026" w:leader="dot"/>
            </w:tabs>
            <w:rPr/>
          </w:pPr>
          <w:hyperlink w:anchor="__RefHeading___Toc607770_1934241801">
            <w:r>
              <w:rPr>
                <w:webHidden/>
                <w:rStyle w:val="IndexLink"/>
                <w:rtl w:val="true"/>
              </w:rPr>
              <w:t xml:space="preserve">روایت </w:t>
            </w:r>
            <w:r>
              <w:rPr>
                <w:rStyle w:val="IndexLink"/>
              </w:rPr>
              <w:t>6</w:t>
            </w:r>
            <w:r>
              <w:rPr>
                <w:rStyle w:val="IndexLink"/>
                <w:rtl w:val="true"/>
              </w:rPr>
              <w:tab/>
            </w:r>
            <w:r>
              <w:rPr>
                <w:rStyle w:val="IndexLink"/>
              </w:rPr>
              <w:t>634</w:t>
            </w:r>
          </w:hyperlink>
        </w:p>
        <w:p>
          <w:pPr>
            <w:pStyle w:val="Contents5"/>
            <w:tabs>
              <w:tab w:val="clear" w:pos="7892"/>
              <w:tab w:val="right" w:pos="9026" w:leader="dot"/>
            </w:tabs>
            <w:rPr/>
          </w:pPr>
          <w:hyperlink w:anchor="__RefHeading___Toc607772_1934241801">
            <w:r>
              <w:rPr>
                <w:webHidden/>
                <w:rStyle w:val="IndexLink"/>
                <w:rtl w:val="true"/>
              </w:rPr>
              <w:t>توضیح</w:t>
            </w:r>
            <w:r>
              <w:rPr>
                <w:rStyle w:val="IndexLink"/>
                <w:rtl w:val="true"/>
              </w:rPr>
              <w:tab/>
            </w:r>
            <w:r>
              <w:rPr>
                <w:rStyle w:val="IndexLink"/>
              </w:rPr>
              <w:t>634</w:t>
            </w:r>
          </w:hyperlink>
        </w:p>
        <w:p>
          <w:pPr>
            <w:pStyle w:val="Contents5"/>
            <w:tabs>
              <w:tab w:val="clear" w:pos="7892"/>
              <w:tab w:val="right" w:pos="9026" w:leader="dot"/>
            </w:tabs>
            <w:rPr/>
          </w:pPr>
          <w:hyperlink w:anchor="__RefHeading___Toc607774_1934241801">
            <w:r>
              <w:rPr>
                <w:webHidden/>
                <w:rStyle w:val="IndexLink"/>
                <w:rtl w:val="true"/>
              </w:rPr>
              <w:t>«</w:t>
            </w:r>
            <w:r>
              <w:rPr>
                <w:rStyle w:val="IndexLink"/>
              </w:rPr>
              <w:t>7</w:t>
            </w:r>
            <w:r>
              <w:rPr>
                <w:rStyle w:val="IndexLink"/>
                <w:rtl w:val="true"/>
              </w:rPr>
              <w:t>»</w:t>
              <w:tab/>
            </w:r>
            <w:r>
              <w:rPr>
                <w:rStyle w:val="IndexLink"/>
              </w:rPr>
              <w:t>635</w:t>
            </w:r>
          </w:hyperlink>
        </w:p>
        <w:p>
          <w:pPr>
            <w:pStyle w:val="Contents5"/>
            <w:tabs>
              <w:tab w:val="clear" w:pos="7892"/>
              <w:tab w:val="right" w:pos="9026" w:leader="dot"/>
            </w:tabs>
            <w:rPr/>
          </w:pPr>
          <w:hyperlink w:anchor="__RefHeading___Toc607776_1934241801">
            <w:r>
              <w:rPr>
                <w:webHidden/>
                <w:rStyle w:val="IndexLink"/>
                <w:rtl w:val="true"/>
              </w:rPr>
              <w:t>«</w:t>
            </w:r>
            <w:r>
              <w:rPr>
                <w:rStyle w:val="IndexLink"/>
              </w:rPr>
              <w:t>8</w:t>
            </w:r>
            <w:r>
              <w:rPr>
                <w:rStyle w:val="IndexLink"/>
                <w:rtl w:val="true"/>
              </w:rPr>
              <w:t>»</w:t>
              <w:tab/>
            </w:r>
            <w:r>
              <w:rPr>
                <w:rStyle w:val="IndexLink"/>
              </w:rPr>
              <w:t>635</w:t>
            </w:r>
          </w:hyperlink>
        </w:p>
        <w:p>
          <w:pPr>
            <w:pStyle w:val="Contents5"/>
            <w:tabs>
              <w:tab w:val="clear" w:pos="7892"/>
              <w:tab w:val="right" w:pos="9026" w:leader="dot"/>
            </w:tabs>
            <w:rPr/>
          </w:pPr>
          <w:hyperlink w:anchor="__RefHeading___Toc607778_1934241801">
            <w:r>
              <w:rPr>
                <w:webHidden/>
                <w:rStyle w:val="IndexLink"/>
                <w:rtl w:val="true"/>
              </w:rPr>
              <w:t>«</w:t>
            </w:r>
            <w:r>
              <w:rPr>
                <w:rStyle w:val="IndexLink"/>
              </w:rPr>
              <w:t>9</w:t>
            </w:r>
            <w:r>
              <w:rPr>
                <w:rStyle w:val="IndexLink"/>
                <w:rtl w:val="true"/>
              </w:rPr>
              <w:t>»</w:t>
              <w:tab/>
            </w:r>
            <w:r>
              <w:rPr>
                <w:rStyle w:val="IndexLink"/>
              </w:rPr>
              <w:t>635</w:t>
            </w:r>
          </w:hyperlink>
        </w:p>
        <w:p>
          <w:pPr>
            <w:pStyle w:val="Contents5"/>
            <w:tabs>
              <w:tab w:val="clear" w:pos="7892"/>
              <w:tab w:val="right" w:pos="9026" w:leader="dot"/>
            </w:tabs>
            <w:rPr/>
          </w:pPr>
          <w:hyperlink w:anchor="__RefHeading___Toc607780_1934241801">
            <w:r>
              <w:rPr>
                <w:webHidden/>
                <w:rStyle w:val="IndexLink"/>
                <w:rtl w:val="true"/>
              </w:rPr>
              <w:t>بيان</w:t>
            </w:r>
            <w:r>
              <w:rPr>
                <w:rStyle w:val="IndexLink"/>
                <w:rtl w:val="true"/>
              </w:rPr>
              <w:tab/>
            </w:r>
            <w:r>
              <w:rPr>
                <w:rStyle w:val="IndexLink"/>
              </w:rPr>
              <w:t>635</w:t>
            </w:r>
          </w:hyperlink>
        </w:p>
        <w:p>
          <w:pPr>
            <w:pStyle w:val="Contents5"/>
            <w:tabs>
              <w:tab w:val="clear" w:pos="7892"/>
              <w:tab w:val="right" w:pos="9026" w:leader="dot"/>
            </w:tabs>
            <w:rPr/>
          </w:pPr>
          <w:hyperlink w:anchor="__RefHeading___Toc607782_1934241801">
            <w:r>
              <w:rPr>
                <w:webHidden/>
                <w:rStyle w:val="IndexLink"/>
                <w:rtl w:val="true"/>
              </w:rPr>
              <w:t>«</w:t>
            </w:r>
            <w:r>
              <w:rPr>
                <w:rStyle w:val="IndexLink"/>
              </w:rPr>
              <w:t>10</w:t>
            </w:r>
            <w:r>
              <w:rPr>
                <w:rStyle w:val="IndexLink"/>
                <w:rtl w:val="true"/>
              </w:rPr>
              <w:t>»</w:t>
              <w:tab/>
            </w:r>
            <w:r>
              <w:rPr>
                <w:rStyle w:val="IndexLink"/>
              </w:rPr>
              <w:t>635</w:t>
            </w:r>
          </w:hyperlink>
        </w:p>
        <w:p>
          <w:pPr>
            <w:pStyle w:val="Contents5"/>
            <w:tabs>
              <w:tab w:val="clear" w:pos="7892"/>
              <w:tab w:val="right" w:pos="9026" w:leader="dot"/>
            </w:tabs>
            <w:rPr/>
          </w:pPr>
          <w:hyperlink w:anchor="__RefHeading___Toc607784_1934241801">
            <w:r>
              <w:rPr>
                <w:webHidden/>
                <w:rStyle w:val="IndexLink"/>
                <w:rtl w:val="true"/>
              </w:rPr>
              <w:t xml:space="preserve">روایت </w:t>
            </w:r>
            <w:r>
              <w:rPr>
                <w:rStyle w:val="IndexLink"/>
              </w:rPr>
              <w:t>7</w:t>
            </w:r>
            <w:r>
              <w:rPr>
                <w:rStyle w:val="IndexLink"/>
                <w:rtl w:val="true"/>
              </w:rPr>
              <w:tab/>
            </w:r>
            <w:r>
              <w:rPr>
                <w:rStyle w:val="IndexLink"/>
              </w:rPr>
              <w:t>635</w:t>
            </w:r>
          </w:hyperlink>
        </w:p>
        <w:p>
          <w:pPr>
            <w:pStyle w:val="Contents5"/>
            <w:tabs>
              <w:tab w:val="clear" w:pos="7892"/>
              <w:tab w:val="right" w:pos="9026" w:leader="dot"/>
            </w:tabs>
            <w:rPr/>
          </w:pPr>
          <w:hyperlink w:anchor="__RefHeading___Toc607786_1934241801">
            <w:r>
              <w:rPr>
                <w:webHidden/>
                <w:rStyle w:val="IndexLink"/>
                <w:rtl w:val="true"/>
              </w:rPr>
              <w:t xml:space="preserve">روایت </w:t>
            </w:r>
            <w:r>
              <w:rPr>
                <w:rStyle w:val="IndexLink"/>
              </w:rPr>
              <w:t>8</w:t>
            </w:r>
            <w:r>
              <w:rPr>
                <w:rStyle w:val="IndexLink"/>
                <w:rtl w:val="true"/>
              </w:rPr>
              <w:tab/>
            </w:r>
            <w:r>
              <w:rPr>
                <w:rStyle w:val="IndexLink"/>
              </w:rPr>
              <w:t>636</w:t>
            </w:r>
          </w:hyperlink>
        </w:p>
        <w:p>
          <w:pPr>
            <w:pStyle w:val="Contents5"/>
            <w:tabs>
              <w:tab w:val="clear" w:pos="7892"/>
              <w:tab w:val="right" w:pos="9026" w:leader="dot"/>
            </w:tabs>
            <w:rPr/>
          </w:pPr>
          <w:hyperlink w:anchor="__RefHeading___Toc607788_1934241801">
            <w:r>
              <w:rPr>
                <w:webHidden/>
                <w:rStyle w:val="IndexLink"/>
                <w:rtl w:val="true"/>
              </w:rPr>
              <w:t xml:space="preserve">روایت </w:t>
            </w:r>
            <w:r>
              <w:rPr>
                <w:rStyle w:val="IndexLink"/>
              </w:rPr>
              <w:t>9</w:t>
            </w:r>
            <w:r>
              <w:rPr>
                <w:rStyle w:val="IndexLink"/>
                <w:rtl w:val="true"/>
              </w:rPr>
              <w:tab/>
            </w:r>
            <w:r>
              <w:rPr>
                <w:rStyle w:val="IndexLink"/>
              </w:rPr>
              <w:t>636</w:t>
            </w:r>
          </w:hyperlink>
        </w:p>
        <w:p>
          <w:pPr>
            <w:pStyle w:val="Contents5"/>
            <w:tabs>
              <w:tab w:val="clear" w:pos="7892"/>
              <w:tab w:val="right" w:pos="9026" w:leader="dot"/>
            </w:tabs>
            <w:rPr/>
          </w:pPr>
          <w:hyperlink w:anchor="__RefHeading___Toc607790_1934241801">
            <w:r>
              <w:rPr>
                <w:webHidden/>
                <w:rStyle w:val="IndexLink"/>
                <w:rtl w:val="true"/>
              </w:rPr>
              <w:t>توضیح</w:t>
            </w:r>
            <w:r>
              <w:rPr>
                <w:rStyle w:val="IndexLink"/>
                <w:rtl w:val="true"/>
              </w:rPr>
              <w:tab/>
            </w:r>
            <w:r>
              <w:rPr>
                <w:rStyle w:val="IndexLink"/>
              </w:rPr>
              <w:t>636</w:t>
            </w:r>
          </w:hyperlink>
        </w:p>
        <w:p>
          <w:pPr>
            <w:pStyle w:val="Contents5"/>
            <w:tabs>
              <w:tab w:val="clear" w:pos="7892"/>
              <w:tab w:val="right" w:pos="9026" w:leader="dot"/>
            </w:tabs>
            <w:rPr/>
          </w:pPr>
          <w:hyperlink w:anchor="__RefHeading___Toc607792_1934241801">
            <w:r>
              <w:rPr>
                <w:webHidden/>
                <w:rStyle w:val="IndexLink"/>
                <w:rtl w:val="true"/>
              </w:rPr>
              <w:t xml:space="preserve">روایت </w:t>
            </w:r>
            <w:r>
              <w:rPr>
                <w:rStyle w:val="IndexLink"/>
              </w:rPr>
              <w:t>10</w:t>
            </w:r>
            <w:r>
              <w:rPr>
                <w:rStyle w:val="IndexLink"/>
                <w:rtl w:val="true"/>
              </w:rPr>
              <w:tab/>
            </w:r>
            <w:r>
              <w:rPr>
                <w:rStyle w:val="IndexLink"/>
              </w:rPr>
              <w:t>636</w:t>
            </w:r>
          </w:hyperlink>
        </w:p>
        <w:p>
          <w:pPr>
            <w:pStyle w:val="Contents5"/>
            <w:tabs>
              <w:tab w:val="clear" w:pos="7892"/>
              <w:tab w:val="right" w:pos="9026" w:leader="dot"/>
            </w:tabs>
            <w:rPr/>
          </w:pPr>
          <w:hyperlink w:anchor="__RefHeading___Toc607794_1934241801">
            <w:r>
              <w:rPr>
                <w:webHidden/>
                <w:rStyle w:val="IndexLink"/>
                <w:rtl w:val="true"/>
              </w:rPr>
              <w:t>«</w:t>
            </w:r>
            <w:r>
              <w:rPr>
                <w:rStyle w:val="IndexLink"/>
              </w:rPr>
              <w:t>11</w:t>
            </w:r>
            <w:r>
              <w:rPr>
                <w:rStyle w:val="IndexLink"/>
                <w:rtl w:val="true"/>
              </w:rPr>
              <w:t>»</w:t>
              <w:tab/>
            </w:r>
            <w:r>
              <w:rPr>
                <w:rStyle w:val="IndexLink"/>
              </w:rPr>
              <w:t>637</w:t>
            </w:r>
          </w:hyperlink>
        </w:p>
        <w:p>
          <w:pPr>
            <w:pStyle w:val="Contents5"/>
            <w:tabs>
              <w:tab w:val="clear" w:pos="7892"/>
              <w:tab w:val="right" w:pos="9026" w:leader="dot"/>
            </w:tabs>
            <w:rPr/>
          </w:pPr>
          <w:hyperlink w:anchor="__RefHeading___Toc607796_1934241801">
            <w:r>
              <w:rPr>
                <w:webHidden/>
                <w:rStyle w:val="IndexLink"/>
                <w:rtl w:val="true"/>
              </w:rPr>
              <w:t>«</w:t>
            </w:r>
            <w:r>
              <w:rPr>
                <w:rStyle w:val="IndexLink"/>
              </w:rPr>
              <w:t>12</w:t>
            </w:r>
            <w:r>
              <w:rPr>
                <w:rStyle w:val="IndexLink"/>
                <w:rtl w:val="true"/>
              </w:rPr>
              <w:t>»</w:t>
              <w:tab/>
            </w:r>
            <w:r>
              <w:rPr>
                <w:rStyle w:val="IndexLink"/>
              </w:rPr>
              <w:t>637</w:t>
            </w:r>
          </w:hyperlink>
        </w:p>
        <w:p>
          <w:pPr>
            <w:pStyle w:val="Contents5"/>
            <w:tabs>
              <w:tab w:val="clear" w:pos="7892"/>
              <w:tab w:val="right" w:pos="9026" w:leader="dot"/>
            </w:tabs>
            <w:rPr/>
          </w:pPr>
          <w:hyperlink w:anchor="__RefHeading___Toc607798_1934241801">
            <w:r>
              <w:rPr>
                <w:webHidden/>
                <w:rStyle w:val="IndexLink"/>
                <w:rtl w:val="true"/>
              </w:rPr>
              <w:t xml:space="preserve">روایت </w:t>
            </w:r>
            <w:r>
              <w:rPr>
                <w:rStyle w:val="IndexLink"/>
              </w:rPr>
              <w:t>11</w:t>
            </w:r>
            <w:r>
              <w:rPr>
                <w:rStyle w:val="IndexLink"/>
                <w:rtl w:val="true"/>
              </w:rPr>
              <w:tab/>
            </w:r>
            <w:r>
              <w:rPr>
                <w:rStyle w:val="IndexLink"/>
              </w:rPr>
              <w:t>637</w:t>
            </w:r>
          </w:hyperlink>
        </w:p>
        <w:p>
          <w:pPr>
            <w:pStyle w:val="Contents5"/>
            <w:tabs>
              <w:tab w:val="clear" w:pos="7892"/>
              <w:tab w:val="right" w:pos="9026" w:leader="dot"/>
            </w:tabs>
            <w:rPr/>
          </w:pPr>
          <w:hyperlink w:anchor="__RefHeading___Toc607800_1934241801">
            <w:r>
              <w:rPr>
                <w:webHidden/>
                <w:rStyle w:val="IndexLink"/>
                <w:rtl w:val="true"/>
              </w:rPr>
              <w:t xml:space="preserve">روایت </w:t>
            </w:r>
            <w:r>
              <w:rPr>
                <w:rStyle w:val="IndexLink"/>
              </w:rPr>
              <w:t>12</w:t>
            </w:r>
            <w:r>
              <w:rPr>
                <w:rStyle w:val="IndexLink"/>
                <w:rtl w:val="true"/>
              </w:rPr>
              <w:tab/>
            </w:r>
            <w:r>
              <w:rPr>
                <w:rStyle w:val="IndexLink"/>
              </w:rPr>
              <w:t>637</w:t>
            </w:r>
          </w:hyperlink>
        </w:p>
        <w:p>
          <w:pPr>
            <w:pStyle w:val="Contents5"/>
            <w:tabs>
              <w:tab w:val="clear" w:pos="7892"/>
              <w:tab w:val="right" w:pos="9026" w:leader="dot"/>
            </w:tabs>
            <w:rPr/>
          </w:pPr>
          <w:hyperlink w:anchor="__RefHeading___Toc607802_1934241801">
            <w:r>
              <w:rPr>
                <w:webHidden/>
                <w:rStyle w:val="IndexLink"/>
                <w:rtl w:val="true"/>
              </w:rPr>
              <w:t>توضيح</w:t>
            </w:r>
            <w:r>
              <w:rPr>
                <w:rStyle w:val="IndexLink"/>
                <w:rtl w:val="true"/>
              </w:rPr>
              <w:tab/>
            </w:r>
            <w:r>
              <w:rPr>
                <w:rStyle w:val="IndexLink"/>
              </w:rPr>
              <w:t>639</w:t>
            </w:r>
          </w:hyperlink>
        </w:p>
        <w:p>
          <w:pPr>
            <w:pStyle w:val="Contents5"/>
            <w:tabs>
              <w:tab w:val="clear" w:pos="7892"/>
              <w:tab w:val="right" w:pos="9026" w:leader="dot"/>
            </w:tabs>
            <w:rPr/>
          </w:pPr>
          <w:hyperlink w:anchor="__RefHeading___Toc607804_1934241801">
            <w:r>
              <w:rPr>
                <w:webHidden/>
                <w:rStyle w:val="IndexLink"/>
                <w:rtl w:val="true"/>
              </w:rPr>
              <w:t>توضیح</w:t>
            </w:r>
            <w:r>
              <w:rPr>
                <w:rStyle w:val="IndexLink"/>
                <w:rtl w:val="true"/>
              </w:rPr>
              <w:tab/>
            </w:r>
            <w:r>
              <w:rPr>
                <w:rStyle w:val="IndexLink"/>
              </w:rPr>
              <w:t>639</w:t>
            </w:r>
          </w:hyperlink>
        </w:p>
        <w:p>
          <w:pPr>
            <w:pStyle w:val="Contents5"/>
            <w:tabs>
              <w:tab w:val="clear" w:pos="7892"/>
              <w:tab w:val="right" w:pos="9026" w:leader="dot"/>
            </w:tabs>
            <w:rPr/>
          </w:pPr>
          <w:hyperlink w:anchor="__RefHeading___Toc607806_1934241801">
            <w:r>
              <w:rPr>
                <w:webHidden/>
                <w:rStyle w:val="IndexLink"/>
                <w:rtl w:val="true"/>
              </w:rPr>
              <w:t>«</w:t>
            </w:r>
            <w:r>
              <w:rPr>
                <w:rStyle w:val="IndexLink"/>
              </w:rPr>
              <w:t>13</w:t>
            </w:r>
            <w:r>
              <w:rPr>
                <w:rStyle w:val="IndexLink"/>
                <w:rtl w:val="true"/>
              </w:rPr>
              <w:t>»</w:t>
              <w:tab/>
            </w:r>
            <w:r>
              <w:rPr>
                <w:rStyle w:val="IndexLink"/>
              </w:rPr>
              <w:t>641</w:t>
            </w:r>
          </w:hyperlink>
        </w:p>
        <w:p>
          <w:pPr>
            <w:pStyle w:val="Contents5"/>
            <w:tabs>
              <w:tab w:val="clear" w:pos="7892"/>
              <w:tab w:val="right" w:pos="9026" w:leader="dot"/>
            </w:tabs>
            <w:rPr/>
          </w:pPr>
          <w:hyperlink w:anchor="__RefHeading___Toc607808_1934241801">
            <w:r>
              <w:rPr>
                <w:webHidden/>
                <w:rStyle w:val="IndexLink"/>
                <w:rtl w:val="true"/>
              </w:rPr>
              <w:t>بيان</w:t>
            </w:r>
            <w:r>
              <w:rPr>
                <w:rStyle w:val="IndexLink"/>
                <w:rtl w:val="true"/>
              </w:rPr>
              <w:tab/>
            </w:r>
            <w:r>
              <w:rPr>
                <w:rStyle w:val="IndexLink"/>
              </w:rPr>
              <w:t>641</w:t>
            </w:r>
          </w:hyperlink>
        </w:p>
        <w:p>
          <w:pPr>
            <w:pStyle w:val="Contents5"/>
            <w:tabs>
              <w:tab w:val="clear" w:pos="7892"/>
              <w:tab w:val="right" w:pos="9026" w:leader="dot"/>
            </w:tabs>
            <w:rPr/>
          </w:pPr>
          <w:hyperlink w:anchor="__RefHeading___Toc607810_1934241801">
            <w:r>
              <w:rPr>
                <w:webHidden/>
                <w:rStyle w:val="IndexLink"/>
                <w:rtl w:val="true"/>
              </w:rPr>
              <w:t>«</w:t>
            </w:r>
            <w:r>
              <w:rPr>
                <w:rStyle w:val="IndexLink"/>
              </w:rPr>
              <w:t>14</w:t>
            </w:r>
            <w:r>
              <w:rPr>
                <w:rStyle w:val="IndexLink"/>
                <w:rtl w:val="true"/>
              </w:rPr>
              <w:t>»</w:t>
              <w:tab/>
            </w:r>
            <w:r>
              <w:rPr>
                <w:rStyle w:val="IndexLink"/>
              </w:rPr>
              <w:t>641</w:t>
            </w:r>
          </w:hyperlink>
        </w:p>
        <w:p>
          <w:pPr>
            <w:pStyle w:val="Contents5"/>
            <w:tabs>
              <w:tab w:val="clear" w:pos="7892"/>
              <w:tab w:val="right" w:pos="9026" w:leader="dot"/>
            </w:tabs>
            <w:rPr/>
          </w:pPr>
          <w:hyperlink w:anchor="__RefHeading___Toc607812_1934241801">
            <w:r>
              <w:rPr>
                <w:webHidden/>
                <w:rStyle w:val="IndexLink"/>
                <w:rtl w:val="true"/>
              </w:rPr>
              <w:t xml:space="preserve">روایت </w:t>
            </w:r>
            <w:r>
              <w:rPr>
                <w:rStyle w:val="IndexLink"/>
              </w:rPr>
              <w:t>13</w:t>
            </w:r>
            <w:r>
              <w:rPr>
                <w:rStyle w:val="IndexLink"/>
                <w:rtl w:val="true"/>
              </w:rPr>
              <w:tab/>
            </w:r>
            <w:r>
              <w:rPr>
                <w:rStyle w:val="IndexLink"/>
              </w:rPr>
              <w:t>641</w:t>
            </w:r>
          </w:hyperlink>
        </w:p>
        <w:p>
          <w:pPr>
            <w:pStyle w:val="Contents5"/>
            <w:tabs>
              <w:tab w:val="clear" w:pos="7892"/>
              <w:tab w:val="right" w:pos="9026" w:leader="dot"/>
            </w:tabs>
            <w:rPr/>
          </w:pPr>
          <w:hyperlink w:anchor="__RefHeading___Toc607814_1934241801">
            <w:r>
              <w:rPr>
                <w:webHidden/>
                <w:rStyle w:val="IndexLink"/>
                <w:rtl w:val="true"/>
              </w:rPr>
              <w:t>توضیح</w:t>
            </w:r>
            <w:r>
              <w:rPr>
                <w:rStyle w:val="IndexLink"/>
                <w:rtl w:val="true"/>
              </w:rPr>
              <w:tab/>
            </w:r>
            <w:r>
              <w:rPr>
                <w:rStyle w:val="IndexLink"/>
              </w:rPr>
              <w:t>642</w:t>
            </w:r>
          </w:hyperlink>
        </w:p>
        <w:p>
          <w:pPr>
            <w:pStyle w:val="Contents5"/>
            <w:tabs>
              <w:tab w:val="clear" w:pos="7892"/>
              <w:tab w:val="right" w:pos="9026" w:leader="dot"/>
            </w:tabs>
            <w:rPr/>
          </w:pPr>
          <w:hyperlink w:anchor="__RefHeading___Toc607816_1934241801">
            <w:r>
              <w:rPr>
                <w:webHidden/>
                <w:rStyle w:val="IndexLink"/>
                <w:rtl w:val="true"/>
              </w:rPr>
              <w:t xml:space="preserve">روایت </w:t>
            </w:r>
            <w:r>
              <w:rPr>
                <w:rStyle w:val="IndexLink"/>
              </w:rPr>
              <w:t>14</w:t>
            </w:r>
            <w:r>
              <w:rPr>
                <w:rStyle w:val="IndexLink"/>
                <w:rtl w:val="true"/>
              </w:rPr>
              <w:tab/>
            </w:r>
            <w:r>
              <w:rPr>
                <w:rStyle w:val="IndexLink"/>
              </w:rPr>
              <w:t>642</w:t>
            </w:r>
          </w:hyperlink>
        </w:p>
        <w:p>
          <w:pPr>
            <w:pStyle w:val="Contents5"/>
            <w:tabs>
              <w:tab w:val="clear" w:pos="7892"/>
              <w:tab w:val="right" w:pos="9026" w:leader="dot"/>
            </w:tabs>
            <w:rPr/>
          </w:pPr>
          <w:hyperlink w:anchor="__RefHeading___Toc607818_1934241801">
            <w:r>
              <w:rPr>
                <w:webHidden/>
                <w:rStyle w:val="IndexLink"/>
                <w:rtl w:val="true"/>
              </w:rPr>
              <w:t>توضيح</w:t>
            </w:r>
            <w:r>
              <w:rPr>
                <w:rStyle w:val="IndexLink"/>
                <w:rtl w:val="true"/>
              </w:rPr>
              <w:tab/>
            </w:r>
            <w:r>
              <w:rPr>
                <w:rStyle w:val="IndexLink"/>
              </w:rPr>
              <w:t>647</w:t>
            </w:r>
          </w:hyperlink>
        </w:p>
        <w:p>
          <w:pPr>
            <w:pStyle w:val="Contents5"/>
            <w:tabs>
              <w:tab w:val="clear" w:pos="7892"/>
              <w:tab w:val="right" w:pos="9026" w:leader="dot"/>
            </w:tabs>
            <w:rPr/>
          </w:pPr>
          <w:hyperlink w:anchor="__RefHeading___Toc607820_1934241801">
            <w:r>
              <w:rPr>
                <w:webHidden/>
                <w:rStyle w:val="IndexLink"/>
                <w:rtl w:val="true"/>
              </w:rPr>
              <w:t>أقول</w:t>
            </w:r>
            <w:r>
              <w:rPr>
                <w:rStyle w:val="IndexLink"/>
                <w:rtl w:val="true"/>
              </w:rPr>
              <w:tab/>
            </w:r>
            <w:r>
              <w:rPr>
                <w:rStyle w:val="IndexLink"/>
              </w:rPr>
              <w:t>647</w:t>
            </w:r>
          </w:hyperlink>
        </w:p>
        <w:p>
          <w:pPr>
            <w:pStyle w:val="Contents5"/>
            <w:tabs>
              <w:tab w:val="clear" w:pos="7892"/>
              <w:tab w:val="right" w:pos="9026" w:leader="dot"/>
            </w:tabs>
            <w:rPr/>
          </w:pPr>
          <w:hyperlink w:anchor="__RefHeading___Toc607822_1934241801">
            <w:r>
              <w:rPr>
                <w:webHidden/>
                <w:rStyle w:val="IndexLink"/>
                <w:rtl w:val="true"/>
              </w:rPr>
              <w:t>توضیح و تنقیح</w:t>
            </w:r>
            <w:r>
              <w:rPr>
                <w:rStyle w:val="IndexLink"/>
                <w:rtl w:val="true"/>
              </w:rPr>
              <w:tab/>
            </w:r>
            <w:r>
              <w:rPr>
                <w:rStyle w:val="IndexLink"/>
              </w:rPr>
              <w:t>647</w:t>
            </w:r>
          </w:hyperlink>
        </w:p>
        <w:p>
          <w:pPr>
            <w:pStyle w:val="Contents5"/>
            <w:tabs>
              <w:tab w:val="clear" w:pos="7892"/>
              <w:tab w:val="right" w:pos="9026" w:leader="dot"/>
            </w:tabs>
            <w:rPr/>
          </w:pPr>
          <w:hyperlink w:anchor="__RefHeading___Toc607824_1934241801">
            <w:r>
              <w:rPr>
                <w:webHidden/>
                <w:rStyle w:val="IndexLink"/>
                <w:rtl w:val="true"/>
              </w:rPr>
              <w:t>می گویم</w:t>
            </w:r>
            <w:r>
              <w:rPr>
                <w:rStyle w:val="IndexLink"/>
                <w:rtl w:val="true"/>
              </w:rPr>
              <w:tab/>
            </w:r>
            <w:r>
              <w:rPr>
                <w:rStyle w:val="IndexLink"/>
              </w:rPr>
              <w:t>647</w:t>
            </w:r>
          </w:hyperlink>
        </w:p>
        <w:p>
          <w:pPr>
            <w:pStyle w:val="Contents5"/>
            <w:tabs>
              <w:tab w:val="clear" w:pos="7892"/>
              <w:tab w:val="right" w:pos="9026" w:leader="dot"/>
            </w:tabs>
            <w:rPr/>
          </w:pPr>
          <w:hyperlink w:anchor="__RefHeading___Toc607826_1934241801">
            <w:r>
              <w:rPr>
                <w:webHidden/>
                <w:rStyle w:val="IndexLink"/>
                <w:rtl w:val="true"/>
              </w:rPr>
              <w:t>أقول</w:t>
            </w:r>
            <w:r>
              <w:rPr>
                <w:rStyle w:val="IndexLink"/>
                <w:rtl w:val="true"/>
              </w:rPr>
              <w:tab/>
            </w:r>
            <w:r>
              <w:rPr>
                <w:rStyle w:val="IndexLink"/>
              </w:rPr>
              <w:t>655</w:t>
            </w:r>
          </w:hyperlink>
        </w:p>
        <w:p>
          <w:pPr>
            <w:pStyle w:val="Contents5"/>
            <w:tabs>
              <w:tab w:val="clear" w:pos="7892"/>
              <w:tab w:val="right" w:pos="9026" w:leader="dot"/>
            </w:tabs>
            <w:rPr/>
          </w:pPr>
          <w:hyperlink w:anchor="__RefHeading___Toc607828_1934241801">
            <w:r>
              <w:rPr>
                <w:webHidden/>
                <w:rStyle w:val="IndexLink"/>
                <w:rtl w:val="true"/>
              </w:rPr>
              <w:t>می گویم</w:t>
            </w:r>
            <w:r>
              <w:rPr>
                <w:rStyle w:val="IndexLink"/>
                <w:rtl w:val="true"/>
              </w:rPr>
              <w:tab/>
            </w:r>
            <w:r>
              <w:rPr>
                <w:rStyle w:val="IndexLink"/>
              </w:rPr>
              <w:t>656</w:t>
            </w:r>
          </w:hyperlink>
        </w:p>
        <w:p>
          <w:pPr>
            <w:pStyle w:val="Contents5"/>
            <w:tabs>
              <w:tab w:val="clear" w:pos="7892"/>
              <w:tab w:val="right" w:pos="9026" w:leader="dot"/>
            </w:tabs>
            <w:rPr/>
          </w:pPr>
          <w:hyperlink w:anchor="__RefHeading___Toc607830_1934241801">
            <w:r>
              <w:rPr>
                <w:webHidden/>
                <w:rStyle w:val="IndexLink"/>
                <w:rtl w:val="true"/>
              </w:rPr>
              <w:t>«</w:t>
            </w:r>
            <w:r>
              <w:rPr>
                <w:rStyle w:val="IndexLink"/>
              </w:rPr>
              <w:t>15</w:t>
            </w:r>
            <w:r>
              <w:rPr>
                <w:rStyle w:val="IndexLink"/>
                <w:rtl w:val="true"/>
              </w:rPr>
              <w:t>»</w:t>
              <w:tab/>
            </w:r>
            <w:r>
              <w:rPr>
                <w:rStyle w:val="IndexLink"/>
              </w:rPr>
              <w:t>657</w:t>
            </w:r>
          </w:hyperlink>
        </w:p>
        <w:p>
          <w:pPr>
            <w:pStyle w:val="Contents5"/>
            <w:tabs>
              <w:tab w:val="clear" w:pos="7892"/>
              <w:tab w:val="right" w:pos="9026" w:leader="dot"/>
            </w:tabs>
            <w:rPr/>
          </w:pPr>
          <w:hyperlink w:anchor="__RefHeading___Toc607832_1934241801">
            <w:r>
              <w:rPr>
                <w:webHidden/>
                <w:rStyle w:val="IndexLink"/>
                <w:rtl w:val="true"/>
              </w:rPr>
              <w:t>«</w:t>
            </w:r>
            <w:r>
              <w:rPr>
                <w:rStyle w:val="IndexLink"/>
              </w:rPr>
              <w:t>16</w:t>
            </w:r>
            <w:r>
              <w:rPr>
                <w:rStyle w:val="IndexLink"/>
                <w:rtl w:val="true"/>
              </w:rPr>
              <w:t>»</w:t>
              <w:tab/>
            </w:r>
            <w:r>
              <w:rPr>
                <w:rStyle w:val="IndexLink"/>
              </w:rPr>
              <w:t>657</w:t>
            </w:r>
          </w:hyperlink>
        </w:p>
        <w:p>
          <w:pPr>
            <w:pStyle w:val="Contents5"/>
            <w:tabs>
              <w:tab w:val="clear" w:pos="7892"/>
              <w:tab w:val="right" w:pos="9026" w:leader="dot"/>
            </w:tabs>
            <w:rPr/>
          </w:pPr>
          <w:hyperlink w:anchor="__RefHeading___Toc607834_1934241801">
            <w:r>
              <w:rPr>
                <w:webHidden/>
                <w:rStyle w:val="IndexLink"/>
                <w:rtl w:val="true"/>
              </w:rPr>
              <w:t>بيان</w:t>
            </w:r>
            <w:r>
              <w:rPr>
                <w:rStyle w:val="IndexLink"/>
                <w:rtl w:val="true"/>
              </w:rPr>
              <w:tab/>
            </w:r>
            <w:r>
              <w:rPr>
                <w:rStyle w:val="IndexLink"/>
              </w:rPr>
              <w:t>657</w:t>
            </w:r>
          </w:hyperlink>
        </w:p>
        <w:p>
          <w:pPr>
            <w:pStyle w:val="Contents5"/>
            <w:tabs>
              <w:tab w:val="clear" w:pos="7892"/>
              <w:tab w:val="right" w:pos="9026" w:leader="dot"/>
            </w:tabs>
            <w:rPr/>
          </w:pPr>
          <w:hyperlink w:anchor="__RefHeading___Toc607836_1934241801">
            <w:r>
              <w:rPr>
                <w:webHidden/>
                <w:rStyle w:val="IndexLink"/>
                <w:rtl w:val="true"/>
              </w:rPr>
              <w:t>«</w:t>
            </w:r>
            <w:r>
              <w:rPr>
                <w:rStyle w:val="IndexLink"/>
              </w:rPr>
              <w:t>17</w:t>
            </w:r>
            <w:r>
              <w:rPr>
                <w:rStyle w:val="IndexLink"/>
                <w:rtl w:val="true"/>
              </w:rPr>
              <w:t>»</w:t>
              <w:tab/>
            </w:r>
            <w:r>
              <w:rPr>
                <w:rStyle w:val="IndexLink"/>
              </w:rPr>
              <w:t>657</w:t>
            </w:r>
          </w:hyperlink>
        </w:p>
        <w:p>
          <w:pPr>
            <w:pStyle w:val="Contents5"/>
            <w:tabs>
              <w:tab w:val="clear" w:pos="7892"/>
              <w:tab w:val="right" w:pos="9026" w:leader="dot"/>
            </w:tabs>
            <w:rPr/>
          </w:pPr>
          <w:hyperlink w:anchor="__RefHeading___Toc607838_1934241801">
            <w:r>
              <w:rPr>
                <w:webHidden/>
                <w:rStyle w:val="IndexLink"/>
                <w:rtl w:val="true"/>
              </w:rPr>
              <w:t>«</w:t>
            </w:r>
            <w:r>
              <w:rPr>
                <w:rStyle w:val="IndexLink"/>
              </w:rPr>
              <w:t>18</w:t>
            </w:r>
            <w:r>
              <w:rPr>
                <w:rStyle w:val="IndexLink"/>
                <w:rtl w:val="true"/>
              </w:rPr>
              <w:t>»</w:t>
              <w:tab/>
            </w:r>
            <w:r>
              <w:rPr>
                <w:rStyle w:val="IndexLink"/>
              </w:rPr>
              <w:t>657</w:t>
            </w:r>
          </w:hyperlink>
        </w:p>
        <w:p>
          <w:pPr>
            <w:pStyle w:val="Contents5"/>
            <w:tabs>
              <w:tab w:val="clear" w:pos="7892"/>
              <w:tab w:val="right" w:pos="9026" w:leader="dot"/>
            </w:tabs>
            <w:rPr/>
          </w:pPr>
          <w:hyperlink w:anchor="__RefHeading___Toc607840_1934241801">
            <w:r>
              <w:rPr>
                <w:webHidden/>
                <w:rStyle w:val="IndexLink"/>
                <w:rtl w:val="true"/>
              </w:rPr>
              <w:t xml:space="preserve">روایت </w:t>
            </w:r>
            <w:r>
              <w:rPr>
                <w:rStyle w:val="IndexLink"/>
              </w:rPr>
              <w:t>15</w:t>
            </w:r>
            <w:r>
              <w:rPr>
                <w:rStyle w:val="IndexLink"/>
                <w:rtl w:val="true"/>
              </w:rPr>
              <w:tab/>
            </w:r>
            <w:r>
              <w:rPr>
                <w:rStyle w:val="IndexLink"/>
              </w:rPr>
              <w:t>657</w:t>
            </w:r>
          </w:hyperlink>
        </w:p>
        <w:p>
          <w:pPr>
            <w:pStyle w:val="Contents5"/>
            <w:tabs>
              <w:tab w:val="clear" w:pos="7892"/>
              <w:tab w:val="right" w:pos="9026" w:leader="dot"/>
            </w:tabs>
            <w:rPr/>
          </w:pPr>
          <w:hyperlink w:anchor="__RefHeading___Toc607842_1934241801">
            <w:r>
              <w:rPr>
                <w:webHidden/>
                <w:rStyle w:val="IndexLink"/>
                <w:rtl w:val="true"/>
              </w:rPr>
              <w:t xml:space="preserve">روایت </w:t>
            </w:r>
            <w:r>
              <w:rPr>
                <w:rStyle w:val="IndexLink"/>
              </w:rPr>
              <w:t>16</w:t>
            </w:r>
            <w:r>
              <w:rPr>
                <w:rStyle w:val="IndexLink"/>
                <w:rtl w:val="true"/>
              </w:rPr>
              <w:tab/>
            </w:r>
            <w:r>
              <w:rPr>
                <w:rStyle w:val="IndexLink"/>
              </w:rPr>
              <w:t>658</w:t>
            </w:r>
          </w:hyperlink>
        </w:p>
        <w:p>
          <w:pPr>
            <w:pStyle w:val="Contents5"/>
            <w:tabs>
              <w:tab w:val="clear" w:pos="7892"/>
              <w:tab w:val="right" w:pos="9026" w:leader="dot"/>
            </w:tabs>
            <w:rPr/>
          </w:pPr>
          <w:hyperlink w:anchor="__RefHeading___Toc607844_1934241801">
            <w:r>
              <w:rPr>
                <w:webHidden/>
                <w:rStyle w:val="IndexLink"/>
                <w:rtl w:val="true"/>
              </w:rPr>
              <w:t>توضیح</w:t>
            </w:r>
            <w:r>
              <w:rPr>
                <w:rStyle w:val="IndexLink"/>
                <w:rtl w:val="true"/>
              </w:rPr>
              <w:tab/>
            </w:r>
            <w:r>
              <w:rPr>
                <w:rStyle w:val="IndexLink"/>
              </w:rPr>
              <w:t>658</w:t>
            </w:r>
          </w:hyperlink>
        </w:p>
        <w:p>
          <w:pPr>
            <w:pStyle w:val="Contents5"/>
            <w:tabs>
              <w:tab w:val="clear" w:pos="7892"/>
              <w:tab w:val="right" w:pos="9026" w:leader="dot"/>
            </w:tabs>
            <w:rPr/>
          </w:pPr>
          <w:hyperlink w:anchor="__RefHeading___Toc607846_1934241801">
            <w:r>
              <w:rPr>
                <w:webHidden/>
                <w:rStyle w:val="IndexLink"/>
                <w:rtl w:val="true"/>
              </w:rPr>
              <w:t xml:space="preserve">روایت </w:t>
            </w:r>
            <w:r>
              <w:rPr>
                <w:rStyle w:val="IndexLink"/>
              </w:rPr>
              <w:t>17</w:t>
            </w:r>
            <w:r>
              <w:rPr>
                <w:rStyle w:val="IndexLink"/>
                <w:rtl w:val="true"/>
              </w:rPr>
              <w:tab/>
            </w:r>
            <w:r>
              <w:rPr>
                <w:rStyle w:val="IndexLink"/>
              </w:rPr>
              <w:t>658</w:t>
            </w:r>
          </w:hyperlink>
        </w:p>
        <w:p>
          <w:pPr>
            <w:pStyle w:val="Contents5"/>
            <w:tabs>
              <w:tab w:val="clear" w:pos="7892"/>
              <w:tab w:val="right" w:pos="9026" w:leader="dot"/>
            </w:tabs>
            <w:rPr/>
          </w:pPr>
          <w:hyperlink w:anchor="__RefHeading___Toc607848_1934241801">
            <w:r>
              <w:rPr>
                <w:webHidden/>
                <w:rStyle w:val="IndexLink"/>
                <w:rtl w:val="true"/>
              </w:rPr>
              <w:t xml:space="preserve">روایت </w:t>
            </w:r>
            <w:r>
              <w:rPr>
                <w:rStyle w:val="IndexLink"/>
              </w:rPr>
              <w:t>18</w:t>
            </w:r>
            <w:r>
              <w:rPr>
                <w:rStyle w:val="IndexLink"/>
                <w:rtl w:val="true"/>
              </w:rPr>
              <w:tab/>
            </w:r>
            <w:r>
              <w:rPr>
                <w:rStyle w:val="IndexLink"/>
              </w:rPr>
              <w:t>658</w:t>
            </w:r>
          </w:hyperlink>
        </w:p>
        <w:p>
          <w:pPr>
            <w:pStyle w:val="Contents5"/>
            <w:tabs>
              <w:tab w:val="clear" w:pos="7892"/>
              <w:tab w:val="right" w:pos="9026" w:leader="dot"/>
            </w:tabs>
            <w:rPr/>
          </w:pPr>
          <w:hyperlink w:anchor="__RefHeading___Toc607850_1934241801">
            <w:r>
              <w:rPr>
                <w:webHidden/>
                <w:rStyle w:val="IndexLink"/>
                <w:rtl w:val="true"/>
              </w:rPr>
              <w:t>«</w:t>
            </w:r>
            <w:r>
              <w:rPr>
                <w:rStyle w:val="IndexLink"/>
              </w:rPr>
              <w:t>19</w:t>
            </w:r>
            <w:r>
              <w:rPr>
                <w:rStyle w:val="IndexLink"/>
                <w:rtl w:val="true"/>
              </w:rPr>
              <w:t>»</w:t>
              <w:tab/>
            </w:r>
            <w:r>
              <w:rPr>
                <w:rStyle w:val="IndexLink"/>
              </w:rPr>
              <w:t>659</w:t>
            </w:r>
          </w:hyperlink>
        </w:p>
        <w:p>
          <w:pPr>
            <w:pStyle w:val="Contents5"/>
            <w:tabs>
              <w:tab w:val="clear" w:pos="7892"/>
              <w:tab w:val="right" w:pos="9026" w:leader="dot"/>
            </w:tabs>
            <w:rPr/>
          </w:pPr>
          <w:hyperlink w:anchor="__RefHeading___Toc607852_1934241801">
            <w:r>
              <w:rPr>
                <w:webHidden/>
                <w:rStyle w:val="IndexLink"/>
                <w:rtl w:val="true"/>
              </w:rPr>
              <w:t>«</w:t>
            </w:r>
            <w:r>
              <w:rPr>
                <w:rStyle w:val="IndexLink"/>
              </w:rPr>
              <w:t>20</w:t>
            </w:r>
            <w:r>
              <w:rPr>
                <w:rStyle w:val="IndexLink"/>
                <w:rtl w:val="true"/>
              </w:rPr>
              <w:t>»</w:t>
              <w:tab/>
            </w:r>
            <w:r>
              <w:rPr>
                <w:rStyle w:val="IndexLink"/>
              </w:rPr>
              <w:t>659</w:t>
            </w:r>
          </w:hyperlink>
        </w:p>
        <w:p>
          <w:pPr>
            <w:pStyle w:val="Contents5"/>
            <w:tabs>
              <w:tab w:val="clear" w:pos="7892"/>
              <w:tab w:val="right" w:pos="9026" w:leader="dot"/>
            </w:tabs>
            <w:rPr/>
          </w:pPr>
          <w:hyperlink w:anchor="__RefHeading___Toc607854_1934241801">
            <w:r>
              <w:rPr>
                <w:webHidden/>
                <w:rStyle w:val="IndexLink"/>
                <w:rtl w:val="true"/>
              </w:rPr>
              <w:t xml:space="preserve">روایت </w:t>
            </w:r>
            <w:r>
              <w:rPr>
                <w:rStyle w:val="IndexLink"/>
              </w:rPr>
              <w:t>19</w:t>
            </w:r>
            <w:r>
              <w:rPr>
                <w:rStyle w:val="IndexLink"/>
                <w:rtl w:val="true"/>
              </w:rPr>
              <w:tab/>
            </w:r>
            <w:r>
              <w:rPr>
                <w:rStyle w:val="IndexLink"/>
              </w:rPr>
              <w:t>660</w:t>
            </w:r>
          </w:hyperlink>
        </w:p>
        <w:p>
          <w:pPr>
            <w:pStyle w:val="Contents5"/>
            <w:tabs>
              <w:tab w:val="clear" w:pos="7892"/>
              <w:tab w:val="right" w:pos="9026" w:leader="dot"/>
            </w:tabs>
            <w:rPr/>
          </w:pPr>
          <w:hyperlink w:anchor="__RefHeading___Toc607856_1934241801">
            <w:r>
              <w:rPr>
                <w:webHidden/>
                <w:rStyle w:val="IndexLink"/>
                <w:rtl w:val="true"/>
              </w:rPr>
              <w:t xml:space="preserve">روایت </w:t>
            </w:r>
            <w:r>
              <w:rPr>
                <w:rStyle w:val="IndexLink"/>
              </w:rPr>
              <w:t>20</w:t>
            </w:r>
            <w:r>
              <w:rPr>
                <w:rStyle w:val="IndexLink"/>
                <w:rtl w:val="true"/>
              </w:rPr>
              <w:tab/>
            </w:r>
            <w:r>
              <w:rPr>
                <w:rStyle w:val="IndexLink"/>
              </w:rPr>
              <w:t>660</w:t>
            </w:r>
          </w:hyperlink>
        </w:p>
        <w:p>
          <w:pPr>
            <w:pStyle w:val="Contents5"/>
            <w:tabs>
              <w:tab w:val="clear" w:pos="7892"/>
              <w:tab w:val="right" w:pos="9026" w:leader="dot"/>
            </w:tabs>
            <w:rPr/>
          </w:pPr>
          <w:hyperlink w:anchor="__RefHeading___Toc607858_1934241801">
            <w:r>
              <w:rPr>
                <w:webHidden/>
                <w:rStyle w:val="IndexLink"/>
                <w:rtl w:val="true"/>
              </w:rPr>
              <w:t>«</w:t>
            </w:r>
            <w:r>
              <w:rPr>
                <w:rStyle w:val="IndexLink"/>
              </w:rPr>
              <w:t>21</w:t>
            </w:r>
            <w:r>
              <w:rPr>
                <w:rStyle w:val="IndexLink"/>
                <w:rtl w:val="true"/>
              </w:rPr>
              <w:t>»</w:t>
              <w:tab/>
            </w:r>
            <w:r>
              <w:rPr>
                <w:rStyle w:val="IndexLink"/>
              </w:rPr>
              <w:t>661</w:t>
            </w:r>
          </w:hyperlink>
        </w:p>
        <w:p>
          <w:pPr>
            <w:pStyle w:val="Contents5"/>
            <w:tabs>
              <w:tab w:val="clear" w:pos="7892"/>
              <w:tab w:val="right" w:pos="9026" w:leader="dot"/>
            </w:tabs>
            <w:rPr/>
          </w:pPr>
          <w:hyperlink w:anchor="__RefHeading___Toc607860_1934241801">
            <w:r>
              <w:rPr>
                <w:webHidden/>
                <w:rStyle w:val="IndexLink"/>
                <w:rtl w:val="true"/>
              </w:rPr>
              <w:t>بيان</w:t>
            </w:r>
            <w:r>
              <w:rPr>
                <w:rStyle w:val="IndexLink"/>
                <w:rtl w:val="true"/>
              </w:rPr>
              <w:tab/>
            </w:r>
            <w:r>
              <w:rPr>
                <w:rStyle w:val="IndexLink"/>
              </w:rPr>
              <w:t>661</w:t>
            </w:r>
          </w:hyperlink>
        </w:p>
        <w:p>
          <w:pPr>
            <w:pStyle w:val="Contents5"/>
            <w:tabs>
              <w:tab w:val="clear" w:pos="7892"/>
              <w:tab w:val="right" w:pos="9026" w:leader="dot"/>
            </w:tabs>
            <w:rPr/>
          </w:pPr>
          <w:hyperlink w:anchor="__RefHeading___Toc607862_1934241801">
            <w:r>
              <w:rPr>
                <w:webHidden/>
                <w:rStyle w:val="IndexLink"/>
                <w:rtl w:val="true"/>
              </w:rPr>
              <w:t>«</w:t>
            </w:r>
            <w:r>
              <w:rPr>
                <w:rStyle w:val="IndexLink"/>
              </w:rPr>
              <w:t>22</w:t>
            </w:r>
            <w:r>
              <w:rPr>
                <w:rStyle w:val="IndexLink"/>
                <w:rtl w:val="true"/>
              </w:rPr>
              <w:t>»</w:t>
              <w:tab/>
            </w:r>
            <w:r>
              <w:rPr>
                <w:rStyle w:val="IndexLink"/>
              </w:rPr>
              <w:t>661</w:t>
            </w:r>
          </w:hyperlink>
        </w:p>
        <w:p>
          <w:pPr>
            <w:pStyle w:val="Contents5"/>
            <w:tabs>
              <w:tab w:val="clear" w:pos="7892"/>
              <w:tab w:val="right" w:pos="9026" w:leader="dot"/>
            </w:tabs>
            <w:rPr/>
          </w:pPr>
          <w:hyperlink w:anchor="__RefHeading___Toc607864_1934241801">
            <w:r>
              <w:rPr>
                <w:webHidden/>
                <w:rStyle w:val="IndexLink"/>
                <w:rtl w:val="true"/>
              </w:rPr>
              <w:t>«</w:t>
            </w:r>
            <w:r>
              <w:rPr>
                <w:rStyle w:val="IndexLink"/>
              </w:rPr>
              <w:t>23</w:t>
            </w:r>
            <w:r>
              <w:rPr>
                <w:rStyle w:val="IndexLink"/>
                <w:rtl w:val="true"/>
              </w:rPr>
              <w:t>»</w:t>
              <w:tab/>
            </w:r>
            <w:r>
              <w:rPr>
                <w:rStyle w:val="IndexLink"/>
              </w:rPr>
              <w:t>661</w:t>
            </w:r>
          </w:hyperlink>
        </w:p>
        <w:p>
          <w:pPr>
            <w:pStyle w:val="Contents5"/>
            <w:tabs>
              <w:tab w:val="clear" w:pos="7892"/>
              <w:tab w:val="right" w:pos="9026" w:leader="dot"/>
            </w:tabs>
            <w:rPr/>
          </w:pPr>
          <w:hyperlink w:anchor="__RefHeading___Toc607866_1934241801">
            <w:r>
              <w:rPr>
                <w:webHidden/>
                <w:rStyle w:val="IndexLink"/>
                <w:rtl w:val="true"/>
              </w:rPr>
              <w:t>«</w:t>
            </w:r>
            <w:r>
              <w:rPr>
                <w:rStyle w:val="IndexLink"/>
              </w:rPr>
              <w:t>24</w:t>
            </w:r>
            <w:r>
              <w:rPr>
                <w:rStyle w:val="IndexLink"/>
                <w:rtl w:val="true"/>
              </w:rPr>
              <w:t>»</w:t>
              <w:tab/>
            </w:r>
            <w:r>
              <w:rPr>
                <w:rStyle w:val="IndexLink"/>
              </w:rPr>
              <w:t>661</w:t>
            </w:r>
          </w:hyperlink>
        </w:p>
        <w:p>
          <w:pPr>
            <w:pStyle w:val="Contents5"/>
            <w:tabs>
              <w:tab w:val="clear" w:pos="7892"/>
              <w:tab w:val="right" w:pos="9026" w:leader="dot"/>
            </w:tabs>
            <w:rPr/>
          </w:pPr>
          <w:hyperlink w:anchor="__RefHeading___Toc607868_1934241801">
            <w:r>
              <w:rPr>
                <w:webHidden/>
                <w:rStyle w:val="IndexLink"/>
                <w:rtl w:val="true"/>
              </w:rPr>
              <w:t xml:space="preserve">روایت </w:t>
            </w:r>
            <w:r>
              <w:rPr>
                <w:rStyle w:val="IndexLink"/>
              </w:rPr>
              <w:t>21</w:t>
            </w:r>
            <w:r>
              <w:rPr>
                <w:rStyle w:val="IndexLink"/>
                <w:rtl w:val="true"/>
              </w:rPr>
              <w:tab/>
            </w:r>
            <w:r>
              <w:rPr>
                <w:rStyle w:val="IndexLink"/>
              </w:rPr>
              <w:t>661</w:t>
            </w:r>
          </w:hyperlink>
        </w:p>
        <w:p>
          <w:pPr>
            <w:pStyle w:val="Contents5"/>
            <w:tabs>
              <w:tab w:val="clear" w:pos="7892"/>
              <w:tab w:val="right" w:pos="9026" w:leader="dot"/>
            </w:tabs>
            <w:rPr/>
          </w:pPr>
          <w:hyperlink w:anchor="__RefHeading___Toc607870_1934241801">
            <w:r>
              <w:rPr>
                <w:webHidden/>
                <w:rStyle w:val="IndexLink"/>
                <w:rtl w:val="true"/>
              </w:rPr>
              <w:t>توضیح</w:t>
            </w:r>
            <w:r>
              <w:rPr>
                <w:rStyle w:val="IndexLink"/>
                <w:rtl w:val="true"/>
              </w:rPr>
              <w:tab/>
            </w:r>
            <w:r>
              <w:rPr>
                <w:rStyle w:val="IndexLink"/>
              </w:rPr>
              <w:t>661</w:t>
            </w:r>
          </w:hyperlink>
        </w:p>
        <w:p>
          <w:pPr>
            <w:pStyle w:val="Contents5"/>
            <w:tabs>
              <w:tab w:val="clear" w:pos="7892"/>
              <w:tab w:val="right" w:pos="9026" w:leader="dot"/>
            </w:tabs>
            <w:rPr/>
          </w:pPr>
          <w:hyperlink w:anchor="__RefHeading___Toc607872_1934241801">
            <w:r>
              <w:rPr>
                <w:webHidden/>
                <w:rStyle w:val="IndexLink"/>
                <w:rtl w:val="true"/>
              </w:rPr>
              <w:t xml:space="preserve">روایت </w:t>
            </w:r>
            <w:r>
              <w:rPr>
                <w:rStyle w:val="IndexLink"/>
              </w:rPr>
              <w:t>22</w:t>
            </w:r>
            <w:r>
              <w:rPr>
                <w:rStyle w:val="IndexLink"/>
                <w:rtl w:val="true"/>
              </w:rPr>
              <w:tab/>
            </w:r>
            <w:r>
              <w:rPr>
                <w:rStyle w:val="IndexLink"/>
              </w:rPr>
              <w:t>661</w:t>
            </w:r>
          </w:hyperlink>
        </w:p>
        <w:p>
          <w:pPr>
            <w:pStyle w:val="Contents5"/>
            <w:tabs>
              <w:tab w:val="clear" w:pos="7892"/>
              <w:tab w:val="right" w:pos="9026" w:leader="dot"/>
            </w:tabs>
            <w:rPr/>
          </w:pPr>
          <w:hyperlink w:anchor="__RefHeading___Toc607874_1934241801">
            <w:r>
              <w:rPr>
                <w:webHidden/>
                <w:rStyle w:val="IndexLink"/>
                <w:rtl w:val="true"/>
              </w:rPr>
              <w:t xml:space="preserve">روایت </w:t>
            </w:r>
            <w:r>
              <w:rPr>
                <w:rStyle w:val="IndexLink"/>
              </w:rPr>
              <w:t>23</w:t>
            </w:r>
            <w:r>
              <w:rPr>
                <w:rStyle w:val="IndexLink"/>
                <w:rtl w:val="true"/>
              </w:rPr>
              <w:tab/>
            </w:r>
            <w:r>
              <w:rPr>
                <w:rStyle w:val="IndexLink"/>
              </w:rPr>
              <w:t>662</w:t>
            </w:r>
          </w:hyperlink>
        </w:p>
        <w:p>
          <w:pPr>
            <w:pStyle w:val="Contents5"/>
            <w:tabs>
              <w:tab w:val="clear" w:pos="7892"/>
              <w:tab w:val="right" w:pos="9026" w:leader="dot"/>
            </w:tabs>
            <w:rPr/>
          </w:pPr>
          <w:hyperlink w:anchor="__RefHeading___Toc607876_1934241801">
            <w:r>
              <w:rPr>
                <w:webHidden/>
                <w:rStyle w:val="IndexLink"/>
                <w:rtl w:val="true"/>
              </w:rPr>
              <w:t xml:space="preserve">روایت </w:t>
            </w:r>
            <w:r>
              <w:rPr>
                <w:rStyle w:val="IndexLink"/>
              </w:rPr>
              <w:t>24</w:t>
            </w:r>
            <w:r>
              <w:rPr>
                <w:rStyle w:val="IndexLink"/>
                <w:rtl w:val="true"/>
              </w:rPr>
              <w:tab/>
            </w:r>
            <w:r>
              <w:rPr>
                <w:rStyle w:val="IndexLink"/>
              </w:rPr>
              <w:t>662</w:t>
            </w:r>
          </w:hyperlink>
        </w:p>
        <w:p>
          <w:pPr>
            <w:pStyle w:val="Contents5"/>
            <w:tabs>
              <w:tab w:val="clear" w:pos="7892"/>
              <w:tab w:val="right" w:pos="9026" w:leader="dot"/>
            </w:tabs>
            <w:rPr/>
          </w:pPr>
          <w:hyperlink w:anchor="__RefHeading___Toc607878_1934241801">
            <w:r>
              <w:rPr>
                <w:webHidden/>
                <w:rStyle w:val="IndexLink"/>
                <w:rtl w:val="true"/>
              </w:rPr>
              <w:t>«</w:t>
            </w:r>
            <w:r>
              <w:rPr>
                <w:rStyle w:val="IndexLink"/>
              </w:rPr>
              <w:t>25</w:t>
            </w:r>
            <w:r>
              <w:rPr>
                <w:rStyle w:val="IndexLink"/>
                <w:rtl w:val="true"/>
              </w:rPr>
              <w:t>»</w:t>
              <w:tab/>
            </w:r>
            <w:r>
              <w:rPr>
                <w:rStyle w:val="IndexLink"/>
              </w:rPr>
              <w:t>663</w:t>
            </w:r>
          </w:hyperlink>
        </w:p>
        <w:p>
          <w:pPr>
            <w:pStyle w:val="Contents5"/>
            <w:tabs>
              <w:tab w:val="clear" w:pos="7892"/>
              <w:tab w:val="right" w:pos="9026" w:leader="dot"/>
            </w:tabs>
            <w:rPr/>
          </w:pPr>
          <w:hyperlink w:anchor="__RefHeading___Toc607880_1934241801">
            <w:r>
              <w:rPr>
                <w:webHidden/>
                <w:rStyle w:val="IndexLink"/>
                <w:rtl w:val="true"/>
              </w:rPr>
              <w:t>بيان</w:t>
            </w:r>
            <w:r>
              <w:rPr>
                <w:rStyle w:val="IndexLink"/>
                <w:rtl w:val="true"/>
              </w:rPr>
              <w:tab/>
            </w:r>
            <w:r>
              <w:rPr>
                <w:rStyle w:val="IndexLink"/>
              </w:rPr>
              <w:t>663</w:t>
            </w:r>
          </w:hyperlink>
        </w:p>
        <w:p>
          <w:pPr>
            <w:pStyle w:val="Contents5"/>
            <w:tabs>
              <w:tab w:val="clear" w:pos="7892"/>
              <w:tab w:val="right" w:pos="9026" w:leader="dot"/>
            </w:tabs>
            <w:rPr/>
          </w:pPr>
          <w:hyperlink w:anchor="__RefHeading___Toc607882_1934241801">
            <w:r>
              <w:rPr>
                <w:webHidden/>
                <w:rStyle w:val="IndexLink"/>
                <w:rtl w:val="true"/>
              </w:rPr>
              <w:t xml:space="preserve">روایت </w:t>
            </w:r>
            <w:r>
              <w:rPr>
                <w:rStyle w:val="IndexLink"/>
              </w:rPr>
              <w:t>25</w:t>
            </w:r>
            <w:r>
              <w:rPr>
                <w:rStyle w:val="IndexLink"/>
                <w:rtl w:val="true"/>
              </w:rPr>
              <w:tab/>
            </w:r>
            <w:r>
              <w:rPr>
                <w:rStyle w:val="IndexLink"/>
              </w:rPr>
              <w:t>663</w:t>
            </w:r>
          </w:hyperlink>
        </w:p>
        <w:p>
          <w:pPr>
            <w:pStyle w:val="Contents5"/>
            <w:tabs>
              <w:tab w:val="clear" w:pos="7892"/>
              <w:tab w:val="right" w:pos="9026" w:leader="dot"/>
            </w:tabs>
            <w:rPr/>
          </w:pPr>
          <w:hyperlink w:anchor="__RefHeading___Toc607884_1934241801">
            <w:r>
              <w:rPr>
                <w:webHidden/>
                <w:rStyle w:val="IndexLink"/>
                <w:rtl w:val="true"/>
              </w:rPr>
              <w:t>توضیح</w:t>
            </w:r>
            <w:r>
              <w:rPr>
                <w:rStyle w:val="IndexLink"/>
                <w:rtl w:val="true"/>
              </w:rPr>
              <w:tab/>
            </w:r>
            <w:r>
              <w:rPr>
                <w:rStyle w:val="IndexLink"/>
              </w:rPr>
              <w:t>664</w:t>
            </w:r>
          </w:hyperlink>
        </w:p>
        <w:p>
          <w:pPr>
            <w:pStyle w:val="Contents5"/>
            <w:tabs>
              <w:tab w:val="clear" w:pos="7892"/>
              <w:tab w:val="right" w:pos="9026" w:leader="dot"/>
            </w:tabs>
            <w:rPr/>
          </w:pPr>
          <w:hyperlink w:anchor="__RefHeading___Toc607886_1934241801">
            <w:r>
              <w:rPr>
                <w:webHidden/>
                <w:rStyle w:val="IndexLink"/>
                <w:rtl w:val="true"/>
              </w:rPr>
              <w:t>أقول</w:t>
            </w:r>
            <w:r>
              <w:rPr>
                <w:rStyle w:val="IndexLink"/>
                <w:rtl w:val="true"/>
              </w:rPr>
              <w:tab/>
            </w:r>
            <w:r>
              <w:rPr>
                <w:rStyle w:val="IndexLink"/>
              </w:rPr>
              <w:t>665</w:t>
            </w:r>
          </w:hyperlink>
        </w:p>
        <w:p>
          <w:pPr>
            <w:pStyle w:val="Contents5"/>
            <w:tabs>
              <w:tab w:val="clear" w:pos="7892"/>
              <w:tab w:val="right" w:pos="9026" w:leader="dot"/>
            </w:tabs>
            <w:rPr/>
          </w:pPr>
          <w:hyperlink w:anchor="__RefHeading___Toc607888_1934241801">
            <w:r>
              <w:rPr>
                <w:webHidden/>
                <w:rStyle w:val="IndexLink"/>
                <w:rtl w:val="true"/>
              </w:rPr>
              <w:t>«</w:t>
            </w:r>
            <w:r>
              <w:rPr>
                <w:rStyle w:val="IndexLink"/>
              </w:rPr>
              <w:t>26</w:t>
            </w:r>
            <w:r>
              <w:rPr>
                <w:rStyle w:val="IndexLink"/>
                <w:rtl w:val="true"/>
              </w:rPr>
              <w:t>»</w:t>
              <w:tab/>
            </w:r>
            <w:r>
              <w:rPr>
                <w:rStyle w:val="IndexLink"/>
              </w:rPr>
              <w:t>665</w:t>
            </w:r>
          </w:hyperlink>
        </w:p>
        <w:p>
          <w:pPr>
            <w:pStyle w:val="Contents5"/>
            <w:tabs>
              <w:tab w:val="clear" w:pos="7892"/>
              <w:tab w:val="right" w:pos="9026" w:leader="dot"/>
            </w:tabs>
            <w:rPr/>
          </w:pPr>
          <w:hyperlink w:anchor="__RefHeading___Toc607890_1934241801">
            <w:r>
              <w:rPr>
                <w:webHidden/>
                <w:rStyle w:val="IndexLink"/>
                <w:rtl w:val="true"/>
              </w:rPr>
              <w:t>بيان</w:t>
            </w:r>
            <w:r>
              <w:rPr>
                <w:rStyle w:val="IndexLink"/>
                <w:rtl w:val="true"/>
              </w:rPr>
              <w:tab/>
            </w:r>
            <w:r>
              <w:rPr>
                <w:rStyle w:val="IndexLink"/>
              </w:rPr>
              <w:t>665</w:t>
            </w:r>
          </w:hyperlink>
        </w:p>
        <w:p>
          <w:pPr>
            <w:pStyle w:val="Contents5"/>
            <w:tabs>
              <w:tab w:val="clear" w:pos="7892"/>
              <w:tab w:val="right" w:pos="9026" w:leader="dot"/>
            </w:tabs>
            <w:rPr/>
          </w:pPr>
          <w:hyperlink w:anchor="__RefHeading___Toc607892_1934241801">
            <w:r>
              <w:rPr>
                <w:webHidden/>
                <w:rStyle w:val="IndexLink"/>
                <w:rtl w:val="true"/>
              </w:rPr>
              <w:t>«</w:t>
            </w:r>
            <w:r>
              <w:rPr>
                <w:rStyle w:val="IndexLink"/>
              </w:rPr>
              <w:t>27</w:t>
            </w:r>
            <w:r>
              <w:rPr>
                <w:rStyle w:val="IndexLink"/>
                <w:rtl w:val="true"/>
              </w:rPr>
              <w:t>»</w:t>
              <w:tab/>
            </w:r>
            <w:r>
              <w:rPr>
                <w:rStyle w:val="IndexLink"/>
              </w:rPr>
              <w:t>665</w:t>
            </w:r>
          </w:hyperlink>
        </w:p>
        <w:p>
          <w:pPr>
            <w:pStyle w:val="Contents5"/>
            <w:tabs>
              <w:tab w:val="clear" w:pos="7892"/>
              <w:tab w:val="right" w:pos="9026" w:leader="dot"/>
            </w:tabs>
            <w:rPr/>
          </w:pPr>
          <w:hyperlink w:anchor="__RefHeading___Toc607894_1934241801">
            <w:r>
              <w:rPr>
                <w:webHidden/>
                <w:rStyle w:val="IndexLink"/>
                <w:rtl w:val="true"/>
              </w:rPr>
              <w:t>می گویم</w:t>
            </w:r>
            <w:r>
              <w:rPr>
                <w:rStyle w:val="IndexLink"/>
                <w:rtl w:val="true"/>
              </w:rPr>
              <w:tab/>
            </w:r>
            <w:r>
              <w:rPr>
                <w:rStyle w:val="IndexLink"/>
              </w:rPr>
              <w:t>665</w:t>
            </w:r>
          </w:hyperlink>
        </w:p>
        <w:p>
          <w:pPr>
            <w:pStyle w:val="Contents5"/>
            <w:tabs>
              <w:tab w:val="clear" w:pos="7892"/>
              <w:tab w:val="right" w:pos="9026" w:leader="dot"/>
            </w:tabs>
            <w:rPr/>
          </w:pPr>
          <w:hyperlink w:anchor="__RefHeading___Toc607896_1934241801">
            <w:r>
              <w:rPr>
                <w:webHidden/>
                <w:rStyle w:val="IndexLink"/>
                <w:rtl w:val="true"/>
              </w:rPr>
              <w:t xml:space="preserve">روایت </w:t>
            </w:r>
            <w:r>
              <w:rPr>
                <w:rStyle w:val="IndexLink"/>
              </w:rPr>
              <w:t>26</w:t>
            </w:r>
            <w:r>
              <w:rPr>
                <w:rStyle w:val="IndexLink"/>
                <w:rtl w:val="true"/>
              </w:rPr>
              <w:tab/>
            </w:r>
            <w:r>
              <w:rPr>
                <w:rStyle w:val="IndexLink"/>
              </w:rPr>
              <w:t>665</w:t>
            </w:r>
          </w:hyperlink>
        </w:p>
        <w:p>
          <w:pPr>
            <w:pStyle w:val="Contents5"/>
            <w:tabs>
              <w:tab w:val="clear" w:pos="7892"/>
              <w:tab w:val="right" w:pos="9026" w:leader="dot"/>
            </w:tabs>
            <w:rPr/>
          </w:pPr>
          <w:hyperlink w:anchor="__RefHeading___Toc607898_1934241801">
            <w:r>
              <w:rPr>
                <w:webHidden/>
                <w:rStyle w:val="IndexLink"/>
                <w:rtl w:val="true"/>
              </w:rPr>
              <w:t>توضیح</w:t>
            </w:r>
            <w:r>
              <w:rPr>
                <w:rStyle w:val="IndexLink"/>
                <w:rtl w:val="true"/>
              </w:rPr>
              <w:tab/>
            </w:r>
            <w:r>
              <w:rPr>
                <w:rStyle w:val="IndexLink"/>
              </w:rPr>
              <w:t>666</w:t>
            </w:r>
          </w:hyperlink>
        </w:p>
        <w:p>
          <w:pPr>
            <w:pStyle w:val="Contents5"/>
            <w:tabs>
              <w:tab w:val="clear" w:pos="7892"/>
              <w:tab w:val="right" w:pos="9026" w:leader="dot"/>
            </w:tabs>
            <w:rPr/>
          </w:pPr>
          <w:hyperlink w:anchor="__RefHeading___Toc607900_1934241801">
            <w:r>
              <w:rPr>
                <w:webHidden/>
                <w:rStyle w:val="IndexLink"/>
                <w:rtl w:val="true"/>
              </w:rPr>
              <w:t xml:space="preserve">روایت </w:t>
            </w:r>
            <w:r>
              <w:rPr>
                <w:rStyle w:val="IndexLink"/>
              </w:rPr>
              <w:t>27</w:t>
            </w:r>
            <w:r>
              <w:rPr>
                <w:rStyle w:val="IndexLink"/>
                <w:rtl w:val="true"/>
              </w:rPr>
              <w:tab/>
            </w:r>
            <w:r>
              <w:rPr>
                <w:rStyle w:val="IndexLink"/>
              </w:rPr>
              <w:t>666</w:t>
            </w:r>
          </w:hyperlink>
        </w:p>
        <w:p>
          <w:pPr>
            <w:pStyle w:val="Contents5"/>
            <w:tabs>
              <w:tab w:val="clear" w:pos="7892"/>
              <w:tab w:val="right" w:pos="9026" w:leader="dot"/>
            </w:tabs>
            <w:rPr/>
          </w:pPr>
          <w:hyperlink w:anchor="__RefHeading___Toc607902_1934241801">
            <w:r>
              <w:rPr>
                <w:webHidden/>
                <w:rStyle w:val="IndexLink"/>
                <w:rtl w:val="true"/>
              </w:rPr>
              <w:t>بيان</w:t>
            </w:r>
            <w:r>
              <w:rPr>
                <w:rStyle w:val="IndexLink"/>
                <w:rtl w:val="true"/>
              </w:rPr>
              <w:tab/>
            </w:r>
            <w:r>
              <w:rPr>
                <w:rStyle w:val="IndexLink"/>
              </w:rPr>
              <w:t>667</w:t>
            </w:r>
          </w:hyperlink>
        </w:p>
        <w:p>
          <w:pPr>
            <w:pStyle w:val="Contents5"/>
            <w:tabs>
              <w:tab w:val="clear" w:pos="7892"/>
              <w:tab w:val="right" w:pos="9026" w:leader="dot"/>
            </w:tabs>
            <w:rPr/>
          </w:pPr>
          <w:hyperlink w:anchor="__RefHeading___Toc607904_1934241801">
            <w:r>
              <w:rPr>
                <w:webHidden/>
                <w:rStyle w:val="IndexLink"/>
                <w:rtl w:val="true"/>
              </w:rPr>
              <w:t>«</w:t>
            </w:r>
            <w:r>
              <w:rPr>
                <w:rStyle w:val="IndexLink"/>
              </w:rPr>
              <w:t>28</w:t>
            </w:r>
            <w:r>
              <w:rPr>
                <w:rStyle w:val="IndexLink"/>
                <w:rtl w:val="true"/>
              </w:rPr>
              <w:t>»</w:t>
              <w:tab/>
            </w:r>
            <w:r>
              <w:rPr>
                <w:rStyle w:val="IndexLink"/>
              </w:rPr>
              <w:t>667</w:t>
            </w:r>
          </w:hyperlink>
        </w:p>
        <w:p>
          <w:pPr>
            <w:pStyle w:val="Contents5"/>
            <w:tabs>
              <w:tab w:val="clear" w:pos="7892"/>
              <w:tab w:val="right" w:pos="9026" w:leader="dot"/>
            </w:tabs>
            <w:rPr/>
          </w:pPr>
          <w:hyperlink w:anchor="__RefHeading___Toc607906_1934241801">
            <w:r>
              <w:rPr>
                <w:webHidden/>
                <w:rStyle w:val="IndexLink"/>
                <w:rtl w:val="true"/>
              </w:rPr>
              <w:t>توضیح</w:t>
            </w:r>
            <w:r>
              <w:rPr>
                <w:rStyle w:val="IndexLink"/>
                <w:rtl w:val="true"/>
              </w:rPr>
              <w:tab/>
            </w:r>
            <w:r>
              <w:rPr>
                <w:rStyle w:val="IndexLink"/>
              </w:rPr>
              <w:t>667</w:t>
            </w:r>
          </w:hyperlink>
        </w:p>
        <w:p>
          <w:pPr>
            <w:pStyle w:val="Contents5"/>
            <w:tabs>
              <w:tab w:val="clear" w:pos="7892"/>
              <w:tab w:val="right" w:pos="9026" w:leader="dot"/>
            </w:tabs>
            <w:rPr/>
          </w:pPr>
          <w:hyperlink w:anchor="__RefHeading___Toc607908_1934241801">
            <w:r>
              <w:rPr>
                <w:webHidden/>
                <w:rStyle w:val="IndexLink"/>
                <w:rtl w:val="true"/>
              </w:rPr>
              <w:t xml:space="preserve">روایت </w:t>
            </w:r>
            <w:r>
              <w:rPr>
                <w:rStyle w:val="IndexLink"/>
              </w:rPr>
              <w:t>28</w:t>
            </w:r>
            <w:r>
              <w:rPr>
                <w:rStyle w:val="IndexLink"/>
                <w:rtl w:val="true"/>
              </w:rPr>
              <w:tab/>
            </w:r>
            <w:r>
              <w:rPr>
                <w:rStyle w:val="IndexLink"/>
              </w:rPr>
              <w:t>668</w:t>
            </w:r>
          </w:hyperlink>
        </w:p>
        <w:p>
          <w:pPr>
            <w:pStyle w:val="Contents5"/>
            <w:tabs>
              <w:tab w:val="clear" w:pos="7892"/>
              <w:tab w:val="right" w:pos="9026" w:leader="dot"/>
            </w:tabs>
            <w:rPr/>
          </w:pPr>
          <w:hyperlink w:anchor="__RefHeading___Toc607910_1934241801">
            <w:r>
              <w:rPr>
                <w:webHidden/>
                <w:rStyle w:val="IndexLink"/>
                <w:rtl w:val="true"/>
              </w:rPr>
              <w:t>بيان</w:t>
            </w:r>
            <w:r>
              <w:rPr>
                <w:rStyle w:val="IndexLink"/>
                <w:rtl w:val="true"/>
              </w:rPr>
              <w:tab/>
            </w:r>
            <w:r>
              <w:rPr>
                <w:rStyle w:val="IndexLink"/>
              </w:rPr>
              <w:t>669</w:t>
            </w:r>
          </w:hyperlink>
        </w:p>
        <w:p>
          <w:pPr>
            <w:pStyle w:val="Contents5"/>
            <w:tabs>
              <w:tab w:val="clear" w:pos="7892"/>
              <w:tab w:val="right" w:pos="9026" w:leader="dot"/>
            </w:tabs>
            <w:rPr/>
          </w:pPr>
          <w:hyperlink w:anchor="__RefHeading___Toc607912_1934241801">
            <w:r>
              <w:rPr>
                <w:webHidden/>
                <w:rStyle w:val="IndexLink"/>
                <w:rtl w:val="true"/>
              </w:rPr>
              <w:t>أقول</w:t>
            </w:r>
            <w:r>
              <w:rPr>
                <w:rStyle w:val="IndexLink"/>
                <w:rtl w:val="true"/>
              </w:rPr>
              <w:tab/>
            </w:r>
            <w:r>
              <w:rPr>
                <w:rStyle w:val="IndexLink"/>
              </w:rPr>
              <w:t>669</w:t>
            </w:r>
          </w:hyperlink>
        </w:p>
        <w:p>
          <w:pPr>
            <w:pStyle w:val="Contents5"/>
            <w:tabs>
              <w:tab w:val="clear" w:pos="7892"/>
              <w:tab w:val="right" w:pos="9026" w:leader="dot"/>
            </w:tabs>
            <w:rPr/>
          </w:pPr>
          <w:hyperlink w:anchor="__RefHeading___Toc607914_1934241801">
            <w:r>
              <w:rPr>
                <w:webHidden/>
                <w:rStyle w:val="IndexLink"/>
                <w:rtl w:val="true"/>
              </w:rPr>
              <w:t>«</w:t>
            </w:r>
            <w:r>
              <w:rPr>
                <w:rStyle w:val="IndexLink"/>
              </w:rPr>
              <w:t>29</w:t>
            </w:r>
            <w:r>
              <w:rPr>
                <w:rStyle w:val="IndexLink"/>
                <w:rtl w:val="true"/>
              </w:rPr>
              <w:t>»</w:t>
              <w:tab/>
            </w:r>
            <w:r>
              <w:rPr>
                <w:rStyle w:val="IndexLink"/>
              </w:rPr>
              <w:t>669</w:t>
            </w:r>
          </w:hyperlink>
        </w:p>
        <w:p>
          <w:pPr>
            <w:pStyle w:val="Contents5"/>
            <w:tabs>
              <w:tab w:val="clear" w:pos="7892"/>
              <w:tab w:val="right" w:pos="9026" w:leader="dot"/>
            </w:tabs>
            <w:rPr/>
          </w:pPr>
          <w:hyperlink w:anchor="__RefHeading___Toc607916_1934241801">
            <w:r>
              <w:rPr>
                <w:webHidden/>
                <w:rStyle w:val="IndexLink"/>
                <w:rtl w:val="true"/>
              </w:rPr>
              <w:t>«</w:t>
            </w:r>
            <w:r>
              <w:rPr>
                <w:rStyle w:val="IndexLink"/>
              </w:rPr>
              <w:t>30</w:t>
            </w:r>
            <w:r>
              <w:rPr>
                <w:rStyle w:val="IndexLink"/>
                <w:rtl w:val="true"/>
              </w:rPr>
              <w:t>»</w:t>
              <w:tab/>
            </w:r>
            <w:r>
              <w:rPr>
                <w:rStyle w:val="IndexLink"/>
              </w:rPr>
              <w:t>669</w:t>
            </w:r>
          </w:hyperlink>
        </w:p>
        <w:p>
          <w:pPr>
            <w:pStyle w:val="Contents5"/>
            <w:tabs>
              <w:tab w:val="clear" w:pos="7892"/>
              <w:tab w:val="right" w:pos="9026" w:leader="dot"/>
            </w:tabs>
            <w:rPr/>
          </w:pPr>
          <w:hyperlink w:anchor="__RefHeading___Toc607918_1934241801">
            <w:r>
              <w:rPr>
                <w:webHidden/>
                <w:rStyle w:val="IndexLink"/>
                <w:rtl w:val="true"/>
              </w:rPr>
              <w:t>«</w:t>
            </w:r>
            <w:r>
              <w:rPr>
                <w:rStyle w:val="IndexLink"/>
              </w:rPr>
              <w:t>31</w:t>
            </w:r>
            <w:r>
              <w:rPr>
                <w:rStyle w:val="IndexLink"/>
                <w:rtl w:val="true"/>
              </w:rPr>
              <w:t>»</w:t>
              <w:tab/>
            </w:r>
            <w:r>
              <w:rPr>
                <w:rStyle w:val="IndexLink"/>
              </w:rPr>
              <w:t>669</w:t>
            </w:r>
          </w:hyperlink>
        </w:p>
        <w:p>
          <w:pPr>
            <w:pStyle w:val="Contents5"/>
            <w:tabs>
              <w:tab w:val="clear" w:pos="7892"/>
              <w:tab w:val="right" w:pos="9026" w:leader="dot"/>
            </w:tabs>
            <w:rPr/>
          </w:pPr>
          <w:hyperlink w:anchor="__RefHeading___Toc607920_1934241801">
            <w:r>
              <w:rPr>
                <w:webHidden/>
                <w:rStyle w:val="IndexLink"/>
                <w:rtl w:val="true"/>
              </w:rPr>
              <w:t>توضیح</w:t>
            </w:r>
            <w:r>
              <w:rPr>
                <w:rStyle w:val="IndexLink"/>
                <w:rtl w:val="true"/>
              </w:rPr>
              <w:tab/>
            </w:r>
            <w:r>
              <w:rPr>
                <w:rStyle w:val="IndexLink"/>
              </w:rPr>
              <w:t>669</w:t>
            </w:r>
          </w:hyperlink>
        </w:p>
        <w:p>
          <w:pPr>
            <w:pStyle w:val="Contents5"/>
            <w:tabs>
              <w:tab w:val="clear" w:pos="7892"/>
              <w:tab w:val="right" w:pos="9026" w:leader="dot"/>
            </w:tabs>
            <w:rPr/>
          </w:pPr>
          <w:hyperlink w:anchor="__RefHeading___Toc607922_1934241801">
            <w:r>
              <w:rPr>
                <w:webHidden/>
                <w:rStyle w:val="IndexLink"/>
                <w:rtl w:val="true"/>
              </w:rPr>
              <w:t>می گویم</w:t>
            </w:r>
            <w:r>
              <w:rPr>
                <w:rStyle w:val="IndexLink"/>
                <w:rtl w:val="true"/>
              </w:rPr>
              <w:tab/>
            </w:r>
            <w:r>
              <w:rPr>
                <w:rStyle w:val="IndexLink"/>
              </w:rPr>
              <w:t>670</w:t>
            </w:r>
          </w:hyperlink>
        </w:p>
        <w:p>
          <w:pPr>
            <w:pStyle w:val="Contents5"/>
            <w:tabs>
              <w:tab w:val="clear" w:pos="7892"/>
              <w:tab w:val="right" w:pos="9026" w:leader="dot"/>
            </w:tabs>
            <w:rPr/>
          </w:pPr>
          <w:hyperlink w:anchor="__RefHeading___Toc607924_1934241801">
            <w:r>
              <w:rPr>
                <w:webHidden/>
                <w:rStyle w:val="IndexLink"/>
                <w:rtl w:val="true"/>
              </w:rPr>
              <w:t xml:space="preserve">روایت </w:t>
            </w:r>
            <w:r>
              <w:rPr>
                <w:rStyle w:val="IndexLink"/>
              </w:rPr>
              <w:t>29</w:t>
            </w:r>
            <w:r>
              <w:rPr>
                <w:rStyle w:val="IndexLink"/>
                <w:rtl w:val="true"/>
              </w:rPr>
              <w:tab/>
            </w:r>
            <w:r>
              <w:rPr>
                <w:rStyle w:val="IndexLink"/>
              </w:rPr>
              <w:t>670</w:t>
            </w:r>
          </w:hyperlink>
        </w:p>
        <w:p>
          <w:pPr>
            <w:pStyle w:val="Contents5"/>
            <w:tabs>
              <w:tab w:val="clear" w:pos="7892"/>
              <w:tab w:val="right" w:pos="9026" w:leader="dot"/>
            </w:tabs>
            <w:rPr/>
          </w:pPr>
          <w:hyperlink w:anchor="__RefHeading___Toc607926_1934241801">
            <w:r>
              <w:rPr>
                <w:webHidden/>
                <w:rStyle w:val="IndexLink"/>
                <w:rtl w:val="true"/>
              </w:rPr>
              <w:t xml:space="preserve">روایت </w:t>
            </w:r>
            <w:r>
              <w:rPr>
                <w:rStyle w:val="IndexLink"/>
              </w:rPr>
              <w:t>30</w:t>
            </w:r>
            <w:r>
              <w:rPr>
                <w:rStyle w:val="IndexLink"/>
                <w:rtl w:val="true"/>
              </w:rPr>
              <w:tab/>
            </w:r>
            <w:r>
              <w:rPr>
                <w:rStyle w:val="IndexLink"/>
              </w:rPr>
              <w:t>670</w:t>
            </w:r>
          </w:hyperlink>
        </w:p>
        <w:p>
          <w:pPr>
            <w:pStyle w:val="Contents5"/>
            <w:tabs>
              <w:tab w:val="clear" w:pos="7892"/>
              <w:tab w:val="right" w:pos="9026" w:leader="dot"/>
            </w:tabs>
            <w:rPr/>
          </w:pPr>
          <w:hyperlink w:anchor="__RefHeading___Toc607928_1934241801">
            <w:r>
              <w:rPr>
                <w:webHidden/>
                <w:rStyle w:val="IndexLink"/>
                <w:rtl w:val="true"/>
              </w:rPr>
              <w:t xml:space="preserve">روایت </w:t>
            </w:r>
            <w:r>
              <w:rPr>
                <w:rStyle w:val="IndexLink"/>
              </w:rPr>
              <w:t>31</w:t>
            </w:r>
            <w:r>
              <w:rPr>
                <w:rStyle w:val="IndexLink"/>
                <w:rtl w:val="true"/>
              </w:rPr>
              <w:tab/>
            </w:r>
            <w:r>
              <w:rPr>
                <w:rStyle w:val="IndexLink"/>
              </w:rPr>
              <w:t>670</w:t>
            </w:r>
          </w:hyperlink>
        </w:p>
        <w:p>
          <w:pPr>
            <w:pStyle w:val="Contents5"/>
            <w:tabs>
              <w:tab w:val="clear" w:pos="7892"/>
              <w:tab w:val="right" w:pos="9026" w:leader="dot"/>
            </w:tabs>
            <w:rPr/>
          </w:pPr>
          <w:hyperlink w:anchor="__RefHeading___Toc607930_1934241801">
            <w:r>
              <w:rPr>
                <w:webHidden/>
                <w:rStyle w:val="IndexLink"/>
                <w:rtl w:val="true"/>
              </w:rPr>
              <w:t>«</w:t>
            </w:r>
            <w:r>
              <w:rPr>
                <w:rStyle w:val="IndexLink"/>
              </w:rPr>
              <w:t>32</w:t>
            </w:r>
            <w:r>
              <w:rPr>
                <w:rStyle w:val="IndexLink"/>
                <w:rtl w:val="true"/>
              </w:rPr>
              <w:t>»</w:t>
              <w:tab/>
            </w:r>
            <w:r>
              <w:rPr>
                <w:rStyle w:val="IndexLink"/>
              </w:rPr>
              <w:t>671</w:t>
            </w:r>
          </w:hyperlink>
        </w:p>
        <w:p>
          <w:pPr>
            <w:pStyle w:val="Contents5"/>
            <w:tabs>
              <w:tab w:val="clear" w:pos="7892"/>
              <w:tab w:val="right" w:pos="9026" w:leader="dot"/>
            </w:tabs>
            <w:rPr/>
          </w:pPr>
          <w:hyperlink w:anchor="__RefHeading___Toc607932_1934241801">
            <w:r>
              <w:rPr>
                <w:webHidden/>
                <w:rStyle w:val="IndexLink"/>
                <w:rtl w:val="true"/>
              </w:rPr>
              <w:t>أَقُولُ</w:t>
            </w:r>
            <w:r>
              <w:rPr>
                <w:rStyle w:val="IndexLink"/>
                <w:rtl w:val="true"/>
              </w:rPr>
              <w:tab/>
            </w:r>
            <w:r>
              <w:rPr>
                <w:rStyle w:val="IndexLink"/>
              </w:rPr>
              <w:t>671</w:t>
            </w:r>
          </w:hyperlink>
        </w:p>
        <w:p>
          <w:pPr>
            <w:pStyle w:val="Contents5"/>
            <w:tabs>
              <w:tab w:val="clear" w:pos="7892"/>
              <w:tab w:val="right" w:pos="9026" w:leader="dot"/>
            </w:tabs>
            <w:rPr/>
          </w:pPr>
          <w:hyperlink w:anchor="__RefHeading___Toc607934_1934241801">
            <w:r>
              <w:rPr>
                <w:webHidden/>
                <w:rStyle w:val="IndexLink"/>
                <w:rtl w:val="true"/>
              </w:rPr>
              <w:t xml:space="preserve">روایت </w:t>
            </w:r>
            <w:r>
              <w:rPr>
                <w:rStyle w:val="IndexLink"/>
              </w:rPr>
              <w:t>32</w:t>
            </w:r>
            <w:r>
              <w:rPr>
                <w:rStyle w:val="IndexLink"/>
                <w:rtl w:val="true"/>
              </w:rPr>
              <w:tab/>
            </w:r>
            <w:r>
              <w:rPr>
                <w:rStyle w:val="IndexLink"/>
              </w:rPr>
              <w:t>671</w:t>
            </w:r>
          </w:hyperlink>
        </w:p>
        <w:p>
          <w:pPr>
            <w:pStyle w:val="Contents5"/>
            <w:tabs>
              <w:tab w:val="clear" w:pos="7892"/>
              <w:tab w:val="right" w:pos="9026" w:leader="dot"/>
            </w:tabs>
            <w:rPr/>
          </w:pPr>
          <w:hyperlink w:anchor="__RefHeading___Toc607936_1934241801">
            <w:r>
              <w:rPr>
                <w:webHidden/>
                <w:rStyle w:val="IndexLink"/>
                <w:rtl w:val="true"/>
              </w:rPr>
              <w:t>أقول</w:t>
            </w:r>
            <w:r>
              <w:rPr>
                <w:rStyle w:val="IndexLink"/>
                <w:rtl w:val="true"/>
              </w:rPr>
              <w:tab/>
            </w:r>
            <w:r>
              <w:rPr>
                <w:rStyle w:val="IndexLink"/>
              </w:rPr>
              <w:t>672</w:t>
            </w:r>
          </w:hyperlink>
        </w:p>
        <w:p>
          <w:pPr>
            <w:pStyle w:val="Contents5"/>
            <w:tabs>
              <w:tab w:val="clear" w:pos="7892"/>
              <w:tab w:val="right" w:pos="9026" w:leader="dot"/>
            </w:tabs>
            <w:rPr/>
          </w:pPr>
          <w:hyperlink w:anchor="__RefHeading___Toc607938_1934241801">
            <w:r>
              <w:rPr>
                <w:webHidden/>
                <w:rStyle w:val="IndexLink"/>
                <w:rtl w:val="true"/>
              </w:rPr>
              <w:t>«</w:t>
            </w:r>
            <w:r>
              <w:rPr>
                <w:rStyle w:val="IndexLink"/>
              </w:rPr>
              <w:t>33</w:t>
            </w:r>
            <w:r>
              <w:rPr>
                <w:rStyle w:val="IndexLink"/>
                <w:rtl w:val="true"/>
              </w:rPr>
              <w:t>»</w:t>
              <w:tab/>
            </w:r>
            <w:r>
              <w:rPr>
                <w:rStyle w:val="IndexLink"/>
              </w:rPr>
              <w:t>672</w:t>
            </w:r>
          </w:hyperlink>
        </w:p>
        <w:p>
          <w:pPr>
            <w:pStyle w:val="Contents5"/>
            <w:tabs>
              <w:tab w:val="clear" w:pos="7892"/>
              <w:tab w:val="right" w:pos="9026" w:leader="dot"/>
            </w:tabs>
            <w:rPr/>
          </w:pPr>
          <w:hyperlink w:anchor="__RefHeading___Toc607940_1934241801">
            <w:r>
              <w:rPr>
                <w:webHidden/>
                <w:rStyle w:val="IndexLink"/>
                <w:rtl w:val="true"/>
              </w:rPr>
              <w:t>می گویم</w:t>
            </w:r>
            <w:r>
              <w:rPr>
                <w:rStyle w:val="IndexLink"/>
                <w:rtl w:val="true"/>
              </w:rPr>
              <w:tab/>
            </w:r>
            <w:r>
              <w:rPr>
                <w:rStyle w:val="IndexLink"/>
              </w:rPr>
              <w:t>672</w:t>
            </w:r>
          </w:hyperlink>
        </w:p>
        <w:p>
          <w:pPr>
            <w:pStyle w:val="Contents5"/>
            <w:tabs>
              <w:tab w:val="clear" w:pos="7892"/>
              <w:tab w:val="right" w:pos="9026" w:leader="dot"/>
            </w:tabs>
            <w:rPr/>
          </w:pPr>
          <w:hyperlink w:anchor="__RefHeading___Toc607942_1934241801">
            <w:r>
              <w:rPr>
                <w:webHidden/>
                <w:rStyle w:val="IndexLink"/>
                <w:rtl w:val="true"/>
              </w:rPr>
              <w:t xml:space="preserve">روایت </w:t>
            </w:r>
            <w:r>
              <w:rPr>
                <w:rStyle w:val="IndexLink"/>
              </w:rPr>
              <w:t>33</w:t>
            </w:r>
            <w:r>
              <w:rPr>
                <w:rStyle w:val="IndexLink"/>
                <w:rtl w:val="true"/>
              </w:rPr>
              <w:tab/>
            </w:r>
            <w:r>
              <w:rPr>
                <w:rStyle w:val="IndexLink"/>
              </w:rPr>
              <w:t>673</w:t>
            </w:r>
          </w:hyperlink>
        </w:p>
        <w:p>
          <w:pPr>
            <w:pStyle w:val="Contents5"/>
            <w:tabs>
              <w:tab w:val="clear" w:pos="7892"/>
              <w:tab w:val="right" w:pos="9026" w:leader="dot"/>
            </w:tabs>
            <w:rPr/>
          </w:pPr>
          <w:hyperlink w:anchor="__RefHeading___Toc607944_1934241801">
            <w:r>
              <w:rPr>
                <w:webHidden/>
                <w:rStyle w:val="IndexLink"/>
                <w:rtl w:val="true"/>
              </w:rPr>
              <w:t>«</w:t>
            </w:r>
            <w:r>
              <w:rPr>
                <w:rStyle w:val="IndexLink"/>
              </w:rPr>
              <w:t>34</w:t>
            </w:r>
            <w:r>
              <w:rPr>
                <w:rStyle w:val="IndexLink"/>
                <w:rtl w:val="true"/>
              </w:rPr>
              <w:t>»</w:t>
              <w:tab/>
            </w:r>
            <w:r>
              <w:rPr>
                <w:rStyle w:val="IndexLink"/>
              </w:rPr>
              <w:t>674</w:t>
            </w:r>
          </w:hyperlink>
        </w:p>
        <w:p>
          <w:pPr>
            <w:pStyle w:val="Contents5"/>
            <w:tabs>
              <w:tab w:val="clear" w:pos="7892"/>
              <w:tab w:val="right" w:pos="9026" w:leader="dot"/>
            </w:tabs>
            <w:rPr/>
          </w:pPr>
          <w:hyperlink w:anchor="__RefHeading___Toc607946_1934241801">
            <w:r>
              <w:rPr>
                <w:webHidden/>
                <w:rStyle w:val="IndexLink"/>
                <w:rtl w:val="true"/>
              </w:rPr>
              <w:t xml:space="preserve">روایت </w:t>
            </w:r>
            <w:r>
              <w:rPr>
                <w:rStyle w:val="IndexLink"/>
              </w:rPr>
              <w:t>34</w:t>
            </w:r>
            <w:r>
              <w:rPr>
                <w:rStyle w:val="IndexLink"/>
                <w:rtl w:val="true"/>
              </w:rPr>
              <w:tab/>
            </w:r>
            <w:r>
              <w:rPr>
                <w:rStyle w:val="IndexLink"/>
              </w:rPr>
              <w:t>674</w:t>
            </w:r>
          </w:hyperlink>
        </w:p>
        <w:p>
          <w:pPr>
            <w:pStyle w:val="Contents5"/>
            <w:tabs>
              <w:tab w:val="clear" w:pos="7892"/>
              <w:tab w:val="right" w:pos="9026" w:leader="dot"/>
            </w:tabs>
            <w:rPr/>
          </w:pPr>
          <w:hyperlink w:anchor="__RefHeading___Toc607948_1934241801">
            <w:r>
              <w:rPr>
                <w:webHidden/>
                <w:rStyle w:val="IndexLink"/>
                <w:rtl w:val="true"/>
              </w:rPr>
              <w:t>بيان</w:t>
            </w:r>
            <w:r>
              <w:rPr>
                <w:rStyle w:val="IndexLink"/>
                <w:rtl w:val="true"/>
              </w:rPr>
              <w:tab/>
            </w:r>
            <w:r>
              <w:rPr>
                <w:rStyle w:val="IndexLink"/>
              </w:rPr>
              <w:t>676</w:t>
            </w:r>
          </w:hyperlink>
        </w:p>
        <w:p>
          <w:pPr>
            <w:pStyle w:val="Contents5"/>
            <w:tabs>
              <w:tab w:val="clear" w:pos="7892"/>
              <w:tab w:val="right" w:pos="9026" w:leader="dot"/>
            </w:tabs>
            <w:rPr/>
          </w:pPr>
          <w:hyperlink w:anchor="__RefHeading___Toc607950_1934241801">
            <w:r>
              <w:rPr>
                <w:webHidden/>
                <w:rStyle w:val="IndexLink"/>
                <w:rtl w:val="true"/>
              </w:rPr>
              <w:t>«</w:t>
            </w:r>
            <w:r>
              <w:rPr>
                <w:rStyle w:val="IndexLink"/>
              </w:rPr>
              <w:t>35</w:t>
            </w:r>
            <w:r>
              <w:rPr>
                <w:rStyle w:val="IndexLink"/>
                <w:rtl w:val="true"/>
              </w:rPr>
              <w:t>»</w:t>
              <w:tab/>
            </w:r>
            <w:r>
              <w:rPr>
                <w:rStyle w:val="IndexLink"/>
              </w:rPr>
              <w:t>676</w:t>
            </w:r>
          </w:hyperlink>
        </w:p>
        <w:p>
          <w:pPr>
            <w:pStyle w:val="Contents5"/>
            <w:tabs>
              <w:tab w:val="clear" w:pos="7892"/>
              <w:tab w:val="right" w:pos="9026" w:leader="dot"/>
            </w:tabs>
            <w:rPr/>
          </w:pPr>
          <w:hyperlink w:anchor="__RefHeading___Toc607952_1934241801">
            <w:r>
              <w:rPr>
                <w:webHidden/>
                <w:rStyle w:val="IndexLink"/>
                <w:rtl w:val="true"/>
              </w:rPr>
              <w:t>توضیح</w:t>
            </w:r>
            <w:r>
              <w:rPr>
                <w:rStyle w:val="IndexLink"/>
                <w:rtl w:val="true"/>
              </w:rPr>
              <w:tab/>
            </w:r>
            <w:r>
              <w:rPr>
                <w:rStyle w:val="IndexLink"/>
              </w:rPr>
              <w:t>677</w:t>
            </w:r>
          </w:hyperlink>
        </w:p>
        <w:p>
          <w:pPr>
            <w:pStyle w:val="Contents5"/>
            <w:tabs>
              <w:tab w:val="clear" w:pos="7892"/>
              <w:tab w:val="right" w:pos="9026" w:leader="dot"/>
            </w:tabs>
            <w:rPr/>
          </w:pPr>
          <w:hyperlink w:anchor="__RefHeading___Toc607954_1934241801">
            <w:r>
              <w:rPr>
                <w:webHidden/>
                <w:rStyle w:val="IndexLink"/>
                <w:rtl w:val="true"/>
              </w:rPr>
              <w:t xml:space="preserve">روایت </w:t>
            </w:r>
            <w:r>
              <w:rPr>
                <w:rStyle w:val="IndexLink"/>
              </w:rPr>
              <w:t>35</w:t>
            </w:r>
            <w:r>
              <w:rPr>
                <w:rStyle w:val="IndexLink"/>
                <w:rtl w:val="true"/>
              </w:rPr>
              <w:tab/>
            </w:r>
            <w:r>
              <w:rPr>
                <w:rStyle w:val="IndexLink"/>
              </w:rPr>
              <w:t>677</w:t>
            </w:r>
          </w:hyperlink>
        </w:p>
        <w:p>
          <w:pPr>
            <w:pStyle w:val="Contents5"/>
            <w:tabs>
              <w:tab w:val="clear" w:pos="7892"/>
              <w:tab w:val="right" w:pos="9026" w:leader="dot"/>
            </w:tabs>
            <w:rPr/>
          </w:pPr>
          <w:hyperlink w:anchor="__RefHeading___Toc607956_1934241801">
            <w:r>
              <w:rPr>
                <w:webHidden/>
                <w:rStyle w:val="IndexLink"/>
                <w:rtl w:val="true"/>
              </w:rPr>
              <w:t>«</w:t>
            </w:r>
            <w:r>
              <w:rPr>
                <w:rStyle w:val="IndexLink"/>
              </w:rPr>
              <w:t>36</w:t>
            </w:r>
            <w:r>
              <w:rPr>
                <w:rStyle w:val="IndexLink"/>
                <w:rtl w:val="true"/>
              </w:rPr>
              <w:t>»</w:t>
              <w:tab/>
            </w:r>
            <w:r>
              <w:rPr>
                <w:rStyle w:val="IndexLink"/>
              </w:rPr>
              <w:t>678</w:t>
            </w:r>
          </w:hyperlink>
        </w:p>
        <w:p>
          <w:pPr>
            <w:pStyle w:val="Contents5"/>
            <w:tabs>
              <w:tab w:val="clear" w:pos="7892"/>
              <w:tab w:val="right" w:pos="9026" w:leader="dot"/>
            </w:tabs>
            <w:rPr/>
          </w:pPr>
          <w:hyperlink w:anchor="__RefHeading___Toc607958_1934241801">
            <w:r>
              <w:rPr>
                <w:webHidden/>
                <w:rStyle w:val="IndexLink"/>
                <w:rtl w:val="true"/>
              </w:rPr>
              <w:t xml:space="preserve">روایت </w:t>
            </w:r>
            <w:r>
              <w:rPr>
                <w:rStyle w:val="IndexLink"/>
              </w:rPr>
              <w:t>36</w:t>
            </w:r>
            <w:r>
              <w:rPr>
                <w:rStyle w:val="IndexLink"/>
                <w:rtl w:val="true"/>
              </w:rPr>
              <w:tab/>
            </w:r>
            <w:r>
              <w:rPr>
                <w:rStyle w:val="IndexLink"/>
              </w:rPr>
              <w:t>680</w:t>
            </w:r>
          </w:hyperlink>
        </w:p>
        <w:p>
          <w:pPr>
            <w:pStyle w:val="Contents5"/>
            <w:tabs>
              <w:tab w:val="clear" w:pos="7892"/>
              <w:tab w:val="right" w:pos="9026" w:leader="dot"/>
            </w:tabs>
            <w:rPr/>
          </w:pPr>
          <w:hyperlink w:anchor="__RefHeading___Toc607960_1934241801">
            <w:r>
              <w:rPr>
                <w:webHidden/>
                <w:rStyle w:val="IndexLink"/>
                <w:rtl w:val="true"/>
              </w:rPr>
              <w:t>«</w:t>
            </w:r>
            <w:r>
              <w:rPr>
                <w:rStyle w:val="IndexLink"/>
              </w:rPr>
              <w:t>37</w:t>
            </w:r>
            <w:r>
              <w:rPr>
                <w:rStyle w:val="IndexLink"/>
                <w:rtl w:val="true"/>
              </w:rPr>
              <w:t>»</w:t>
              <w:tab/>
            </w:r>
            <w:r>
              <w:rPr>
                <w:rStyle w:val="IndexLink"/>
              </w:rPr>
              <w:t>683</w:t>
            </w:r>
          </w:hyperlink>
        </w:p>
        <w:p>
          <w:pPr>
            <w:pStyle w:val="Contents5"/>
            <w:tabs>
              <w:tab w:val="clear" w:pos="7892"/>
              <w:tab w:val="right" w:pos="9026" w:leader="dot"/>
            </w:tabs>
            <w:rPr/>
          </w:pPr>
          <w:hyperlink w:anchor="__RefHeading___Toc607962_1934241801">
            <w:r>
              <w:rPr>
                <w:webHidden/>
                <w:rStyle w:val="IndexLink"/>
                <w:rtl w:val="true"/>
              </w:rPr>
              <w:t>«</w:t>
            </w:r>
            <w:r>
              <w:rPr>
                <w:rStyle w:val="IndexLink"/>
              </w:rPr>
              <w:t>38</w:t>
            </w:r>
            <w:r>
              <w:rPr>
                <w:rStyle w:val="IndexLink"/>
                <w:rtl w:val="true"/>
              </w:rPr>
              <w:t>»</w:t>
              <w:tab/>
            </w:r>
            <w:r>
              <w:rPr>
                <w:rStyle w:val="IndexLink"/>
              </w:rPr>
              <w:t>683</w:t>
            </w:r>
          </w:hyperlink>
        </w:p>
        <w:p>
          <w:pPr>
            <w:pStyle w:val="Contents5"/>
            <w:tabs>
              <w:tab w:val="clear" w:pos="7892"/>
              <w:tab w:val="right" w:pos="9026" w:leader="dot"/>
            </w:tabs>
            <w:rPr/>
          </w:pPr>
          <w:hyperlink w:anchor="__RefHeading___Toc607964_1934241801">
            <w:r>
              <w:rPr>
                <w:webHidden/>
                <w:rStyle w:val="IndexLink"/>
                <w:rtl w:val="true"/>
              </w:rPr>
              <w:t xml:space="preserve">روایت </w:t>
            </w:r>
            <w:r>
              <w:rPr>
                <w:rStyle w:val="IndexLink"/>
              </w:rPr>
              <w:t>37</w:t>
            </w:r>
            <w:r>
              <w:rPr>
                <w:rStyle w:val="IndexLink"/>
                <w:rtl w:val="true"/>
              </w:rPr>
              <w:tab/>
            </w:r>
            <w:r>
              <w:rPr>
                <w:rStyle w:val="IndexLink"/>
              </w:rPr>
              <w:t>683</w:t>
            </w:r>
          </w:hyperlink>
        </w:p>
        <w:p>
          <w:pPr>
            <w:pStyle w:val="Contents5"/>
            <w:tabs>
              <w:tab w:val="clear" w:pos="7892"/>
              <w:tab w:val="right" w:pos="9026" w:leader="dot"/>
            </w:tabs>
            <w:rPr/>
          </w:pPr>
          <w:hyperlink w:anchor="__RefHeading___Toc607966_1934241801">
            <w:r>
              <w:rPr>
                <w:webHidden/>
                <w:rStyle w:val="IndexLink"/>
                <w:rtl w:val="true"/>
              </w:rPr>
              <w:t xml:space="preserve">روایت </w:t>
            </w:r>
            <w:r>
              <w:rPr>
                <w:rStyle w:val="IndexLink"/>
              </w:rPr>
              <w:t>38</w:t>
            </w:r>
            <w:r>
              <w:rPr>
                <w:rStyle w:val="IndexLink"/>
                <w:rtl w:val="true"/>
              </w:rPr>
              <w:tab/>
            </w:r>
            <w:r>
              <w:rPr>
                <w:rStyle w:val="IndexLink"/>
              </w:rPr>
              <w:t>683</w:t>
            </w:r>
          </w:hyperlink>
        </w:p>
        <w:p>
          <w:pPr>
            <w:pStyle w:val="Contents3"/>
            <w:tabs>
              <w:tab w:val="clear" w:pos="8459"/>
              <w:tab w:val="right" w:pos="9026" w:leader="dot"/>
            </w:tabs>
            <w:rPr/>
          </w:pPr>
          <w:hyperlink w:anchor="__RefHeading___Toc607968_1934241801">
            <w:r>
              <w:rPr>
                <w:webHidden/>
                <w:rStyle w:val="IndexLink"/>
                <w:rtl w:val="true"/>
              </w:rPr>
              <w:t xml:space="preserve">باب </w:t>
            </w:r>
            <w:r>
              <w:rPr>
                <w:rStyle w:val="IndexLink"/>
              </w:rPr>
              <w:t>10</w:t>
            </w:r>
            <w:r>
              <w:rPr>
                <w:rStyle w:val="IndexLink"/>
                <w:rtl w:val="true"/>
              </w:rPr>
              <w:t xml:space="preserve"> </w:t>
            </w:r>
            <w:r>
              <w:rPr>
                <w:rStyle w:val="IndexLink"/>
                <w:rtl w:val="true"/>
              </w:rPr>
              <w:t>وجوب الصلاة علي الميت و عللها و آدابها و أحكامها</w:t>
            </w:r>
            <w:r>
              <w:rPr>
                <w:rStyle w:val="IndexLink"/>
                <w:rtl w:val="true"/>
              </w:rPr>
              <w:tab/>
            </w:r>
            <w:r>
              <w:rPr>
                <w:rStyle w:val="IndexLink"/>
              </w:rPr>
              <w:t>684</w:t>
            </w:r>
          </w:hyperlink>
        </w:p>
        <w:p>
          <w:pPr>
            <w:pStyle w:val="Contents4"/>
            <w:tabs>
              <w:tab w:val="clear" w:pos="8176"/>
              <w:tab w:val="right" w:pos="9026" w:leader="dot"/>
            </w:tabs>
            <w:rPr/>
          </w:pPr>
          <w:hyperlink w:anchor="__RefHeading___Toc607970_1934241801">
            <w:r>
              <w:rPr>
                <w:webHidden/>
                <w:rStyle w:val="IndexLink"/>
                <w:rtl w:val="true"/>
              </w:rPr>
              <w:t>روايات</w:t>
            </w:r>
            <w:r>
              <w:rPr>
                <w:rStyle w:val="IndexLink"/>
                <w:rtl w:val="true"/>
              </w:rPr>
              <w:tab/>
            </w:r>
            <w:r>
              <w:rPr>
                <w:rStyle w:val="IndexLink"/>
              </w:rPr>
              <w:t>684</w:t>
            </w:r>
          </w:hyperlink>
        </w:p>
        <w:p>
          <w:pPr>
            <w:pStyle w:val="Contents5"/>
            <w:tabs>
              <w:tab w:val="clear" w:pos="7892"/>
              <w:tab w:val="right" w:pos="9026" w:leader="dot"/>
            </w:tabs>
            <w:rPr/>
          </w:pPr>
          <w:hyperlink w:anchor="__RefHeading___Toc607972_1934241801">
            <w:r>
              <w:rPr>
                <w:webHidden/>
                <w:rStyle w:val="IndexLink"/>
                <w:rtl w:val="true"/>
              </w:rPr>
              <w:t>«</w:t>
            </w:r>
            <w:r>
              <w:rPr>
                <w:rStyle w:val="IndexLink"/>
              </w:rPr>
              <w:t>1</w:t>
            </w:r>
            <w:r>
              <w:rPr>
                <w:rStyle w:val="IndexLink"/>
                <w:rtl w:val="true"/>
              </w:rPr>
              <w:t>»</w:t>
              <w:tab/>
            </w:r>
            <w:r>
              <w:rPr>
                <w:rStyle w:val="IndexLink"/>
              </w:rPr>
              <w:t>684</w:t>
            </w:r>
          </w:hyperlink>
        </w:p>
        <w:p>
          <w:pPr>
            <w:pStyle w:val="Contents5"/>
            <w:tabs>
              <w:tab w:val="clear" w:pos="7892"/>
              <w:tab w:val="right" w:pos="9026" w:leader="dot"/>
            </w:tabs>
            <w:rPr/>
          </w:pPr>
          <w:hyperlink w:anchor="__RefHeading___Toc607974_1934241801">
            <w:r>
              <w:rPr>
                <w:webHidden/>
                <w:rStyle w:val="IndexLink"/>
                <w:rtl w:val="true"/>
              </w:rPr>
              <w:t>تحقيق و تفصيل</w:t>
            </w:r>
            <w:r>
              <w:rPr>
                <w:rStyle w:val="IndexLink"/>
                <w:rtl w:val="true"/>
              </w:rPr>
              <w:tab/>
            </w:r>
            <w:r>
              <w:rPr>
                <w:rStyle w:val="IndexLink"/>
              </w:rPr>
              <w:t>684</w:t>
            </w:r>
          </w:hyperlink>
        </w:p>
        <w:p>
          <w:pPr>
            <w:pStyle w:val="Contents3"/>
            <w:tabs>
              <w:tab w:val="clear" w:pos="8459"/>
              <w:tab w:val="right" w:pos="9026" w:leader="dot"/>
            </w:tabs>
            <w:rPr/>
          </w:pPr>
          <w:hyperlink w:anchor="__RefHeading___Toc607976_1934241801">
            <w:r>
              <w:rPr>
                <w:webHidden/>
                <w:rStyle w:val="IndexLink"/>
                <w:rtl w:val="true"/>
              </w:rPr>
              <w:t xml:space="preserve">باب دهم </w:t>
            </w:r>
            <w:r>
              <w:rPr>
                <w:rStyle w:val="IndexLink"/>
                <w:rtl w:val="true"/>
              </w:rPr>
              <w:t xml:space="preserve">: </w:t>
            </w:r>
            <w:r>
              <w:rPr>
                <w:rStyle w:val="IndexLink"/>
                <w:rtl w:val="true"/>
              </w:rPr>
              <w:t>وجوب نماز گزاردن بر میّت و علل، آداب و احکام آن</w:t>
            </w:r>
            <w:r>
              <w:rPr>
                <w:rStyle w:val="IndexLink"/>
                <w:rtl w:val="true"/>
              </w:rPr>
              <w:tab/>
            </w:r>
            <w:r>
              <w:rPr>
                <w:rStyle w:val="IndexLink"/>
              </w:rPr>
              <w:t>684</w:t>
            </w:r>
          </w:hyperlink>
        </w:p>
        <w:p>
          <w:pPr>
            <w:pStyle w:val="Contents4"/>
            <w:tabs>
              <w:tab w:val="clear" w:pos="8176"/>
              <w:tab w:val="right" w:pos="9026" w:leader="dot"/>
            </w:tabs>
            <w:rPr/>
          </w:pPr>
          <w:hyperlink w:anchor="__RefHeading___Toc607978_1934241801">
            <w:r>
              <w:rPr>
                <w:webHidden/>
                <w:rStyle w:val="IndexLink"/>
                <w:rtl w:val="true"/>
              </w:rPr>
              <w:t>روایات</w:t>
            </w:r>
            <w:r>
              <w:rPr>
                <w:rStyle w:val="IndexLink"/>
                <w:rtl w:val="true"/>
              </w:rPr>
              <w:tab/>
            </w:r>
            <w:r>
              <w:rPr>
                <w:rStyle w:val="IndexLink"/>
              </w:rPr>
              <w:t>684</w:t>
            </w:r>
          </w:hyperlink>
        </w:p>
        <w:p>
          <w:pPr>
            <w:pStyle w:val="Contents5"/>
            <w:tabs>
              <w:tab w:val="clear" w:pos="7892"/>
              <w:tab w:val="right" w:pos="9026" w:leader="dot"/>
            </w:tabs>
            <w:rPr/>
          </w:pPr>
          <w:hyperlink w:anchor="__RefHeading___Toc607980_1934241801">
            <w:r>
              <w:rPr>
                <w:webHidden/>
                <w:rStyle w:val="IndexLink"/>
                <w:rtl w:val="true"/>
              </w:rPr>
              <w:t xml:space="preserve">روایت </w:t>
            </w:r>
            <w:r>
              <w:rPr>
                <w:rStyle w:val="IndexLink"/>
              </w:rPr>
              <w:t>1</w:t>
            </w:r>
            <w:r>
              <w:rPr>
                <w:rStyle w:val="IndexLink"/>
                <w:rtl w:val="true"/>
              </w:rPr>
              <w:tab/>
            </w:r>
            <w:r>
              <w:rPr>
                <w:rStyle w:val="IndexLink"/>
              </w:rPr>
              <w:t>684</w:t>
            </w:r>
          </w:hyperlink>
        </w:p>
        <w:p>
          <w:pPr>
            <w:pStyle w:val="Contents5"/>
            <w:tabs>
              <w:tab w:val="clear" w:pos="7892"/>
              <w:tab w:val="right" w:pos="9026" w:leader="dot"/>
            </w:tabs>
            <w:rPr/>
          </w:pPr>
          <w:hyperlink w:anchor="__RefHeading___Toc607982_1934241801">
            <w:r>
              <w:rPr>
                <w:webHidden/>
                <w:rStyle w:val="IndexLink"/>
                <w:rtl w:val="true"/>
              </w:rPr>
              <w:t>تحقیق و تفصیل</w:t>
            </w:r>
            <w:r>
              <w:rPr>
                <w:rStyle w:val="IndexLink"/>
                <w:rtl w:val="true"/>
              </w:rPr>
              <w:tab/>
            </w:r>
            <w:r>
              <w:rPr>
                <w:rStyle w:val="IndexLink"/>
              </w:rPr>
              <w:t>685</w:t>
            </w:r>
          </w:hyperlink>
        </w:p>
        <w:p>
          <w:pPr>
            <w:pStyle w:val="Contents5"/>
            <w:tabs>
              <w:tab w:val="clear" w:pos="7892"/>
              <w:tab w:val="right" w:pos="9026" w:leader="dot"/>
            </w:tabs>
            <w:rPr/>
          </w:pPr>
          <w:hyperlink w:anchor="__RefHeading___Toc607984_1934241801">
            <w:r>
              <w:rPr>
                <w:webHidden/>
                <w:rStyle w:val="IndexLink"/>
                <w:rtl w:val="true"/>
              </w:rPr>
              <w:t>أقول</w:t>
            </w:r>
            <w:r>
              <w:rPr>
                <w:rStyle w:val="IndexLink"/>
                <w:rtl w:val="true"/>
              </w:rPr>
              <w:tab/>
            </w:r>
            <w:r>
              <w:rPr>
                <w:rStyle w:val="IndexLink"/>
              </w:rPr>
              <w:t>688</w:t>
            </w:r>
          </w:hyperlink>
        </w:p>
        <w:p>
          <w:pPr>
            <w:pStyle w:val="Contents5"/>
            <w:tabs>
              <w:tab w:val="clear" w:pos="7892"/>
              <w:tab w:val="right" w:pos="9026" w:leader="dot"/>
            </w:tabs>
            <w:rPr/>
          </w:pPr>
          <w:hyperlink w:anchor="__RefHeading___Toc607986_1934241801">
            <w:r>
              <w:rPr>
                <w:webHidden/>
                <w:rStyle w:val="IndexLink"/>
                <w:rtl w:val="true"/>
              </w:rPr>
              <w:t>می گویم</w:t>
            </w:r>
            <w:r>
              <w:rPr>
                <w:rStyle w:val="IndexLink"/>
                <w:rtl w:val="true"/>
              </w:rPr>
              <w:tab/>
            </w:r>
            <w:r>
              <w:rPr>
                <w:rStyle w:val="IndexLink"/>
              </w:rPr>
              <w:t>689</w:t>
            </w:r>
          </w:hyperlink>
        </w:p>
        <w:p>
          <w:pPr>
            <w:pStyle w:val="Contents5"/>
            <w:tabs>
              <w:tab w:val="clear" w:pos="7892"/>
              <w:tab w:val="right" w:pos="9026" w:leader="dot"/>
            </w:tabs>
            <w:rPr/>
          </w:pPr>
          <w:hyperlink w:anchor="__RefHeading___Toc607988_1934241801">
            <w:r>
              <w:rPr>
                <w:webHidden/>
                <w:rStyle w:val="IndexLink"/>
                <w:rtl w:val="true"/>
              </w:rPr>
              <w:t>«</w:t>
            </w:r>
            <w:r>
              <w:rPr>
                <w:rStyle w:val="IndexLink"/>
              </w:rPr>
              <w:t>2</w:t>
            </w:r>
            <w:r>
              <w:rPr>
                <w:rStyle w:val="IndexLink"/>
                <w:rtl w:val="true"/>
              </w:rPr>
              <w:t>»</w:t>
              <w:tab/>
            </w:r>
            <w:r>
              <w:rPr>
                <w:rStyle w:val="IndexLink"/>
              </w:rPr>
              <w:t>690</w:t>
            </w:r>
          </w:hyperlink>
        </w:p>
        <w:p>
          <w:pPr>
            <w:pStyle w:val="Contents5"/>
            <w:tabs>
              <w:tab w:val="clear" w:pos="7892"/>
              <w:tab w:val="right" w:pos="9026" w:leader="dot"/>
            </w:tabs>
            <w:rPr/>
          </w:pPr>
          <w:hyperlink w:anchor="__RefHeading___Toc607990_1934241801">
            <w:r>
              <w:rPr>
                <w:webHidden/>
                <w:rStyle w:val="IndexLink"/>
                <w:rtl w:val="true"/>
              </w:rPr>
              <w:t>«</w:t>
            </w:r>
            <w:r>
              <w:rPr>
                <w:rStyle w:val="IndexLink"/>
              </w:rPr>
              <w:t>3</w:t>
            </w:r>
            <w:r>
              <w:rPr>
                <w:rStyle w:val="IndexLink"/>
                <w:rtl w:val="true"/>
              </w:rPr>
              <w:t>»</w:t>
              <w:tab/>
            </w:r>
            <w:r>
              <w:rPr>
                <w:rStyle w:val="IndexLink"/>
              </w:rPr>
              <w:t>690</w:t>
            </w:r>
          </w:hyperlink>
        </w:p>
        <w:p>
          <w:pPr>
            <w:pStyle w:val="Contents5"/>
            <w:tabs>
              <w:tab w:val="clear" w:pos="7892"/>
              <w:tab w:val="right" w:pos="9026" w:leader="dot"/>
            </w:tabs>
            <w:rPr/>
          </w:pPr>
          <w:hyperlink w:anchor="__RefHeading___Toc607992_1934241801">
            <w:r>
              <w:rPr>
                <w:webHidden/>
                <w:rStyle w:val="IndexLink"/>
                <w:rtl w:val="true"/>
              </w:rPr>
              <w:t>بيان</w:t>
            </w:r>
            <w:r>
              <w:rPr>
                <w:rStyle w:val="IndexLink"/>
                <w:rtl w:val="true"/>
              </w:rPr>
              <w:tab/>
            </w:r>
            <w:r>
              <w:rPr>
                <w:rStyle w:val="IndexLink"/>
              </w:rPr>
              <w:t>690</w:t>
            </w:r>
          </w:hyperlink>
        </w:p>
        <w:p>
          <w:pPr>
            <w:pStyle w:val="Contents5"/>
            <w:tabs>
              <w:tab w:val="clear" w:pos="7892"/>
              <w:tab w:val="right" w:pos="9026" w:leader="dot"/>
            </w:tabs>
            <w:rPr/>
          </w:pPr>
          <w:hyperlink w:anchor="__RefHeading___Toc607994_1934241801">
            <w:r>
              <w:rPr>
                <w:webHidden/>
                <w:rStyle w:val="IndexLink"/>
                <w:rtl w:val="true"/>
              </w:rPr>
              <w:t xml:space="preserve">روایت </w:t>
            </w:r>
            <w:r>
              <w:rPr>
                <w:rStyle w:val="IndexLink"/>
              </w:rPr>
              <w:t>2</w:t>
            </w:r>
            <w:r>
              <w:rPr>
                <w:rStyle w:val="IndexLink"/>
                <w:rtl w:val="true"/>
              </w:rPr>
              <w:tab/>
            </w:r>
            <w:r>
              <w:rPr>
                <w:rStyle w:val="IndexLink"/>
              </w:rPr>
              <w:t>690</w:t>
            </w:r>
          </w:hyperlink>
        </w:p>
        <w:p>
          <w:pPr>
            <w:pStyle w:val="Contents5"/>
            <w:tabs>
              <w:tab w:val="clear" w:pos="7892"/>
              <w:tab w:val="right" w:pos="9026" w:leader="dot"/>
            </w:tabs>
            <w:rPr/>
          </w:pPr>
          <w:hyperlink w:anchor="__RefHeading___Toc607996_1934241801">
            <w:r>
              <w:rPr>
                <w:webHidden/>
                <w:rStyle w:val="IndexLink"/>
                <w:rtl w:val="true"/>
              </w:rPr>
              <w:t xml:space="preserve">روایت </w:t>
            </w:r>
            <w:r>
              <w:rPr>
                <w:rStyle w:val="IndexLink"/>
              </w:rPr>
              <w:t>3</w:t>
            </w:r>
            <w:r>
              <w:rPr>
                <w:rStyle w:val="IndexLink"/>
                <w:rtl w:val="true"/>
              </w:rPr>
              <w:tab/>
            </w:r>
            <w:r>
              <w:rPr>
                <w:rStyle w:val="IndexLink"/>
              </w:rPr>
              <w:t>690</w:t>
            </w:r>
          </w:hyperlink>
        </w:p>
        <w:p>
          <w:pPr>
            <w:pStyle w:val="Contents5"/>
            <w:tabs>
              <w:tab w:val="clear" w:pos="7892"/>
              <w:tab w:val="right" w:pos="9026" w:leader="dot"/>
            </w:tabs>
            <w:rPr/>
          </w:pPr>
          <w:hyperlink w:anchor="__RefHeading___Toc607998_1934241801">
            <w:r>
              <w:rPr>
                <w:webHidden/>
                <w:rStyle w:val="IndexLink"/>
                <w:rtl w:val="true"/>
              </w:rPr>
              <w:t>توضیح</w:t>
            </w:r>
            <w:r>
              <w:rPr>
                <w:rStyle w:val="IndexLink"/>
                <w:rtl w:val="true"/>
              </w:rPr>
              <w:tab/>
            </w:r>
            <w:r>
              <w:rPr>
                <w:rStyle w:val="IndexLink"/>
              </w:rPr>
              <w:t>691</w:t>
            </w:r>
          </w:hyperlink>
        </w:p>
        <w:p>
          <w:pPr>
            <w:pStyle w:val="Contents5"/>
            <w:tabs>
              <w:tab w:val="clear" w:pos="7892"/>
              <w:tab w:val="right" w:pos="9026" w:leader="dot"/>
            </w:tabs>
            <w:rPr/>
          </w:pPr>
          <w:hyperlink w:anchor="__RefHeading___Toc608000_1934241801">
            <w:r>
              <w:rPr>
                <w:webHidden/>
                <w:rStyle w:val="IndexLink"/>
                <w:rtl w:val="true"/>
              </w:rPr>
              <w:t>«</w:t>
            </w:r>
            <w:r>
              <w:rPr>
                <w:rStyle w:val="IndexLink"/>
              </w:rPr>
              <w:t>4</w:t>
            </w:r>
            <w:r>
              <w:rPr>
                <w:rStyle w:val="IndexLink"/>
                <w:rtl w:val="true"/>
              </w:rPr>
              <w:t>»</w:t>
              <w:tab/>
            </w:r>
            <w:r>
              <w:rPr>
                <w:rStyle w:val="IndexLink"/>
              </w:rPr>
              <w:t>692</w:t>
            </w:r>
          </w:hyperlink>
        </w:p>
        <w:p>
          <w:pPr>
            <w:pStyle w:val="Contents5"/>
            <w:tabs>
              <w:tab w:val="clear" w:pos="7892"/>
              <w:tab w:val="right" w:pos="9026" w:leader="dot"/>
            </w:tabs>
            <w:rPr/>
          </w:pPr>
          <w:hyperlink w:anchor="__RefHeading___Toc608002_1934241801">
            <w:r>
              <w:rPr>
                <w:webHidden/>
                <w:rStyle w:val="IndexLink"/>
                <w:rtl w:val="true"/>
              </w:rPr>
              <w:t>«</w:t>
            </w:r>
            <w:r>
              <w:rPr>
                <w:rStyle w:val="IndexLink"/>
              </w:rPr>
              <w:t>5</w:t>
            </w:r>
            <w:r>
              <w:rPr>
                <w:rStyle w:val="IndexLink"/>
                <w:rtl w:val="true"/>
              </w:rPr>
              <w:t>»</w:t>
              <w:tab/>
            </w:r>
            <w:r>
              <w:rPr>
                <w:rStyle w:val="IndexLink"/>
              </w:rPr>
              <w:t>692</w:t>
            </w:r>
          </w:hyperlink>
        </w:p>
        <w:p>
          <w:pPr>
            <w:pStyle w:val="Contents5"/>
            <w:tabs>
              <w:tab w:val="clear" w:pos="7892"/>
              <w:tab w:val="right" w:pos="9026" w:leader="dot"/>
            </w:tabs>
            <w:rPr/>
          </w:pPr>
          <w:hyperlink w:anchor="__RefHeading___Toc608004_1934241801">
            <w:r>
              <w:rPr>
                <w:webHidden/>
                <w:rStyle w:val="IndexLink"/>
                <w:rtl w:val="true"/>
              </w:rPr>
              <w:t>«</w:t>
            </w:r>
            <w:r>
              <w:rPr>
                <w:rStyle w:val="IndexLink"/>
              </w:rPr>
              <w:t>6</w:t>
            </w:r>
            <w:r>
              <w:rPr>
                <w:rStyle w:val="IndexLink"/>
                <w:rtl w:val="true"/>
              </w:rPr>
              <w:t>»</w:t>
              <w:tab/>
            </w:r>
            <w:r>
              <w:rPr>
                <w:rStyle w:val="IndexLink"/>
              </w:rPr>
              <w:t>692</w:t>
            </w:r>
          </w:hyperlink>
        </w:p>
        <w:p>
          <w:pPr>
            <w:pStyle w:val="Contents5"/>
            <w:tabs>
              <w:tab w:val="clear" w:pos="7892"/>
              <w:tab w:val="right" w:pos="9026" w:leader="dot"/>
            </w:tabs>
            <w:rPr/>
          </w:pPr>
          <w:hyperlink w:anchor="__RefHeading___Toc608006_1934241801">
            <w:r>
              <w:rPr>
                <w:webHidden/>
                <w:rStyle w:val="IndexLink"/>
                <w:rtl w:val="true"/>
              </w:rPr>
              <w:t xml:space="preserve">روایت </w:t>
            </w:r>
            <w:r>
              <w:rPr>
                <w:rStyle w:val="IndexLink"/>
              </w:rPr>
              <w:t>4</w:t>
            </w:r>
            <w:r>
              <w:rPr>
                <w:rStyle w:val="IndexLink"/>
                <w:rtl w:val="true"/>
              </w:rPr>
              <w:tab/>
            </w:r>
            <w:r>
              <w:rPr>
                <w:rStyle w:val="IndexLink"/>
              </w:rPr>
              <w:t>692</w:t>
            </w:r>
          </w:hyperlink>
        </w:p>
        <w:p>
          <w:pPr>
            <w:pStyle w:val="Contents5"/>
            <w:tabs>
              <w:tab w:val="clear" w:pos="7892"/>
              <w:tab w:val="right" w:pos="9026" w:leader="dot"/>
            </w:tabs>
            <w:rPr/>
          </w:pPr>
          <w:hyperlink w:anchor="__RefHeading___Toc608008_1934241801">
            <w:r>
              <w:rPr>
                <w:webHidden/>
                <w:rStyle w:val="IndexLink"/>
                <w:rtl w:val="true"/>
              </w:rPr>
              <w:t xml:space="preserve">روایت </w:t>
            </w:r>
            <w:r>
              <w:rPr>
                <w:rStyle w:val="IndexLink"/>
              </w:rPr>
              <w:t>5</w:t>
            </w:r>
            <w:r>
              <w:rPr>
                <w:rStyle w:val="IndexLink"/>
                <w:rtl w:val="true"/>
              </w:rPr>
              <w:tab/>
            </w:r>
            <w:r>
              <w:rPr>
                <w:rStyle w:val="IndexLink"/>
              </w:rPr>
              <w:t>693</w:t>
            </w:r>
          </w:hyperlink>
        </w:p>
        <w:p>
          <w:pPr>
            <w:pStyle w:val="Contents5"/>
            <w:tabs>
              <w:tab w:val="clear" w:pos="7892"/>
              <w:tab w:val="right" w:pos="9026" w:leader="dot"/>
            </w:tabs>
            <w:rPr/>
          </w:pPr>
          <w:hyperlink w:anchor="__RefHeading___Toc608010_1934241801">
            <w:r>
              <w:rPr>
                <w:webHidden/>
                <w:rStyle w:val="IndexLink"/>
                <w:rtl w:val="true"/>
              </w:rPr>
              <w:t xml:space="preserve">روایت </w:t>
            </w:r>
            <w:r>
              <w:rPr>
                <w:rStyle w:val="IndexLink"/>
              </w:rPr>
              <w:t>6</w:t>
            </w:r>
            <w:r>
              <w:rPr>
                <w:rStyle w:val="IndexLink"/>
                <w:rtl w:val="true"/>
              </w:rPr>
              <w:tab/>
            </w:r>
            <w:r>
              <w:rPr>
                <w:rStyle w:val="IndexLink"/>
              </w:rPr>
              <w:t>693</w:t>
            </w:r>
          </w:hyperlink>
        </w:p>
        <w:p>
          <w:pPr>
            <w:pStyle w:val="Contents5"/>
            <w:tabs>
              <w:tab w:val="clear" w:pos="7892"/>
              <w:tab w:val="right" w:pos="9026" w:leader="dot"/>
            </w:tabs>
            <w:rPr/>
          </w:pPr>
          <w:hyperlink w:anchor="__RefHeading___Toc608012_1934241801">
            <w:r>
              <w:rPr>
                <w:webHidden/>
                <w:rStyle w:val="IndexLink"/>
                <w:rtl w:val="true"/>
              </w:rPr>
              <w:t>«</w:t>
            </w:r>
            <w:r>
              <w:rPr>
                <w:rStyle w:val="IndexLink"/>
              </w:rPr>
              <w:t>7</w:t>
            </w:r>
            <w:r>
              <w:rPr>
                <w:rStyle w:val="IndexLink"/>
                <w:rtl w:val="true"/>
              </w:rPr>
              <w:t>»</w:t>
              <w:tab/>
            </w:r>
            <w:r>
              <w:rPr>
                <w:rStyle w:val="IndexLink"/>
              </w:rPr>
              <w:t>694</w:t>
            </w:r>
          </w:hyperlink>
        </w:p>
        <w:p>
          <w:pPr>
            <w:pStyle w:val="Contents5"/>
            <w:tabs>
              <w:tab w:val="clear" w:pos="7892"/>
              <w:tab w:val="right" w:pos="9026" w:leader="dot"/>
            </w:tabs>
            <w:rPr/>
          </w:pPr>
          <w:hyperlink w:anchor="__RefHeading___Toc608014_1934241801">
            <w:r>
              <w:rPr>
                <w:webHidden/>
                <w:rStyle w:val="IndexLink"/>
                <w:rtl w:val="true"/>
              </w:rPr>
              <w:t>«</w:t>
            </w:r>
            <w:r>
              <w:rPr>
                <w:rStyle w:val="IndexLink"/>
              </w:rPr>
              <w:t>8</w:t>
            </w:r>
            <w:r>
              <w:rPr>
                <w:rStyle w:val="IndexLink"/>
                <w:rtl w:val="true"/>
              </w:rPr>
              <w:t>»</w:t>
              <w:tab/>
            </w:r>
            <w:r>
              <w:rPr>
                <w:rStyle w:val="IndexLink"/>
              </w:rPr>
              <w:t>694</w:t>
            </w:r>
          </w:hyperlink>
        </w:p>
        <w:p>
          <w:pPr>
            <w:pStyle w:val="Contents5"/>
            <w:tabs>
              <w:tab w:val="clear" w:pos="7892"/>
              <w:tab w:val="right" w:pos="9026" w:leader="dot"/>
            </w:tabs>
            <w:rPr/>
          </w:pPr>
          <w:hyperlink w:anchor="__RefHeading___Toc608016_1934241801">
            <w:r>
              <w:rPr>
                <w:webHidden/>
                <w:rStyle w:val="IndexLink"/>
                <w:rtl w:val="true"/>
              </w:rPr>
              <w:t>بيان</w:t>
            </w:r>
            <w:r>
              <w:rPr>
                <w:rStyle w:val="IndexLink"/>
                <w:rtl w:val="true"/>
              </w:rPr>
              <w:tab/>
            </w:r>
            <w:r>
              <w:rPr>
                <w:rStyle w:val="IndexLink"/>
              </w:rPr>
              <w:t>694</w:t>
            </w:r>
          </w:hyperlink>
        </w:p>
        <w:p>
          <w:pPr>
            <w:pStyle w:val="Contents5"/>
            <w:tabs>
              <w:tab w:val="clear" w:pos="7892"/>
              <w:tab w:val="right" w:pos="9026" w:leader="dot"/>
            </w:tabs>
            <w:rPr/>
          </w:pPr>
          <w:hyperlink w:anchor="__RefHeading___Toc608018_1934241801">
            <w:r>
              <w:rPr>
                <w:webHidden/>
                <w:rStyle w:val="IndexLink"/>
                <w:rtl w:val="true"/>
              </w:rPr>
              <w:t>«</w:t>
            </w:r>
            <w:r>
              <w:rPr>
                <w:rStyle w:val="IndexLink"/>
              </w:rPr>
              <w:t>9</w:t>
            </w:r>
            <w:r>
              <w:rPr>
                <w:rStyle w:val="IndexLink"/>
                <w:rtl w:val="true"/>
              </w:rPr>
              <w:t>»</w:t>
              <w:tab/>
            </w:r>
            <w:r>
              <w:rPr>
                <w:rStyle w:val="IndexLink"/>
              </w:rPr>
              <w:t>694</w:t>
            </w:r>
          </w:hyperlink>
        </w:p>
        <w:p>
          <w:pPr>
            <w:pStyle w:val="Contents5"/>
            <w:tabs>
              <w:tab w:val="clear" w:pos="7892"/>
              <w:tab w:val="right" w:pos="9026" w:leader="dot"/>
            </w:tabs>
            <w:rPr/>
          </w:pPr>
          <w:hyperlink w:anchor="__RefHeading___Toc608020_1934241801">
            <w:r>
              <w:rPr>
                <w:webHidden/>
                <w:rStyle w:val="IndexLink"/>
                <w:rtl w:val="true"/>
              </w:rPr>
              <w:t xml:space="preserve">روایت </w:t>
            </w:r>
            <w:r>
              <w:rPr>
                <w:rStyle w:val="IndexLink"/>
              </w:rPr>
              <w:t>7</w:t>
            </w:r>
            <w:r>
              <w:rPr>
                <w:rStyle w:val="IndexLink"/>
                <w:rtl w:val="true"/>
              </w:rPr>
              <w:tab/>
            </w:r>
            <w:r>
              <w:rPr>
                <w:rStyle w:val="IndexLink"/>
              </w:rPr>
              <w:t>694</w:t>
            </w:r>
          </w:hyperlink>
        </w:p>
        <w:p>
          <w:pPr>
            <w:pStyle w:val="Contents5"/>
            <w:tabs>
              <w:tab w:val="clear" w:pos="7892"/>
              <w:tab w:val="right" w:pos="9026" w:leader="dot"/>
            </w:tabs>
            <w:rPr/>
          </w:pPr>
          <w:hyperlink w:anchor="__RefHeading___Toc608022_1934241801">
            <w:r>
              <w:rPr>
                <w:webHidden/>
                <w:rStyle w:val="IndexLink"/>
                <w:rtl w:val="true"/>
              </w:rPr>
              <w:t xml:space="preserve">روایت </w:t>
            </w:r>
            <w:r>
              <w:rPr>
                <w:rStyle w:val="IndexLink"/>
              </w:rPr>
              <w:t>8</w:t>
            </w:r>
            <w:r>
              <w:rPr>
                <w:rStyle w:val="IndexLink"/>
                <w:rtl w:val="true"/>
              </w:rPr>
              <w:tab/>
            </w:r>
            <w:r>
              <w:rPr>
                <w:rStyle w:val="IndexLink"/>
              </w:rPr>
              <w:t>694</w:t>
            </w:r>
          </w:hyperlink>
        </w:p>
        <w:p>
          <w:pPr>
            <w:pStyle w:val="Contents5"/>
            <w:tabs>
              <w:tab w:val="clear" w:pos="7892"/>
              <w:tab w:val="right" w:pos="9026" w:leader="dot"/>
            </w:tabs>
            <w:rPr/>
          </w:pPr>
          <w:hyperlink w:anchor="__RefHeading___Toc608024_1934241801">
            <w:r>
              <w:rPr>
                <w:webHidden/>
                <w:rStyle w:val="IndexLink"/>
                <w:rtl w:val="true"/>
              </w:rPr>
              <w:t>توضیح</w:t>
            </w:r>
            <w:r>
              <w:rPr>
                <w:rStyle w:val="IndexLink"/>
                <w:rtl w:val="true"/>
              </w:rPr>
              <w:tab/>
            </w:r>
            <w:r>
              <w:rPr>
                <w:rStyle w:val="IndexLink"/>
              </w:rPr>
              <w:t>695</w:t>
            </w:r>
          </w:hyperlink>
        </w:p>
        <w:p>
          <w:pPr>
            <w:pStyle w:val="Contents5"/>
            <w:tabs>
              <w:tab w:val="clear" w:pos="7892"/>
              <w:tab w:val="right" w:pos="9026" w:leader="dot"/>
            </w:tabs>
            <w:rPr/>
          </w:pPr>
          <w:hyperlink w:anchor="__RefHeading___Toc608026_1934241801">
            <w:r>
              <w:rPr>
                <w:webHidden/>
                <w:rStyle w:val="IndexLink"/>
                <w:rtl w:val="true"/>
              </w:rPr>
              <w:t xml:space="preserve">روایت </w:t>
            </w:r>
            <w:r>
              <w:rPr>
                <w:rStyle w:val="IndexLink"/>
              </w:rPr>
              <w:t>9</w:t>
            </w:r>
            <w:r>
              <w:rPr>
                <w:rStyle w:val="IndexLink"/>
                <w:rtl w:val="true"/>
              </w:rPr>
              <w:tab/>
            </w:r>
            <w:r>
              <w:rPr>
                <w:rStyle w:val="IndexLink"/>
              </w:rPr>
              <w:t>695</w:t>
            </w:r>
          </w:hyperlink>
        </w:p>
        <w:p>
          <w:pPr>
            <w:pStyle w:val="Contents5"/>
            <w:tabs>
              <w:tab w:val="clear" w:pos="7892"/>
              <w:tab w:val="right" w:pos="9026" w:leader="dot"/>
            </w:tabs>
            <w:rPr/>
          </w:pPr>
          <w:hyperlink w:anchor="__RefHeading___Toc608028_1934241801">
            <w:r>
              <w:rPr>
                <w:webHidden/>
                <w:rStyle w:val="IndexLink"/>
                <w:rtl w:val="true"/>
              </w:rPr>
              <w:t>بيان</w:t>
            </w:r>
            <w:r>
              <w:rPr>
                <w:rStyle w:val="IndexLink"/>
                <w:rtl w:val="true"/>
              </w:rPr>
              <w:tab/>
            </w:r>
            <w:r>
              <w:rPr>
                <w:rStyle w:val="IndexLink"/>
              </w:rPr>
              <w:t>696</w:t>
            </w:r>
          </w:hyperlink>
        </w:p>
        <w:p>
          <w:pPr>
            <w:pStyle w:val="Contents5"/>
            <w:tabs>
              <w:tab w:val="clear" w:pos="7892"/>
              <w:tab w:val="right" w:pos="9026" w:leader="dot"/>
            </w:tabs>
            <w:rPr/>
          </w:pPr>
          <w:hyperlink w:anchor="__RefHeading___Toc608030_1934241801">
            <w:r>
              <w:rPr>
                <w:webHidden/>
                <w:rStyle w:val="IndexLink"/>
                <w:rtl w:val="true"/>
              </w:rPr>
              <w:t>«</w:t>
            </w:r>
            <w:r>
              <w:rPr>
                <w:rStyle w:val="IndexLink"/>
              </w:rPr>
              <w:t>10</w:t>
            </w:r>
            <w:r>
              <w:rPr>
                <w:rStyle w:val="IndexLink"/>
                <w:rtl w:val="true"/>
              </w:rPr>
              <w:t>»</w:t>
              <w:tab/>
            </w:r>
            <w:r>
              <w:rPr>
                <w:rStyle w:val="IndexLink"/>
              </w:rPr>
              <w:t>696</w:t>
            </w:r>
          </w:hyperlink>
        </w:p>
        <w:p>
          <w:pPr>
            <w:pStyle w:val="Contents5"/>
            <w:tabs>
              <w:tab w:val="clear" w:pos="7892"/>
              <w:tab w:val="right" w:pos="9026" w:leader="dot"/>
            </w:tabs>
            <w:rPr/>
          </w:pPr>
          <w:hyperlink w:anchor="__RefHeading___Toc608032_1934241801">
            <w:r>
              <w:rPr>
                <w:webHidden/>
                <w:rStyle w:val="IndexLink"/>
                <w:rtl w:val="true"/>
              </w:rPr>
              <w:t>«</w:t>
            </w:r>
            <w:r>
              <w:rPr>
                <w:rStyle w:val="IndexLink"/>
              </w:rPr>
              <w:t>11</w:t>
            </w:r>
            <w:r>
              <w:rPr>
                <w:rStyle w:val="IndexLink"/>
                <w:rtl w:val="true"/>
              </w:rPr>
              <w:t>»</w:t>
              <w:tab/>
            </w:r>
            <w:r>
              <w:rPr>
                <w:rStyle w:val="IndexLink"/>
              </w:rPr>
              <w:t>696</w:t>
            </w:r>
          </w:hyperlink>
        </w:p>
        <w:p>
          <w:pPr>
            <w:pStyle w:val="Contents5"/>
            <w:tabs>
              <w:tab w:val="clear" w:pos="7892"/>
              <w:tab w:val="right" w:pos="9026" w:leader="dot"/>
            </w:tabs>
            <w:rPr/>
          </w:pPr>
          <w:hyperlink w:anchor="__RefHeading___Toc608034_1934241801">
            <w:r>
              <w:rPr>
                <w:webHidden/>
                <w:rStyle w:val="IndexLink"/>
                <w:rtl w:val="true"/>
              </w:rPr>
              <w:t>توضیح</w:t>
            </w:r>
            <w:r>
              <w:rPr>
                <w:rStyle w:val="IndexLink"/>
                <w:rtl w:val="true"/>
              </w:rPr>
              <w:tab/>
            </w:r>
            <w:r>
              <w:rPr>
                <w:rStyle w:val="IndexLink"/>
              </w:rPr>
              <w:t>696</w:t>
            </w:r>
          </w:hyperlink>
        </w:p>
        <w:p>
          <w:pPr>
            <w:pStyle w:val="Contents5"/>
            <w:tabs>
              <w:tab w:val="clear" w:pos="7892"/>
              <w:tab w:val="right" w:pos="9026" w:leader="dot"/>
            </w:tabs>
            <w:rPr/>
          </w:pPr>
          <w:hyperlink w:anchor="__RefHeading___Toc608036_1934241801">
            <w:r>
              <w:rPr>
                <w:webHidden/>
                <w:rStyle w:val="IndexLink"/>
                <w:rtl w:val="true"/>
              </w:rPr>
              <w:t xml:space="preserve">روایت </w:t>
            </w:r>
            <w:r>
              <w:rPr>
                <w:rStyle w:val="IndexLink"/>
              </w:rPr>
              <w:t>10</w:t>
            </w:r>
            <w:r>
              <w:rPr>
                <w:rStyle w:val="IndexLink"/>
                <w:rtl w:val="true"/>
              </w:rPr>
              <w:tab/>
            </w:r>
            <w:r>
              <w:rPr>
                <w:rStyle w:val="IndexLink"/>
              </w:rPr>
              <w:t>696</w:t>
            </w:r>
          </w:hyperlink>
        </w:p>
        <w:p>
          <w:pPr>
            <w:pStyle w:val="Contents5"/>
            <w:tabs>
              <w:tab w:val="clear" w:pos="7892"/>
              <w:tab w:val="right" w:pos="9026" w:leader="dot"/>
            </w:tabs>
            <w:rPr/>
          </w:pPr>
          <w:hyperlink w:anchor="__RefHeading___Toc608038_1934241801">
            <w:r>
              <w:rPr>
                <w:webHidden/>
                <w:rStyle w:val="IndexLink"/>
                <w:rtl w:val="true"/>
              </w:rPr>
              <w:t xml:space="preserve">روایت </w:t>
            </w:r>
            <w:r>
              <w:rPr>
                <w:rStyle w:val="IndexLink"/>
              </w:rPr>
              <w:t>11</w:t>
            </w:r>
            <w:r>
              <w:rPr>
                <w:rStyle w:val="IndexLink"/>
                <w:rtl w:val="true"/>
              </w:rPr>
              <w:tab/>
            </w:r>
            <w:r>
              <w:rPr>
                <w:rStyle w:val="IndexLink"/>
              </w:rPr>
              <w:t>697</w:t>
            </w:r>
          </w:hyperlink>
        </w:p>
        <w:p>
          <w:pPr>
            <w:pStyle w:val="Contents5"/>
            <w:tabs>
              <w:tab w:val="clear" w:pos="7892"/>
              <w:tab w:val="right" w:pos="9026" w:leader="dot"/>
            </w:tabs>
            <w:rPr/>
          </w:pPr>
          <w:hyperlink w:anchor="__RefHeading___Toc608040_1934241801">
            <w:r>
              <w:rPr>
                <w:webHidden/>
                <w:rStyle w:val="IndexLink"/>
                <w:rtl w:val="true"/>
              </w:rPr>
              <w:t>بيان</w:t>
            </w:r>
            <w:r>
              <w:rPr>
                <w:rStyle w:val="IndexLink"/>
                <w:rtl w:val="true"/>
              </w:rPr>
              <w:tab/>
            </w:r>
            <w:r>
              <w:rPr>
                <w:rStyle w:val="IndexLink"/>
              </w:rPr>
              <w:t>698</w:t>
            </w:r>
          </w:hyperlink>
        </w:p>
        <w:p>
          <w:pPr>
            <w:pStyle w:val="Contents5"/>
            <w:tabs>
              <w:tab w:val="clear" w:pos="7892"/>
              <w:tab w:val="right" w:pos="9026" w:leader="dot"/>
            </w:tabs>
            <w:rPr/>
          </w:pPr>
          <w:hyperlink w:anchor="__RefHeading___Toc608042_1934241801">
            <w:r>
              <w:rPr>
                <w:webHidden/>
                <w:rStyle w:val="IndexLink"/>
                <w:rtl w:val="true"/>
              </w:rPr>
              <w:t>«</w:t>
            </w:r>
            <w:r>
              <w:rPr>
                <w:rStyle w:val="IndexLink"/>
              </w:rPr>
              <w:t>12</w:t>
            </w:r>
            <w:r>
              <w:rPr>
                <w:rStyle w:val="IndexLink"/>
                <w:rtl w:val="true"/>
              </w:rPr>
              <w:t>»</w:t>
              <w:tab/>
            </w:r>
            <w:r>
              <w:rPr>
                <w:rStyle w:val="IndexLink"/>
              </w:rPr>
              <w:t>698</w:t>
            </w:r>
          </w:hyperlink>
        </w:p>
        <w:p>
          <w:pPr>
            <w:pStyle w:val="Contents5"/>
            <w:tabs>
              <w:tab w:val="clear" w:pos="7892"/>
              <w:tab w:val="right" w:pos="9026" w:leader="dot"/>
            </w:tabs>
            <w:rPr/>
          </w:pPr>
          <w:hyperlink w:anchor="__RefHeading___Toc608044_1934241801">
            <w:r>
              <w:rPr>
                <w:webHidden/>
                <w:rStyle w:val="IndexLink"/>
                <w:rtl w:val="true"/>
              </w:rPr>
              <w:t>«</w:t>
            </w:r>
            <w:r>
              <w:rPr>
                <w:rStyle w:val="IndexLink"/>
              </w:rPr>
              <w:t>13</w:t>
            </w:r>
            <w:r>
              <w:rPr>
                <w:rStyle w:val="IndexLink"/>
                <w:rtl w:val="true"/>
              </w:rPr>
              <w:t>»</w:t>
              <w:tab/>
            </w:r>
            <w:r>
              <w:rPr>
                <w:rStyle w:val="IndexLink"/>
              </w:rPr>
              <w:t>698</w:t>
            </w:r>
          </w:hyperlink>
        </w:p>
        <w:p>
          <w:pPr>
            <w:pStyle w:val="Contents5"/>
            <w:tabs>
              <w:tab w:val="clear" w:pos="7892"/>
              <w:tab w:val="right" w:pos="9026" w:leader="dot"/>
            </w:tabs>
            <w:rPr/>
          </w:pPr>
          <w:hyperlink w:anchor="__RefHeading___Toc608046_1934241801">
            <w:r>
              <w:rPr>
                <w:webHidden/>
                <w:rStyle w:val="IndexLink"/>
                <w:rtl w:val="true"/>
              </w:rPr>
              <w:t>توضیح</w:t>
            </w:r>
            <w:r>
              <w:rPr>
                <w:rStyle w:val="IndexLink"/>
                <w:rtl w:val="true"/>
              </w:rPr>
              <w:tab/>
            </w:r>
            <w:r>
              <w:rPr>
                <w:rStyle w:val="IndexLink"/>
              </w:rPr>
              <w:t>698</w:t>
            </w:r>
          </w:hyperlink>
        </w:p>
        <w:p>
          <w:pPr>
            <w:pStyle w:val="Contents5"/>
            <w:tabs>
              <w:tab w:val="clear" w:pos="7892"/>
              <w:tab w:val="right" w:pos="9026" w:leader="dot"/>
            </w:tabs>
            <w:rPr/>
          </w:pPr>
          <w:hyperlink w:anchor="__RefHeading___Toc608048_1934241801">
            <w:r>
              <w:rPr>
                <w:webHidden/>
                <w:rStyle w:val="IndexLink"/>
                <w:rtl w:val="true"/>
              </w:rPr>
              <w:t xml:space="preserve">روایت </w:t>
            </w:r>
            <w:r>
              <w:rPr>
                <w:rStyle w:val="IndexLink"/>
              </w:rPr>
              <w:t>12</w:t>
            </w:r>
            <w:r>
              <w:rPr>
                <w:rStyle w:val="IndexLink"/>
                <w:rtl w:val="true"/>
              </w:rPr>
              <w:tab/>
            </w:r>
            <w:r>
              <w:rPr>
                <w:rStyle w:val="IndexLink"/>
              </w:rPr>
              <w:t>699</w:t>
            </w:r>
          </w:hyperlink>
        </w:p>
        <w:p>
          <w:pPr>
            <w:pStyle w:val="Contents5"/>
            <w:tabs>
              <w:tab w:val="clear" w:pos="7892"/>
              <w:tab w:val="right" w:pos="9026" w:leader="dot"/>
            </w:tabs>
            <w:rPr/>
          </w:pPr>
          <w:hyperlink w:anchor="__RefHeading___Toc608050_1934241801">
            <w:r>
              <w:rPr>
                <w:webHidden/>
                <w:rStyle w:val="IndexLink"/>
                <w:rtl w:val="true"/>
              </w:rPr>
              <w:t xml:space="preserve">روایت </w:t>
            </w:r>
            <w:r>
              <w:rPr>
                <w:rStyle w:val="IndexLink"/>
              </w:rPr>
              <w:t>13</w:t>
            </w:r>
            <w:r>
              <w:rPr>
                <w:rStyle w:val="IndexLink"/>
                <w:rtl w:val="true"/>
              </w:rPr>
              <w:tab/>
            </w:r>
            <w:r>
              <w:rPr>
                <w:rStyle w:val="IndexLink"/>
              </w:rPr>
              <w:t>699</w:t>
            </w:r>
          </w:hyperlink>
        </w:p>
        <w:p>
          <w:pPr>
            <w:pStyle w:val="Contents5"/>
            <w:tabs>
              <w:tab w:val="clear" w:pos="7892"/>
              <w:tab w:val="right" w:pos="9026" w:leader="dot"/>
            </w:tabs>
            <w:rPr/>
          </w:pPr>
          <w:hyperlink w:anchor="__RefHeading___Toc608052_1934241801">
            <w:r>
              <w:rPr>
                <w:webHidden/>
                <w:rStyle w:val="IndexLink"/>
                <w:rtl w:val="true"/>
              </w:rPr>
              <w:t>بيان</w:t>
            </w:r>
            <w:r>
              <w:rPr>
                <w:rStyle w:val="IndexLink"/>
                <w:rtl w:val="true"/>
              </w:rPr>
              <w:tab/>
            </w:r>
            <w:r>
              <w:rPr>
                <w:rStyle w:val="IndexLink"/>
              </w:rPr>
              <w:t>700</w:t>
            </w:r>
          </w:hyperlink>
        </w:p>
        <w:p>
          <w:pPr>
            <w:pStyle w:val="Contents5"/>
            <w:tabs>
              <w:tab w:val="clear" w:pos="7892"/>
              <w:tab w:val="right" w:pos="9026" w:leader="dot"/>
            </w:tabs>
            <w:rPr/>
          </w:pPr>
          <w:hyperlink w:anchor="__RefHeading___Toc608054_1934241801">
            <w:r>
              <w:rPr>
                <w:webHidden/>
                <w:rStyle w:val="IndexLink"/>
                <w:rtl w:val="true"/>
              </w:rPr>
              <w:t>«</w:t>
            </w:r>
            <w:r>
              <w:rPr>
                <w:rStyle w:val="IndexLink"/>
              </w:rPr>
              <w:t>14</w:t>
            </w:r>
            <w:r>
              <w:rPr>
                <w:rStyle w:val="IndexLink"/>
                <w:rtl w:val="true"/>
              </w:rPr>
              <w:t>»</w:t>
              <w:tab/>
            </w:r>
            <w:r>
              <w:rPr>
                <w:rStyle w:val="IndexLink"/>
              </w:rPr>
              <w:t>700</w:t>
            </w:r>
          </w:hyperlink>
        </w:p>
        <w:p>
          <w:pPr>
            <w:pStyle w:val="Contents5"/>
            <w:tabs>
              <w:tab w:val="clear" w:pos="7892"/>
              <w:tab w:val="right" w:pos="9026" w:leader="dot"/>
            </w:tabs>
            <w:rPr/>
          </w:pPr>
          <w:hyperlink w:anchor="__RefHeading___Toc608056_1934241801">
            <w:r>
              <w:rPr>
                <w:webHidden/>
                <w:rStyle w:val="IndexLink"/>
                <w:rtl w:val="true"/>
              </w:rPr>
              <w:t>«</w:t>
            </w:r>
            <w:r>
              <w:rPr>
                <w:rStyle w:val="IndexLink"/>
              </w:rPr>
              <w:t>15</w:t>
            </w:r>
            <w:r>
              <w:rPr>
                <w:rStyle w:val="IndexLink"/>
                <w:rtl w:val="true"/>
              </w:rPr>
              <w:t>»</w:t>
              <w:tab/>
            </w:r>
            <w:r>
              <w:rPr>
                <w:rStyle w:val="IndexLink"/>
              </w:rPr>
              <w:t>700</w:t>
            </w:r>
          </w:hyperlink>
        </w:p>
        <w:p>
          <w:pPr>
            <w:pStyle w:val="Contents5"/>
            <w:tabs>
              <w:tab w:val="clear" w:pos="7892"/>
              <w:tab w:val="right" w:pos="9026" w:leader="dot"/>
            </w:tabs>
            <w:rPr/>
          </w:pPr>
          <w:hyperlink w:anchor="__RefHeading___Toc608058_1934241801">
            <w:r>
              <w:rPr>
                <w:webHidden/>
                <w:rStyle w:val="IndexLink"/>
                <w:rtl w:val="true"/>
              </w:rPr>
              <w:t>توضیح</w:t>
            </w:r>
            <w:r>
              <w:rPr>
                <w:rStyle w:val="IndexLink"/>
                <w:rtl w:val="true"/>
              </w:rPr>
              <w:tab/>
            </w:r>
            <w:r>
              <w:rPr>
                <w:rStyle w:val="IndexLink"/>
              </w:rPr>
              <w:t>700</w:t>
            </w:r>
          </w:hyperlink>
        </w:p>
        <w:p>
          <w:pPr>
            <w:pStyle w:val="Contents5"/>
            <w:tabs>
              <w:tab w:val="clear" w:pos="7892"/>
              <w:tab w:val="right" w:pos="9026" w:leader="dot"/>
            </w:tabs>
            <w:rPr/>
          </w:pPr>
          <w:hyperlink w:anchor="__RefHeading___Toc608060_1934241801">
            <w:r>
              <w:rPr>
                <w:webHidden/>
                <w:rStyle w:val="IndexLink"/>
                <w:rtl w:val="true"/>
              </w:rPr>
              <w:t xml:space="preserve">روایت </w:t>
            </w:r>
            <w:r>
              <w:rPr>
                <w:rStyle w:val="IndexLink"/>
              </w:rPr>
              <w:t>14</w:t>
            </w:r>
            <w:r>
              <w:rPr>
                <w:rStyle w:val="IndexLink"/>
                <w:rtl w:val="true"/>
              </w:rPr>
              <w:tab/>
            </w:r>
            <w:r>
              <w:rPr>
                <w:rStyle w:val="IndexLink"/>
              </w:rPr>
              <w:t>701</w:t>
            </w:r>
          </w:hyperlink>
        </w:p>
        <w:p>
          <w:pPr>
            <w:pStyle w:val="Contents5"/>
            <w:tabs>
              <w:tab w:val="clear" w:pos="7892"/>
              <w:tab w:val="right" w:pos="9026" w:leader="dot"/>
            </w:tabs>
            <w:rPr/>
          </w:pPr>
          <w:hyperlink w:anchor="__RefHeading___Toc608062_1934241801">
            <w:r>
              <w:rPr>
                <w:webHidden/>
                <w:rStyle w:val="IndexLink"/>
                <w:rtl w:val="true"/>
              </w:rPr>
              <w:t xml:space="preserve">روایت </w:t>
            </w:r>
            <w:r>
              <w:rPr>
                <w:rStyle w:val="IndexLink"/>
              </w:rPr>
              <w:t>15</w:t>
            </w:r>
            <w:r>
              <w:rPr>
                <w:rStyle w:val="IndexLink"/>
                <w:rtl w:val="true"/>
              </w:rPr>
              <w:tab/>
            </w:r>
            <w:r>
              <w:rPr>
                <w:rStyle w:val="IndexLink"/>
              </w:rPr>
              <w:t>701</w:t>
            </w:r>
          </w:hyperlink>
        </w:p>
        <w:p>
          <w:pPr>
            <w:pStyle w:val="Contents5"/>
            <w:tabs>
              <w:tab w:val="clear" w:pos="7892"/>
              <w:tab w:val="right" w:pos="9026" w:leader="dot"/>
            </w:tabs>
            <w:rPr/>
          </w:pPr>
          <w:hyperlink w:anchor="__RefHeading___Toc608064_1934241801">
            <w:r>
              <w:rPr>
                <w:webHidden/>
                <w:rStyle w:val="IndexLink"/>
                <w:rtl w:val="true"/>
              </w:rPr>
              <w:t>«</w:t>
            </w:r>
            <w:r>
              <w:rPr>
                <w:rStyle w:val="IndexLink"/>
              </w:rPr>
              <w:t>16</w:t>
            </w:r>
            <w:r>
              <w:rPr>
                <w:rStyle w:val="IndexLink"/>
                <w:rtl w:val="true"/>
              </w:rPr>
              <w:t>»</w:t>
              <w:tab/>
            </w:r>
            <w:r>
              <w:rPr>
                <w:rStyle w:val="IndexLink"/>
              </w:rPr>
              <w:t>702</w:t>
            </w:r>
          </w:hyperlink>
        </w:p>
        <w:p>
          <w:pPr>
            <w:pStyle w:val="Contents5"/>
            <w:tabs>
              <w:tab w:val="clear" w:pos="7892"/>
              <w:tab w:val="right" w:pos="9026" w:leader="dot"/>
            </w:tabs>
            <w:rPr/>
          </w:pPr>
          <w:hyperlink w:anchor="__RefHeading___Toc608066_1934241801">
            <w:r>
              <w:rPr>
                <w:webHidden/>
                <w:rStyle w:val="IndexLink"/>
                <w:rtl w:val="true"/>
              </w:rPr>
              <w:t>«</w:t>
            </w:r>
            <w:r>
              <w:rPr>
                <w:rStyle w:val="IndexLink"/>
              </w:rPr>
              <w:t>17</w:t>
            </w:r>
            <w:r>
              <w:rPr>
                <w:rStyle w:val="IndexLink"/>
                <w:rtl w:val="true"/>
              </w:rPr>
              <w:t>»</w:t>
              <w:tab/>
            </w:r>
            <w:r>
              <w:rPr>
                <w:rStyle w:val="IndexLink"/>
              </w:rPr>
              <w:t>702</w:t>
            </w:r>
          </w:hyperlink>
        </w:p>
        <w:p>
          <w:pPr>
            <w:pStyle w:val="Contents5"/>
            <w:tabs>
              <w:tab w:val="clear" w:pos="7892"/>
              <w:tab w:val="right" w:pos="9026" w:leader="dot"/>
            </w:tabs>
            <w:rPr/>
          </w:pPr>
          <w:hyperlink w:anchor="__RefHeading___Toc608068_1934241801">
            <w:r>
              <w:rPr>
                <w:webHidden/>
                <w:rStyle w:val="IndexLink"/>
                <w:rtl w:val="true"/>
              </w:rPr>
              <w:t>«</w:t>
            </w:r>
            <w:r>
              <w:rPr>
                <w:rStyle w:val="IndexLink"/>
              </w:rPr>
              <w:t>18</w:t>
            </w:r>
            <w:r>
              <w:rPr>
                <w:rStyle w:val="IndexLink"/>
                <w:rtl w:val="true"/>
              </w:rPr>
              <w:t>»</w:t>
              <w:tab/>
            </w:r>
            <w:r>
              <w:rPr>
                <w:rStyle w:val="IndexLink"/>
              </w:rPr>
              <w:t>702</w:t>
            </w:r>
          </w:hyperlink>
        </w:p>
        <w:p>
          <w:pPr>
            <w:pStyle w:val="Contents5"/>
            <w:tabs>
              <w:tab w:val="clear" w:pos="7892"/>
              <w:tab w:val="right" w:pos="9026" w:leader="dot"/>
            </w:tabs>
            <w:rPr/>
          </w:pPr>
          <w:hyperlink w:anchor="__RefHeading___Toc608070_1934241801">
            <w:r>
              <w:rPr>
                <w:webHidden/>
                <w:rStyle w:val="IndexLink"/>
                <w:rtl w:val="true"/>
              </w:rPr>
              <w:t>«</w:t>
            </w:r>
            <w:r>
              <w:rPr>
                <w:rStyle w:val="IndexLink"/>
              </w:rPr>
              <w:t>19</w:t>
            </w:r>
            <w:r>
              <w:rPr>
                <w:rStyle w:val="IndexLink"/>
                <w:rtl w:val="true"/>
              </w:rPr>
              <w:t>»</w:t>
              <w:tab/>
            </w:r>
            <w:r>
              <w:rPr>
                <w:rStyle w:val="IndexLink"/>
              </w:rPr>
              <w:t>702</w:t>
            </w:r>
          </w:hyperlink>
        </w:p>
        <w:p>
          <w:pPr>
            <w:pStyle w:val="Contents5"/>
            <w:tabs>
              <w:tab w:val="clear" w:pos="7892"/>
              <w:tab w:val="right" w:pos="9026" w:leader="dot"/>
            </w:tabs>
            <w:rPr/>
          </w:pPr>
          <w:hyperlink w:anchor="__RefHeading___Toc608072_1934241801">
            <w:r>
              <w:rPr>
                <w:webHidden/>
                <w:rStyle w:val="IndexLink"/>
                <w:rtl w:val="true"/>
              </w:rPr>
              <w:t>«</w:t>
            </w:r>
            <w:r>
              <w:rPr>
                <w:rStyle w:val="IndexLink"/>
              </w:rPr>
              <w:t>20</w:t>
            </w:r>
            <w:r>
              <w:rPr>
                <w:rStyle w:val="IndexLink"/>
                <w:rtl w:val="true"/>
              </w:rPr>
              <w:t>»</w:t>
              <w:tab/>
            </w:r>
            <w:r>
              <w:rPr>
                <w:rStyle w:val="IndexLink"/>
              </w:rPr>
              <w:t>702</w:t>
            </w:r>
          </w:hyperlink>
        </w:p>
        <w:p>
          <w:pPr>
            <w:pStyle w:val="Contents5"/>
            <w:tabs>
              <w:tab w:val="clear" w:pos="7892"/>
              <w:tab w:val="right" w:pos="9026" w:leader="dot"/>
            </w:tabs>
            <w:rPr/>
          </w:pPr>
          <w:hyperlink w:anchor="__RefHeading___Toc608074_1934241801">
            <w:r>
              <w:rPr>
                <w:webHidden/>
                <w:rStyle w:val="IndexLink"/>
                <w:rtl w:val="true"/>
              </w:rPr>
              <w:t xml:space="preserve">روایت </w:t>
            </w:r>
            <w:r>
              <w:rPr>
                <w:rStyle w:val="IndexLink"/>
              </w:rPr>
              <w:t>16</w:t>
            </w:r>
            <w:r>
              <w:rPr>
                <w:rStyle w:val="IndexLink"/>
                <w:rtl w:val="true"/>
              </w:rPr>
              <w:tab/>
            </w:r>
            <w:r>
              <w:rPr>
                <w:rStyle w:val="IndexLink"/>
              </w:rPr>
              <w:t>702</w:t>
            </w:r>
          </w:hyperlink>
        </w:p>
        <w:p>
          <w:pPr>
            <w:pStyle w:val="Contents5"/>
            <w:tabs>
              <w:tab w:val="clear" w:pos="7892"/>
              <w:tab w:val="right" w:pos="9026" w:leader="dot"/>
            </w:tabs>
            <w:rPr/>
          </w:pPr>
          <w:hyperlink w:anchor="__RefHeading___Toc608076_1934241801">
            <w:r>
              <w:rPr>
                <w:webHidden/>
                <w:rStyle w:val="IndexLink"/>
                <w:rtl w:val="true"/>
              </w:rPr>
              <w:t xml:space="preserve">روایت </w:t>
            </w:r>
            <w:r>
              <w:rPr>
                <w:rStyle w:val="IndexLink"/>
              </w:rPr>
              <w:t>17</w:t>
            </w:r>
            <w:r>
              <w:rPr>
                <w:rStyle w:val="IndexLink"/>
                <w:rtl w:val="true"/>
              </w:rPr>
              <w:tab/>
            </w:r>
            <w:r>
              <w:rPr>
                <w:rStyle w:val="IndexLink"/>
              </w:rPr>
              <w:t>702</w:t>
            </w:r>
          </w:hyperlink>
        </w:p>
        <w:p>
          <w:pPr>
            <w:pStyle w:val="Contents5"/>
            <w:tabs>
              <w:tab w:val="clear" w:pos="7892"/>
              <w:tab w:val="right" w:pos="9026" w:leader="dot"/>
            </w:tabs>
            <w:rPr/>
          </w:pPr>
          <w:hyperlink w:anchor="__RefHeading___Toc608078_1934241801">
            <w:r>
              <w:rPr>
                <w:webHidden/>
                <w:rStyle w:val="IndexLink"/>
                <w:rtl w:val="true"/>
              </w:rPr>
              <w:t xml:space="preserve">روایت </w:t>
            </w:r>
            <w:r>
              <w:rPr>
                <w:rStyle w:val="IndexLink"/>
              </w:rPr>
              <w:t>18</w:t>
            </w:r>
            <w:r>
              <w:rPr>
                <w:rStyle w:val="IndexLink"/>
                <w:rtl w:val="true"/>
              </w:rPr>
              <w:tab/>
            </w:r>
            <w:r>
              <w:rPr>
                <w:rStyle w:val="IndexLink"/>
              </w:rPr>
              <w:t>703</w:t>
            </w:r>
          </w:hyperlink>
        </w:p>
        <w:p>
          <w:pPr>
            <w:pStyle w:val="Contents5"/>
            <w:tabs>
              <w:tab w:val="clear" w:pos="7892"/>
              <w:tab w:val="right" w:pos="9026" w:leader="dot"/>
            </w:tabs>
            <w:rPr/>
          </w:pPr>
          <w:hyperlink w:anchor="__RefHeading___Toc608080_1934241801">
            <w:r>
              <w:rPr>
                <w:webHidden/>
                <w:rStyle w:val="IndexLink"/>
                <w:rtl w:val="true"/>
              </w:rPr>
              <w:t xml:space="preserve">روایت </w:t>
            </w:r>
            <w:r>
              <w:rPr>
                <w:rStyle w:val="IndexLink"/>
              </w:rPr>
              <w:t>19</w:t>
            </w:r>
            <w:r>
              <w:rPr>
                <w:rStyle w:val="IndexLink"/>
                <w:rtl w:val="true"/>
              </w:rPr>
              <w:tab/>
            </w:r>
            <w:r>
              <w:rPr>
                <w:rStyle w:val="IndexLink"/>
              </w:rPr>
              <w:t>703</w:t>
            </w:r>
          </w:hyperlink>
        </w:p>
        <w:p>
          <w:pPr>
            <w:pStyle w:val="Contents5"/>
            <w:tabs>
              <w:tab w:val="clear" w:pos="7892"/>
              <w:tab w:val="right" w:pos="9026" w:leader="dot"/>
            </w:tabs>
            <w:rPr/>
          </w:pPr>
          <w:hyperlink w:anchor="__RefHeading___Toc608082_1934241801">
            <w:r>
              <w:rPr>
                <w:webHidden/>
                <w:rStyle w:val="IndexLink"/>
                <w:rtl w:val="true"/>
              </w:rPr>
              <w:t xml:space="preserve">روایت </w:t>
            </w:r>
            <w:r>
              <w:rPr>
                <w:rStyle w:val="IndexLink"/>
              </w:rPr>
              <w:t>20</w:t>
            </w:r>
            <w:r>
              <w:rPr>
                <w:rStyle w:val="IndexLink"/>
                <w:rtl w:val="true"/>
              </w:rPr>
              <w:tab/>
            </w:r>
            <w:r>
              <w:rPr>
                <w:rStyle w:val="IndexLink"/>
              </w:rPr>
              <w:t>703</w:t>
            </w:r>
          </w:hyperlink>
        </w:p>
        <w:p>
          <w:pPr>
            <w:pStyle w:val="Contents5"/>
            <w:tabs>
              <w:tab w:val="clear" w:pos="7892"/>
              <w:tab w:val="right" w:pos="9026" w:leader="dot"/>
            </w:tabs>
            <w:rPr/>
          </w:pPr>
          <w:hyperlink w:anchor="__RefHeading___Toc608084_1934241801">
            <w:r>
              <w:rPr>
                <w:webHidden/>
                <w:rStyle w:val="IndexLink"/>
                <w:rtl w:val="true"/>
              </w:rPr>
              <w:t>«</w:t>
            </w:r>
            <w:r>
              <w:rPr>
                <w:rStyle w:val="IndexLink"/>
              </w:rPr>
              <w:t>21</w:t>
            </w:r>
            <w:r>
              <w:rPr>
                <w:rStyle w:val="IndexLink"/>
                <w:rtl w:val="true"/>
              </w:rPr>
              <w:t>»</w:t>
              <w:tab/>
            </w:r>
            <w:r>
              <w:rPr>
                <w:rStyle w:val="IndexLink"/>
              </w:rPr>
              <w:t>704</w:t>
            </w:r>
          </w:hyperlink>
        </w:p>
        <w:p>
          <w:pPr>
            <w:pStyle w:val="Contents5"/>
            <w:tabs>
              <w:tab w:val="clear" w:pos="7892"/>
              <w:tab w:val="right" w:pos="9026" w:leader="dot"/>
            </w:tabs>
            <w:rPr/>
          </w:pPr>
          <w:hyperlink w:anchor="__RefHeading___Toc608086_1934241801">
            <w:r>
              <w:rPr>
                <w:webHidden/>
                <w:rStyle w:val="IndexLink"/>
                <w:rtl w:val="true"/>
              </w:rPr>
              <w:t>توضيح</w:t>
            </w:r>
            <w:r>
              <w:rPr>
                <w:rStyle w:val="IndexLink"/>
                <w:rtl w:val="true"/>
              </w:rPr>
              <w:tab/>
            </w:r>
            <w:r>
              <w:rPr>
                <w:rStyle w:val="IndexLink"/>
              </w:rPr>
              <w:t>704</w:t>
            </w:r>
          </w:hyperlink>
        </w:p>
        <w:p>
          <w:pPr>
            <w:pStyle w:val="Contents5"/>
            <w:tabs>
              <w:tab w:val="clear" w:pos="7892"/>
              <w:tab w:val="right" w:pos="9026" w:leader="dot"/>
            </w:tabs>
            <w:rPr/>
          </w:pPr>
          <w:hyperlink w:anchor="__RefHeading___Toc608088_1934241801">
            <w:r>
              <w:rPr>
                <w:webHidden/>
                <w:rStyle w:val="IndexLink"/>
                <w:rtl w:val="true"/>
              </w:rPr>
              <w:t xml:space="preserve">روایت </w:t>
            </w:r>
            <w:r>
              <w:rPr>
                <w:rStyle w:val="IndexLink"/>
              </w:rPr>
              <w:t>21</w:t>
            </w:r>
            <w:r>
              <w:rPr>
                <w:rStyle w:val="IndexLink"/>
                <w:rtl w:val="true"/>
              </w:rPr>
              <w:tab/>
            </w:r>
            <w:r>
              <w:rPr>
                <w:rStyle w:val="IndexLink"/>
              </w:rPr>
              <w:t>704</w:t>
            </w:r>
          </w:hyperlink>
        </w:p>
        <w:p>
          <w:pPr>
            <w:pStyle w:val="Contents5"/>
            <w:tabs>
              <w:tab w:val="clear" w:pos="7892"/>
              <w:tab w:val="right" w:pos="9026" w:leader="dot"/>
            </w:tabs>
            <w:rPr/>
          </w:pPr>
          <w:hyperlink w:anchor="__RefHeading___Toc608090_1934241801">
            <w:r>
              <w:rPr>
                <w:webHidden/>
                <w:rStyle w:val="IndexLink"/>
                <w:rtl w:val="true"/>
              </w:rPr>
              <w:t>توضیح</w:t>
            </w:r>
            <w:r>
              <w:rPr>
                <w:rStyle w:val="IndexLink"/>
                <w:rtl w:val="true"/>
              </w:rPr>
              <w:tab/>
            </w:r>
            <w:r>
              <w:rPr>
                <w:rStyle w:val="IndexLink"/>
              </w:rPr>
              <w:t>704</w:t>
            </w:r>
          </w:hyperlink>
        </w:p>
        <w:p>
          <w:pPr>
            <w:pStyle w:val="Contents5"/>
            <w:tabs>
              <w:tab w:val="clear" w:pos="7892"/>
              <w:tab w:val="right" w:pos="9026" w:leader="dot"/>
            </w:tabs>
            <w:rPr/>
          </w:pPr>
          <w:hyperlink w:anchor="__RefHeading___Toc608092_1934241801">
            <w:r>
              <w:rPr>
                <w:webHidden/>
                <w:rStyle w:val="IndexLink"/>
                <w:rtl w:val="true"/>
              </w:rPr>
              <w:t>«</w:t>
            </w:r>
            <w:r>
              <w:rPr>
                <w:rStyle w:val="IndexLink"/>
              </w:rPr>
              <w:t>22</w:t>
            </w:r>
            <w:r>
              <w:rPr>
                <w:rStyle w:val="IndexLink"/>
                <w:rtl w:val="true"/>
              </w:rPr>
              <w:t>»</w:t>
              <w:tab/>
            </w:r>
            <w:r>
              <w:rPr>
                <w:rStyle w:val="IndexLink"/>
              </w:rPr>
              <w:t>706</w:t>
            </w:r>
          </w:hyperlink>
        </w:p>
        <w:p>
          <w:pPr>
            <w:pStyle w:val="Contents5"/>
            <w:tabs>
              <w:tab w:val="clear" w:pos="7892"/>
              <w:tab w:val="right" w:pos="9026" w:leader="dot"/>
            </w:tabs>
            <w:rPr/>
          </w:pPr>
          <w:hyperlink w:anchor="__RefHeading___Toc608094_1934241801">
            <w:r>
              <w:rPr>
                <w:webHidden/>
                <w:rStyle w:val="IndexLink"/>
                <w:rtl w:val="true"/>
              </w:rPr>
              <w:t xml:space="preserve">روایت </w:t>
            </w:r>
            <w:r>
              <w:rPr>
                <w:rStyle w:val="IndexLink"/>
              </w:rPr>
              <w:t>22</w:t>
            </w:r>
            <w:r>
              <w:rPr>
                <w:rStyle w:val="IndexLink"/>
                <w:rtl w:val="true"/>
              </w:rPr>
              <w:tab/>
            </w:r>
            <w:r>
              <w:rPr>
                <w:rStyle w:val="IndexLink"/>
              </w:rPr>
              <w:t>706</w:t>
            </w:r>
          </w:hyperlink>
        </w:p>
        <w:p>
          <w:pPr>
            <w:pStyle w:val="Contents5"/>
            <w:tabs>
              <w:tab w:val="clear" w:pos="7892"/>
              <w:tab w:val="right" w:pos="9026" w:leader="dot"/>
            </w:tabs>
            <w:rPr/>
          </w:pPr>
          <w:hyperlink w:anchor="__RefHeading___Toc608096_1934241801">
            <w:r>
              <w:rPr>
                <w:webHidden/>
                <w:rStyle w:val="IndexLink"/>
                <w:rtl w:val="true"/>
              </w:rPr>
              <w:t>بيان</w:t>
            </w:r>
            <w:r>
              <w:rPr>
                <w:rStyle w:val="IndexLink"/>
                <w:rtl w:val="true"/>
              </w:rPr>
              <w:tab/>
            </w:r>
            <w:r>
              <w:rPr>
                <w:rStyle w:val="IndexLink"/>
              </w:rPr>
              <w:t>708</w:t>
            </w:r>
          </w:hyperlink>
        </w:p>
        <w:p>
          <w:pPr>
            <w:pStyle w:val="Contents5"/>
            <w:tabs>
              <w:tab w:val="clear" w:pos="7892"/>
              <w:tab w:val="right" w:pos="9026" w:leader="dot"/>
            </w:tabs>
            <w:rPr/>
          </w:pPr>
          <w:hyperlink w:anchor="__RefHeading___Toc608098_1934241801">
            <w:r>
              <w:rPr>
                <w:webHidden/>
                <w:rStyle w:val="IndexLink"/>
                <w:rtl w:val="true"/>
              </w:rPr>
              <w:t>توضیح</w:t>
            </w:r>
            <w:r>
              <w:rPr>
                <w:rStyle w:val="IndexLink"/>
                <w:rtl w:val="true"/>
              </w:rPr>
              <w:tab/>
            </w:r>
            <w:r>
              <w:rPr>
                <w:rStyle w:val="IndexLink"/>
              </w:rPr>
              <w:t>709</w:t>
            </w:r>
          </w:hyperlink>
        </w:p>
        <w:p>
          <w:pPr>
            <w:pStyle w:val="Contents5"/>
            <w:tabs>
              <w:tab w:val="clear" w:pos="7892"/>
              <w:tab w:val="right" w:pos="9026" w:leader="dot"/>
            </w:tabs>
            <w:rPr/>
          </w:pPr>
          <w:hyperlink w:anchor="__RefHeading___Toc608100_1934241801">
            <w:r>
              <w:rPr>
                <w:webHidden/>
                <w:rStyle w:val="IndexLink"/>
                <w:rtl w:val="true"/>
              </w:rPr>
              <w:t>«</w:t>
            </w:r>
            <w:r>
              <w:rPr>
                <w:rStyle w:val="IndexLink"/>
              </w:rPr>
              <w:t>23</w:t>
            </w:r>
            <w:r>
              <w:rPr>
                <w:rStyle w:val="IndexLink"/>
                <w:rtl w:val="true"/>
              </w:rPr>
              <w:t>»</w:t>
              <w:tab/>
            </w:r>
            <w:r>
              <w:rPr>
                <w:rStyle w:val="IndexLink"/>
              </w:rPr>
              <w:t>710</w:t>
            </w:r>
          </w:hyperlink>
        </w:p>
        <w:p>
          <w:pPr>
            <w:pStyle w:val="Contents5"/>
            <w:tabs>
              <w:tab w:val="clear" w:pos="7892"/>
              <w:tab w:val="right" w:pos="9026" w:leader="dot"/>
            </w:tabs>
            <w:rPr/>
          </w:pPr>
          <w:hyperlink w:anchor="__RefHeading___Toc608102_1934241801">
            <w:r>
              <w:rPr>
                <w:webHidden/>
                <w:rStyle w:val="IndexLink"/>
                <w:rtl w:val="true"/>
              </w:rPr>
              <w:t xml:space="preserve">روایت </w:t>
            </w:r>
            <w:r>
              <w:rPr>
                <w:rStyle w:val="IndexLink"/>
              </w:rPr>
              <w:t>23</w:t>
            </w:r>
            <w:r>
              <w:rPr>
                <w:rStyle w:val="IndexLink"/>
                <w:rtl w:val="true"/>
              </w:rPr>
              <w:tab/>
            </w:r>
            <w:r>
              <w:rPr>
                <w:rStyle w:val="IndexLink"/>
              </w:rPr>
              <w:t>710</w:t>
            </w:r>
          </w:hyperlink>
        </w:p>
        <w:p>
          <w:pPr>
            <w:pStyle w:val="Contents5"/>
            <w:tabs>
              <w:tab w:val="clear" w:pos="7892"/>
              <w:tab w:val="right" w:pos="9026" w:leader="dot"/>
            </w:tabs>
            <w:rPr/>
          </w:pPr>
          <w:hyperlink w:anchor="__RefHeading___Toc608104_1934241801">
            <w:r>
              <w:rPr>
                <w:webHidden/>
                <w:rStyle w:val="IndexLink"/>
                <w:rtl w:val="true"/>
              </w:rPr>
              <w:t>إيضاح</w:t>
            </w:r>
            <w:r>
              <w:rPr>
                <w:rStyle w:val="IndexLink"/>
                <w:rtl w:val="true"/>
              </w:rPr>
              <w:tab/>
            </w:r>
            <w:r>
              <w:rPr>
                <w:rStyle w:val="IndexLink"/>
              </w:rPr>
              <w:t>718</w:t>
            </w:r>
          </w:hyperlink>
        </w:p>
        <w:p>
          <w:pPr>
            <w:pStyle w:val="Contents5"/>
            <w:tabs>
              <w:tab w:val="clear" w:pos="7892"/>
              <w:tab w:val="right" w:pos="9026" w:leader="dot"/>
            </w:tabs>
            <w:rPr/>
          </w:pPr>
          <w:hyperlink w:anchor="__RefHeading___Toc608106_1934241801">
            <w:r>
              <w:rPr>
                <w:webHidden/>
                <w:rStyle w:val="IndexLink"/>
                <w:rtl w:val="true"/>
              </w:rPr>
              <w:t>توضیح</w:t>
            </w:r>
            <w:r>
              <w:rPr>
                <w:rStyle w:val="IndexLink"/>
                <w:rtl w:val="true"/>
              </w:rPr>
              <w:tab/>
            </w:r>
            <w:r>
              <w:rPr>
                <w:rStyle w:val="IndexLink"/>
              </w:rPr>
              <w:t>718</w:t>
            </w:r>
          </w:hyperlink>
        </w:p>
        <w:p>
          <w:pPr>
            <w:pStyle w:val="Contents5"/>
            <w:tabs>
              <w:tab w:val="clear" w:pos="7892"/>
              <w:tab w:val="right" w:pos="9026" w:leader="dot"/>
            </w:tabs>
            <w:rPr/>
          </w:pPr>
          <w:hyperlink w:anchor="__RefHeading___Toc608108_1934241801">
            <w:r>
              <w:rPr>
                <w:webHidden/>
                <w:rStyle w:val="IndexLink"/>
                <w:rtl w:val="true"/>
              </w:rPr>
              <w:t>أقول</w:t>
            </w:r>
            <w:r>
              <w:rPr>
                <w:rStyle w:val="IndexLink"/>
                <w:rtl w:val="true"/>
              </w:rPr>
              <w:tab/>
            </w:r>
            <w:r>
              <w:rPr>
                <w:rStyle w:val="IndexLink"/>
              </w:rPr>
              <w:t>730</w:t>
            </w:r>
          </w:hyperlink>
        </w:p>
        <w:p>
          <w:pPr>
            <w:pStyle w:val="Contents5"/>
            <w:tabs>
              <w:tab w:val="clear" w:pos="7892"/>
              <w:tab w:val="right" w:pos="9026" w:leader="dot"/>
            </w:tabs>
            <w:rPr/>
          </w:pPr>
          <w:hyperlink w:anchor="__RefHeading___Toc608110_1934241801">
            <w:r>
              <w:rPr>
                <w:webHidden/>
                <w:rStyle w:val="IndexLink"/>
                <w:rtl w:val="true"/>
              </w:rPr>
              <w:t>أقول</w:t>
            </w:r>
            <w:r>
              <w:rPr>
                <w:rStyle w:val="IndexLink"/>
                <w:rtl w:val="true"/>
              </w:rPr>
              <w:tab/>
            </w:r>
            <w:r>
              <w:rPr>
                <w:rStyle w:val="IndexLink"/>
              </w:rPr>
              <w:t>730</w:t>
            </w:r>
          </w:hyperlink>
        </w:p>
        <w:p>
          <w:pPr>
            <w:pStyle w:val="Contents5"/>
            <w:tabs>
              <w:tab w:val="clear" w:pos="7892"/>
              <w:tab w:val="right" w:pos="9026" w:leader="dot"/>
            </w:tabs>
            <w:rPr/>
          </w:pPr>
          <w:hyperlink w:anchor="__RefHeading___Toc608112_1934241801">
            <w:r>
              <w:rPr>
                <w:webHidden/>
                <w:rStyle w:val="IndexLink"/>
                <w:rtl w:val="true"/>
              </w:rPr>
              <w:t>می گویم</w:t>
            </w:r>
            <w:r>
              <w:rPr>
                <w:rStyle w:val="IndexLink"/>
                <w:rtl w:val="true"/>
              </w:rPr>
              <w:tab/>
            </w:r>
            <w:r>
              <w:rPr>
                <w:rStyle w:val="IndexLink"/>
              </w:rPr>
              <w:t>730</w:t>
            </w:r>
          </w:hyperlink>
        </w:p>
        <w:p>
          <w:pPr>
            <w:pStyle w:val="Contents5"/>
            <w:tabs>
              <w:tab w:val="clear" w:pos="7892"/>
              <w:tab w:val="right" w:pos="9026" w:leader="dot"/>
            </w:tabs>
            <w:rPr/>
          </w:pPr>
          <w:hyperlink w:anchor="__RefHeading___Toc608114_1934241801">
            <w:r>
              <w:rPr>
                <w:webHidden/>
                <w:rStyle w:val="IndexLink"/>
                <w:rtl w:val="true"/>
              </w:rPr>
              <w:t>می گویم</w:t>
            </w:r>
            <w:r>
              <w:rPr>
                <w:rStyle w:val="IndexLink"/>
                <w:rtl w:val="true"/>
              </w:rPr>
              <w:tab/>
            </w:r>
            <w:r>
              <w:rPr>
                <w:rStyle w:val="IndexLink"/>
              </w:rPr>
              <w:t>731</w:t>
            </w:r>
          </w:hyperlink>
        </w:p>
        <w:p>
          <w:pPr>
            <w:pStyle w:val="Contents5"/>
            <w:tabs>
              <w:tab w:val="clear" w:pos="7892"/>
              <w:tab w:val="right" w:pos="9026" w:leader="dot"/>
            </w:tabs>
            <w:rPr/>
          </w:pPr>
          <w:hyperlink w:anchor="__RefHeading___Toc608116_1934241801">
            <w:r>
              <w:rPr>
                <w:webHidden/>
                <w:rStyle w:val="IndexLink"/>
                <w:rtl w:val="true"/>
              </w:rPr>
              <w:t>أقول</w:t>
            </w:r>
            <w:r>
              <w:rPr>
                <w:rStyle w:val="IndexLink"/>
                <w:rtl w:val="true"/>
              </w:rPr>
              <w:tab/>
            </w:r>
            <w:r>
              <w:rPr>
                <w:rStyle w:val="IndexLink"/>
              </w:rPr>
              <w:t>734</w:t>
            </w:r>
          </w:hyperlink>
        </w:p>
        <w:p>
          <w:pPr>
            <w:pStyle w:val="Contents5"/>
            <w:tabs>
              <w:tab w:val="clear" w:pos="7892"/>
              <w:tab w:val="right" w:pos="9026" w:leader="dot"/>
            </w:tabs>
            <w:rPr/>
          </w:pPr>
          <w:hyperlink w:anchor="__RefHeading___Toc608118_1934241801">
            <w:r>
              <w:rPr>
                <w:webHidden/>
                <w:rStyle w:val="IndexLink"/>
                <w:rtl w:val="true"/>
              </w:rPr>
              <w:t>أقول</w:t>
            </w:r>
            <w:r>
              <w:rPr>
                <w:rStyle w:val="IndexLink"/>
                <w:rtl w:val="true"/>
              </w:rPr>
              <w:tab/>
            </w:r>
            <w:r>
              <w:rPr>
                <w:rStyle w:val="IndexLink"/>
              </w:rPr>
              <w:t>736</w:t>
            </w:r>
          </w:hyperlink>
        </w:p>
        <w:p>
          <w:pPr>
            <w:pStyle w:val="Contents5"/>
            <w:tabs>
              <w:tab w:val="clear" w:pos="7892"/>
              <w:tab w:val="right" w:pos="9026" w:leader="dot"/>
            </w:tabs>
            <w:rPr/>
          </w:pPr>
          <w:hyperlink w:anchor="__RefHeading___Toc608120_1934241801">
            <w:r>
              <w:rPr>
                <w:webHidden/>
                <w:rStyle w:val="IndexLink"/>
                <w:rtl w:val="true"/>
              </w:rPr>
              <w:t>أقول</w:t>
            </w:r>
            <w:r>
              <w:rPr>
                <w:rStyle w:val="IndexLink"/>
                <w:rtl w:val="true"/>
              </w:rPr>
              <w:tab/>
            </w:r>
            <w:r>
              <w:rPr>
                <w:rStyle w:val="IndexLink"/>
              </w:rPr>
              <w:t>738</w:t>
            </w:r>
          </w:hyperlink>
        </w:p>
        <w:p>
          <w:pPr>
            <w:pStyle w:val="Contents5"/>
            <w:tabs>
              <w:tab w:val="clear" w:pos="7892"/>
              <w:tab w:val="right" w:pos="9026" w:leader="dot"/>
            </w:tabs>
            <w:rPr/>
          </w:pPr>
          <w:hyperlink w:anchor="__RefHeading___Toc608122_1934241801">
            <w:r>
              <w:rPr>
                <w:webHidden/>
                <w:rStyle w:val="IndexLink"/>
                <w:rtl w:val="true"/>
              </w:rPr>
              <w:t>أقول</w:t>
            </w:r>
            <w:r>
              <w:rPr>
                <w:rStyle w:val="IndexLink"/>
                <w:rtl w:val="true"/>
              </w:rPr>
              <w:tab/>
            </w:r>
            <w:r>
              <w:rPr>
                <w:rStyle w:val="IndexLink"/>
              </w:rPr>
              <w:t>746</w:t>
            </w:r>
          </w:hyperlink>
        </w:p>
        <w:p>
          <w:pPr>
            <w:pStyle w:val="Contents5"/>
            <w:tabs>
              <w:tab w:val="clear" w:pos="7892"/>
              <w:tab w:val="right" w:pos="9026" w:leader="dot"/>
            </w:tabs>
            <w:rPr/>
          </w:pPr>
          <w:hyperlink w:anchor="__RefHeading___Toc608124_1934241801">
            <w:r>
              <w:rPr>
                <w:webHidden/>
                <w:rStyle w:val="IndexLink"/>
                <w:rtl w:val="true"/>
              </w:rPr>
              <w:t>أقول</w:t>
            </w:r>
            <w:r>
              <w:rPr>
                <w:rStyle w:val="IndexLink"/>
                <w:rtl w:val="true"/>
              </w:rPr>
              <w:tab/>
            </w:r>
            <w:r>
              <w:rPr>
                <w:rStyle w:val="IndexLink"/>
              </w:rPr>
              <w:t>750</w:t>
            </w:r>
          </w:hyperlink>
        </w:p>
        <w:p>
          <w:pPr>
            <w:pStyle w:val="Contents5"/>
            <w:tabs>
              <w:tab w:val="clear" w:pos="7892"/>
              <w:tab w:val="right" w:pos="9026" w:leader="dot"/>
            </w:tabs>
            <w:rPr/>
          </w:pPr>
          <w:hyperlink w:anchor="__RefHeading___Toc608126_1934241801">
            <w:r>
              <w:rPr>
                <w:webHidden/>
                <w:rStyle w:val="IndexLink"/>
                <w:rtl w:val="true"/>
              </w:rPr>
              <w:t>أقول</w:t>
            </w:r>
            <w:r>
              <w:rPr>
                <w:rStyle w:val="IndexLink"/>
                <w:rtl w:val="true"/>
              </w:rPr>
              <w:tab/>
            </w:r>
            <w:r>
              <w:rPr>
                <w:rStyle w:val="IndexLink"/>
              </w:rPr>
              <w:t>752</w:t>
            </w:r>
          </w:hyperlink>
        </w:p>
        <w:p>
          <w:pPr>
            <w:pStyle w:val="Contents5"/>
            <w:tabs>
              <w:tab w:val="clear" w:pos="7892"/>
              <w:tab w:val="right" w:pos="9026" w:leader="dot"/>
            </w:tabs>
            <w:rPr/>
          </w:pPr>
          <w:hyperlink w:anchor="__RefHeading___Toc608128_1934241801">
            <w:r>
              <w:rPr>
                <w:webHidden/>
                <w:rStyle w:val="IndexLink"/>
                <w:rtl w:val="true"/>
              </w:rPr>
              <w:t>«</w:t>
            </w:r>
            <w:r>
              <w:rPr>
                <w:rStyle w:val="IndexLink"/>
              </w:rPr>
              <w:t>24</w:t>
            </w:r>
            <w:r>
              <w:rPr>
                <w:rStyle w:val="IndexLink"/>
                <w:rtl w:val="true"/>
              </w:rPr>
              <w:t>»</w:t>
              <w:tab/>
            </w:r>
            <w:r>
              <w:rPr>
                <w:rStyle w:val="IndexLink"/>
              </w:rPr>
              <w:t>754</w:t>
            </w:r>
          </w:hyperlink>
        </w:p>
        <w:p>
          <w:pPr>
            <w:pStyle w:val="Contents5"/>
            <w:tabs>
              <w:tab w:val="clear" w:pos="7892"/>
              <w:tab w:val="right" w:pos="9026" w:leader="dot"/>
            </w:tabs>
            <w:rPr/>
          </w:pPr>
          <w:hyperlink w:anchor="__RefHeading___Toc608130_1934241801">
            <w:r>
              <w:rPr>
                <w:webHidden/>
                <w:rStyle w:val="IndexLink"/>
                <w:rtl w:val="true"/>
              </w:rPr>
              <w:t xml:space="preserve">روایت </w:t>
            </w:r>
            <w:r>
              <w:rPr>
                <w:rStyle w:val="IndexLink"/>
              </w:rPr>
              <w:t>24</w:t>
            </w:r>
            <w:r>
              <w:rPr>
                <w:rStyle w:val="IndexLink"/>
                <w:rtl w:val="true"/>
              </w:rPr>
              <w:tab/>
            </w:r>
            <w:r>
              <w:rPr>
                <w:rStyle w:val="IndexLink"/>
              </w:rPr>
              <w:t>754</w:t>
            </w:r>
          </w:hyperlink>
        </w:p>
        <w:p>
          <w:pPr>
            <w:pStyle w:val="Contents5"/>
            <w:tabs>
              <w:tab w:val="clear" w:pos="7892"/>
              <w:tab w:val="right" w:pos="9026" w:leader="dot"/>
            </w:tabs>
            <w:rPr/>
          </w:pPr>
          <w:hyperlink w:anchor="__RefHeading___Toc608132_1934241801">
            <w:r>
              <w:rPr>
                <w:webHidden/>
                <w:rStyle w:val="IndexLink"/>
                <w:rtl w:val="true"/>
              </w:rPr>
              <w:t>«</w:t>
            </w:r>
            <w:r>
              <w:rPr>
                <w:rStyle w:val="IndexLink"/>
              </w:rPr>
              <w:t>25</w:t>
            </w:r>
            <w:r>
              <w:rPr>
                <w:rStyle w:val="IndexLink"/>
                <w:rtl w:val="true"/>
              </w:rPr>
              <w:t>»</w:t>
              <w:tab/>
            </w:r>
            <w:r>
              <w:rPr>
                <w:rStyle w:val="IndexLink"/>
              </w:rPr>
              <w:t>758</w:t>
            </w:r>
          </w:hyperlink>
        </w:p>
        <w:p>
          <w:pPr>
            <w:pStyle w:val="Contents5"/>
            <w:tabs>
              <w:tab w:val="clear" w:pos="7892"/>
              <w:tab w:val="right" w:pos="9026" w:leader="dot"/>
            </w:tabs>
            <w:rPr/>
          </w:pPr>
          <w:hyperlink w:anchor="__RefHeading___Toc608134_1934241801">
            <w:r>
              <w:rPr>
                <w:webHidden/>
                <w:rStyle w:val="IndexLink"/>
                <w:rtl w:val="true"/>
              </w:rPr>
              <w:t>«</w:t>
            </w:r>
            <w:r>
              <w:rPr>
                <w:rStyle w:val="IndexLink"/>
              </w:rPr>
              <w:t>26</w:t>
            </w:r>
            <w:r>
              <w:rPr>
                <w:rStyle w:val="IndexLink"/>
                <w:rtl w:val="true"/>
              </w:rPr>
              <w:t>»</w:t>
              <w:tab/>
            </w:r>
            <w:r>
              <w:rPr>
                <w:rStyle w:val="IndexLink"/>
              </w:rPr>
              <w:t>758</w:t>
            </w:r>
          </w:hyperlink>
        </w:p>
        <w:p>
          <w:pPr>
            <w:pStyle w:val="Contents5"/>
            <w:tabs>
              <w:tab w:val="clear" w:pos="7892"/>
              <w:tab w:val="right" w:pos="9026" w:leader="dot"/>
            </w:tabs>
            <w:rPr/>
          </w:pPr>
          <w:hyperlink w:anchor="__RefHeading___Toc608136_1934241801">
            <w:r>
              <w:rPr>
                <w:webHidden/>
                <w:rStyle w:val="IndexLink"/>
                <w:rtl w:val="true"/>
              </w:rPr>
              <w:t>«</w:t>
            </w:r>
            <w:r>
              <w:rPr>
                <w:rStyle w:val="IndexLink"/>
              </w:rPr>
              <w:t>27</w:t>
            </w:r>
            <w:r>
              <w:rPr>
                <w:rStyle w:val="IndexLink"/>
                <w:rtl w:val="true"/>
              </w:rPr>
              <w:t>»</w:t>
              <w:tab/>
            </w:r>
            <w:r>
              <w:rPr>
                <w:rStyle w:val="IndexLink"/>
              </w:rPr>
              <w:t>758</w:t>
            </w:r>
          </w:hyperlink>
        </w:p>
        <w:p>
          <w:pPr>
            <w:pStyle w:val="Contents5"/>
            <w:tabs>
              <w:tab w:val="clear" w:pos="7892"/>
              <w:tab w:val="right" w:pos="9026" w:leader="dot"/>
            </w:tabs>
            <w:rPr/>
          </w:pPr>
          <w:hyperlink w:anchor="__RefHeading___Toc608138_1934241801">
            <w:r>
              <w:rPr>
                <w:webHidden/>
                <w:rStyle w:val="IndexLink"/>
                <w:rtl w:val="true"/>
              </w:rPr>
              <w:t xml:space="preserve">روایت </w:t>
            </w:r>
            <w:r>
              <w:rPr>
                <w:rStyle w:val="IndexLink"/>
              </w:rPr>
              <w:t>25</w:t>
            </w:r>
            <w:r>
              <w:rPr>
                <w:rStyle w:val="IndexLink"/>
                <w:rtl w:val="true"/>
              </w:rPr>
              <w:tab/>
            </w:r>
            <w:r>
              <w:rPr>
                <w:rStyle w:val="IndexLink"/>
              </w:rPr>
              <w:t>758</w:t>
            </w:r>
          </w:hyperlink>
        </w:p>
        <w:p>
          <w:pPr>
            <w:pStyle w:val="Contents5"/>
            <w:tabs>
              <w:tab w:val="clear" w:pos="7892"/>
              <w:tab w:val="right" w:pos="9026" w:leader="dot"/>
            </w:tabs>
            <w:rPr/>
          </w:pPr>
          <w:hyperlink w:anchor="__RefHeading___Toc608140_1934241801">
            <w:r>
              <w:rPr>
                <w:webHidden/>
                <w:rStyle w:val="IndexLink"/>
                <w:rtl w:val="true"/>
              </w:rPr>
              <w:t xml:space="preserve">روایت </w:t>
            </w:r>
            <w:r>
              <w:rPr>
                <w:rStyle w:val="IndexLink"/>
              </w:rPr>
              <w:t>26</w:t>
            </w:r>
            <w:r>
              <w:rPr>
                <w:rStyle w:val="IndexLink"/>
                <w:rtl w:val="true"/>
              </w:rPr>
              <w:tab/>
            </w:r>
            <w:r>
              <w:rPr>
                <w:rStyle w:val="IndexLink"/>
              </w:rPr>
              <w:t>759</w:t>
            </w:r>
          </w:hyperlink>
        </w:p>
        <w:p>
          <w:pPr>
            <w:pStyle w:val="Contents5"/>
            <w:tabs>
              <w:tab w:val="clear" w:pos="7892"/>
              <w:tab w:val="right" w:pos="9026" w:leader="dot"/>
            </w:tabs>
            <w:rPr/>
          </w:pPr>
          <w:hyperlink w:anchor="__RefHeading___Toc608142_1934241801">
            <w:r>
              <w:rPr>
                <w:webHidden/>
                <w:rStyle w:val="IndexLink"/>
                <w:rtl w:val="true"/>
              </w:rPr>
              <w:t xml:space="preserve">روایت </w:t>
            </w:r>
            <w:r>
              <w:rPr>
                <w:rStyle w:val="IndexLink"/>
              </w:rPr>
              <w:t>27</w:t>
            </w:r>
            <w:r>
              <w:rPr>
                <w:rStyle w:val="IndexLink"/>
                <w:rtl w:val="true"/>
              </w:rPr>
              <w:tab/>
            </w:r>
            <w:r>
              <w:rPr>
                <w:rStyle w:val="IndexLink"/>
              </w:rPr>
              <w:t>759</w:t>
            </w:r>
          </w:hyperlink>
        </w:p>
        <w:p>
          <w:pPr>
            <w:pStyle w:val="Contents5"/>
            <w:tabs>
              <w:tab w:val="clear" w:pos="7892"/>
              <w:tab w:val="right" w:pos="9026" w:leader="dot"/>
            </w:tabs>
            <w:rPr/>
          </w:pPr>
          <w:hyperlink w:anchor="__RefHeading___Toc608144_1934241801">
            <w:r>
              <w:rPr>
                <w:webHidden/>
                <w:rStyle w:val="IndexLink"/>
                <w:rtl w:val="true"/>
              </w:rPr>
              <w:t>«</w:t>
            </w:r>
            <w:r>
              <w:rPr>
                <w:rStyle w:val="IndexLink"/>
              </w:rPr>
              <w:t>28</w:t>
            </w:r>
            <w:r>
              <w:rPr>
                <w:rStyle w:val="IndexLink"/>
                <w:rtl w:val="true"/>
              </w:rPr>
              <w:t>»</w:t>
              <w:tab/>
            </w:r>
            <w:r>
              <w:rPr>
                <w:rStyle w:val="IndexLink"/>
              </w:rPr>
              <w:t>760</w:t>
            </w:r>
          </w:hyperlink>
        </w:p>
        <w:p>
          <w:pPr>
            <w:pStyle w:val="Contents5"/>
            <w:tabs>
              <w:tab w:val="clear" w:pos="7892"/>
              <w:tab w:val="right" w:pos="9026" w:leader="dot"/>
            </w:tabs>
            <w:rPr/>
          </w:pPr>
          <w:hyperlink w:anchor="__RefHeading___Toc608146_1934241801">
            <w:r>
              <w:rPr>
                <w:webHidden/>
                <w:rStyle w:val="IndexLink"/>
                <w:rtl w:val="true"/>
              </w:rPr>
              <w:t>«</w:t>
            </w:r>
            <w:r>
              <w:rPr>
                <w:rStyle w:val="IndexLink"/>
              </w:rPr>
              <w:t>29</w:t>
            </w:r>
            <w:r>
              <w:rPr>
                <w:rStyle w:val="IndexLink"/>
                <w:rtl w:val="true"/>
              </w:rPr>
              <w:t>»</w:t>
              <w:tab/>
            </w:r>
            <w:r>
              <w:rPr>
                <w:rStyle w:val="IndexLink"/>
              </w:rPr>
              <w:t>760</w:t>
            </w:r>
          </w:hyperlink>
        </w:p>
        <w:p>
          <w:pPr>
            <w:pStyle w:val="Contents5"/>
            <w:tabs>
              <w:tab w:val="clear" w:pos="7892"/>
              <w:tab w:val="right" w:pos="9026" w:leader="dot"/>
            </w:tabs>
            <w:rPr/>
          </w:pPr>
          <w:hyperlink w:anchor="__RefHeading___Toc608148_1934241801">
            <w:r>
              <w:rPr>
                <w:webHidden/>
                <w:rStyle w:val="IndexLink"/>
                <w:rtl w:val="true"/>
              </w:rPr>
              <w:t xml:space="preserve">روایت </w:t>
            </w:r>
            <w:r>
              <w:rPr>
                <w:rStyle w:val="IndexLink"/>
              </w:rPr>
              <w:t>28</w:t>
            </w:r>
            <w:r>
              <w:rPr>
                <w:rStyle w:val="IndexLink"/>
                <w:rtl w:val="true"/>
              </w:rPr>
              <w:tab/>
            </w:r>
            <w:r>
              <w:rPr>
                <w:rStyle w:val="IndexLink"/>
              </w:rPr>
              <w:t>760</w:t>
            </w:r>
          </w:hyperlink>
        </w:p>
        <w:p>
          <w:pPr>
            <w:pStyle w:val="Contents5"/>
            <w:tabs>
              <w:tab w:val="clear" w:pos="7892"/>
              <w:tab w:val="right" w:pos="9026" w:leader="dot"/>
            </w:tabs>
            <w:rPr/>
          </w:pPr>
          <w:hyperlink w:anchor="__RefHeading___Toc608150_1934241801">
            <w:r>
              <w:rPr>
                <w:webHidden/>
                <w:rStyle w:val="IndexLink"/>
                <w:rtl w:val="true"/>
              </w:rPr>
              <w:t xml:space="preserve">روایت </w:t>
            </w:r>
            <w:r>
              <w:rPr>
                <w:rStyle w:val="IndexLink"/>
              </w:rPr>
              <w:t>29</w:t>
            </w:r>
            <w:r>
              <w:rPr>
                <w:rStyle w:val="IndexLink"/>
                <w:rtl w:val="true"/>
              </w:rPr>
              <w:tab/>
            </w:r>
            <w:r>
              <w:rPr>
                <w:rStyle w:val="IndexLink"/>
              </w:rPr>
              <w:t>760</w:t>
            </w:r>
          </w:hyperlink>
        </w:p>
        <w:p>
          <w:pPr>
            <w:pStyle w:val="Contents5"/>
            <w:tabs>
              <w:tab w:val="clear" w:pos="7892"/>
              <w:tab w:val="right" w:pos="9026" w:leader="dot"/>
            </w:tabs>
            <w:rPr/>
          </w:pPr>
          <w:hyperlink w:anchor="__RefHeading___Toc608152_1934241801">
            <w:r>
              <w:rPr>
                <w:webHidden/>
                <w:rStyle w:val="IndexLink"/>
                <w:rtl w:val="true"/>
              </w:rPr>
              <w:t>«</w:t>
            </w:r>
            <w:r>
              <w:rPr>
                <w:rStyle w:val="IndexLink"/>
              </w:rPr>
              <w:t>30</w:t>
            </w:r>
            <w:r>
              <w:rPr>
                <w:rStyle w:val="IndexLink"/>
                <w:rtl w:val="true"/>
              </w:rPr>
              <w:t>»</w:t>
              <w:tab/>
            </w:r>
            <w:r>
              <w:rPr>
                <w:rStyle w:val="IndexLink"/>
              </w:rPr>
              <w:t>762</w:t>
            </w:r>
          </w:hyperlink>
        </w:p>
        <w:p>
          <w:pPr>
            <w:pStyle w:val="Contents5"/>
            <w:tabs>
              <w:tab w:val="clear" w:pos="7892"/>
              <w:tab w:val="right" w:pos="9026" w:leader="dot"/>
            </w:tabs>
            <w:rPr/>
          </w:pPr>
          <w:hyperlink w:anchor="__RefHeading___Toc608154_1934241801">
            <w:r>
              <w:rPr>
                <w:webHidden/>
                <w:rStyle w:val="IndexLink"/>
                <w:rtl w:val="true"/>
              </w:rPr>
              <w:t>«</w:t>
            </w:r>
            <w:r>
              <w:rPr>
                <w:rStyle w:val="IndexLink"/>
              </w:rPr>
              <w:t>31</w:t>
            </w:r>
            <w:r>
              <w:rPr>
                <w:rStyle w:val="IndexLink"/>
                <w:rtl w:val="true"/>
              </w:rPr>
              <w:t>»</w:t>
              <w:tab/>
            </w:r>
            <w:r>
              <w:rPr>
                <w:rStyle w:val="IndexLink"/>
              </w:rPr>
              <w:t>762</w:t>
            </w:r>
          </w:hyperlink>
        </w:p>
        <w:p>
          <w:pPr>
            <w:pStyle w:val="Contents5"/>
            <w:tabs>
              <w:tab w:val="clear" w:pos="7892"/>
              <w:tab w:val="right" w:pos="9026" w:leader="dot"/>
            </w:tabs>
            <w:rPr/>
          </w:pPr>
          <w:hyperlink w:anchor="__RefHeading___Toc608156_1934241801">
            <w:r>
              <w:rPr>
                <w:webHidden/>
                <w:rStyle w:val="IndexLink"/>
                <w:rtl w:val="true"/>
              </w:rPr>
              <w:t>«</w:t>
            </w:r>
            <w:r>
              <w:rPr>
                <w:rStyle w:val="IndexLink"/>
              </w:rPr>
              <w:t>32</w:t>
            </w:r>
            <w:r>
              <w:rPr>
                <w:rStyle w:val="IndexLink"/>
                <w:rtl w:val="true"/>
              </w:rPr>
              <w:t>»</w:t>
              <w:tab/>
            </w:r>
            <w:r>
              <w:rPr>
                <w:rStyle w:val="IndexLink"/>
              </w:rPr>
              <w:t>762</w:t>
            </w:r>
          </w:hyperlink>
        </w:p>
        <w:p>
          <w:pPr>
            <w:pStyle w:val="Contents5"/>
            <w:tabs>
              <w:tab w:val="clear" w:pos="7892"/>
              <w:tab w:val="right" w:pos="9026" w:leader="dot"/>
            </w:tabs>
            <w:rPr/>
          </w:pPr>
          <w:hyperlink w:anchor="__RefHeading___Toc608158_1934241801">
            <w:r>
              <w:rPr>
                <w:webHidden/>
                <w:rStyle w:val="IndexLink"/>
                <w:rtl w:val="true"/>
              </w:rPr>
              <w:t>«</w:t>
            </w:r>
            <w:r>
              <w:rPr>
                <w:rStyle w:val="IndexLink"/>
              </w:rPr>
              <w:t>33</w:t>
            </w:r>
            <w:r>
              <w:rPr>
                <w:rStyle w:val="IndexLink"/>
                <w:rtl w:val="true"/>
              </w:rPr>
              <w:t>»</w:t>
              <w:tab/>
            </w:r>
            <w:r>
              <w:rPr>
                <w:rStyle w:val="IndexLink"/>
              </w:rPr>
              <w:t>762</w:t>
            </w:r>
          </w:hyperlink>
        </w:p>
        <w:p>
          <w:pPr>
            <w:pStyle w:val="Contents5"/>
            <w:tabs>
              <w:tab w:val="clear" w:pos="7892"/>
              <w:tab w:val="right" w:pos="9026" w:leader="dot"/>
            </w:tabs>
            <w:rPr/>
          </w:pPr>
          <w:hyperlink w:anchor="__RefHeading___Toc608160_1934241801">
            <w:r>
              <w:rPr>
                <w:webHidden/>
                <w:rStyle w:val="IndexLink"/>
                <w:rtl w:val="true"/>
              </w:rPr>
              <w:t xml:space="preserve">روایت </w:t>
            </w:r>
            <w:r>
              <w:rPr>
                <w:rStyle w:val="IndexLink"/>
              </w:rPr>
              <w:t>30</w:t>
            </w:r>
            <w:r>
              <w:rPr>
                <w:rStyle w:val="IndexLink"/>
                <w:rtl w:val="true"/>
              </w:rPr>
              <w:tab/>
            </w:r>
            <w:r>
              <w:rPr>
                <w:rStyle w:val="IndexLink"/>
              </w:rPr>
              <w:t>762</w:t>
            </w:r>
          </w:hyperlink>
        </w:p>
        <w:p>
          <w:pPr>
            <w:pStyle w:val="Contents5"/>
            <w:tabs>
              <w:tab w:val="clear" w:pos="7892"/>
              <w:tab w:val="right" w:pos="9026" w:leader="dot"/>
            </w:tabs>
            <w:rPr/>
          </w:pPr>
          <w:hyperlink w:anchor="__RefHeading___Toc608162_1934241801">
            <w:r>
              <w:rPr>
                <w:webHidden/>
                <w:rStyle w:val="IndexLink"/>
                <w:rtl w:val="true"/>
              </w:rPr>
              <w:t xml:space="preserve">روایت </w:t>
            </w:r>
            <w:r>
              <w:rPr>
                <w:rStyle w:val="IndexLink"/>
              </w:rPr>
              <w:t>31</w:t>
            </w:r>
            <w:r>
              <w:rPr>
                <w:rStyle w:val="IndexLink"/>
                <w:rtl w:val="true"/>
              </w:rPr>
              <w:tab/>
            </w:r>
            <w:r>
              <w:rPr>
                <w:rStyle w:val="IndexLink"/>
              </w:rPr>
              <w:t>763</w:t>
            </w:r>
          </w:hyperlink>
        </w:p>
        <w:p>
          <w:pPr>
            <w:pStyle w:val="Contents5"/>
            <w:tabs>
              <w:tab w:val="clear" w:pos="7892"/>
              <w:tab w:val="right" w:pos="9026" w:leader="dot"/>
            </w:tabs>
            <w:rPr/>
          </w:pPr>
          <w:hyperlink w:anchor="__RefHeading___Toc608164_1934241801">
            <w:r>
              <w:rPr>
                <w:webHidden/>
                <w:rStyle w:val="IndexLink"/>
                <w:rtl w:val="true"/>
              </w:rPr>
              <w:t xml:space="preserve">روایت </w:t>
            </w:r>
            <w:r>
              <w:rPr>
                <w:rStyle w:val="IndexLink"/>
              </w:rPr>
              <w:t>32</w:t>
            </w:r>
            <w:r>
              <w:rPr>
                <w:rStyle w:val="IndexLink"/>
                <w:rtl w:val="true"/>
              </w:rPr>
              <w:tab/>
            </w:r>
            <w:r>
              <w:rPr>
                <w:rStyle w:val="IndexLink"/>
              </w:rPr>
              <w:t>763</w:t>
            </w:r>
          </w:hyperlink>
        </w:p>
        <w:p>
          <w:pPr>
            <w:pStyle w:val="Contents5"/>
            <w:tabs>
              <w:tab w:val="clear" w:pos="7892"/>
              <w:tab w:val="right" w:pos="9026" w:leader="dot"/>
            </w:tabs>
            <w:rPr/>
          </w:pPr>
          <w:hyperlink w:anchor="__RefHeading___Toc608166_1934241801">
            <w:r>
              <w:rPr>
                <w:webHidden/>
                <w:rStyle w:val="IndexLink"/>
                <w:rtl w:val="true"/>
              </w:rPr>
              <w:t xml:space="preserve">روایت </w:t>
            </w:r>
            <w:r>
              <w:rPr>
                <w:rStyle w:val="IndexLink"/>
              </w:rPr>
              <w:t>33</w:t>
            </w:r>
            <w:r>
              <w:rPr>
                <w:rStyle w:val="IndexLink"/>
                <w:rtl w:val="true"/>
              </w:rPr>
              <w:tab/>
            </w:r>
            <w:r>
              <w:rPr>
                <w:rStyle w:val="IndexLink"/>
              </w:rPr>
              <w:t>763</w:t>
            </w:r>
          </w:hyperlink>
        </w:p>
        <w:p>
          <w:pPr>
            <w:pStyle w:val="Contents5"/>
            <w:tabs>
              <w:tab w:val="clear" w:pos="7892"/>
              <w:tab w:val="right" w:pos="9026" w:leader="dot"/>
            </w:tabs>
            <w:rPr/>
          </w:pPr>
          <w:hyperlink w:anchor="__RefHeading___Toc608168_1934241801">
            <w:r>
              <w:rPr>
                <w:webHidden/>
                <w:rStyle w:val="IndexLink"/>
                <w:rtl w:val="true"/>
              </w:rPr>
              <w:t>«</w:t>
            </w:r>
            <w:r>
              <w:rPr>
                <w:rStyle w:val="IndexLink"/>
              </w:rPr>
              <w:t>34</w:t>
            </w:r>
            <w:r>
              <w:rPr>
                <w:rStyle w:val="IndexLink"/>
                <w:rtl w:val="true"/>
              </w:rPr>
              <w:t>»</w:t>
              <w:tab/>
            </w:r>
            <w:r>
              <w:rPr>
                <w:rStyle w:val="IndexLink"/>
              </w:rPr>
              <w:t>764</w:t>
            </w:r>
          </w:hyperlink>
        </w:p>
        <w:p>
          <w:pPr>
            <w:pStyle w:val="Contents5"/>
            <w:tabs>
              <w:tab w:val="clear" w:pos="7892"/>
              <w:tab w:val="right" w:pos="9026" w:leader="dot"/>
            </w:tabs>
            <w:rPr/>
          </w:pPr>
          <w:hyperlink w:anchor="__RefHeading___Toc608170_1934241801">
            <w:r>
              <w:rPr>
                <w:webHidden/>
                <w:rStyle w:val="IndexLink"/>
                <w:rtl w:val="true"/>
              </w:rPr>
              <w:t>بيان</w:t>
            </w:r>
            <w:r>
              <w:rPr>
                <w:rStyle w:val="IndexLink"/>
                <w:rtl w:val="true"/>
              </w:rPr>
              <w:tab/>
            </w:r>
            <w:r>
              <w:rPr>
                <w:rStyle w:val="IndexLink"/>
              </w:rPr>
              <w:t>764</w:t>
            </w:r>
          </w:hyperlink>
        </w:p>
        <w:p>
          <w:pPr>
            <w:pStyle w:val="Contents5"/>
            <w:tabs>
              <w:tab w:val="clear" w:pos="7892"/>
              <w:tab w:val="right" w:pos="9026" w:leader="dot"/>
            </w:tabs>
            <w:rPr/>
          </w:pPr>
          <w:hyperlink w:anchor="__RefHeading___Toc608172_1934241801">
            <w:r>
              <w:rPr>
                <w:webHidden/>
                <w:rStyle w:val="IndexLink"/>
                <w:rtl w:val="true"/>
              </w:rPr>
              <w:t>«</w:t>
            </w:r>
            <w:r>
              <w:rPr>
                <w:rStyle w:val="IndexLink"/>
              </w:rPr>
              <w:t>35</w:t>
            </w:r>
            <w:r>
              <w:rPr>
                <w:rStyle w:val="IndexLink"/>
                <w:rtl w:val="true"/>
              </w:rPr>
              <w:t>»</w:t>
              <w:tab/>
            </w:r>
            <w:r>
              <w:rPr>
                <w:rStyle w:val="IndexLink"/>
              </w:rPr>
              <w:t>764</w:t>
            </w:r>
          </w:hyperlink>
        </w:p>
        <w:p>
          <w:pPr>
            <w:pStyle w:val="Contents5"/>
            <w:tabs>
              <w:tab w:val="clear" w:pos="7892"/>
              <w:tab w:val="right" w:pos="9026" w:leader="dot"/>
            </w:tabs>
            <w:rPr/>
          </w:pPr>
          <w:hyperlink w:anchor="__RefHeading___Toc608174_1934241801">
            <w:r>
              <w:rPr>
                <w:webHidden/>
                <w:rStyle w:val="IndexLink"/>
                <w:rtl w:val="true"/>
              </w:rPr>
              <w:t xml:space="preserve">روایت </w:t>
            </w:r>
            <w:r>
              <w:rPr>
                <w:rStyle w:val="IndexLink"/>
              </w:rPr>
              <w:t>34</w:t>
            </w:r>
            <w:r>
              <w:rPr>
                <w:rStyle w:val="IndexLink"/>
                <w:rtl w:val="true"/>
              </w:rPr>
              <w:tab/>
            </w:r>
            <w:r>
              <w:rPr>
                <w:rStyle w:val="IndexLink"/>
              </w:rPr>
              <w:t>764</w:t>
            </w:r>
          </w:hyperlink>
        </w:p>
        <w:p>
          <w:pPr>
            <w:pStyle w:val="Contents5"/>
            <w:tabs>
              <w:tab w:val="clear" w:pos="7892"/>
              <w:tab w:val="right" w:pos="9026" w:leader="dot"/>
            </w:tabs>
            <w:rPr/>
          </w:pPr>
          <w:hyperlink w:anchor="__RefHeading___Toc608176_1934241801">
            <w:r>
              <w:rPr>
                <w:webHidden/>
                <w:rStyle w:val="IndexLink"/>
                <w:rtl w:val="true"/>
              </w:rPr>
              <w:t>توضیح</w:t>
            </w:r>
            <w:r>
              <w:rPr>
                <w:rStyle w:val="IndexLink"/>
                <w:rtl w:val="true"/>
              </w:rPr>
              <w:tab/>
            </w:r>
            <w:r>
              <w:rPr>
                <w:rStyle w:val="IndexLink"/>
              </w:rPr>
              <w:t>765</w:t>
            </w:r>
          </w:hyperlink>
        </w:p>
        <w:p>
          <w:pPr>
            <w:pStyle w:val="Contents5"/>
            <w:tabs>
              <w:tab w:val="clear" w:pos="7892"/>
              <w:tab w:val="right" w:pos="9026" w:leader="dot"/>
            </w:tabs>
            <w:rPr/>
          </w:pPr>
          <w:hyperlink w:anchor="__RefHeading___Toc608178_1934241801">
            <w:r>
              <w:rPr>
                <w:webHidden/>
                <w:rStyle w:val="IndexLink"/>
                <w:rtl w:val="true"/>
              </w:rPr>
              <w:t xml:space="preserve">روایت </w:t>
            </w:r>
            <w:r>
              <w:rPr>
                <w:rStyle w:val="IndexLink"/>
              </w:rPr>
              <w:t>35</w:t>
            </w:r>
            <w:r>
              <w:rPr>
                <w:rStyle w:val="IndexLink"/>
                <w:rtl w:val="true"/>
              </w:rPr>
              <w:tab/>
            </w:r>
            <w:r>
              <w:rPr>
                <w:rStyle w:val="IndexLink"/>
              </w:rPr>
              <w:t>765</w:t>
            </w:r>
          </w:hyperlink>
        </w:p>
        <w:p>
          <w:pPr>
            <w:pStyle w:val="Contents5"/>
            <w:tabs>
              <w:tab w:val="clear" w:pos="7892"/>
              <w:tab w:val="right" w:pos="9026" w:leader="dot"/>
            </w:tabs>
            <w:rPr/>
          </w:pPr>
          <w:hyperlink w:anchor="__RefHeading___Toc608180_1934241801">
            <w:r>
              <w:rPr>
                <w:webHidden/>
                <w:rStyle w:val="IndexLink"/>
                <w:rtl w:val="true"/>
              </w:rPr>
              <w:t>«</w:t>
            </w:r>
            <w:r>
              <w:rPr>
                <w:rStyle w:val="IndexLink"/>
              </w:rPr>
              <w:t>36</w:t>
            </w:r>
            <w:r>
              <w:rPr>
                <w:rStyle w:val="IndexLink"/>
                <w:rtl w:val="true"/>
              </w:rPr>
              <w:t>»</w:t>
              <w:tab/>
            </w:r>
            <w:r>
              <w:rPr>
                <w:rStyle w:val="IndexLink"/>
              </w:rPr>
              <w:t>766</w:t>
            </w:r>
          </w:hyperlink>
        </w:p>
        <w:p>
          <w:pPr>
            <w:pStyle w:val="Contents5"/>
            <w:tabs>
              <w:tab w:val="clear" w:pos="7892"/>
              <w:tab w:val="right" w:pos="9026" w:leader="dot"/>
            </w:tabs>
            <w:rPr/>
          </w:pPr>
          <w:hyperlink w:anchor="__RefHeading___Toc608182_1934241801">
            <w:r>
              <w:rPr>
                <w:webHidden/>
                <w:rStyle w:val="IndexLink"/>
                <w:rtl w:val="true"/>
              </w:rPr>
              <w:t>بيان</w:t>
            </w:r>
            <w:r>
              <w:rPr>
                <w:rStyle w:val="IndexLink"/>
                <w:rtl w:val="true"/>
              </w:rPr>
              <w:tab/>
            </w:r>
            <w:r>
              <w:rPr>
                <w:rStyle w:val="IndexLink"/>
              </w:rPr>
              <w:t>766</w:t>
            </w:r>
          </w:hyperlink>
        </w:p>
        <w:p>
          <w:pPr>
            <w:pStyle w:val="Contents5"/>
            <w:tabs>
              <w:tab w:val="clear" w:pos="7892"/>
              <w:tab w:val="right" w:pos="9026" w:leader="dot"/>
            </w:tabs>
            <w:rPr/>
          </w:pPr>
          <w:hyperlink w:anchor="__RefHeading___Toc608184_1934241801">
            <w:r>
              <w:rPr>
                <w:webHidden/>
                <w:rStyle w:val="IndexLink"/>
                <w:rtl w:val="true"/>
              </w:rPr>
              <w:t xml:space="preserve">روایت </w:t>
            </w:r>
            <w:r>
              <w:rPr>
                <w:rStyle w:val="IndexLink"/>
              </w:rPr>
              <w:t>36</w:t>
            </w:r>
            <w:r>
              <w:rPr>
                <w:rStyle w:val="IndexLink"/>
                <w:rtl w:val="true"/>
              </w:rPr>
              <w:tab/>
            </w:r>
            <w:r>
              <w:rPr>
                <w:rStyle w:val="IndexLink"/>
              </w:rPr>
              <w:t>766</w:t>
            </w:r>
          </w:hyperlink>
        </w:p>
        <w:p>
          <w:pPr>
            <w:pStyle w:val="Contents5"/>
            <w:tabs>
              <w:tab w:val="clear" w:pos="7892"/>
              <w:tab w:val="right" w:pos="9026" w:leader="dot"/>
            </w:tabs>
            <w:rPr/>
          </w:pPr>
          <w:hyperlink w:anchor="__RefHeading___Toc608186_1934241801">
            <w:r>
              <w:rPr>
                <w:webHidden/>
                <w:rStyle w:val="IndexLink"/>
                <w:rtl w:val="true"/>
              </w:rPr>
              <w:t>توضیح</w:t>
            </w:r>
            <w:r>
              <w:rPr>
                <w:rStyle w:val="IndexLink"/>
                <w:rtl w:val="true"/>
              </w:rPr>
              <w:tab/>
            </w:r>
            <w:r>
              <w:rPr>
                <w:rStyle w:val="IndexLink"/>
              </w:rPr>
              <w:t>767</w:t>
            </w:r>
          </w:hyperlink>
        </w:p>
        <w:p>
          <w:pPr>
            <w:pStyle w:val="Contents5"/>
            <w:tabs>
              <w:tab w:val="clear" w:pos="7892"/>
              <w:tab w:val="right" w:pos="9026" w:leader="dot"/>
            </w:tabs>
            <w:rPr/>
          </w:pPr>
          <w:hyperlink w:anchor="__RefHeading___Toc608188_1934241801">
            <w:r>
              <w:rPr>
                <w:webHidden/>
                <w:rStyle w:val="IndexLink"/>
                <w:rtl w:val="true"/>
              </w:rPr>
              <w:t>«</w:t>
            </w:r>
            <w:r>
              <w:rPr>
                <w:rStyle w:val="IndexLink"/>
              </w:rPr>
              <w:t>37</w:t>
            </w:r>
            <w:r>
              <w:rPr>
                <w:rStyle w:val="IndexLink"/>
                <w:rtl w:val="true"/>
              </w:rPr>
              <w:t>»</w:t>
              <w:tab/>
            </w:r>
            <w:r>
              <w:rPr>
                <w:rStyle w:val="IndexLink"/>
              </w:rPr>
              <w:t>768</w:t>
            </w:r>
          </w:hyperlink>
        </w:p>
        <w:p>
          <w:pPr>
            <w:pStyle w:val="Contents5"/>
            <w:tabs>
              <w:tab w:val="clear" w:pos="7892"/>
              <w:tab w:val="right" w:pos="9026" w:leader="dot"/>
            </w:tabs>
            <w:rPr/>
          </w:pPr>
          <w:hyperlink w:anchor="__RefHeading___Toc608190_1934241801">
            <w:r>
              <w:rPr>
                <w:webHidden/>
                <w:rStyle w:val="IndexLink"/>
                <w:rtl w:val="true"/>
              </w:rPr>
              <w:t>«</w:t>
            </w:r>
            <w:r>
              <w:rPr>
                <w:rStyle w:val="IndexLink"/>
              </w:rPr>
              <w:t>38</w:t>
            </w:r>
            <w:r>
              <w:rPr>
                <w:rStyle w:val="IndexLink"/>
                <w:rtl w:val="true"/>
              </w:rPr>
              <w:t>»</w:t>
              <w:tab/>
            </w:r>
            <w:r>
              <w:rPr>
                <w:rStyle w:val="IndexLink"/>
              </w:rPr>
              <w:t>768</w:t>
            </w:r>
          </w:hyperlink>
        </w:p>
        <w:p>
          <w:pPr>
            <w:pStyle w:val="Contents5"/>
            <w:tabs>
              <w:tab w:val="clear" w:pos="7892"/>
              <w:tab w:val="right" w:pos="9026" w:leader="dot"/>
            </w:tabs>
            <w:rPr/>
          </w:pPr>
          <w:hyperlink w:anchor="__RefHeading___Toc608192_1934241801">
            <w:r>
              <w:rPr>
                <w:webHidden/>
                <w:rStyle w:val="IndexLink"/>
                <w:rtl w:val="true"/>
              </w:rPr>
              <w:t xml:space="preserve">روایت </w:t>
            </w:r>
            <w:r>
              <w:rPr>
                <w:rStyle w:val="IndexLink"/>
              </w:rPr>
              <w:t>37</w:t>
            </w:r>
            <w:r>
              <w:rPr>
                <w:rStyle w:val="IndexLink"/>
                <w:rtl w:val="true"/>
              </w:rPr>
              <w:tab/>
            </w:r>
            <w:r>
              <w:rPr>
                <w:rStyle w:val="IndexLink"/>
              </w:rPr>
              <w:t>769</w:t>
            </w:r>
          </w:hyperlink>
        </w:p>
        <w:p>
          <w:pPr>
            <w:pStyle w:val="Contents5"/>
            <w:tabs>
              <w:tab w:val="clear" w:pos="7892"/>
              <w:tab w:val="right" w:pos="9026" w:leader="dot"/>
            </w:tabs>
            <w:rPr/>
          </w:pPr>
          <w:hyperlink w:anchor="__RefHeading___Toc608194_1934241801">
            <w:r>
              <w:rPr>
                <w:webHidden/>
                <w:rStyle w:val="IndexLink"/>
                <w:rtl w:val="true"/>
              </w:rPr>
              <w:t xml:space="preserve">روایت </w:t>
            </w:r>
            <w:r>
              <w:rPr>
                <w:rStyle w:val="IndexLink"/>
              </w:rPr>
              <w:t>38</w:t>
            </w:r>
            <w:r>
              <w:rPr>
                <w:rStyle w:val="IndexLink"/>
                <w:rtl w:val="true"/>
              </w:rPr>
              <w:tab/>
            </w:r>
            <w:r>
              <w:rPr>
                <w:rStyle w:val="IndexLink"/>
              </w:rPr>
              <w:t>769</w:t>
            </w:r>
          </w:hyperlink>
        </w:p>
        <w:p>
          <w:pPr>
            <w:pStyle w:val="Contents5"/>
            <w:tabs>
              <w:tab w:val="clear" w:pos="7892"/>
              <w:tab w:val="right" w:pos="9026" w:leader="dot"/>
            </w:tabs>
            <w:rPr/>
          </w:pPr>
          <w:hyperlink w:anchor="__RefHeading___Toc608196_1934241801">
            <w:r>
              <w:rPr>
                <w:webHidden/>
                <w:rStyle w:val="IndexLink"/>
                <w:rtl w:val="true"/>
              </w:rPr>
              <w:t>«</w:t>
            </w:r>
            <w:r>
              <w:rPr>
                <w:rStyle w:val="IndexLink"/>
              </w:rPr>
              <w:t>39</w:t>
            </w:r>
            <w:r>
              <w:rPr>
                <w:rStyle w:val="IndexLink"/>
                <w:rtl w:val="true"/>
              </w:rPr>
              <w:t>»</w:t>
              <w:tab/>
            </w:r>
            <w:r>
              <w:rPr>
                <w:rStyle w:val="IndexLink"/>
              </w:rPr>
              <w:t>770</w:t>
            </w:r>
          </w:hyperlink>
        </w:p>
        <w:p>
          <w:pPr>
            <w:pStyle w:val="Contents5"/>
            <w:tabs>
              <w:tab w:val="clear" w:pos="7892"/>
              <w:tab w:val="right" w:pos="9026" w:leader="dot"/>
            </w:tabs>
            <w:rPr/>
          </w:pPr>
          <w:hyperlink w:anchor="__RefHeading___Toc608198_1934241801">
            <w:r>
              <w:rPr>
                <w:webHidden/>
                <w:rStyle w:val="IndexLink"/>
                <w:rtl w:val="true"/>
              </w:rPr>
              <w:t>بيان</w:t>
            </w:r>
            <w:r>
              <w:rPr>
                <w:rStyle w:val="IndexLink"/>
                <w:rtl w:val="true"/>
              </w:rPr>
              <w:tab/>
            </w:r>
            <w:r>
              <w:rPr>
                <w:rStyle w:val="IndexLink"/>
              </w:rPr>
              <w:t>770</w:t>
            </w:r>
          </w:hyperlink>
        </w:p>
        <w:p>
          <w:pPr>
            <w:pStyle w:val="Contents5"/>
            <w:tabs>
              <w:tab w:val="clear" w:pos="7892"/>
              <w:tab w:val="right" w:pos="9026" w:leader="dot"/>
            </w:tabs>
            <w:rPr/>
          </w:pPr>
          <w:hyperlink w:anchor="__RefHeading___Toc608200_1934241801">
            <w:r>
              <w:rPr>
                <w:webHidden/>
                <w:rStyle w:val="IndexLink"/>
                <w:rtl w:val="true"/>
              </w:rPr>
              <w:t>«</w:t>
            </w:r>
            <w:r>
              <w:rPr>
                <w:rStyle w:val="IndexLink"/>
              </w:rPr>
              <w:t>40</w:t>
            </w:r>
            <w:r>
              <w:rPr>
                <w:rStyle w:val="IndexLink"/>
                <w:rtl w:val="true"/>
              </w:rPr>
              <w:t>»</w:t>
              <w:tab/>
            </w:r>
            <w:r>
              <w:rPr>
                <w:rStyle w:val="IndexLink"/>
              </w:rPr>
              <w:t>770</w:t>
            </w:r>
          </w:hyperlink>
        </w:p>
        <w:p>
          <w:pPr>
            <w:pStyle w:val="Contents5"/>
            <w:tabs>
              <w:tab w:val="clear" w:pos="7892"/>
              <w:tab w:val="right" w:pos="9026" w:leader="dot"/>
            </w:tabs>
            <w:rPr/>
          </w:pPr>
          <w:hyperlink w:anchor="__RefHeading___Toc608202_1934241801">
            <w:r>
              <w:rPr>
                <w:webHidden/>
                <w:rStyle w:val="IndexLink"/>
                <w:rtl w:val="true"/>
              </w:rPr>
              <w:t>«</w:t>
            </w:r>
            <w:r>
              <w:rPr>
                <w:rStyle w:val="IndexLink"/>
              </w:rPr>
              <w:t>41</w:t>
            </w:r>
            <w:r>
              <w:rPr>
                <w:rStyle w:val="IndexLink"/>
                <w:rtl w:val="true"/>
              </w:rPr>
              <w:t>»</w:t>
              <w:tab/>
            </w:r>
            <w:r>
              <w:rPr>
                <w:rStyle w:val="IndexLink"/>
              </w:rPr>
              <w:t>770</w:t>
            </w:r>
          </w:hyperlink>
        </w:p>
        <w:p>
          <w:pPr>
            <w:pStyle w:val="Contents5"/>
            <w:tabs>
              <w:tab w:val="clear" w:pos="7892"/>
              <w:tab w:val="right" w:pos="9026" w:leader="dot"/>
            </w:tabs>
            <w:rPr/>
          </w:pPr>
          <w:hyperlink w:anchor="__RefHeading___Toc608204_1934241801">
            <w:r>
              <w:rPr>
                <w:webHidden/>
                <w:rStyle w:val="IndexLink"/>
                <w:rtl w:val="true"/>
              </w:rPr>
              <w:t>بيان</w:t>
            </w:r>
            <w:r>
              <w:rPr>
                <w:rStyle w:val="IndexLink"/>
                <w:rtl w:val="true"/>
              </w:rPr>
              <w:tab/>
            </w:r>
            <w:r>
              <w:rPr>
                <w:rStyle w:val="IndexLink"/>
              </w:rPr>
              <w:t>770</w:t>
            </w:r>
          </w:hyperlink>
        </w:p>
        <w:p>
          <w:pPr>
            <w:pStyle w:val="Contents5"/>
            <w:tabs>
              <w:tab w:val="clear" w:pos="7892"/>
              <w:tab w:val="right" w:pos="9026" w:leader="dot"/>
            </w:tabs>
            <w:rPr/>
          </w:pPr>
          <w:hyperlink w:anchor="__RefHeading___Toc608206_1934241801">
            <w:r>
              <w:rPr>
                <w:webHidden/>
                <w:rStyle w:val="IndexLink"/>
                <w:rtl w:val="true"/>
              </w:rPr>
              <w:t>«</w:t>
            </w:r>
            <w:r>
              <w:rPr>
                <w:rStyle w:val="IndexLink"/>
              </w:rPr>
              <w:t>42</w:t>
            </w:r>
            <w:r>
              <w:rPr>
                <w:rStyle w:val="IndexLink"/>
                <w:rtl w:val="true"/>
              </w:rPr>
              <w:t>»</w:t>
              <w:tab/>
            </w:r>
            <w:r>
              <w:rPr>
                <w:rStyle w:val="IndexLink"/>
              </w:rPr>
              <w:t>770</w:t>
            </w:r>
          </w:hyperlink>
        </w:p>
        <w:p>
          <w:pPr>
            <w:pStyle w:val="Contents5"/>
            <w:tabs>
              <w:tab w:val="clear" w:pos="7892"/>
              <w:tab w:val="right" w:pos="9026" w:leader="dot"/>
            </w:tabs>
            <w:rPr/>
          </w:pPr>
          <w:hyperlink w:anchor="__RefHeading___Toc608208_1934241801">
            <w:r>
              <w:rPr>
                <w:webHidden/>
                <w:rStyle w:val="IndexLink"/>
                <w:rtl w:val="true"/>
              </w:rPr>
              <w:t xml:space="preserve">روایت </w:t>
            </w:r>
            <w:r>
              <w:rPr>
                <w:rStyle w:val="IndexLink"/>
              </w:rPr>
              <w:t>39</w:t>
            </w:r>
            <w:r>
              <w:rPr>
                <w:rStyle w:val="IndexLink"/>
                <w:rtl w:val="true"/>
              </w:rPr>
              <w:tab/>
            </w:r>
            <w:r>
              <w:rPr>
                <w:rStyle w:val="IndexLink"/>
              </w:rPr>
              <w:t>770</w:t>
            </w:r>
          </w:hyperlink>
        </w:p>
        <w:p>
          <w:pPr>
            <w:pStyle w:val="Contents5"/>
            <w:tabs>
              <w:tab w:val="clear" w:pos="7892"/>
              <w:tab w:val="right" w:pos="9026" w:leader="dot"/>
            </w:tabs>
            <w:rPr/>
          </w:pPr>
          <w:hyperlink w:anchor="__RefHeading___Toc608210_1934241801">
            <w:r>
              <w:rPr>
                <w:webHidden/>
                <w:rStyle w:val="IndexLink"/>
                <w:rtl w:val="true"/>
              </w:rPr>
              <w:t>توضیح</w:t>
            </w:r>
            <w:r>
              <w:rPr>
                <w:rStyle w:val="IndexLink"/>
                <w:rtl w:val="true"/>
              </w:rPr>
              <w:tab/>
            </w:r>
            <w:r>
              <w:rPr>
                <w:rStyle w:val="IndexLink"/>
              </w:rPr>
              <w:t>770</w:t>
            </w:r>
          </w:hyperlink>
        </w:p>
        <w:p>
          <w:pPr>
            <w:pStyle w:val="Contents5"/>
            <w:tabs>
              <w:tab w:val="clear" w:pos="7892"/>
              <w:tab w:val="right" w:pos="9026" w:leader="dot"/>
            </w:tabs>
            <w:rPr/>
          </w:pPr>
          <w:hyperlink w:anchor="__RefHeading___Toc608212_1934241801">
            <w:r>
              <w:rPr>
                <w:webHidden/>
                <w:rStyle w:val="IndexLink"/>
                <w:rtl w:val="true"/>
              </w:rPr>
              <w:t xml:space="preserve">روایت </w:t>
            </w:r>
            <w:r>
              <w:rPr>
                <w:rStyle w:val="IndexLink"/>
              </w:rPr>
              <w:t>40</w:t>
            </w:r>
            <w:r>
              <w:rPr>
                <w:rStyle w:val="IndexLink"/>
                <w:rtl w:val="true"/>
              </w:rPr>
              <w:tab/>
            </w:r>
            <w:r>
              <w:rPr>
                <w:rStyle w:val="IndexLink"/>
              </w:rPr>
              <w:t>770</w:t>
            </w:r>
          </w:hyperlink>
        </w:p>
        <w:p>
          <w:pPr>
            <w:pStyle w:val="Contents5"/>
            <w:tabs>
              <w:tab w:val="clear" w:pos="7892"/>
              <w:tab w:val="right" w:pos="9026" w:leader="dot"/>
            </w:tabs>
            <w:rPr/>
          </w:pPr>
          <w:hyperlink w:anchor="__RefHeading___Toc608214_1934241801">
            <w:r>
              <w:rPr>
                <w:webHidden/>
                <w:rStyle w:val="IndexLink"/>
                <w:rtl w:val="true"/>
              </w:rPr>
              <w:t xml:space="preserve">روایت </w:t>
            </w:r>
            <w:r>
              <w:rPr>
                <w:rStyle w:val="IndexLink"/>
              </w:rPr>
              <w:t>41</w:t>
            </w:r>
            <w:r>
              <w:rPr>
                <w:rStyle w:val="IndexLink"/>
                <w:rtl w:val="true"/>
              </w:rPr>
              <w:tab/>
            </w:r>
            <w:r>
              <w:rPr>
                <w:rStyle w:val="IndexLink"/>
              </w:rPr>
              <w:t>771</w:t>
            </w:r>
          </w:hyperlink>
        </w:p>
        <w:p>
          <w:pPr>
            <w:pStyle w:val="Contents5"/>
            <w:tabs>
              <w:tab w:val="clear" w:pos="7892"/>
              <w:tab w:val="right" w:pos="9026" w:leader="dot"/>
            </w:tabs>
            <w:rPr/>
          </w:pPr>
          <w:hyperlink w:anchor="__RefHeading___Toc608216_1934241801">
            <w:r>
              <w:rPr>
                <w:webHidden/>
                <w:rStyle w:val="IndexLink"/>
                <w:rtl w:val="true"/>
              </w:rPr>
              <w:t>توضیح</w:t>
            </w:r>
            <w:r>
              <w:rPr>
                <w:rStyle w:val="IndexLink"/>
                <w:rtl w:val="true"/>
              </w:rPr>
              <w:tab/>
            </w:r>
            <w:r>
              <w:rPr>
                <w:rStyle w:val="IndexLink"/>
              </w:rPr>
              <w:t>771</w:t>
            </w:r>
          </w:hyperlink>
        </w:p>
        <w:p>
          <w:pPr>
            <w:pStyle w:val="Contents5"/>
            <w:tabs>
              <w:tab w:val="clear" w:pos="7892"/>
              <w:tab w:val="right" w:pos="9026" w:leader="dot"/>
            </w:tabs>
            <w:rPr/>
          </w:pPr>
          <w:hyperlink w:anchor="__RefHeading___Toc608218_1934241801">
            <w:r>
              <w:rPr>
                <w:webHidden/>
                <w:rStyle w:val="IndexLink"/>
                <w:rtl w:val="true"/>
              </w:rPr>
              <w:t xml:space="preserve">روایت </w:t>
            </w:r>
            <w:r>
              <w:rPr>
                <w:rStyle w:val="IndexLink"/>
              </w:rPr>
              <w:t>42</w:t>
            </w:r>
            <w:r>
              <w:rPr>
                <w:rStyle w:val="IndexLink"/>
                <w:rtl w:val="true"/>
              </w:rPr>
              <w:tab/>
            </w:r>
            <w:r>
              <w:rPr>
                <w:rStyle w:val="IndexLink"/>
              </w:rPr>
              <w:t>771</w:t>
            </w:r>
          </w:hyperlink>
        </w:p>
        <w:p>
          <w:pPr>
            <w:pStyle w:val="Contents5"/>
            <w:tabs>
              <w:tab w:val="clear" w:pos="7892"/>
              <w:tab w:val="right" w:pos="9026" w:leader="dot"/>
            </w:tabs>
            <w:rPr/>
          </w:pPr>
          <w:hyperlink w:anchor="__RefHeading___Toc608220_1934241801">
            <w:r>
              <w:rPr>
                <w:webHidden/>
                <w:rStyle w:val="IndexLink"/>
                <w:rtl w:val="true"/>
              </w:rPr>
              <w:t>«</w:t>
            </w:r>
            <w:r>
              <w:rPr>
                <w:rStyle w:val="IndexLink"/>
              </w:rPr>
              <w:t>43</w:t>
            </w:r>
            <w:r>
              <w:rPr>
                <w:rStyle w:val="IndexLink"/>
                <w:rtl w:val="true"/>
              </w:rPr>
              <w:t>»</w:t>
              <w:tab/>
            </w:r>
            <w:r>
              <w:rPr>
                <w:rStyle w:val="IndexLink"/>
              </w:rPr>
              <w:t>772</w:t>
            </w:r>
          </w:hyperlink>
        </w:p>
        <w:p>
          <w:pPr>
            <w:pStyle w:val="Contents5"/>
            <w:tabs>
              <w:tab w:val="clear" w:pos="7892"/>
              <w:tab w:val="right" w:pos="9026" w:leader="dot"/>
            </w:tabs>
            <w:rPr/>
          </w:pPr>
          <w:hyperlink w:anchor="__RefHeading___Toc608222_1934241801">
            <w:r>
              <w:rPr>
                <w:webHidden/>
                <w:rStyle w:val="IndexLink"/>
                <w:rtl w:val="true"/>
              </w:rPr>
              <w:t>بيان</w:t>
            </w:r>
            <w:r>
              <w:rPr>
                <w:rStyle w:val="IndexLink"/>
                <w:rtl w:val="true"/>
              </w:rPr>
              <w:tab/>
            </w:r>
            <w:r>
              <w:rPr>
                <w:rStyle w:val="IndexLink"/>
              </w:rPr>
              <w:t>772</w:t>
            </w:r>
          </w:hyperlink>
        </w:p>
        <w:p>
          <w:pPr>
            <w:pStyle w:val="Contents5"/>
            <w:tabs>
              <w:tab w:val="clear" w:pos="7892"/>
              <w:tab w:val="right" w:pos="9026" w:leader="dot"/>
            </w:tabs>
            <w:rPr/>
          </w:pPr>
          <w:hyperlink w:anchor="__RefHeading___Toc608224_1934241801">
            <w:r>
              <w:rPr>
                <w:webHidden/>
                <w:rStyle w:val="IndexLink"/>
                <w:rtl w:val="true"/>
              </w:rPr>
              <w:t xml:space="preserve">روایت </w:t>
            </w:r>
            <w:r>
              <w:rPr>
                <w:rStyle w:val="IndexLink"/>
              </w:rPr>
              <w:t>43</w:t>
            </w:r>
            <w:r>
              <w:rPr>
                <w:rStyle w:val="IndexLink"/>
                <w:rtl w:val="true"/>
              </w:rPr>
              <w:tab/>
            </w:r>
            <w:r>
              <w:rPr>
                <w:rStyle w:val="IndexLink"/>
              </w:rPr>
              <w:t>772</w:t>
            </w:r>
          </w:hyperlink>
        </w:p>
        <w:p>
          <w:pPr>
            <w:pStyle w:val="Contents5"/>
            <w:tabs>
              <w:tab w:val="clear" w:pos="7892"/>
              <w:tab w:val="right" w:pos="9026" w:leader="dot"/>
            </w:tabs>
            <w:rPr/>
          </w:pPr>
          <w:hyperlink w:anchor="__RefHeading___Toc608226_1934241801">
            <w:r>
              <w:rPr>
                <w:webHidden/>
                <w:rStyle w:val="IndexLink"/>
                <w:rtl w:val="true"/>
              </w:rPr>
              <w:t>توضیح</w:t>
            </w:r>
            <w:r>
              <w:rPr>
                <w:rStyle w:val="IndexLink"/>
                <w:rtl w:val="true"/>
              </w:rPr>
              <w:tab/>
            </w:r>
            <w:r>
              <w:rPr>
                <w:rStyle w:val="IndexLink"/>
              </w:rPr>
              <w:t>773</w:t>
            </w:r>
          </w:hyperlink>
        </w:p>
        <w:p>
          <w:pPr>
            <w:pStyle w:val="Contents5"/>
            <w:tabs>
              <w:tab w:val="clear" w:pos="7892"/>
              <w:tab w:val="right" w:pos="9026" w:leader="dot"/>
            </w:tabs>
            <w:rPr/>
          </w:pPr>
          <w:hyperlink w:anchor="__RefHeading___Toc608228_1934241801">
            <w:r>
              <w:rPr>
                <w:webHidden/>
                <w:rStyle w:val="IndexLink"/>
                <w:rtl w:val="true"/>
              </w:rPr>
              <w:t>«</w:t>
            </w:r>
            <w:r>
              <w:rPr>
                <w:rStyle w:val="IndexLink"/>
              </w:rPr>
              <w:t>44</w:t>
            </w:r>
            <w:r>
              <w:rPr>
                <w:rStyle w:val="IndexLink"/>
                <w:rtl w:val="true"/>
              </w:rPr>
              <w:t>»</w:t>
              <w:tab/>
            </w:r>
            <w:r>
              <w:rPr>
                <w:rStyle w:val="IndexLink"/>
              </w:rPr>
              <w:t>774</w:t>
            </w:r>
          </w:hyperlink>
        </w:p>
        <w:p>
          <w:pPr>
            <w:pStyle w:val="Contents5"/>
            <w:tabs>
              <w:tab w:val="clear" w:pos="7892"/>
              <w:tab w:val="right" w:pos="9026" w:leader="dot"/>
            </w:tabs>
            <w:rPr/>
          </w:pPr>
          <w:hyperlink w:anchor="__RefHeading___Toc608230_1934241801">
            <w:r>
              <w:rPr>
                <w:webHidden/>
                <w:rStyle w:val="IndexLink"/>
                <w:rtl w:val="true"/>
              </w:rPr>
              <w:t>«</w:t>
            </w:r>
            <w:r>
              <w:rPr>
                <w:rStyle w:val="IndexLink"/>
              </w:rPr>
              <w:t>45</w:t>
            </w:r>
            <w:r>
              <w:rPr>
                <w:rStyle w:val="IndexLink"/>
                <w:rtl w:val="true"/>
              </w:rPr>
              <w:t>»</w:t>
              <w:tab/>
            </w:r>
            <w:r>
              <w:rPr>
                <w:rStyle w:val="IndexLink"/>
              </w:rPr>
              <w:t>774</w:t>
            </w:r>
          </w:hyperlink>
        </w:p>
        <w:p>
          <w:pPr>
            <w:pStyle w:val="Contents5"/>
            <w:tabs>
              <w:tab w:val="clear" w:pos="7892"/>
              <w:tab w:val="right" w:pos="9026" w:leader="dot"/>
            </w:tabs>
            <w:rPr/>
          </w:pPr>
          <w:hyperlink w:anchor="__RefHeading___Toc608232_1934241801">
            <w:r>
              <w:rPr>
                <w:webHidden/>
                <w:rStyle w:val="IndexLink"/>
                <w:rtl w:val="true"/>
              </w:rPr>
              <w:t>«</w:t>
            </w:r>
            <w:r>
              <w:rPr>
                <w:rStyle w:val="IndexLink"/>
              </w:rPr>
              <w:t>46</w:t>
            </w:r>
            <w:r>
              <w:rPr>
                <w:rStyle w:val="IndexLink"/>
                <w:rtl w:val="true"/>
              </w:rPr>
              <w:t>»</w:t>
              <w:tab/>
            </w:r>
            <w:r>
              <w:rPr>
                <w:rStyle w:val="IndexLink"/>
              </w:rPr>
              <w:t>774</w:t>
            </w:r>
          </w:hyperlink>
        </w:p>
        <w:p>
          <w:pPr>
            <w:pStyle w:val="Contents5"/>
            <w:tabs>
              <w:tab w:val="clear" w:pos="7892"/>
              <w:tab w:val="right" w:pos="9026" w:leader="dot"/>
            </w:tabs>
            <w:rPr/>
          </w:pPr>
          <w:hyperlink w:anchor="__RefHeading___Toc608234_1934241801">
            <w:r>
              <w:rPr>
                <w:webHidden/>
                <w:rStyle w:val="IndexLink"/>
                <w:rtl w:val="true"/>
              </w:rPr>
              <w:t xml:space="preserve">روایت </w:t>
            </w:r>
            <w:r>
              <w:rPr>
                <w:rStyle w:val="IndexLink"/>
              </w:rPr>
              <w:t>44</w:t>
            </w:r>
            <w:r>
              <w:rPr>
                <w:rStyle w:val="IndexLink"/>
                <w:rtl w:val="true"/>
              </w:rPr>
              <w:tab/>
            </w:r>
            <w:r>
              <w:rPr>
                <w:rStyle w:val="IndexLink"/>
              </w:rPr>
              <w:t>774</w:t>
            </w:r>
          </w:hyperlink>
        </w:p>
        <w:p>
          <w:pPr>
            <w:pStyle w:val="Contents5"/>
            <w:tabs>
              <w:tab w:val="clear" w:pos="7892"/>
              <w:tab w:val="right" w:pos="9026" w:leader="dot"/>
            </w:tabs>
            <w:rPr/>
          </w:pPr>
          <w:hyperlink w:anchor="__RefHeading___Toc608236_1934241801">
            <w:r>
              <w:rPr>
                <w:webHidden/>
                <w:rStyle w:val="IndexLink"/>
                <w:rtl w:val="true"/>
              </w:rPr>
              <w:t xml:space="preserve">روایت </w:t>
            </w:r>
            <w:r>
              <w:rPr>
                <w:rStyle w:val="IndexLink"/>
              </w:rPr>
              <w:t>45</w:t>
            </w:r>
            <w:r>
              <w:rPr>
                <w:rStyle w:val="IndexLink"/>
                <w:rtl w:val="true"/>
              </w:rPr>
              <w:tab/>
            </w:r>
            <w:r>
              <w:rPr>
                <w:rStyle w:val="IndexLink"/>
              </w:rPr>
              <w:t>775</w:t>
            </w:r>
          </w:hyperlink>
        </w:p>
        <w:p>
          <w:pPr>
            <w:pStyle w:val="Contents5"/>
            <w:tabs>
              <w:tab w:val="clear" w:pos="7892"/>
              <w:tab w:val="right" w:pos="9026" w:leader="dot"/>
            </w:tabs>
            <w:rPr/>
          </w:pPr>
          <w:hyperlink w:anchor="__RefHeading___Toc608238_1934241801">
            <w:r>
              <w:rPr>
                <w:webHidden/>
                <w:rStyle w:val="IndexLink"/>
                <w:rtl w:val="true"/>
              </w:rPr>
              <w:t xml:space="preserve">روایت </w:t>
            </w:r>
            <w:r>
              <w:rPr>
                <w:rStyle w:val="IndexLink"/>
              </w:rPr>
              <w:t>46</w:t>
            </w:r>
            <w:r>
              <w:rPr>
                <w:rStyle w:val="IndexLink"/>
                <w:rtl w:val="true"/>
              </w:rPr>
              <w:tab/>
            </w:r>
            <w:r>
              <w:rPr>
                <w:rStyle w:val="IndexLink"/>
              </w:rPr>
              <w:t>775</w:t>
            </w:r>
          </w:hyperlink>
        </w:p>
        <w:p>
          <w:pPr>
            <w:pStyle w:val="Contents5"/>
            <w:tabs>
              <w:tab w:val="clear" w:pos="7892"/>
              <w:tab w:val="right" w:pos="9026" w:leader="dot"/>
            </w:tabs>
            <w:rPr/>
          </w:pPr>
          <w:hyperlink w:anchor="__RefHeading___Toc608240_1934241801">
            <w:r>
              <w:rPr>
                <w:webHidden/>
                <w:rStyle w:val="IndexLink"/>
                <w:rtl w:val="true"/>
              </w:rPr>
              <w:t>«</w:t>
            </w:r>
            <w:r>
              <w:rPr>
                <w:rStyle w:val="IndexLink"/>
              </w:rPr>
              <w:t>47</w:t>
            </w:r>
            <w:r>
              <w:rPr>
                <w:rStyle w:val="IndexLink"/>
                <w:rtl w:val="true"/>
              </w:rPr>
              <w:t>»</w:t>
              <w:tab/>
            </w:r>
            <w:r>
              <w:rPr>
                <w:rStyle w:val="IndexLink"/>
              </w:rPr>
              <w:t>776</w:t>
            </w:r>
          </w:hyperlink>
        </w:p>
        <w:p>
          <w:pPr>
            <w:pStyle w:val="Contents5"/>
            <w:tabs>
              <w:tab w:val="clear" w:pos="7892"/>
              <w:tab w:val="right" w:pos="9026" w:leader="dot"/>
            </w:tabs>
            <w:rPr/>
          </w:pPr>
          <w:hyperlink w:anchor="__RefHeading___Toc608242_1934241801">
            <w:r>
              <w:rPr>
                <w:webHidden/>
                <w:rStyle w:val="IndexLink"/>
                <w:rtl w:val="true"/>
              </w:rPr>
              <w:t>توضيح</w:t>
            </w:r>
            <w:r>
              <w:rPr>
                <w:rStyle w:val="IndexLink"/>
                <w:rtl w:val="true"/>
              </w:rPr>
              <w:tab/>
            </w:r>
            <w:r>
              <w:rPr>
                <w:rStyle w:val="IndexLink"/>
              </w:rPr>
              <w:t>776</w:t>
            </w:r>
          </w:hyperlink>
        </w:p>
        <w:p>
          <w:pPr>
            <w:pStyle w:val="Contents5"/>
            <w:tabs>
              <w:tab w:val="clear" w:pos="7892"/>
              <w:tab w:val="right" w:pos="9026" w:leader="dot"/>
            </w:tabs>
            <w:rPr/>
          </w:pPr>
          <w:hyperlink w:anchor="__RefHeading___Toc608244_1934241801">
            <w:r>
              <w:rPr>
                <w:webHidden/>
                <w:rStyle w:val="IndexLink"/>
                <w:rtl w:val="true"/>
              </w:rPr>
              <w:t xml:space="preserve">روایت </w:t>
            </w:r>
            <w:r>
              <w:rPr>
                <w:rStyle w:val="IndexLink"/>
              </w:rPr>
              <w:t>47</w:t>
            </w:r>
            <w:r>
              <w:rPr>
                <w:rStyle w:val="IndexLink"/>
                <w:rtl w:val="true"/>
              </w:rPr>
              <w:tab/>
            </w:r>
            <w:r>
              <w:rPr>
                <w:rStyle w:val="IndexLink"/>
              </w:rPr>
              <w:t>776</w:t>
            </w:r>
          </w:hyperlink>
        </w:p>
        <w:p>
          <w:pPr>
            <w:pStyle w:val="Contents5"/>
            <w:tabs>
              <w:tab w:val="clear" w:pos="7892"/>
              <w:tab w:val="right" w:pos="9026" w:leader="dot"/>
            </w:tabs>
            <w:rPr/>
          </w:pPr>
          <w:hyperlink w:anchor="__RefHeading___Toc608246_1934241801">
            <w:r>
              <w:rPr>
                <w:webHidden/>
                <w:rStyle w:val="IndexLink"/>
                <w:rtl w:val="true"/>
              </w:rPr>
              <w:t>توضیح</w:t>
            </w:r>
            <w:r>
              <w:rPr>
                <w:rStyle w:val="IndexLink"/>
                <w:rtl w:val="true"/>
              </w:rPr>
              <w:tab/>
            </w:r>
            <w:r>
              <w:rPr>
                <w:rStyle w:val="IndexLink"/>
              </w:rPr>
              <w:t>776</w:t>
            </w:r>
          </w:hyperlink>
        </w:p>
        <w:p>
          <w:pPr>
            <w:pStyle w:val="Contents5"/>
            <w:tabs>
              <w:tab w:val="clear" w:pos="7892"/>
              <w:tab w:val="right" w:pos="9026" w:leader="dot"/>
            </w:tabs>
            <w:rPr/>
          </w:pPr>
          <w:hyperlink w:anchor="__RefHeading___Toc608248_1934241801">
            <w:r>
              <w:rPr>
                <w:webHidden/>
                <w:rStyle w:val="IndexLink"/>
                <w:rtl w:val="true"/>
              </w:rPr>
              <w:t>«</w:t>
            </w:r>
            <w:r>
              <w:rPr>
                <w:rStyle w:val="IndexLink"/>
              </w:rPr>
              <w:t>48</w:t>
            </w:r>
            <w:r>
              <w:rPr>
                <w:rStyle w:val="IndexLink"/>
                <w:rtl w:val="true"/>
              </w:rPr>
              <w:t>»</w:t>
              <w:tab/>
            </w:r>
            <w:r>
              <w:rPr>
                <w:rStyle w:val="IndexLink"/>
              </w:rPr>
              <w:t>778</w:t>
            </w:r>
          </w:hyperlink>
        </w:p>
        <w:p>
          <w:pPr>
            <w:pStyle w:val="Contents5"/>
            <w:tabs>
              <w:tab w:val="clear" w:pos="7892"/>
              <w:tab w:val="right" w:pos="9026" w:leader="dot"/>
            </w:tabs>
            <w:rPr/>
          </w:pPr>
          <w:hyperlink w:anchor="__RefHeading___Toc608250_1934241801">
            <w:r>
              <w:rPr>
                <w:webHidden/>
                <w:rStyle w:val="IndexLink"/>
                <w:rtl w:val="true"/>
              </w:rPr>
              <w:t>«</w:t>
            </w:r>
            <w:r>
              <w:rPr>
                <w:rStyle w:val="IndexLink"/>
              </w:rPr>
              <w:t>49</w:t>
            </w:r>
            <w:r>
              <w:rPr>
                <w:rStyle w:val="IndexLink"/>
                <w:rtl w:val="true"/>
              </w:rPr>
              <w:t>»</w:t>
              <w:tab/>
            </w:r>
            <w:r>
              <w:rPr>
                <w:rStyle w:val="IndexLink"/>
              </w:rPr>
              <w:t>778</w:t>
            </w:r>
          </w:hyperlink>
        </w:p>
        <w:p>
          <w:pPr>
            <w:pStyle w:val="Contents5"/>
            <w:tabs>
              <w:tab w:val="clear" w:pos="7892"/>
              <w:tab w:val="right" w:pos="9026" w:leader="dot"/>
            </w:tabs>
            <w:rPr/>
          </w:pPr>
          <w:hyperlink w:anchor="__RefHeading___Toc608252_1934241801">
            <w:r>
              <w:rPr>
                <w:webHidden/>
                <w:rStyle w:val="IndexLink"/>
                <w:rtl w:val="true"/>
              </w:rPr>
              <w:t>بيان</w:t>
            </w:r>
            <w:r>
              <w:rPr>
                <w:rStyle w:val="IndexLink"/>
                <w:rtl w:val="true"/>
              </w:rPr>
              <w:tab/>
            </w:r>
            <w:r>
              <w:rPr>
                <w:rStyle w:val="IndexLink"/>
              </w:rPr>
              <w:t>778</w:t>
            </w:r>
          </w:hyperlink>
        </w:p>
        <w:p>
          <w:pPr>
            <w:pStyle w:val="Contents5"/>
            <w:tabs>
              <w:tab w:val="clear" w:pos="7892"/>
              <w:tab w:val="right" w:pos="9026" w:leader="dot"/>
            </w:tabs>
            <w:rPr/>
          </w:pPr>
          <w:hyperlink w:anchor="__RefHeading___Toc608254_1934241801">
            <w:r>
              <w:rPr>
                <w:webHidden/>
                <w:rStyle w:val="IndexLink"/>
                <w:rtl w:val="true"/>
              </w:rPr>
              <w:t xml:space="preserve">روایت </w:t>
            </w:r>
            <w:r>
              <w:rPr>
                <w:rStyle w:val="IndexLink"/>
              </w:rPr>
              <w:t>48</w:t>
            </w:r>
            <w:r>
              <w:rPr>
                <w:rStyle w:val="IndexLink"/>
                <w:rtl w:val="true"/>
              </w:rPr>
              <w:tab/>
            </w:r>
            <w:r>
              <w:rPr>
                <w:rStyle w:val="IndexLink"/>
              </w:rPr>
              <w:t>778</w:t>
            </w:r>
          </w:hyperlink>
        </w:p>
        <w:p>
          <w:pPr>
            <w:pStyle w:val="Contents5"/>
            <w:tabs>
              <w:tab w:val="clear" w:pos="7892"/>
              <w:tab w:val="right" w:pos="9026" w:leader="dot"/>
            </w:tabs>
            <w:rPr/>
          </w:pPr>
          <w:hyperlink w:anchor="__RefHeading___Toc608256_1934241801">
            <w:r>
              <w:rPr>
                <w:webHidden/>
                <w:rStyle w:val="IndexLink"/>
                <w:rtl w:val="true"/>
              </w:rPr>
              <w:t xml:space="preserve">روایت </w:t>
            </w:r>
            <w:r>
              <w:rPr>
                <w:rStyle w:val="IndexLink"/>
              </w:rPr>
              <w:t>49</w:t>
            </w:r>
            <w:r>
              <w:rPr>
                <w:rStyle w:val="IndexLink"/>
                <w:rtl w:val="true"/>
              </w:rPr>
              <w:tab/>
            </w:r>
            <w:r>
              <w:rPr>
                <w:rStyle w:val="IndexLink"/>
              </w:rPr>
              <w:t>778</w:t>
            </w:r>
          </w:hyperlink>
        </w:p>
        <w:p>
          <w:pPr>
            <w:pStyle w:val="Contents5"/>
            <w:tabs>
              <w:tab w:val="clear" w:pos="7892"/>
              <w:tab w:val="right" w:pos="9026" w:leader="dot"/>
            </w:tabs>
            <w:rPr/>
          </w:pPr>
          <w:hyperlink w:anchor="__RefHeading___Toc608258_1934241801">
            <w:r>
              <w:rPr>
                <w:webHidden/>
                <w:rStyle w:val="IndexLink"/>
                <w:rtl w:val="true"/>
              </w:rPr>
              <w:t>توضیح</w:t>
            </w:r>
            <w:r>
              <w:rPr>
                <w:rStyle w:val="IndexLink"/>
                <w:rtl w:val="true"/>
              </w:rPr>
              <w:tab/>
            </w:r>
            <w:r>
              <w:rPr>
                <w:rStyle w:val="IndexLink"/>
              </w:rPr>
              <w:t>779</w:t>
            </w:r>
          </w:hyperlink>
        </w:p>
        <w:p>
          <w:pPr>
            <w:pStyle w:val="Contents5"/>
            <w:tabs>
              <w:tab w:val="clear" w:pos="7892"/>
              <w:tab w:val="right" w:pos="9026" w:leader="dot"/>
            </w:tabs>
            <w:rPr/>
          </w:pPr>
          <w:hyperlink w:anchor="__RefHeading___Toc608260_1934241801">
            <w:r>
              <w:rPr>
                <w:webHidden/>
                <w:rStyle w:val="IndexLink"/>
                <w:rtl w:val="true"/>
              </w:rPr>
              <w:t>«</w:t>
            </w:r>
            <w:r>
              <w:rPr>
                <w:rStyle w:val="IndexLink"/>
              </w:rPr>
              <w:t>50</w:t>
            </w:r>
            <w:r>
              <w:rPr>
                <w:rStyle w:val="IndexLink"/>
                <w:rtl w:val="true"/>
              </w:rPr>
              <w:t>»</w:t>
              <w:tab/>
            </w:r>
            <w:r>
              <w:rPr>
                <w:rStyle w:val="IndexLink"/>
              </w:rPr>
              <w:t>780</w:t>
            </w:r>
          </w:hyperlink>
        </w:p>
        <w:p>
          <w:pPr>
            <w:pStyle w:val="Contents5"/>
            <w:tabs>
              <w:tab w:val="clear" w:pos="7892"/>
              <w:tab w:val="right" w:pos="9026" w:leader="dot"/>
            </w:tabs>
            <w:rPr/>
          </w:pPr>
          <w:hyperlink w:anchor="__RefHeading___Toc608262_1934241801">
            <w:r>
              <w:rPr>
                <w:webHidden/>
                <w:rStyle w:val="IndexLink"/>
                <w:rtl w:val="true"/>
              </w:rPr>
              <w:t>«</w:t>
            </w:r>
            <w:r>
              <w:rPr>
                <w:rStyle w:val="IndexLink"/>
              </w:rPr>
              <w:t>51</w:t>
            </w:r>
            <w:r>
              <w:rPr>
                <w:rStyle w:val="IndexLink"/>
                <w:rtl w:val="true"/>
              </w:rPr>
              <w:t>»</w:t>
              <w:tab/>
            </w:r>
            <w:r>
              <w:rPr>
                <w:rStyle w:val="IndexLink"/>
              </w:rPr>
              <w:t>780</w:t>
            </w:r>
          </w:hyperlink>
        </w:p>
        <w:p>
          <w:pPr>
            <w:pStyle w:val="Contents5"/>
            <w:tabs>
              <w:tab w:val="clear" w:pos="7892"/>
              <w:tab w:val="right" w:pos="9026" w:leader="dot"/>
            </w:tabs>
            <w:rPr/>
          </w:pPr>
          <w:hyperlink w:anchor="__RefHeading___Toc608264_1934241801">
            <w:r>
              <w:rPr>
                <w:webHidden/>
                <w:rStyle w:val="IndexLink"/>
                <w:rtl w:val="true"/>
              </w:rPr>
              <w:t>«</w:t>
            </w:r>
            <w:r>
              <w:rPr>
                <w:rStyle w:val="IndexLink"/>
              </w:rPr>
              <w:t>52</w:t>
            </w:r>
            <w:r>
              <w:rPr>
                <w:rStyle w:val="IndexLink"/>
                <w:rtl w:val="true"/>
              </w:rPr>
              <w:t>»</w:t>
              <w:tab/>
            </w:r>
            <w:r>
              <w:rPr>
                <w:rStyle w:val="IndexLink"/>
              </w:rPr>
              <w:t>780</w:t>
            </w:r>
          </w:hyperlink>
        </w:p>
        <w:p>
          <w:pPr>
            <w:pStyle w:val="Contents5"/>
            <w:tabs>
              <w:tab w:val="clear" w:pos="7892"/>
              <w:tab w:val="right" w:pos="9026" w:leader="dot"/>
            </w:tabs>
            <w:rPr/>
          </w:pPr>
          <w:hyperlink w:anchor="__RefHeading___Toc608266_1934241801">
            <w:r>
              <w:rPr>
                <w:webHidden/>
                <w:rStyle w:val="IndexLink"/>
                <w:rtl w:val="true"/>
              </w:rPr>
              <w:t>توضيح و تنقيح</w:t>
            </w:r>
            <w:r>
              <w:rPr>
                <w:rStyle w:val="IndexLink"/>
                <w:rtl w:val="true"/>
              </w:rPr>
              <w:tab/>
            </w:r>
            <w:r>
              <w:rPr>
                <w:rStyle w:val="IndexLink"/>
              </w:rPr>
              <w:t>780</w:t>
            </w:r>
          </w:hyperlink>
        </w:p>
        <w:p>
          <w:pPr>
            <w:pStyle w:val="Contents5"/>
            <w:tabs>
              <w:tab w:val="clear" w:pos="7892"/>
              <w:tab w:val="right" w:pos="9026" w:leader="dot"/>
            </w:tabs>
            <w:rPr/>
          </w:pPr>
          <w:hyperlink w:anchor="__RefHeading___Toc608268_1934241801">
            <w:r>
              <w:rPr>
                <w:webHidden/>
                <w:rStyle w:val="IndexLink"/>
                <w:rtl w:val="true"/>
              </w:rPr>
              <w:t xml:space="preserve">روایت </w:t>
            </w:r>
            <w:r>
              <w:rPr>
                <w:rStyle w:val="IndexLink"/>
              </w:rPr>
              <w:t>50</w:t>
            </w:r>
            <w:r>
              <w:rPr>
                <w:rStyle w:val="IndexLink"/>
                <w:rtl w:val="true"/>
              </w:rPr>
              <w:tab/>
            </w:r>
            <w:r>
              <w:rPr>
                <w:rStyle w:val="IndexLink"/>
              </w:rPr>
              <w:t>780</w:t>
            </w:r>
          </w:hyperlink>
        </w:p>
        <w:p>
          <w:pPr>
            <w:pStyle w:val="Contents5"/>
            <w:tabs>
              <w:tab w:val="clear" w:pos="7892"/>
              <w:tab w:val="right" w:pos="9026" w:leader="dot"/>
            </w:tabs>
            <w:rPr/>
          </w:pPr>
          <w:hyperlink w:anchor="__RefHeading___Toc608270_1934241801">
            <w:r>
              <w:rPr>
                <w:webHidden/>
                <w:rStyle w:val="IndexLink"/>
                <w:rtl w:val="true"/>
              </w:rPr>
              <w:t xml:space="preserve">روایت </w:t>
            </w:r>
            <w:r>
              <w:rPr>
                <w:rStyle w:val="IndexLink"/>
              </w:rPr>
              <w:t>51</w:t>
            </w:r>
            <w:r>
              <w:rPr>
                <w:rStyle w:val="IndexLink"/>
                <w:rtl w:val="true"/>
              </w:rPr>
              <w:tab/>
            </w:r>
            <w:r>
              <w:rPr>
                <w:rStyle w:val="IndexLink"/>
              </w:rPr>
              <w:t>780</w:t>
            </w:r>
          </w:hyperlink>
        </w:p>
        <w:p>
          <w:pPr>
            <w:pStyle w:val="Contents5"/>
            <w:tabs>
              <w:tab w:val="clear" w:pos="7892"/>
              <w:tab w:val="right" w:pos="9026" w:leader="dot"/>
            </w:tabs>
            <w:rPr/>
          </w:pPr>
          <w:hyperlink w:anchor="__RefHeading___Toc608272_1934241801">
            <w:r>
              <w:rPr>
                <w:webHidden/>
                <w:rStyle w:val="IndexLink"/>
                <w:rtl w:val="true"/>
              </w:rPr>
              <w:t xml:space="preserve">روایت </w:t>
            </w:r>
            <w:r>
              <w:rPr>
                <w:rStyle w:val="IndexLink"/>
              </w:rPr>
              <w:t>52</w:t>
            </w:r>
            <w:r>
              <w:rPr>
                <w:rStyle w:val="IndexLink"/>
                <w:rtl w:val="true"/>
              </w:rPr>
              <w:tab/>
            </w:r>
            <w:r>
              <w:rPr>
                <w:rStyle w:val="IndexLink"/>
              </w:rPr>
              <w:t>780</w:t>
            </w:r>
          </w:hyperlink>
        </w:p>
        <w:p>
          <w:pPr>
            <w:pStyle w:val="Contents5"/>
            <w:tabs>
              <w:tab w:val="clear" w:pos="7892"/>
              <w:tab w:val="right" w:pos="9026" w:leader="dot"/>
            </w:tabs>
            <w:rPr/>
          </w:pPr>
          <w:hyperlink w:anchor="__RefHeading___Toc608274_1934241801">
            <w:r>
              <w:rPr>
                <w:webHidden/>
                <w:rStyle w:val="IndexLink"/>
                <w:rtl w:val="true"/>
              </w:rPr>
              <w:t>توضیح و تنقیح</w:t>
            </w:r>
            <w:r>
              <w:rPr>
                <w:rStyle w:val="IndexLink"/>
                <w:rtl w:val="true"/>
              </w:rPr>
              <w:tab/>
            </w:r>
            <w:r>
              <w:rPr>
                <w:rStyle w:val="IndexLink"/>
              </w:rPr>
              <w:t>781</w:t>
            </w:r>
          </w:hyperlink>
        </w:p>
        <w:p>
          <w:pPr>
            <w:pStyle w:val="Contents5"/>
            <w:tabs>
              <w:tab w:val="clear" w:pos="7892"/>
              <w:tab w:val="right" w:pos="9026" w:leader="dot"/>
            </w:tabs>
            <w:rPr/>
          </w:pPr>
          <w:hyperlink w:anchor="__RefHeading___Toc608276_1934241801">
            <w:r>
              <w:rPr>
                <w:webHidden/>
                <w:rStyle w:val="IndexLink"/>
                <w:rtl w:val="true"/>
              </w:rPr>
              <w:t>أقول</w:t>
            </w:r>
            <w:r>
              <w:rPr>
                <w:rStyle w:val="IndexLink"/>
                <w:rtl w:val="true"/>
              </w:rPr>
              <w:tab/>
            </w:r>
            <w:r>
              <w:rPr>
                <w:rStyle w:val="IndexLink"/>
              </w:rPr>
              <w:t>782</w:t>
            </w:r>
          </w:hyperlink>
        </w:p>
        <w:p>
          <w:pPr>
            <w:pStyle w:val="Contents5"/>
            <w:tabs>
              <w:tab w:val="clear" w:pos="7892"/>
              <w:tab w:val="right" w:pos="9026" w:leader="dot"/>
            </w:tabs>
            <w:rPr/>
          </w:pPr>
          <w:hyperlink w:anchor="__RefHeading___Toc608278_1934241801">
            <w:r>
              <w:rPr>
                <w:webHidden/>
                <w:rStyle w:val="IndexLink"/>
                <w:rtl w:val="true"/>
              </w:rPr>
              <w:t>می گویم</w:t>
            </w:r>
            <w:r>
              <w:rPr>
                <w:rStyle w:val="IndexLink"/>
                <w:rtl w:val="true"/>
              </w:rPr>
              <w:tab/>
            </w:r>
            <w:r>
              <w:rPr>
                <w:rStyle w:val="IndexLink"/>
              </w:rPr>
              <w:t>782</w:t>
            </w:r>
          </w:hyperlink>
        </w:p>
        <w:p>
          <w:pPr>
            <w:pStyle w:val="Contents5"/>
            <w:tabs>
              <w:tab w:val="clear" w:pos="7892"/>
              <w:tab w:val="right" w:pos="9026" w:leader="dot"/>
            </w:tabs>
            <w:rPr/>
          </w:pPr>
          <w:hyperlink w:anchor="__RefHeading___Toc608280_1934241801">
            <w:r>
              <w:rPr>
                <w:webHidden/>
                <w:rStyle w:val="IndexLink"/>
                <w:rtl w:val="true"/>
              </w:rPr>
              <w:t>«</w:t>
            </w:r>
            <w:r>
              <w:rPr>
                <w:rStyle w:val="IndexLink"/>
              </w:rPr>
              <w:t>53</w:t>
            </w:r>
            <w:r>
              <w:rPr>
                <w:rStyle w:val="IndexLink"/>
                <w:rtl w:val="true"/>
              </w:rPr>
              <w:t>»</w:t>
              <w:tab/>
            </w:r>
            <w:r>
              <w:rPr>
                <w:rStyle w:val="IndexLink"/>
              </w:rPr>
              <w:t>784</w:t>
            </w:r>
          </w:hyperlink>
        </w:p>
        <w:p>
          <w:pPr>
            <w:pStyle w:val="Contents5"/>
            <w:tabs>
              <w:tab w:val="clear" w:pos="7892"/>
              <w:tab w:val="right" w:pos="9026" w:leader="dot"/>
            </w:tabs>
            <w:rPr/>
          </w:pPr>
          <w:hyperlink w:anchor="__RefHeading___Toc608282_1934241801">
            <w:r>
              <w:rPr>
                <w:webHidden/>
                <w:rStyle w:val="IndexLink"/>
                <w:rtl w:val="true"/>
              </w:rPr>
              <w:t>«</w:t>
            </w:r>
            <w:r>
              <w:rPr>
                <w:rStyle w:val="IndexLink"/>
              </w:rPr>
              <w:t>54</w:t>
            </w:r>
            <w:r>
              <w:rPr>
                <w:rStyle w:val="IndexLink"/>
                <w:rtl w:val="true"/>
              </w:rPr>
              <w:t>»</w:t>
              <w:tab/>
            </w:r>
            <w:r>
              <w:rPr>
                <w:rStyle w:val="IndexLink"/>
              </w:rPr>
              <w:t>784</w:t>
            </w:r>
          </w:hyperlink>
        </w:p>
        <w:p>
          <w:pPr>
            <w:pStyle w:val="Contents5"/>
            <w:tabs>
              <w:tab w:val="clear" w:pos="7892"/>
              <w:tab w:val="right" w:pos="9026" w:leader="dot"/>
            </w:tabs>
            <w:rPr/>
          </w:pPr>
          <w:hyperlink w:anchor="__RefHeading___Toc608284_1934241801">
            <w:r>
              <w:rPr>
                <w:webHidden/>
                <w:rStyle w:val="IndexLink"/>
                <w:rtl w:val="true"/>
              </w:rPr>
              <w:t xml:space="preserve">روایت </w:t>
            </w:r>
            <w:r>
              <w:rPr>
                <w:rStyle w:val="IndexLink"/>
              </w:rPr>
              <w:t>53</w:t>
            </w:r>
            <w:r>
              <w:rPr>
                <w:rStyle w:val="IndexLink"/>
                <w:rtl w:val="true"/>
              </w:rPr>
              <w:tab/>
            </w:r>
            <w:r>
              <w:rPr>
                <w:rStyle w:val="IndexLink"/>
              </w:rPr>
              <w:t>784</w:t>
            </w:r>
          </w:hyperlink>
        </w:p>
        <w:p>
          <w:pPr>
            <w:pStyle w:val="Contents5"/>
            <w:tabs>
              <w:tab w:val="clear" w:pos="7892"/>
              <w:tab w:val="right" w:pos="9026" w:leader="dot"/>
            </w:tabs>
            <w:rPr/>
          </w:pPr>
          <w:hyperlink w:anchor="__RefHeading___Toc608286_1934241801">
            <w:r>
              <w:rPr>
                <w:webHidden/>
                <w:rStyle w:val="IndexLink"/>
                <w:rtl w:val="true"/>
              </w:rPr>
              <w:t xml:space="preserve">روایت </w:t>
            </w:r>
            <w:r>
              <w:rPr>
                <w:rStyle w:val="IndexLink"/>
              </w:rPr>
              <w:t>54</w:t>
            </w:r>
            <w:r>
              <w:rPr>
                <w:rStyle w:val="IndexLink"/>
                <w:rtl w:val="true"/>
              </w:rPr>
              <w:tab/>
            </w:r>
            <w:r>
              <w:rPr>
                <w:rStyle w:val="IndexLink"/>
              </w:rPr>
              <w:t>785</w:t>
            </w:r>
          </w:hyperlink>
        </w:p>
        <w:p>
          <w:pPr>
            <w:pStyle w:val="Contents5"/>
            <w:tabs>
              <w:tab w:val="clear" w:pos="7892"/>
              <w:tab w:val="right" w:pos="9026" w:leader="dot"/>
            </w:tabs>
            <w:rPr/>
          </w:pPr>
          <w:hyperlink w:anchor="__RefHeading___Toc608288_1934241801">
            <w:r>
              <w:rPr>
                <w:webHidden/>
                <w:rStyle w:val="IndexLink"/>
                <w:rtl w:val="true"/>
              </w:rPr>
              <w:t>«</w:t>
            </w:r>
            <w:r>
              <w:rPr>
                <w:rStyle w:val="IndexLink"/>
              </w:rPr>
              <w:t>55</w:t>
            </w:r>
            <w:r>
              <w:rPr>
                <w:rStyle w:val="IndexLink"/>
                <w:rtl w:val="true"/>
              </w:rPr>
              <w:t>»</w:t>
              <w:tab/>
            </w:r>
            <w:r>
              <w:rPr>
                <w:rStyle w:val="IndexLink"/>
              </w:rPr>
              <w:t>786</w:t>
            </w:r>
          </w:hyperlink>
        </w:p>
        <w:p>
          <w:pPr>
            <w:pStyle w:val="Contents5"/>
            <w:tabs>
              <w:tab w:val="clear" w:pos="7892"/>
              <w:tab w:val="right" w:pos="9026" w:leader="dot"/>
            </w:tabs>
            <w:rPr/>
          </w:pPr>
          <w:hyperlink w:anchor="__RefHeading___Toc608290_1934241801">
            <w:r>
              <w:rPr>
                <w:webHidden/>
                <w:rStyle w:val="IndexLink"/>
                <w:rtl w:val="true"/>
              </w:rPr>
              <w:t>بيان</w:t>
            </w:r>
            <w:r>
              <w:rPr>
                <w:rStyle w:val="IndexLink"/>
                <w:rtl w:val="true"/>
              </w:rPr>
              <w:tab/>
            </w:r>
            <w:r>
              <w:rPr>
                <w:rStyle w:val="IndexLink"/>
              </w:rPr>
              <w:t>786</w:t>
            </w:r>
          </w:hyperlink>
        </w:p>
        <w:p>
          <w:pPr>
            <w:pStyle w:val="Contents5"/>
            <w:tabs>
              <w:tab w:val="clear" w:pos="7892"/>
              <w:tab w:val="right" w:pos="9026" w:leader="dot"/>
            </w:tabs>
            <w:rPr/>
          </w:pPr>
          <w:hyperlink w:anchor="__RefHeading___Toc608292_1934241801">
            <w:r>
              <w:rPr>
                <w:webHidden/>
                <w:rStyle w:val="IndexLink"/>
                <w:rtl w:val="true"/>
              </w:rPr>
              <w:t>«</w:t>
            </w:r>
            <w:r>
              <w:rPr>
                <w:rStyle w:val="IndexLink"/>
              </w:rPr>
              <w:t>56</w:t>
            </w:r>
            <w:r>
              <w:rPr>
                <w:rStyle w:val="IndexLink"/>
                <w:rtl w:val="true"/>
              </w:rPr>
              <w:t>»</w:t>
              <w:tab/>
            </w:r>
            <w:r>
              <w:rPr>
                <w:rStyle w:val="IndexLink"/>
              </w:rPr>
              <w:t>786</w:t>
            </w:r>
          </w:hyperlink>
        </w:p>
        <w:p>
          <w:pPr>
            <w:pStyle w:val="Contents5"/>
            <w:tabs>
              <w:tab w:val="clear" w:pos="7892"/>
              <w:tab w:val="right" w:pos="9026" w:leader="dot"/>
            </w:tabs>
            <w:rPr/>
          </w:pPr>
          <w:hyperlink w:anchor="__RefHeading___Toc608294_1934241801">
            <w:r>
              <w:rPr>
                <w:webHidden/>
                <w:rStyle w:val="IndexLink"/>
                <w:rtl w:val="true"/>
              </w:rPr>
              <w:t xml:space="preserve">روایت </w:t>
            </w:r>
            <w:r>
              <w:rPr>
                <w:rStyle w:val="IndexLink"/>
              </w:rPr>
              <w:t>55</w:t>
            </w:r>
            <w:r>
              <w:rPr>
                <w:rStyle w:val="IndexLink"/>
                <w:rtl w:val="true"/>
              </w:rPr>
              <w:tab/>
            </w:r>
            <w:r>
              <w:rPr>
                <w:rStyle w:val="IndexLink"/>
              </w:rPr>
              <w:t>787</w:t>
            </w:r>
          </w:hyperlink>
        </w:p>
        <w:p>
          <w:pPr>
            <w:pStyle w:val="Contents5"/>
            <w:tabs>
              <w:tab w:val="clear" w:pos="7892"/>
              <w:tab w:val="right" w:pos="9026" w:leader="dot"/>
            </w:tabs>
            <w:rPr/>
          </w:pPr>
          <w:hyperlink w:anchor="__RefHeading___Toc608296_1934241801">
            <w:r>
              <w:rPr>
                <w:webHidden/>
                <w:rStyle w:val="IndexLink"/>
                <w:rtl w:val="true"/>
              </w:rPr>
              <w:t>توضیح</w:t>
            </w:r>
            <w:r>
              <w:rPr>
                <w:rStyle w:val="IndexLink"/>
                <w:rtl w:val="true"/>
              </w:rPr>
              <w:tab/>
            </w:r>
            <w:r>
              <w:rPr>
                <w:rStyle w:val="IndexLink"/>
              </w:rPr>
              <w:t>787</w:t>
            </w:r>
          </w:hyperlink>
        </w:p>
        <w:p>
          <w:pPr>
            <w:pStyle w:val="Contents5"/>
            <w:tabs>
              <w:tab w:val="clear" w:pos="7892"/>
              <w:tab w:val="right" w:pos="9026" w:leader="dot"/>
            </w:tabs>
            <w:rPr/>
          </w:pPr>
          <w:hyperlink w:anchor="__RefHeading___Toc608298_1934241801">
            <w:r>
              <w:rPr>
                <w:webHidden/>
                <w:rStyle w:val="IndexLink"/>
                <w:rtl w:val="true"/>
              </w:rPr>
              <w:t xml:space="preserve">روایت </w:t>
            </w:r>
            <w:r>
              <w:rPr>
                <w:rStyle w:val="IndexLink"/>
              </w:rPr>
              <w:t>56</w:t>
            </w:r>
            <w:r>
              <w:rPr>
                <w:rStyle w:val="IndexLink"/>
                <w:rtl w:val="true"/>
              </w:rPr>
              <w:tab/>
            </w:r>
            <w:r>
              <w:rPr>
                <w:rStyle w:val="IndexLink"/>
              </w:rPr>
              <w:t>787</w:t>
            </w:r>
          </w:hyperlink>
        </w:p>
        <w:p>
          <w:pPr>
            <w:pStyle w:val="Contents5"/>
            <w:tabs>
              <w:tab w:val="clear" w:pos="7892"/>
              <w:tab w:val="right" w:pos="9026" w:leader="dot"/>
            </w:tabs>
            <w:rPr/>
          </w:pPr>
          <w:hyperlink w:anchor="__RefHeading___Toc608300_1934241801">
            <w:r>
              <w:rPr>
                <w:webHidden/>
                <w:rStyle w:val="IndexLink"/>
                <w:rtl w:val="true"/>
              </w:rPr>
              <w:t>بيان</w:t>
            </w:r>
            <w:r>
              <w:rPr>
                <w:rStyle w:val="IndexLink"/>
                <w:rtl w:val="true"/>
              </w:rPr>
              <w:tab/>
            </w:r>
            <w:r>
              <w:rPr>
                <w:rStyle w:val="IndexLink"/>
              </w:rPr>
              <w:t>788</w:t>
            </w:r>
          </w:hyperlink>
        </w:p>
        <w:p>
          <w:pPr>
            <w:pStyle w:val="Contents5"/>
            <w:tabs>
              <w:tab w:val="clear" w:pos="7892"/>
              <w:tab w:val="right" w:pos="9026" w:leader="dot"/>
            </w:tabs>
            <w:rPr/>
          </w:pPr>
          <w:hyperlink w:anchor="__RefHeading___Toc608302_1934241801">
            <w:r>
              <w:rPr>
                <w:webHidden/>
                <w:rStyle w:val="IndexLink"/>
                <w:rtl w:val="true"/>
              </w:rPr>
              <w:t>«</w:t>
            </w:r>
            <w:r>
              <w:rPr>
                <w:rStyle w:val="IndexLink"/>
              </w:rPr>
              <w:t>57</w:t>
            </w:r>
            <w:r>
              <w:rPr>
                <w:rStyle w:val="IndexLink"/>
                <w:rtl w:val="true"/>
              </w:rPr>
              <w:t>»</w:t>
              <w:tab/>
            </w:r>
            <w:r>
              <w:rPr>
                <w:rStyle w:val="IndexLink"/>
              </w:rPr>
              <w:t>788</w:t>
            </w:r>
          </w:hyperlink>
        </w:p>
        <w:p>
          <w:pPr>
            <w:pStyle w:val="Contents5"/>
            <w:tabs>
              <w:tab w:val="clear" w:pos="7892"/>
              <w:tab w:val="right" w:pos="9026" w:leader="dot"/>
            </w:tabs>
            <w:rPr/>
          </w:pPr>
          <w:hyperlink w:anchor="__RefHeading___Toc608304_1934241801">
            <w:r>
              <w:rPr>
                <w:webHidden/>
                <w:rStyle w:val="IndexLink"/>
                <w:rtl w:val="true"/>
              </w:rPr>
              <w:t>توضیح</w:t>
            </w:r>
            <w:r>
              <w:rPr>
                <w:rStyle w:val="IndexLink"/>
                <w:rtl w:val="true"/>
              </w:rPr>
              <w:tab/>
            </w:r>
            <w:r>
              <w:rPr>
                <w:rStyle w:val="IndexLink"/>
              </w:rPr>
              <w:t>788</w:t>
            </w:r>
          </w:hyperlink>
        </w:p>
        <w:p>
          <w:pPr>
            <w:pStyle w:val="Contents5"/>
            <w:tabs>
              <w:tab w:val="clear" w:pos="7892"/>
              <w:tab w:val="right" w:pos="9026" w:leader="dot"/>
            </w:tabs>
            <w:rPr/>
          </w:pPr>
          <w:hyperlink w:anchor="__RefHeading___Toc608306_1934241801">
            <w:r>
              <w:rPr>
                <w:webHidden/>
                <w:rStyle w:val="IndexLink"/>
                <w:rtl w:val="true"/>
              </w:rPr>
              <w:t xml:space="preserve">روایت </w:t>
            </w:r>
            <w:r>
              <w:rPr>
                <w:rStyle w:val="IndexLink"/>
              </w:rPr>
              <w:t>57</w:t>
            </w:r>
            <w:r>
              <w:rPr>
                <w:rStyle w:val="IndexLink"/>
                <w:rtl w:val="true"/>
              </w:rPr>
              <w:tab/>
            </w:r>
            <w:r>
              <w:rPr>
                <w:rStyle w:val="IndexLink"/>
              </w:rPr>
              <w:t>789</w:t>
            </w:r>
          </w:hyperlink>
        </w:p>
        <w:p>
          <w:pPr>
            <w:pStyle w:val="Contents5"/>
            <w:tabs>
              <w:tab w:val="clear" w:pos="7892"/>
              <w:tab w:val="right" w:pos="9026" w:leader="dot"/>
            </w:tabs>
            <w:rPr/>
          </w:pPr>
          <w:hyperlink w:anchor="__RefHeading___Toc608308_1934241801">
            <w:r>
              <w:rPr>
                <w:webHidden/>
                <w:rStyle w:val="IndexLink"/>
                <w:rtl w:val="true"/>
              </w:rPr>
              <w:t>بيان</w:t>
            </w:r>
            <w:r>
              <w:rPr>
                <w:rStyle w:val="IndexLink"/>
                <w:rtl w:val="true"/>
              </w:rPr>
              <w:tab/>
            </w:r>
            <w:r>
              <w:rPr>
                <w:rStyle w:val="IndexLink"/>
              </w:rPr>
              <w:t>790</w:t>
            </w:r>
          </w:hyperlink>
        </w:p>
        <w:p>
          <w:pPr>
            <w:pStyle w:val="Contents5"/>
            <w:tabs>
              <w:tab w:val="clear" w:pos="7892"/>
              <w:tab w:val="right" w:pos="9026" w:leader="dot"/>
            </w:tabs>
            <w:rPr/>
          </w:pPr>
          <w:hyperlink w:anchor="__RefHeading___Toc608310_1934241801">
            <w:r>
              <w:rPr>
                <w:webHidden/>
                <w:rStyle w:val="IndexLink"/>
                <w:rtl w:val="true"/>
              </w:rPr>
              <w:t>توضیح</w:t>
            </w:r>
            <w:r>
              <w:rPr>
                <w:rStyle w:val="IndexLink"/>
                <w:rtl w:val="true"/>
              </w:rPr>
              <w:tab/>
            </w:r>
            <w:r>
              <w:rPr>
                <w:rStyle w:val="IndexLink"/>
              </w:rPr>
              <w:t>791</w:t>
            </w:r>
          </w:hyperlink>
        </w:p>
        <w:p>
          <w:pPr>
            <w:pStyle w:val="Contents5"/>
            <w:tabs>
              <w:tab w:val="clear" w:pos="7892"/>
              <w:tab w:val="right" w:pos="9026" w:leader="dot"/>
            </w:tabs>
            <w:rPr/>
          </w:pPr>
          <w:hyperlink w:anchor="__RefHeading___Toc608312_1934241801">
            <w:r>
              <w:rPr>
                <w:webHidden/>
                <w:rStyle w:val="IndexLink"/>
                <w:rtl w:val="true"/>
              </w:rPr>
              <w:t>«</w:t>
            </w:r>
            <w:r>
              <w:rPr>
                <w:rStyle w:val="IndexLink"/>
              </w:rPr>
              <w:t>58</w:t>
            </w:r>
            <w:r>
              <w:rPr>
                <w:rStyle w:val="IndexLink"/>
                <w:rtl w:val="true"/>
              </w:rPr>
              <w:t>»</w:t>
              <w:tab/>
            </w:r>
            <w:r>
              <w:rPr>
                <w:rStyle w:val="IndexLink"/>
              </w:rPr>
              <w:t>792</w:t>
            </w:r>
          </w:hyperlink>
        </w:p>
        <w:p>
          <w:pPr>
            <w:pStyle w:val="Contents5"/>
            <w:tabs>
              <w:tab w:val="clear" w:pos="7892"/>
              <w:tab w:val="right" w:pos="9026" w:leader="dot"/>
            </w:tabs>
            <w:rPr/>
          </w:pPr>
          <w:hyperlink w:anchor="__RefHeading___Toc608314_1934241801">
            <w:r>
              <w:rPr>
                <w:webHidden/>
                <w:rStyle w:val="IndexLink"/>
                <w:rtl w:val="true"/>
              </w:rPr>
              <w:t>بيان</w:t>
            </w:r>
            <w:r>
              <w:rPr>
                <w:rStyle w:val="IndexLink"/>
                <w:rtl w:val="true"/>
              </w:rPr>
              <w:tab/>
            </w:r>
            <w:r>
              <w:rPr>
                <w:rStyle w:val="IndexLink"/>
              </w:rPr>
              <w:t>792</w:t>
            </w:r>
          </w:hyperlink>
        </w:p>
        <w:p>
          <w:pPr>
            <w:pStyle w:val="Contents5"/>
            <w:tabs>
              <w:tab w:val="clear" w:pos="7892"/>
              <w:tab w:val="right" w:pos="9026" w:leader="dot"/>
            </w:tabs>
            <w:rPr/>
          </w:pPr>
          <w:hyperlink w:anchor="__RefHeading___Toc608316_1934241801">
            <w:r>
              <w:rPr>
                <w:webHidden/>
                <w:rStyle w:val="IndexLink"/>
                <w:rtl w:val="true"/>
              </w:rPr>
              <w:t xml:space="preserve">روایت </w:t>
            </w:r>
            <w:r>
              <w:rPr>
                <w:rStyle w:val="IndexLink"/>
              </w:rPr>
              <w:t>58</w:t>
            </w:r>
            <w:r>
              <w:rPr>
                <w:rStyle w:val="IndexLink"/>
                <w:rtl w:val="true"/>
              </w:rPr>
              <w:tab/>
            </w:r>
            <w:r>
              <w:rPr>
                <w:rStyle w:val="IndexLink"/>
              </w:rPr>
              <w:t>793</w:t>
            </w:r>
          </w:hyperlink>
        </w:p>
        <w:p>
          <w:pPr>
            <w:pStyle w:val="Contents5"/>
            <w:tabs>
              <w:tab w:val="clear" w:pos="7892"/>
              <w:tab w:val="right" w:pos="9026" w:leader="dot"/>
            </w:tabs>
            <w:rPr/>
          </w:pPr>
          <w:hyperlink w:anchor="__RefHeading___Toc608318_1934241801">
            <w:r>
              <w:rPr>
                <w:webHidden/>
                <w:rStyle w:val="IndexLink"/>
                <w:rtl w:val="true"/>
              </w:rPr>
              <w:t>توضیح</w:t>
            </w:r>
            <w:r>
              <w:rPr>
                <w:rStyle w:val="IndexLink"/>
                <w:rtl w:val="true"/>
              </w:rPr>
              <w:tab/>
            </w:r>
            <w:r>
              <w:rPr>
                <w:rStyle w:val="IndexLink"/>
              </w:rPr>
              <w:t>793</w:t>
            </w:r>
          </w:hyperlink>
        </w:p>
        <w:p>
          <w:pPr>
            <w:pStyle w:val="Contents5"/>
            <w:tabs>
              <w:tab w:val="clear" w:pos="7892"/>
              <w:tab w:val="right" w:pos="9026" w:leader="dot"/>
            </w:tabs>
            <w:rPr/>
          </w:pPr>
          <w:hyperlink w:anchor="__RefHeading___Toc608320_1934241801">
            <w:r>
              <w:rPr>
                <w:webHidden/>
                <w:rStyle w:val="IndexLink"/>
                <w:rtl w:val="true"/>
              </w:rPr>
              <w:t>أقول</w:t>
            </w:r>
            <w:r>
              <w:rPr>
                <w:rStyle w:val="IndexLink"/>
                <w:rtl w:val="true"/>
              </w:rPr>
              <w:tab/>
            </w:r>
            <w:r>
              <w:rPr>
                <w:rStyle w:val="IndexLink"/>
              </w:rPr>
              <w:t>794</w:t>
            </w:r>
          </w:hyperlink>
        </w:p>
        <w:p>
          <w:pPr>
            <w:pStyle w:val="Contents5"/>
            <w:tabs>
              <w:tab w:val="clear" w:pos="7892"/>
              <w:tab w:val="right" w:pos="9026" w:leader="dot"/>
            </w:tabs>
            <w:rPr/>
          </w:pPr>
          <w:hyperlink w:anchor="__RefHeading___Toc608322_1934241801">
            <w:r>
              <w:rPr>
                <w:webHidden/>
                <w:rStyle w:val="IndexLink"/>
                <w:rtl w:val="true"/>
              </w:rPr>
              <w:t>«</w:t>
            </w:r>
            <w:r>
              <w:rPr>
                <w:rStyle w:val="IndexLink"/>
              </w:rPr>
              <w:t>59</w:t>
            </w:r>
            <w:r>
              <w:rPr>
                <w:rStyle w:val="IndexLink"/>
                <w:rtl w:val="true"/>
              </w:rPr>
              <w:t>»</w:t>
              <w:tab/>
            </w:r>
            <w:r>
              <w:rPr>
                <w:rStyle w:val="IndexLink"/>
              </w:rPr>
              <w:t>794</w:t>
            </w:r>
          </w:hyperlink>
        </w:p>
        <w:p>
          <w:pPr>
            <w:pStyle w:val="Contents5"/>
            <w:tabs>
              <w:tab w:val="clear" w:pos="7892"/>
              <w:tab w:val="right" w:pos="9026" w:leader="dot"/>
            </w:tabs>
            <w:rPr/>
          </w:pPr>
          <w:hyperlink w:anchor="__RefHeading___Toc608324_1934241801">
            <w:r>
              <w:rPr>
                <w:webHidden/>
                <w:rStyle w:val="IndexLink"/>
                <w:rtl w:val="true"/>
              </w:rPr>
              <w:t>أقول</w:t>
            </w:r>
            <w:r>
              <w:rPr>
                <w:rStyle w:val="IndexLink"/>
                <w:rtl w:val="true"/>
              </w:rPr>
              <w:tab/>
            </w:r>
            <w:r>
              <w:rPr>
                <w:rStyle w:val="IndexLink"/>
              </w:rPr>
              <w:t>794</w:t>
            </w:r>
          </w:hyperlink>
        </w:p>
        <w:p>
          <w:pPr>
            <w:pStyle w:val="Contents5"/>
            <w:tabs>
              <w:tab w:val="clear" w:pos="7892"/>
              <w:tab w:val="right" w:pos="9026" w:leader="dot"/>
            </w:tabs>
            <w:rPr/>
          </w:pPr>
          <w:hyperlink w:anchor="__RefHeading___Toc608326_1934241801">
            <w:r>
              <w:rPr>
                <w:webHidden/>
                <w:rStyle w:val="IndexLink"/>
                <w:rtl w:val="true"/>
              </w:rPr>
              <w:t>می گویم</w:t>
            </w:r>
            <w:r>
              <w:rPr>
                <w:rStyle w:val="IndexLink"/>
                <w:rtl w:val="true"/>
              </w:rPr>
              <w:tab/>
            </w:r>
            <w:r>
              <w:rPr>
                <w:rStyle w:val="IndexLink"/>
              </w:rPr>
              <w:t>794</w:t>
            </w:r>
          </w:hyperlink>
        </w:p>
        <w:p>
          <w:pPr>
            <w:pStyle w:val="Contents5"/>
            <w:tabs>
              <w:tab w:val="clear" w:pos="7892"/>
              <w:tab w:val="right" w:pos="9026" w:leader="dot"/>
            </w:tabs>
            <w:rPr/>
          </w:pPr>
          <w:hyperlink w:anchor="__RefHeading___Toc608328_1934241801">
            <w:r>
              <w:rPr>
                <w:webHidden/>
                <w:rStyle w:val="IndexLink"/>
                <w:rtl w:val="true"/>
              </w:rPr>
              <w:t xml:space="preserve">روایت </w:t>
            </w:r>
            <w:r>
              <w:rPr>
                <w:rStyle w:val="IndexLink"/>
              </w:rPr>
              <w:t>59</w:t>
            </w:r>
            <w:r>
              <w:rPr>
                <w:rStyle w:val="IndexLink"/>
                <w:rtl w:val="true"/>
              </w:rPr>
              <w:tab/>
            </w:r>
            <w:r>
              <w:rPr>
                <w:rStyle w:val="IndexLink"/>
              </w:rPr>
              <w:t>795</w:t>
            </w:r>
          </w:hyperlink>
        </w:p>
        <w:p>
          <w:pPr>
            <w:pStyle w:val="Contents5"/>
            <w:tabs>
              <w:tab w:val="clear" w:pos="7892"/>
              <w:tab w:val="right" w:pos="9026" w:leader="dot"/>
            </w:tabs>
            <w:rPr/>
          </w:pPr>
          <w:hyperlink w:anchor="__RefHeading___Toc608330_1934241801">
            <w:r>
              <w:rPr>
                <w:webHidden/>
                <w:rStyle w:val="IndexLink"/>
                <w:rtl w:val="true"/>
              </w:rPr>
              <w:t>می گویم</w:t>
            </w:r>
            <w:r>
              <w:rPr>
                <w:rStyle w:val="IndexLink"/>
                <w:rtl w:val="true"/>
              </w:rPr>
              <w:tab/>
            </w:r>
            <w:r>
              <w:rPr>
                <w:rStyle w:val="IndexLink"/>
              </w:rPr>
              <w:t>795</w:t>
            </w:r>
          </w:hyperlink>
        </w:p>
        <w:p>
          <w:pPr>
            <w:pStyle w:val="Contents5"/>
            <w:tabs>
              <w:tab w:val="clear" w:pos="7892"/>
              <w:tab w:val="right" w:pos="9026" w:leader="dot"/>
            </w:tabs>
            <w:rPr/>
          </w:pPr>
          <w:hyperlink w:anchor="__RefHeading___Toc608332_1934241801">
            <w:r>
              <w:rPr>
                <w:webHidden/>
                <w:rStyle w:val="IndexLink"/>
                <w:rtl w:val="true"/>
              </w:rPr>
              <w:t>«</w:t>
            </w:r>
            <w:r>
              <w:rPr>
                <w:rStyle w:val="IndexLink"/>
              </w:rPr>
              <w:t>60</w:t>
            </w:r>
            <w:r>
              <w:rPr>
                <w:rStyle w:val="IndexLink"/>
                <w:rtl w:val="true"/>
              </w:rPr>
              <w:t>»</w:t>
              <w:tab/>
            </w:r>
            <w:r>
              <w:rPr>
                <w:rStyle w:val="IndexLink"/>
              </w:rPr>
              <w:t>796</w:t>
            </w:r>
          </w:hyperlink>
        </w:p>
        <w:p>
          <w:pPr>
            <w:pStyle w:val="Contents5"/>
            <w:tabs>
              <w:tab w:val="clear" w:pos="7892"/>
              <w:tab w:val="right" w:pos="9026" w:leader="dot"/>
            </w:tabs>
            <w:rPr/>
          </w:pPr>
          <w:hyperlink w:anchor="__RefHeading___Toc608334_1934241801">
            <w:r>
              <w:rPr>
                <w:webHidden/>
                <w:rStyle w:val="IndexLink"/>
                <w:rtl w:val="true"/>
              </w:rPr>
              <w:t>«</w:t>
            </w:r>
            <w:r>
              <w:rPr>
                <w:rStyle w:val="IndexLink"/>
              </w:rPr>
              <w:t>61</w:t>
            </w:r>
            <w:r>
              <w:rPr>
                <w:rStyle w:val="IndexLink"/>
                <w:rtl w:val="true"/>
              </w:rPr>
              <w:t>»</w:t>
              <w:tab/>
            </w:r>
            <w:r>
              <w:rPr>
                <w:rStyle w:val="IndexLink"/>
              </w:rPr>
              <w:t>796</w:t>
            </w:r>
          </w:hyperlink>
        </w:p>
        <w:p>
          <w:pPr>
            <w:pStyle w:val="Contents5"/>
            <w:tabs>
              <w:tab w:val="clear" w:pos="7892"/>
              <w:tab w:val="right" w:pos="9026" w:leader="dot"/>
            </w:tabs>
            <w:rPr/>
          </w:pPr>
          <w:hyperlink w:anchor="__RefHeading___Toc608336_1934241801">
            <w:r>
              <w:rPr>
                <w:webHidden/>
                <w:rStyle w:val="IndexLink"/>
                <w:rtl w:val="true"/>
              </w:rPr>
              <w:t>«</w:t>
            </w:r>
            <w:r>
              <w:rPr>
                <w:rStyle w:val="IndexLink"/>
              </w:rPr>
              <w:t>62</w:t>
            </w:r>
            <w:r>
              <w:rPr>
                <w:rStyle w:val="IndexLink"/>
                <w:rtl w:val="true"/>
              </w:rPr>
              <w:t>»</w:t>
              <w:tab/>
            </w:r>
            <w:r>
              <w:rPr>
                <w:rStyle w:val="IndexLink"/>
              </w:rPr>
              <w:t>796</w:t>
            </w:r>
          </w:hyperlink>
        </w:p>
        <w:p>
          <w:pPr>
            <w:pStyle w:val="Contents5"/>
            <w:tabs>
              <w:tab w:val="clear" w:pos="7892"/>
              <w:tab w:val="right" w:pos="9026" w:leader="dot"/>
            </w:tabs>
            <w:rPr/>
          </w:pPr>
          <w:hyperlink w:anchor="__RefHeading___Toc608338_1934241801">
            <w:r>
              <w:rPr>
                <w:webHidden/>
                <w:rStyle w:val="IndexLink"/>
                <w:rtl w:val="true"/>
              </w:rPr>
              <w:t xml:space="preserve">روایت </w:t>
            </w:r>
            <w:r>
              <w:rPr>
                <w:rStyle w:val="IndexLink"/>
              </w:rPr>
              <w:t>60</w:t>
            </w:r>
            <w:r>
              <w:rPr>
                <w:rStyle w:val="IndexLink"/>
                <w:rtl w:val="true"/>
              </w:rPr>
              <w:tab/>
            </w:r>
            <w:r>
              <w:rPr>
                <w:rStyle w:val="IndexLink"/>
              </w:rPr>
              <w:t>796</w:t>
            </w:r>
          </w:hyperlink>
        </w:p>
        <w:p>
          <w:pPr>
            <w:pStyle w:val="Contents5"/>
            <w:tabs>
              <w:tab w:val="clear" w:pos="7892"/>
              <w:tab w:val="right" w:pos="9026" w:leader="dot"/>
            </w:tabs>
            <w:rPr/>
          </w:pPr>
          <w:hyperlink w:anchor="__RefHeading___Toc608340_1934241801">
            <w:r>
              <w:rPr>
                <w:webHidden/>
                <w:rStyle w:val="IndexLink"/>
                <w:rtl w:val="true"/>
              </w:rPr>
              <w:t xml:space="preserve">روایت </w:t>
            </w:r>
            <w:r>
              <w:rPr>
                <w:rStyle w:val="IndexLink"/>
              </w:rPr>
              <w:t>61</w:t>
            </w:r>
            <w:r>
              <w:rPr>
                <w:rStyle w:val="IndexLink"/>
                <w:rtl w:val="true"/>
              </w:rPr>
              <w:tab/>
            </w:r>
            <w:r>
              <w:rPr>
                <w:rStyle w:val="IndexLink"/>
              </w:rPr>
              <w:t>796</w:t>
            </w:r>
          </w:hyperlink>
        </w:p>
        <w:p>
          <w:pPr>
            <w:pStyle w:val="Contents5"/>
            <w:tabs>
              <w:tab w:val="clear" w:pos="7892"/>
              <w:tab w:val="right" w:pos="9026" w:leader="dot"/>
            </w:tabs>
            <w:rPr/>
          </w:pPr>
          <w:hyperlink w:anchor="__RefHeading___Toc608342_1934241801">
            <w:r>
              <w:rPr>
                <w:webHidden/>
                <w:rStyle w:val="IndexLink"/>
                <w:rtl w:val="true"/>
              </w:rPr>
              <w:t xml:space="preserve">روایت </w:t>
            </w:r>
            <w:r>
              <w:rPr>
                <w:rStyle w:val="IndexLink"/>
              </w:rPr>
              <w:t>62</w:t>
            </w:r>
            <w:r>
              <w:rPr>
                <w:rStyle w:val="IndexLink"/>
                <w:rtl w:val="true"/>
              </w:rPr>
              <w:tab/>
            </w:r>
            <w:r>
              <w:rPr>
                <w:rStyle w:val="IndexLink"/>
              </w:rPr>
              <w:t>797</w:t>
            </w:r>
          </w:hyperlink>
        </w:p>
        <w:p>
          <w:pPr>
            <w:pStyle w:val="Contents5"/>
            <w:tabs>
              <w:tab w:val="clear" w:pos="7892"/>
              <w:tab w:val="right" w:pos="9026" w:leader="dot"/>
            </w:tabs>
            <w:rPr/>
          </w:pPr>
          <w:hyperlink w:anchor="__RefHeading___Toc608344_1934241801">
            <w:r>
              <w:rPr>
                <w:webHidden/>
                <w:rStyle w:val="IndexLink"/>
                <w:rtl w:val="true"/>
              </w:rPr>
              <w:t>بیان</w:t>
            </w:r>
            <w:r>
              <w:rPr>
                <w:rStyle w:val="IndexLink"/>
                <w:rtl w:val="true"/>
              </w:rPr>
              <w:tab/>
            </w:r>
            <w:r>
              <w:rPr>
                <w:rStyle w:val="IndexLink"/>
              </w:rPr>
              <w:t>800</w:t>
            </w:r>
          </w:hyperlink>
        </w:p>
        <w:p>
          <w:pPr>
            <w:pStyle w:val="Contents5"/>
            <w:tabs>
              <w:tab w:val="clear" w:pos="7892"/>
              <w:tab w:val="right" w:pos="9026" w:leader="dot"/>
            </w:tabs>
            <w:rPr/>
          </w:pPr>
          <w:hyperlink w:anchor="__RefHeading___Toc608346_1934241801">
            <w:r>
              <w:rPr>
                <w:webHidden/>
                <w:rStyle w:val="IndexLink"/>
                <w:rtl w:val="true"/>
              </w:rPr>
              <w:t>توضیح</w:t>
            </w:r>
            <w:r>
              <w:rPr>
                <w:rStyle w:val="IndexLink"/>
                <w:rtl w:val="true"/>
              </w:rPr>
              <w:tab/>
            </w:r>
            <w:r>
              <w:rPr>
                <w:rStyle w:val="IndexLink"/>
              </w:rPr>
              <w:t>801</w:t>
            </w:r>
          </w:hyperlink>
        </w:p>
        <w:p>
          <w:pPr>
            <w:pStyle w:val="Contents2"/>
            <w:tabs>
              <w:tab w:val="clear" w:pos="8743"/>
              <w:tab w:val="right" w:pos="9026" w:leader="dot"/>
            </w:tabs>
            <w:rPr/>
          </w:pPr>
          <w:hyperlink w:anchor="__RefHeading___Toc608348_1934241801">
            <w:r>
              <w:rPr>
                <w:webHidden/>
                <w:rStyle w:val="IndexLink"/>
                <w:rtl w:val="true"/>
              </w:rPr>
              <w:t>کلمة المصحّح</w:t>
            </w:r>
            <w:r>
              <w:rPr>
                <w:rStyle w:val="IndexLink"/>
                <w:rtl w:val="true"/>
              </w:rPr>
              <w:tab/>
            </w:r>
            <w:r>
              <w:rPr>
                <w:rStyle w:val="IndexLink"/>
              </w:rPr>
              <w:t>807</w:t>
            </w:r>
          </w:hyperlink>
        </w:p>
        <w:p>
          <w:pPr>
            <w:pStyle w:val="Contents2"/>
            <w:tabs>
              <w:tab w:val="clear" w:pos="8743"/>
              <w:tab w:val="right" w:pos="9026" w:leader="dot"/>
            </w:tabs>
            <w:rPr/>
          </w:pPr>
          <w:hyperlink w:anchor="__RefHeading___Toc608350_1934241801">
            <w:r>
              <w:rPr>
                <w:webHidden/>
                <w:rStyle w:val="IndexLink"/>
                <w:rtl w:val="true"/>
              </w:rPr>
              <w:t>فهرس ما فی هذا الجزء من الأبواب</w:t>
            </w:r>
            <w:r>
              <w:rPr>
                <w:rStyle w:val="IndexLink"/>
                <w:rtl w:val="true"/>
              </w:rPr>
              <w:tab/>
            </w:r>
            <w:r>
              <w:rPr>
                <w:rStyle w:val="IndexLink"/>
              </w:rPr>
              <w:t>811</w:t>
            </w:r>
          </w:hyperlink>
        </w:p>
        <w:p>
          <w:pPr>
            <w:pStyle w:val="Contents2"/>
            <w:tabs>
              <w:tab w:val="clear" w:pos="8743"/>
              <w:tab w:val="right" w:pos="9026" w:leader="dot"/>
            </w:tabs>
            <w:rPr/>
          </w:pPr>
          <w:hyperlink w:anchor="__RefHeading___Toc608352_1934241801">
            <w:r>
              <w:rPr>
                <w:webHidden/>
                <w:rStyle w:val="IndexLink"/>
                <w:rtl w:val="true"/>
              </w:rPr>
              <w:t>رموز الکتاب</w:t>
            </w:r>
            <w:r>
              <w:rPr>
                <w:rStyle w:val="IndexLink"/>
                <w:rtl w:val="true"/>
              </w:rPr>
              <w:tab/>
            </w:r>
            <w:r>
              <w:rPr>
                <w:rStyle w:val="IndexLink"/>
              </w:rPr>
              <w:t>813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17_329032"/>
      <w:bookmarkStart w:id="1" w:name="pg13517_329032"/>
      <w:bookmarkEnd w:id="1"/>
    </w:p>
    <w:p>
      <w:pPr>
        <w:pStyle w:val="Heading2"/>
        <w:numPr>
          <w:ilvl w:val="1"/>
          <w:numId w:val="1"/>
        </w:numPr>
        <w:rPr/>
      </w:pPr>
      <w:bookmarkStart w:id="2" w:name="pg13517_329032"/>
      <w:bookmarkStart w:id="3" w:name="__RefHeading___Toc604914_193424180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604916_1934241801"/>
      <w:bookmarkStart w:id="6" w:name="_Toc2"/>
      <w:bookmarkEnd w:id="5"/>
      <w:r>
        <w:rPr>
          <w:rtl w:val="true"/>
        </w:rPr>
        <w:t xml:space="preserve">ترجمه بحارالانوار جلد </w:t>
      </w:r>
      <w:r>
        <w:rPr/>
        <w:t>78</w:t>
      </w:r>
      <w:r>
        <w:rPr>
          <w:rtl w:val="true"/>
        </w:rPr>
        <w:t xml:space="preserve">: </w:t>
      </w:r>
      <w:r>
        <w:rPr>
          <w:rtl w:val="true"/>
        </w:rPr>
        <w:t xml:space="preserve">کتاب طهارت </w:t>
      </w:r>
      <w:r>
        <w:rPr>
          <w:rtl w:val="true"/>
        </w:rPr>
        <w:t xml:space="preserve">- </w:t>
      </w:r>
      <w:r>
        <w:rPr/>
        <w:t>2</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604918_1934241801"/>
      <w:bookmarkStart w:id="8" w:name="_Toc3"/>
      <w:bookmarkEnd w:id="7"/>
      <w:r>
        <w:rPr>
          <w:rtl w:val="true"/>
        </w:rPr>
        <w:t xml:space="preserve">تتمة كتاب الطهارة </w:t>
      </w:r>
      <w:r>
        <w:rPr>
          <w:rtl w:val="true"/>
        </w:rPr>
        <w:t xml:space="preserve">/ </w:t>
      </w:r>
      <w:r>
        <w:rPr>
          <w:rtl w:val="true"/>
        </w:rPr>
        <w:t xml:space="preserve">کتاب طهارت </w:t>
      </w:r>
      <w:r>
        <w:rPr>
          <w:rtl w:val="true"/>
        </w:rPr>
        <w:t xml:space="preserve">- </w:t>
      </w:r>
      <w:r>
        <w:rPr/>
        <w:t>2</w:t>
      </w:r>
      <w:bookmarkEnd w:id="8"/>
    </w:p>
    <w:p>
      <w:pPr>
        <w:pStyle w:val="Heading2"/>
        <w:numPr>
          <w:ilvl w:val="1"/>
          <w:numId w:val="1"/>
        </w:numPr>
        <w:rPr/>
      </w:pPr>
      <w:bookmarkStart w:id="9" w:name="__RefHeading___Toc604920_1934241801"/>
      <w:bookmarkStart w:id="10" w:name="_Toc4"/>
      <w:bookmarkEnd w:id="9"/>
      <w:r>
        <w:rPr>
          <w:rtl w:val="true"/>
        </w:rPr>
        <w:t xml:space="preserve">أبواب الأغسال و أحكامها </w:t>
      </w:r>
      <w:r>
        <w:rPr>
          <w:rtl w:val="true"/>
        </w:rPr>
        <w:t xml:space="preserve">/ </w:t>
      </w:r>
      <w:r>
        <w:rPr>
          <w:rtl w:val="true"/>
        </w:rPr>
        <w:t>ابواب غسل و احکام آن</w:t>
      </w:r>
      <w:bookmarkEnd w:id="10"/>
    </w:p>
    <w:p>
      <w:pPr>
        <w:pStyle w:val="Heading3"/>
        <w:numPr>
          <w:ilvl w:val="2"/>
          <w:numId w:val="1"/>
        </w:numPr>
        <w:rPr/>
      </w:pPr>
      <w:bookmarkStart w:id="11" w:name="__RefHeading___Toc604922_1934241801"/>
      <w:bookmarkStart w:id="12" w:name="_Toc5"/>
      <w:bookmarkEnd w:id="11"/>
      <w:r>
        <w:rPr>
          <w:rtl w:val="true"/>
        </w:rPr>
        <w:t xml:space="preserve">باب </w:t>
      </w:r>
      <w:r>
        <w:rPr/>
        <w:t>1</w:t>
      </w:r>
      <w:r>
        <w:rPr>
          <w:rtl w:val="true"/>
        </w:rPr>
        <w:t xml:space="preserve"> </w:t>
      </w:r>
      <w:r>
        <w:rPr>
          <w:rtl w:val="true"/>
        </w:rPr>
        <w:t>علل الأغسال و ثوابها و أقسامها و واجبها و مندوبها و جوامع أحكامها</w:t>
      </w:r>
      <w:bookmarkEnd w:id="12"/>
    </w:p>
    <w:p>
      <w:pPr>
        <w:pStyle w:val="Heading4"/>
        <w:numPr>
          <w:ilvl w:val="3"/>
          <w:numId w:val="1"/>
        </w:numPr>
        <w:rPr/>
      </w:pPr>
      <w:bookmarkStart w:id="13" w:name="__RefHeading___Toc604924_1934241801"/>
      <w:bookmarkStart w:id="14" w:name="_Toc6"/>
      <w:bookmarkEnd w:id="13"/>
      <w:r>
        <w:rPr>
          <w:rtl w:val="true"/>
        </w:rPr>
        <w:t>روايات</w:t>
      </w:r>
      <w:bookmarkEnd w:id="14"/>
    </w:p>
    <w:p>
      <w:pPr>
        <w:pStyle w:val="Heading5"/>
        <w:numPr>
          <w:ilvl w:val="4"/>
          <w:numId w:val="1"/>
        </w:numPr>
        <w:rPr/>
      </w:pPr>
      <w:bookmarkStart w:id="15" w:name="__RefHeading___Toc604926_1934241801"/>
      <w:bookmarkStart w:id="16" w:name="_Toc7"/>
      <w:bookmarkEnd w:id="15"/>
      <w:r>
        <w:rPr>
          <w:rtl w:val="true"/>
        </w:rPr>
        <w:t>«</w:t>
      </w:r>
      <w:r>
        <w:rPr/>
        <w:t>1</w:t>
      </w:r>
      <w:r>
        <w:rPr>
          <w:rtl w:val="true"/>
        </w:rPr>
        <w:t>»</w:t>
      </w:r>
      <w:bookmarkEnd w:id="16"/>
    </w:p>
    <w:p>
      <w:pPr>
        <w:pStyle w:val="BookText"/>
        <w:rPr/>
      </w:pPr>
      <w:r>
        <w:rPr>
          <w:rFonts w:ascii="Amiri" w:hAnsi="Amiri" w:eastAsia="Amiri" w:cs="Amiri"/>
          <w:color w:val="111111"/>
          <w:sz w:val="28"/>
          <w:sz w:val="28"/>
          <w:szCs w:val="28"/>
          <w:rtl w:val="true"/>
          <w:lang w:bidi="ar-SA"/>
        </w:rPr>
        <w:t>مَجَالِسُ الصَّدُوقِ، عَنْ مُحَمَّدِ بْنِ عَلِيٍّ مَاجِيلَوَيْهِ عَنْ عَمِّهِ عَنْ أَحْمَدَ بْنِ أَبِي عَبْدِ اللَّهِ عَنْ عَلِيِّ بْنِ الْحَسَنِ الْبَرْقِيِّ عَنْ عَبْدِ اللَّهِ بْنِ جَبَلَةَ عَنْ مُعَاوِيَةَ بْنِ عَمَّارٍ عَنِ الْحَسَنِ بْنِ عَبْدِ اللَّهِ عَنْ أَبِي الْحَسَنِ عَنْ جَدِّهِ الْحَسَنِ بْنِ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مِنَ الْيَهُودِ إِلَي النَّبِيِّ صلي الله عليه و آله فَسَأَلَهُ أَعْلَمُهُمْ عَنْ مَسَائِلَ فَكَانَ فِيمَا سَأَلَهُ أَخْبِرْنِي لِأَيِّ شَيْ‌ءٍ أَمَرَ اللَّهُ بِالاغْتِسَالِ مِنَ الْجَنَابَةِ وَ لَمْ يَأْمُرْ مِنَ الْبَوْلِ وَ الْغَائِطِ قَالَ رَسُولُ اللَّهِ صلي الله عليه و آله إِنَّ آدَمَ عليه السلام لَمَّا أَكَلَ مِنَ الشَّجَرَةِ دَبَّ ذَلِكَ فِي عُرُوقِهِ وَ شَعْرِهِ وَ بَشَرِهِ فَإِذَا جَامَعَ الرَّجُلُ أَهْلَهُ خَرَجَ الْمَاءُ مِنْ كُلِّ عِرْقٍ وَ شَعْرَةٍ فَأَوْجَبَ اللَّهُ عَلَي ذُرِّيَّتِهِ الِاغْتِسَالَ مِنَ الْجَنَابَةِ إِلَي يَوْمِ الْقِيَامَةِ وَ الْبَوْلُ يَخْرُجُ مِنْ فَضْلَةِ الشَّرَابِ الَّذِي يَشْرَبُهُ الْإِنْسَانُ وَ الْغَائِطُ يَخْرُجُ مِنْ فَضْلَةِ الطَّعَامِ الَّذِي يَأْكُلُهُ فَعَلَيْهِمْ مِنْهُمَا الْوُضُوءُ</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604928_1934241801"/>
      <w:bookmarkStart w:id="18" w:name="_Toc8"/>
      <w:bookmarkEnd w:id="17"/>
      <w:r>
        <w:rPr>
          <w:rtl w:val="true"/>
        </w:rPr>
        <w:t xml:space="preserve">باب اوّل </w:t>
      </w:r>
      <w:r>
        <w:rPr>
          <w:rtl w:val="true"/>
        </w:rPr>
        <w:t xml:space="preserve">: </w:t>
      </w:r>
      <w:r>
        <w:rPr>
          <w:rtl w:val="true"/>
        </w:rPr>
        <w:t>علل غسل ها، ثواب و اقسام آن ها، غسل های واجب و مستحبّ و مجموعه احکام مربوط به آن ها</w:t>
      </w:r>
      <w:bookmarkEnd w:id="18"/>
    </w:p>
    <w:p>
      <w:pPr>
        <w:pStyle w:val="Heading4"/>
        <w:numPr>
          <w:ilvl w:val="3"/>
          <w:numId w:val="1"/>
        </w:numPr>
        <w:rPr/>
      </w:pPr>
      <w:bookmarkStart w:id="19" w:name="__RefHeading___Toc604930_1934241801"/>
      <w:bookmarkStart w:id="20" w:name="_Toc9"/>
      <w:bookmarkEnd w:id="19"/>
      <w:r>
        <w:rPr>
          <w:rtl w:val="true"/>
        </w:rPr>
        <w:t>روایات</w:t>
      </w:r>
      <w:bookmarkEnd w:id="20"/>
    </w:p>
    <w:p>
      <w:pPr>
        <w:pStyle w:val="Heading5"/>
        <w:numPr>
          <w:ilvl w:val="4"/>
          <w:numId w:val="1"/>
        </w:numPr>
        <w:rPr/>
      </w:pPr>
      <w:bookmarkStart w:id="21" w:name="__RefHeading___Toc604932_1934241801"/>
      <w:bookmarkStart w:id="22" w:name="_Toc10"/>
      <w:bookmarkEnd w:id="21"/>
      <w:r>
        <w:rPr>
          <w:rtl w:val="true"/>
        </w:rPr>
        <w:t xml:space="preserve">روایت </w:t>
      </w:r>
      <w:r>
        <w:rPr/>
        <w:t>1</w:t>
      </w:r>
      <w:bookmarkEnd w:id="22"/>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بن علی علیهما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یهودیان نزد پیامبر صلّی الله علیه و آله آمدند، پس آگاه ترین ایشان سؤال هایی از پیامبر پرسید و یکی از آن سؤال ها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که چرا خداوند متعال به انجام غسل از جنابت امر فرموده است حال آنکه در مورد بول و مدفوع کردن چنین فرمانی نداده است؟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علیه السلام از میوه آن درخت خورد، عصاره آن در رگها، مو و پوستش نفوذ کرد، بنابراین هنگامی که مرد با همسرش همبستر می شود آب از تمام رگها و موهایش خارج می شود، به همین سبب خداوند متعال غسل جنابت را تا روز قیامت بر ذریّه و فرزندان آدم واجب گردانده است، ولی بول از اضافه نوشیدنی ای حاصل می شود که انسان می نوشد، همچنین مدفوع از اضافه غذایی پدید می آید که انسان می خورد، پس بر بنی آدم واجب است که برای پاک شدن از بول و مدفوع وضو بگیرد</w:t>
      </w:r>
      <w:r>
        <w:rPr>
          <w:rFonts w:eastAsia="IRNazanin" w:cs="IRNazanin"/>
          <w:color w:val="111111"/>
          <w:sz w:val="28"/>
          <w:szCs w:val="28"/>
          <w:rtl w:val="true"/>
          <w:lang w:bidi="fa-IR"/>
        </w:rPr>
        <w:t xml:space="preserve">. </w:t>
      </w:r>
      <w:bookmarkStart w:id="23" w:name="pg13517_329033"/>
    </w:p>
    <w:p>
      <w:pPr>
        <w:pStyle w:val="BookText"/>
        <w:rPr/>
      </w:pPr>
      <w:bookmarkEnd w:id="23"/>
      <w:r>
        <w:rPr>
          <w:rFonts w:ascii="Amiri" w:hAnsi="Amiri" w:eastAsia="Amiri" w:cs="Amiri"/>
          <w:color w:val="111111"/>
          <w:sz w:val="28"/>
          <w:sz w:val="28"/>
          <w:szCs w:val="28"/>
          <w:rtl w:val="true"/>
          <w:lang w:bidi="ar-SA"/>
        </w:rPr>
        <w:t>قَالَ الْيَهُودِيُّ صَدَقْتَ يَا مُحَمَّدُ فَأَخْبِرْنِي مَا جَزَاءُ مَنِ اغْتَسَلَ مِنَ الْحَلَالِ قَالَ النَّبِيُّ صلي الله عليه و آله إِنَّ الْمُؤْمِنَ إِذَا جَامَعَ أَهْلَهُ بَسَطَ سَبْعُونَ أَلْفَ مَلَكٍ جَنَاحَهُ وَ تَنْزِلُ الرَّحْمَةُ فَإِذَا اغْتَسَلَ بَنَي اللَّهُ بِكُلِّ قَطْرَةٍ بَيْتاً فِي الْجَنَّةِ وَ هُوَ سِرٌّ فِيمَا بَيْنَ اللَّهِ وَ بَيْنَ خَلْقِهِ يَعْنِي الِاغْتِسَالَ مِنَ الْجَنَابَةِ قَالَ الْيَهُودِيُّ صَدَقْتَ يَا مُحَمَّدُ صلي الله عليه و آله‌</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الْعِلَلُ، وَ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 مِنْهُمَا الْوُضُوءُ</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العلل، لمحمد بن علي بن إبراهيم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4" w:name="__RefHeading___Toc604934_1934241801"/>
      <w:bookmarkStart w:id="25" w:name="_Toc11"/>
      <w:bookmarkEnd w:id="24"/>
      <w:r>
        <w:rPr>
          <w:rtl w:val="true"/>
        </w:rPr>
        <w:t>بيان</w:t>
      </w:r>
      <w:bookmarkEnd w:id="25"/>
    </w:p>
    <w:p>
      <w:pPr>
        <w:pStyle w:val="BookText"/>
        <w:rPr/>
      </w:pPr>
      <w:r>
        <w:rPr>
          <w:rFonts w:ascii="Amiri" w:hAnsi="Amiri" w:eastAsia="Amiri" w:cs="Amiri"/>
          <w:color w:val="111111"/>
          <w:sz w:val="28"/>
          <w:sz w:val="28"/>
          <w:szCs w:val="28"/>
          <w:rtl w:val="true"/>
          <w:lang w:bidi="ar-SA"/>
        </w:rPr>
        <w:t>دب يدب دبيبا أي مشي علي الأرض و المراد بالشعر لعله منابت الشعر إذ المشهور عدم وجوب غسله و البشر محركة ظاهر جلد الإنسان جمع بشرة و لعل كونه سرا لأنه يقع غالبا خفية و لا يطلع الناس عليه فإنما يوقعه لوجهه تعالي</w:t>
      </w:r>
      <w:r>
        <w:rPr>
          <w:rFonts w:eastAsia="Amiri" w:cs="Amiri" w:ascii="Amiri" w:hAnsi="Amiri"/>
          <w:color w:val="111111"/>
          <w:sz w:val="28"/>
          <w:szCs w:val="28"/>
          <w:rtl w:val="true"/>
          <w:lang w:bidi="ar-SA"/>
        </w:rPr>
        <w:t>.</w:t>
      </w:r>
    </w:p>
    <w:p>
      <w:pPr>
        <w:pStyle w:val="Heading5"/>
        <w:numPr>
          <w:ilvl w:val="4"/>
          <w:numId w:val="1"/>
        </w:numPr>
        <w:rPr/>
      </w:pPr>
      <w:bookmarkStart w:id="26" w:name="__RefHeading___Toc604936_1934241801"/>
      <w:bookmarkStart w:id="27" w:name="_Toc12"/>
      <w:bookmarkEnd w:id="26"/>
      <w:r>
        <w:rPr>
          <w:rtl w:val="true"/>
        </w:rPr>
        <w:t>«</w:t>
      </w:r>
      <w:r>
        <w:rPr/>
        <w:t>2</w:t>
      </w:r>
      <w:r>
        <w:rPr>
          <w:rtl w:val="true"/>
        </w:rPr>
        <w:t>»</w:t>
      </w:r>
      <w:bookmarkEnd w:id="27"/>
    </w:p>
    <w:p>
      <w:pPr>
        <w:pStyle w:val="BookText"/>
        <w:rPr/>
      </w:pPr>
      <w:r>
        <w:rPr>
          <w:rFonts w:ascii="Amiri" w:hAnsi="Amiri" w:eastAsia="Amiri" w:cs="Amiri"/>
          <w:color w:val="111111"/>
          <w:sz w:val="28"/>
          <w:sz w:val="28"/>
          <w:szCs w:val="28"/>
          <w:rtl w:val="true"/>
          <w:lang w:bidi="ar-SA"/>
        </w:rPr>
        <w:t>الْعِلَلُ‌</w:t>
      </w:r>
      <w:r>
        <w:rPr>
          <w:rStyle w:val="FootnoteAnchor"/>
          <w:rtl w:val="true"/>
        </w:rPr>
        <w:footnoteReference w:id="4"/>
      </w:r>
      <w:r>
        <w:rPr>
          <w:rFonts w:ascii="Amiri" w:hAnsi="Amiri" w:eastAsia="Amiri" w:cs="Amiri"/>
          <w:color w:val="111111"/>
          <w:sz w:val="28"/>
          <w:sz w:val="28"/>
          <w:szCs w:val="28"/>
          <w:rtl w:val="true"/>
          <w:lang w:bidi="ar-SA"/>
        </w:rPr>
        <w:t>، وَ الْعُيُونُ، عَنْ مُحَمَّدِ بْنِ عَلِيٍّ مَاجِيلَوَيْهِ عَنْ عَمِّهِ عَنْ مُحَمَّدِ بْنِ عَلِيٍّ الْكُوفِيِّ عَنْ مُحَمَّدِ بْنِ سِنَانٍ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غُسْلِ الْجَنَابَةِ النَّظَافَةُ وَ تَطْهِيرُ الْإِنْسَانِ نَفْسَهُ مِمَّا أَصَابَهُ مِنْ أَذَاهُ وَ تَطْهِيرُ سَائِرِ جَسَدِهِ لِأَنَّ الْجَنَابَةَ خَارِجَةٌ مِنْ كُلِّ جَسَدِهِ فَلِذَلِكَ وَجَبَ عَلَيْهِ تَطْهِيرُ جَسَدِهِ كُلِّهِ وَ عِلَّةُ التَّخْفِيفِ فِي الْبَوْلِ وَ الْغَائِطِ لِأَنَّهُ أَكْثَرُ وَ أَدْوَمُ مِنَ الْجَنَابَةِ فَرَضِيَ فِيهِ بِالْوُضُوءِ لِكَثْرَتِهِ وَ مَشَقَّتِهِ وَ مَجِيئِهِ بِغَيْرِ إِرَادَةٍ مِنْهُ وَ لَا شَهْوَةٍ وَ الْجَنَابَةُ لَا تَكُونُ إِلَّا بِاسْتِلْذَاذٍ مِنْهُمْ وَ الْإِكْرَاهِ لِأَنْفُسِهِمْ‌</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 w:name="__RefHeading___Toc604938_1934241801"/>
      <w:bookmarkStart w:id="29" w:name="_Toc13"/>
      <w:bookmarkEnd w:id="28"/>
      <w:r>
        <w:rPr>
          <w:rtl w:val="true"/>
        </w:rPr>
        <w:t>بيان</w:t>
      </w:r>
      <w:bookmarkEnd w:id="29"/>
    </w:p>
    <w:p>
      <w:pPr>
        <w:pStyle w:val="BookText"/>
        <w:rPr/>
      </w:pPr>
      <w:r>
        <w:rPr>
          <w:rFonts w:ascii="Amiri" w:hAnsi="Amiri" w:eastAsia="Amiri" w:cs="Amiri"/>
          <w:color w:val="111111"/>
          <w:sz w:val="28"/>
          <w:sz w:val="28"/>
          <w:szCs w:val="28"/>
          <w:rtl w:val="true"/>
          <w:lang w:bidi="ar-SA"/>
        </w:rPr>
        <w:t>لعله مشتمل علي ثلاث علل الأولي ما مر في الخبر السابق الثانية أن كثرة موجبات الوضوء يناسبها التخفيف و الثالثة أن الجنابة تحصل غالبا</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 اکنون مرا از پاداش کسی آگاه کن که پس از همبستر شدن با همسر حلال خویش غسل می کند؟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مؤمن با همسر حلال خویش همبستر می گردد، هفتاد هزار فرشته بالهای شان را می گسترانند و رحمت نازل می شود، و آن گاه که غسل می کند خداوند به ازای هر قطره آبی که بر زمین می چکد خانه ای را برای او بنا می  سازد، و این رمز و رازی است که بین خداوند و بندگانش وجود دارد، منظور غسل جنابت می باشد؛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راست گفتی</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علل الشرایع 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روایت شده تا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منهما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پاک شدن از بول و مدفوع وضو بگیرد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مرسلی نظیر این حدیث روایت شده است</w:t>
      </w:r>
      <w:r>
        <w:rPr>
          <w:rFonts w:eastAsia="IRNazanin" w:cs="IRNazanin"/>
          <w:color w:val="111111"/>
          <w:sz w:val="28"/>
          <w:szCs w:val="28"/>
          <w:rtl w:val="true"/>
          <w:lang w:bidi="fa-IR"/>
        </w:rPr>
        <w:t>.</w:t>
      </w:r>
    </w:p>
    <w:p>
      <w:pPr>
        <w:pStyle w:val="Heading5"/>
        <w:numPr>
          <w:ilvl w:val="4"/>
          <w:numId w:val="1"/>
        </w:numPr>
        <w:rPr/>
      </w:pPr>
      <w:bookmarkStart w:id="30" w:name="__RefHeading___Toc604940_1934241801"/>
      <w:bookmarkStart w:id="31" w:name="_Toc14"/>
      <w:bookmarkEnd w:id="30"/>
      <w:r>
        <w:rPr>
          <w:rtl w:val="true"/>
        </w:rPr>
        <w:t>توضیح</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زمین راه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از مو، رستن گاه مو باشد چرا که روایت عدم وجوب غَسل مو مشهور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لایه ظاهری پوست انسان، 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دلیل اینکه غسل جنابت در اغلب مواقع به صورت پنهانی و دور از چشم دیگران اتفاق می افتد از آن به عنوان رمز و راز یاد کرده است، و به خاطر اینکه مردم از انجام آن آگاه نمی شوند پس غسل کننده رضایت خداوند را مدّ نظر دارد</w:t>
      </w:r>
      <w:r>
        <w:rPr>
          <w:rFonts w:eastAsia="IRNazanin" w:cs="IRNazanin"/>
          <w:color w:val="111111"/>
          <w:sz w:val="28"/>
          <w:szCs w:val="28"/>
          <w:rtl w:val="true"/>
          <w:lang w:bidi="fa-IR"/>
        </w:rPr>
        <w:t>.</w:t>
      </w:r>
    </w:p>
    <w:p>
      <w:pPr>
        <w:pStyle w:val="Heading5"/>
        <w:numPr>
          <w:ilvl w:val="4"/>
          <w:numId w:val="1"/>
        </w:numPr>
        <w:rPr/>
      </w:pPr>
      <w:bookmarkStart w:id="32" w:name="__RefHeading___Toc604942_1934241801"/>
      <w:bookmarkStart w:id="33" w:name="_Toc15"/>
      <w:bookmarkEnd w:id="32"/>
      <w:r>
        <w:rPr>
          <w:rtl w:val="true"/>
        </w:rPr>
        <w:t xml:space="preserve">روایت </w:t>
      </w:r>
      <w:r>
        <w:rPr/>
        <w:t>2</w:t>
      </w:r>
      <w:bookmarkEnd w:id="33"/>
    </w:p>
    <w:p>
      <w:pPr>
        <w:pStyle w:val="BookText"/>
        <w:rPr/>
      </w:pPr>
      <w:r>
        <w:rPr>
          <w:rFonts w:ascii="IRNazanin" w:hAnsi="IRNazanin" w:eastAsia="IRNazanin"/>
          <w:color w:val="111111"/>
          <w:sz w:val="28"/>
          <w:sz w:val="28"/>
          <w:szCs w:val="28"/>
          <w:rtl w:val="true"/>
          <w:lang w:bidi="fa-IR"/>
        </w:rPr>
        <w:t>علل الشرائع، 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وجوب غسل جنابت، محقق شدن نظافت و پاکیزگی، پاک کردن نفس انسان از آزار و اذیت حاصل از آن و مطهّر گرداندن سایر اعضای جسم می باشد،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حاصل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جنابت از تمام اعضای جسد خارج می شود، بنابراین بر انسان واجب است که تمام اعضای خویش را پاک و مطهر گرداند، و علت تخفیف در مورد بول و مدفوع به خاطر این است که این دو مورد، بیشتر و به صورت مداوم تر بر انسان حادث می شوند، پس برای پاک شدن از آن ها به وضو گرفتن رضایت داده شده است، چرا که به دفعات بیشتری بر انسان حادث می شوند و غسل کردن باعث مشقت و سختی می گردد، همچنین بول و مدفوع به صورت غیر ارادی و بدون ارضای شهوت از انسان ها سر می زند، حال آنکه جنابت حاصل نمی شود مگر با کسب لذت و عدم به زحمت افتادن روح و روان</w:t>
      </w:r>
      <w:r>
        <w:rPr>
          <w:rFonts w:eastAsia="IRNazanin" w:cs="IRNazanin"/>
          <w:color w:val="111111"/>
          <w:sz w:val="28"/>
          <w:szCs w:val="28"/>
          <w:rtl w:val="true"/>
          <w:lang w:bidi="fa-IR"/>
        </w:rPr>
        <w:t>.</w:t>
      </w:r>
      <w:r>
        <w:rPr>
          <w:rStyle w:val="FootnoteAnchor"/>
          <w:rtl w:val="true"/>
        </w:rPr>
        <w:footnoteReference w:id="8"/>
      </w:r>
    </w:p>
    <w:p>
      <w:pPr>
        <w:pStyle w:val="Heading5"/>
        <w:numPr>
          <w:ilvl w:val="4"/>
          <w:numId w:val="1"/>
        </w:numPr>
        <w:rPr/>
      </w:pPr>
      <w:bookmarkStart w:id="34" w:name="__RefHeading___Toc604944_1934241801"/>
      <w:bookmarkStart w:id="35" w:name="_Toc16"/>
      <w:bookmarkEnd w:id="34"/>
      <w:r>
        <w:rPr>
          <w:rtl w:val="true"/>
        </w:rPr>
        <w:t>توضیح</w:t>
      </w:r>
      <w:bookmarkEnd w:id="35"/>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از سه علّت به عنوان علل غسل جنابت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در حدیث قبل ذکر شد،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موجبات وضو می طلبد که با آن به تخفیف و تسامح برخورد شود،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جنابت معمولاً </w:t>
      </w:r>
      <w:bookmarkStart w:id="36" w:name="pg13517_329034"/>
    </w:p>
    <w:p>
      <w:pPr>
        <w:pStyle w:val="BookText"/>
        <w:rPr/>
      </w:pPr>
      <w:bookmarkEnd w:id="36"/>
      <w:r>
        <w:rPr>
          <w:rFonts w:ascii="Amiri" w:hAnsi="Amiri" w:eastAsia="Amiri" w:cs="Amiri"/>
          <w:color w:val="111111"/>
          <w:sz w:val="28"/>
          <w:sz w:val="28"/>
          <w:szCs w:val="28"/>
          <w:rtl w:val="true"/>
          <w:lang w:bidi="ar-SA"/>
        </w:rPr>
        <w:t>بالاستلذاذ فلا يصعب عليهم الغسل بخلاف الحدثين فإنه لا لذة فيهما و في أكثر النسخ و الإكراه لأنفسهم كناية عن أنها باختيارهم و يمكنهم تركها و في بعض النسخ و لا إكراه و هو أظهر و يمكن جعل هذا علة رافعية كما لا يخفي</w:t>
      </w:r>
      <w:r>
        <w:rPr>
          <w:rFonts w:eastAsia="Amiri" w:cs="Amiri" w:ascii="Amiri" w:hAnsi="Amiri"/>
          <w:color w:val="111111"/>
          <w:sz w:val="28"/>
          <w:szCs w:val="28"/>
          <w:rtl w:val="true"/>
          <w:lang w:bidi="ar-SA"/>
        </w:rPr>
        <w:t>.</w:t>
      </w:r>
    </w:p>
    <w:p>
      <w:pPr>
        <w:pStyle w:val="Heading5"/>
        <w:numPr>
          <w:ilvl w:val="4"/>
          <w:numId w:val="1"/>
        </w:numPr>
        <w:rPr/>
      </w:pPr>
      <w:bookmarkStart w:id="37" w:name="__RefHeading___Toc604946_1934241801"/>
      <w:bookmarkStart w:id="38" w:name="_Toc17"/>
      <w:bookmarkEnd w:id="37"/>
      <w:r>
        <w:rPr>
          <w:rtl w:val="true"/>
        </w:rPr>
        <w:t>«</w:t>
      </w:r>
      <w:r>
        <w:rPr/>
        <w:t>3</w:t>
      </w:r>
      <w:r>
        <w:rPr>
          <w:rtl w:val="true"/>
        </w:rPr>
        <w:t>»</w:t>
      </w:r>
      <w:bookmarkEnd w:id="38"/>
    </w:p>
    <w:p>
      <w:pPr>
        <w:pStyle w:val="BookText"/>
        <w:rPr/>
      </w:pPr>
      <w:r>
        <w:rPr>
          <w:rFonts w:ascii="Amiri" w:hAnsi="Amiri" w:eastAsia="Amiri" w:cs="Amiri"/>
          <w:color w:val="111111"/>
          <w:sz w:val="28"/>
          <w:sz w:val="28"/>
          <w:szCs w:val="28"/>
          <w:rtl w:val="true"/>
          <w:lang w:bidi="ar-SA"/>
        </w:rPr>
        <w:t>الْعِلَلُ، وَ الْعُيُونُ‌</w:t>
      </w:r>
      <w:r>
        <w:rPr>
          <w:rStyle w:val="FootnoteAnchor"/>
          <w:rtl w:val="true"/>
        </w:rPr>
        <w:footnoteReference w:id="9"/>
      </w:r>
      <w:r>
        <w:rPr>
          <w:rFonts w:ascii="Amiri" w:hAnsi="Amiri" w:eastAsia="Amiri" w:cs="Amiri"/>
          <w:color w:val="111111"/>
          <w:sz w:val="28"/>
          <w:sz w:val="28"/>
          <w:szCs w:val="28"/>
          <w:rtl w:val="true"/>
          <w:lang w:bidi="ar-SA"/>
        </w:rPr>
        <w:t>، بِالْإِسْنَادِ الْمُتَقَدِّمِ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عِلَّةُ غُسْلِ الْعِيدِ وَ الْجُمُعَةِ وَ غَيْرِ ذَلِكَ مِنَ الْأَغْسَالِ لِمَا فِيهِ مِنْ تَعْظِيمِ الْعَبْدِ رَبَّهُ وَ اسْتِقْبَالِهِ الْكَرِيمَ الْجَلِيلَ وَ طَلَبِ الْمَغْفِرَةِ لِذُنُوبِهِ وَ لِيَكُونَ لَهُمْ يَوْمَ عِيدٍ مَعْرُوفٍ يَجْتَمِعُونَ فِيهِ عَلَي ذِكْرِ اللَّهِ عَزَّ وَ جَلَّ فَجَعَلَ فِيهِ الْغُسْلَ تَعْظِيماً لِذَاكَ الْيَوْمِ وَ تَفْضِيلًا لَهُ عَلَي سَائِرِ الْأَيَّامِ وَ زِيَادَةً فِي النَّوَافِلِ وَ الْعِبَادَةِ وَ لِيَكُونَ تِلْكَ طَهَارَةً لَهُ مِنَ الْجُمُعَةِ إِلَي الْجُمُعَةِ</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عِلَّةُ غُسْلِ الْمَيِّتِ أَنَّهُ يُغَسَّلُ لِأَنَّهُ يُطَهَّرُ وَ يُنَظَّفُ مِنْ أَدْنَاسِ أَمْرَاضِهِ وَ مَا أَصَابَهُ مِنْ صُنُوفِ عِلَلِهِ لِأَنَّهُ يَلْقَي الْمَلَائِكَةَ وَ يُبَاشِرُ أَهْلَ الْآخِرَةِ فَيُسْتَحَبُّ إِذَا وَرَدَ عَلَي اللَّهِ وَ لَقِيَ أَهْلَ الطَّهَارَةِ وَ يُمَاسُّونَهُ وَ يُمَاسُّهُمْ أَنْ يَكُونَ طَاهِراً نَظِيفاً مُوَجَّهاً بِهِ إِلَي اللَّهِ عَزَّ وَ جَلَّ لِيُطْلَبَ بِهِ‌</w:t>
      </w:r>
      <w:r>
        <w:rPr>
          <w:rStyle w:val="FootnoteAnchor"/>
          <w:rtl w:val="true"/>
        </w:rPr>
        <w:footnoteReference w:id="11"/>
      </w:r>
      <w:r>
        <w:rPr>
          <w:rFonts w:ascii="Amiri" w:hAnsi="Amiri" w:eastAsia="Amiri" w:cs="Amiri"/>
          <w:color w:val="111111"/>
          <w:sz w:val="28"/>
          <w:sz w:val="28"/>
          <w:szCs w:val="28"/>
          <w:rtl w:val="true"/>
          <w:lang w:bidi="ar-SA"/>
        </w:rPr>
        <w:t xml:space="preserve">وَ يُشْفَعَ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أُخْرَي أَنَّهُ يُخْرَجُ مِنَ الْأَذَي الَّذِي مِنْهُ خُلِقَ‌</w:t>
      </w:r>
      <w:r>
        <w:rPr>
          <w:rStyle w:val="FootnoteAnchor"/>
          <w:rtl w:val="true"/>
        </w:rPr>
        <w:footnoteReference w:id="12"/>
      </w:r>
      <w:r>
        <w:rPr>
          <w:rFonts w:ascii="Amiri" w:hAnsi="Amiri" w:eastAsia="Amiri" w:cs="Amiri"/>
          <w:color w:val="111111"/>
          <w:sz w:val="28"/>
          <w:sz w:val="28"/>
          <w:szCs w:val="28"/>
          <w:rtl w:val="true"/>
          <w:lang w:bidi="ar-SA"/>
        </w:rPr>
        <w:t>فَيُجْنِبُ فَيَكُونُ غُسْلُهُ لَهُ وَ عِلَّةُ اغْتِسَالِ مَنْ غَسَلَهُ أَوْ مَسَّهُ فَظَاهِرَةٌ لِمَا أَصَابَهُ مِنْ نَضْحِ الْمَيِّتِ لِأَنَّ الْمَيِّتَ إِذَا خَرَجَتِ الرُّوحُ مِنْهُ بَقِيَ أَكْثَرُ آفَتِهِ فَلِذَلِكَ يُتَطَهَّرُ مِنْهُ وَ يُطَهَّرُ</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 w:name="__RefHeading___Toc604948_1934241801"/>
      <w:bookmarkStart w:id="40" w:name="_Toc18"/>
      <w:bookmarkEnd w:id="39"/>
      <w:r>
        <w:rPr>
          <w:rtl w:val="true"/>
        </w:rPr>
        <w:t>بيان</w:t>
      </w:r>
      <w:bookmarkEnd w:id="40"/>
    </w:p>
    <w:p>
      <w:pPr>
        <w:pStyle w:val="BookText"/>
        <w:rPr/>
      </w:pPr>
      <w:r>
        <w:rPr>
          <w:rFonts w:ascii="Amiri" w:hAnsi="Amiri" w:eastAsia="Amiri" w:cs="Amiri"/>
          <w:color w:val="111111"/>
          <w:sz w:val="28"/>
          <w:sz w:val="28"/>
          <w:szCs w:val="28"/>
          <w:rtl w:val="true"/>
          <w:lang w:bidi="ar-SA"/>
        </w:rPr>
        <w:t>قوله عليه السلام لما فيه أي في اليوم قوله ليطلب به و يشفع له أي في الصلاة عليه أي يكون في حال الصلاة عليه و الشفاعة له و التوجه به إلي الله لتشييعه و دفنه طاهرا من الأدناس قوله بقي أكثر آفته أي نجاسته و قذارته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کسب لذت همراه است، پس غسل کردن بعد از آن برای انسان ایجاد مشقّت و سختی نمی کند، بر خلاف ادرار و مدفوع که در آن ها کسب لذّتی وجود ندارد؛ در بیشتر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الإکراه لأنفسهم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که کنایه از این است که جنابت به صورت ارادی از انسان سر می زند و می تواند آن را ترک کند، در برخی از نسخه 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صحیح تر به نظر می رسد، و می توان این علّت را در زمره علل رافعیّت به حساب آورد</w:t>
      </w:r>
      <w:r>
        <w:rPr>
          <w:rFonts w:eastAsia="IRNazanin" w:cs="IRNazanin"/>
          <w:color w:val="111111"/>
          <w:sz w:val="28"/>
          <w:szCs w:val="28"/>
          <w:rtl w:val="true"/>
          <w:lang w:bidi="fa-IR"/>
        </w:rPr>
        <w:t>.</w:t>
      </w:r>
    </w:p>
    <w:p>
      <w:pPr>
        <w:pStyle w:val="Heading5"/>
        <w:numPr>
          <w:ilvl w:val="4"/>
          <w:numId w:val="1"/>
        </w:numPr>
        <w:rPr/>
      </w:pPr>
      <w:bookmarkStart w:id="41" w:name="__RefHeading___Toc604950_1934241801"/>
      <w:bookmarkStart w:id="42" w:name="_Toc19"/>
      <w:bookmarkEnd w:id="41"/>
      <w:r>
        <w:rPr>
          <w:rtl w:val="true"/>
        </w:rPr>
        <w:t xml:space="preserve">روایت </w:t>
      </w:r>
      <w:r>
        <w:rPr/>
        <w:t>3</w:t>
      </w:r>
      <w:bookmarkEnd w:id="42"/>
    </w:p>
    <w:p>
      <w:pPr>
        <w:pStyle w:val="BookText"/>
        <w:rPr/>
      </w:pPr>
      <w:r>
        <w:rPr>
          <w:rFonts w:ascii="IRNazanin" w:hAnsi="IRNazanin" w:eastAsia="IRNazanin"/>
          <w:color w:val="111111"/>
          <w:sz w:val="28"/>
          <w:sz w:val="28"/>
          <w:szCs w:val="28"/>
          <w:rtl w:val="true"/>
          <w:lang w:bidi="fa-IR"/>
        </w:rPr>
        <w:t>عیون الأخبار،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غسل روز عید، روز جمعه و سایر غسل ها این است که بندگان در این روزها به بزرگداشت مقام پروردگار خویش می پردازند و به محضر خداوند بخشنده و بزرگوار می روند و برای گناهانشان طلب عفو و بخشش می کنند، همچنین به خاطر اینکه روز عید شناخته شده ای داشته باشند که در آن بر ذکر و یاد خداوند متعال جمع شوند، پس به منظور بزرگداشت و برتری آن روز بر روزهای دیگر و افزایش نوافل و عبادت غسل را در آن روز واجب قرار داد، و تا این غسل باعث طهارت و پاکی بندگان در فاصله زمانی بین دو جمعه باشد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علّت غسل میّت آن است که میّت غسل داده می شود تا از آلودگی های امراض و تمام عوارضی که باعث مریضی اش شده اند پاک و بی آلایش شود، چرا که به ملاقات فرشتگان نائل می آید و با ساکنان سرای آخرت رو به رو می گردد، پس مستحب است که هنگام وارد شدن به محضر پرودگار و ملاقات با اهل طهارت و پاکی – که او را لمس می کنند و او نیز آنان را لمس می کند – پاک و بی آلایش باشد حال آنکه به سوی خداوند عزّ و جلّ برده می شود تا بخشش او طلب شود و مورد شفاعت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دیگر این است که میّت از اذیت و آزاری که از آن آفریده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شود، پس دچار جنابت می شود و به همین خاطر است که غسل داده می  شود، امّا علت غسل گرفتن کسی که میّت را غسل داده یا او را لمس کرده این است که قطره های آبی که از جسد میت چکیده به بدن او اصابت کرده است، چرا که هنگام خارج شدن روح از جسد میّت بیشتر نجاست ها و آلودگی های او باقی می ماند، بنابراین از آن آلودگی ها پاک شده و مطهّر گردانده می شود</w:t>
      </w:r>
      <w:r>
        <w:rPr>
          <w:rFonts w:eastAsia="IRNazanin" w:cs="IRNazanin"/>
          <w:color w:val="111111"/>
          <w:sz w:val="28"/>
          <w:szCs w:val="28"/>
          <w:rtl w:val="true"/>
          <w:lang w:bidi="fa-IR"/>
        </w:rPr>
        <w:t>.</w:t>
      </w:r>
      <w:r>
        <w:rPr>
          <w:rStyle w:val="FootnoteAnchor"/>
          <w:rtl w:val="true"/>
        </w:rPr>
        <w:footnoteReference w:id="15"/>
      </w:r>
    </w:p>
    <w:p>
      <w:pPr>
        <w:pStyle w:val="Heading5"/>
        <w:numPr>
          <w:ilvl w:val="4"/>
          <w:numId w:val="1"/>
        </w:numPr>
        <w:rPr/>
      </w:pPr>
      <w:bookmarkStart w:id="43" w:name="__RefHeading___Toc604952_1934241801"/>
      <w:bookmarkStart w:id="44" w:name="_Toc20"/>
      <w:bookmarkEnd w:id="43"/>
      <w:r>
        <w:rPr>
          <w:rtl w:val="true"/>
        </w:rPr>
        <w:t>توضیح</w:t>
      </w:r>
      <w:bookmarkEnd w:id="44"/>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فرموده امام 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لیطلب به و یشفع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خوانده شدن نماز بر میّت و درخواست شفاعت برای او و هنگامی که به سوی خداوند متعال تشییع شده و دفن می گردد باید از آلودگی ها پاک و مطهّر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أکثر آفته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نجاست و آلودگی میّت باقی می ماند</w:t>
      </w:r>
      <w:r>
        <w:rPr>
          <w:rFonts w:eastAsia="IRNazanin" w:cs="IRNazanin"/>
          <w:color w:val="111111"/>
          <w:sz w:val="28"/>
          <w:szCs w:val="28"/>
          <w:rtl w:val="true"/>
          <w:lang w:bidi="fa-IR"/>
        </w:rPr>
        <w:t xml:space="preserve">. </w:t>
      </w:r>
      <w:bookmarkStart w:id="45" w:name="pg13517_329035"/>
    </w:p>
    <w:p>
      <w:pPr>
        <w:pStyle w:val="Heading5"/>
        <w:numPr>
          <w:ilvl w:val="4"/>
          <w:numId w:val="1"/>
        </w:numPr>
        <w:rPr/>
      </w:pPr>
      <w:bookmarkStart w:id="46" w:name="__RefHeading___Toc604954_1934241801"/>
      <w:bookmarkStart w:id="47" w:name="_Toc21"/>
      <w:bookmarkEnd w:id="45"/>
      <w:bookmarkEnd w:id="46"/>
      <w:r>
        <w:rPr>
          <w:rtl w:val="true"/>
        </w:rPr>
        <w:t>«</w:t>
      </w:r>
      <w:r>
        <w:rPr/>
        <w:t>4</w:t>
      </w:r>
      <w:r>
        <w:rPr>
          <w:rtl w:val="true"/>
        </w:rPr>
        <w:t>»</w:t>
      </w:r>
      <w:bookmarkEnd w:id="47"/>
    </w:p>
    <w:p>
      <w:pPr>
        <w:pStyle w:val="BookText"/>
        <w:rPr/>
      </w:pPr>
      <w:r>
        <w:rPr>
          <w:rFonts w:ascii="Amiri" w:hAnsi="Amiri" w:eastAsia="Amiri" w:cs="Amiri"/>
          <w:color w:val="111111"/>
          <w:sz w:val="28"/>
          <w:sz w:val="28"/>
          <w:szCs w:val="28"/>
          <w:rtl w:val="true"/>
          <w:lang w:bidi="ar-SA"/>
        </w:rPr>
        <w:t>الْعُيُونُ‌</w:t>
      </w:r>
      <w:r>
        <w:rPr>
          <w:rStyle w:val="FootnoteAnchor"/>
          <w:rtl w:val="true"/>
        </w:rPr>
        <w:footnoteReference w:id="16"/>
      </w:r>
      <w:r>
        <w:rPr>
          <w:rFonts w:ascii="Amiri" w:hAnsi="Amiri" w:eastAsia="Amiri" w:cs="Amiri"/>
          <w:color w:val="111111"/>
          <w:sz w:val="28"/>
          <w:sz w:val="28"/>
          <w:szCs w:val="28"/>
          <w:rtl w:val="true"/>
          <w:lang w:bidi="ar-SA"/>
        </w:rPr>
        <w:t>، وَ الْعِلَلُ، عَنْ عَبْدِ الْوَاحِدِ بْنِ مُحَمَّدِ بْنِ عُبْدُوسٍ عَنْ عَلِيِّ بْنِ مُحَمَّدِ بْنِ قُتَيْبَةَ عَنِ الْفَضْلِ بْنِ شَاذَانَ فِيمَا رَوَاهُ مِنَ الْعِلَلِ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 فَلِمَ أُمِرُوا بِالْغُسْلِ مِنَ الْجَنَابَةِ وَ لَمْ يُؤْمَرُوا بِالْغُسْلِ مِنَ الْخَلَاءِ وَ هُوَ أَنْجَسُ مِنَ الْجَنَابَةِ وَ أَقْذَرُ قِيلَ مِنْ أَجْلِ أَنَّ الْجَنَابَةَ مِنْ نَفْسِ الْإِنْسَانِ وَ هُوَ شَيْ‌ءٌ يَخْرُجُ مِنْ جَمِيعِ جَسَدِهِ وَ الْخَلَاءُ لَيْسَ هُوَ مِنْ نَفْسِ الْإِنْسَانِ إِنَّمَا هُوَ غِذَاءٌ يَدْخُلُ مِنْ بَابٍ وَ يَخْرُجُ مِنْ بَابٍ‌</w:t>
      </w:r>
      <w:r>
        <w:rPr>
          <w:rStyle w:val="FootnoteAnchor"/>
          <w:rtl w:val="true"/>
        </w:rPr>
        <w:footnoteReference w:id="17"/>
      </w:r>
      <w:r>
        <w:rPr>
          <w:rFonts w:ascii="Amiri" w:hAnsi="Amiri" w:eastAsia="Amiri" w:cs="Amiri"/>
          <w:color w:val="111111"/>
          <w:sz w:val="28"/>
          <w:sz w:val="28"/>
          <w:szCs w:val="28"/>
          <w:rtl w:val="true"/>
          <w:lang w:bidi="ar-SA"/>
        </w:rPr>
        <w:t>فَإِنْ قَالَ فَلِمَ أُمِرَ بِغُسْلِ الْمَيِّتِ قِيلَ لِأَنَّهُ إِذَا مَاتَ كَانَ الْغَالِبُ عَلَيْهِ النَّجَاسَةَ وَ الْآفَةَ وَ الْأَذَي فَأَحَبَّ أَنْ يَكُونَ طَاهِراً إِذَا بَاشَرَ أَهْلَ الطَّهَارَةِ مِنَ الْمَلَائِكَةِ الَّذِينَ يَلُونَهُ وَ يُمَاسُّونَهُ فِيمَا بَيْنَهُمْ نَظِيفاً مُوَجَّهاً بِهِ إِلَي اللَّهِ عَزَّ وَ جَلَّ وَ قَدْ رُوِيَ عَنْ بَعْضِ الْأَئِمَّةِ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مَيِّتٍ يَمُوتُ إِلَّا خَرَجَتْ مِنْهُ الْجَنَابَةُ فَلِذَلِكَ وَجَبَ الْغُسْلُ‌</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قَالَ فَلِمَ أُمِرَ مَنْ يُغَسِّلُهُ بِالْغُسْلِ قِيلَ لِعِلَّةِ الطَّهَارَةِ مِمَّا أَصَابَهُ مِنْ نَضْحِ الْمَيِّتِ لِأَنَّ الْمَيِّتَ إِذَا خَرَجَ مِنْهُ الرُّوحُ بَقِيَ أَكْثَرُ آفَتِهِ وَ لِئَلَّا يَلْهَجَ النَّاسُ بِهِ وَ بِمُمَاسَّتِهِ إِذْ قَدْ غَلَبَتْ عَلَيْهِ عِلَّةُ النَّجَاسَةِ وَ الْآفَةِ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فَلِمَ لَا يَجِبُ الْغُسْلُ عَلَي مَنْ مَسَّ شَيْئاً مِنَ الْأَمْوَاتِ غَيْرِ الْإِنْسَانِ كَالطُّيُورِ وَ الْبَهَائِمِ وَ السِّبَاعِ وَ غَيْرِ ذَلِكَ قِيلَ لِأَنَّ هَذِهِ الْأَشْيَاءَ كُلَّهَا مُلْبَسَةٌ رِيشاً وَ صُوفاً وَ شَعَراً وَ وَبَراً وَ هَذَا كُلُّهُ ذَكِيٌّ لَا يَمُوتُ وَ إِنَّمَا يُمَاسُّ مِنْهُ الشَّيْ‌ءُ الَّذِي هُوَ ذَكِيٌّ مِنَ الْحَيِّ وَ الْمَيِّتِ الَّذِي قَدْ أُلْبِسَهُ وَ عَلَاهُ‌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 w:name="__RefHeading___Toc604956_1934241801"/>
      <w:bookmarkStart w:id="49" w:name="_Toc22"/>
      <w:bookmarkEnd w:id="48"/>
      <w:r>
        <w:rPr>
          <w:rtl w:val="true"/>
        </w:rPr>
        <w:t>بيان</w:t>
      </w:r>
      <w:bookmarkEnd w:id="49"/>
    </w:p>
    <w:p>
      <w:pPr>
        <w:pStyle w:val="BookText"/>
        <w:rPr/>
      </w:pPr>
      <w:r>
        <w:rPr>
          <w:rFonts w:ascii="Amiri" w:hAnsi="Amiri" w:eastAsia="Amiri" w:cs="Amiri"/>
          <w:color w:val="111111"/>
          <w:sz w:val="28"/>
          <w:sz w:val="28"/>
          <w:szCs w:val="28"/>
          <w:rtl w:val="true"/>
          <w:lang w:bidi="ar-SA"/>
        </w:rPr>
        <w:t>اللهج بالشي‌ء الولوع به و الحرص عليه أي لئلا يلمسه الناس كثيرا لا سيما أقاربه حبا له مع تلوثه بالنجاسات قوله عليه السلام لأن هذه الأشياء لعل</w:t>
      </w:r>
    </w:p>
    <w:p>
      <w:pPr>
        <w:pStyle w:val="Heading5"/>
        <w:numPr>
          <w:ilvl w:val="4"/>
          <w:numId w:val="1"/>
        </w:numPr>
        <w:rPr/>
      </w:pPr>
      <w:bookmarkStart w:id="50" w:name="__RefHeading___Toc604958_1934241801"/>
      <w:bookmarkStart w:id="51" w:name="_Toc23"/>
      <w:bookmarkEnd w:id="50"/>
      <w:r>
        <w:rPr>
          <w:rtl w:val="true"/>
        </w:rPr>
        <w:t xml:space="preserve">روایت </w:t>
      </w:r>
      <w:r>
        <w:rPr/>
        <w:t>4</w:t>
      </w:r>
      <w:bookmarkEnd w:id="51"/>
    </w:p>
    <w:p>
      <w:pPr>
        <w:pStyle w:val="BookText"/>
        <w:rPr/>
      </w:pPr>
      <w:r>
        <w:rPr>
          <w:rFonts w:ascii="IRNazanin" w:hAnsi="IRNazanin" w:eastAsia="IRNazanin"/>
          <w:color w:val="111111"/>
          <w:sz w:val="28"/>
          <w:sz w:val="28"/>
          <w:szCs w:val="28"/>
          <w:rtl w:val="true"/>
          <w:lang w:bidi="fa-IR"/>
        </w:rPr>
        <w:t>عیون الأخبار،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در روایاتی که از علل احکام سؤال کرده از امام رضا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غسل جنابت فرمان داده شده اید ولی به غسل مدفوع فرمان داده نشده اید حال آنکه از جنابت نجس تر و آلوده تر است؟ پاسخ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جنابت از نفس و درون انسان حادث می شود و آن چیزی است که از تمام جسد او خارج می شود، ولی مدفوع از نفس و درون انسان حاصل نمی شود بلکه باقیمانده غذایی است که از یک دروازه وارد و از دروازه دیگر خارج می شود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پس اگر کسی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به غسل میّت فرمان داده است؟ در پاسخ گقته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هنگام مرگ نجاست، آفت، آزار و اذیت بر انسان غالب است، پس دوست داشتنی تر است هنگام ملاقات با فرشتگان که اهل طهارت هستند و به دنبال او می آیند و او را در میان خود می گیرند، مطهّر و پاکیزه بوده و به سوی خداوند متعال برده شود؛ از یکی از امامان معصوم علیهم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میّتی نمی میرد مگر آنکه دچار جنابت می شود پس غسل دادن او واجب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اگر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فرمان داده که شخص غسل دهنده باید غسل کند؟ در پاسخ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پاک شدن از آنچه که از جسد میّت چکیده و به بدن غسل دهنده اصابت کرده است، چرا که هنگام خارج شدن روح از جسم میّت بیشتر نجاست و آلودگی او باقی می ماند، همچنین به خاطر اینکه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نزدیکان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جسد او و لمس کردنش علاقه و تمایل نشان ندهند چرا که علت نجاست و آلودگی بر او غلبه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غسل بر کسی که قسمتی از جسد مرده سایر جانداران غیر از انسان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چهارپایان نقل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درّندگان و غیره را لمس می کند واجب نیست؟ در پاسخ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همه حیوانات ذکر شده با پر، پشم، مو و کرک پوشیده شده اند که پاک هستند و نمی میرند، و قسمتی از جسم آن ها لمس می شود که در حالت زنده و مرده پاک و مطهّر است و آن ها را پوشانده است</w:t>
      </w:r>
      <w:r>
        <w:rPr>
          <w:rFonts w:eastAsia="IRNazanin" w:cs="IRNazanin"/>
          <w:color w:val="111111"/>
          <w:sz w:val="28"/>
          <w:szCs w:val="28"/>
          <w:rtl w:val="true"/>
          <w:lang w:bidi="fa-IR"/>
        </w:rPr>
        <w:t>.</w:t>
      </w:r>
      <w:r>
        <w:rPr>
          <w:rStyle w:val="FootnoteAnchor"/>
          <w:rtl w:val="true"/>
        </w:rPr>
        <w:footnoteReference w:id="21"/>
      </w:r>
    </w:p>
    <w:p>
      <w:pPr>
        <w:pStyle w:val="Heading5"/>
        <w:numPr>
          <w:ilvl w:val="4"/>
          <w:numId w:val="1"/>
        </w:numPr>
        <w:rPr/>
      </w:pPr>
      <w:bookmarkStart w:id="52" w:name="__RefHeading___Toc604960_1934241801"/>
      <w:bookmarkStart w:id="53" w:name="_Toc24"/>
      <w:bookmarkEnd w:id="52"/>
      <w:r>
        <w:rPr>
          <w:rtl w:val="true"/>
        </w:rPr>
        <w:t>توضیح</w:t>
      </w:r>
      <w:bookmarkEnd w:id="53"/>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اللهج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پیدا کردن و حرص و آز نسبت به چیزی،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و مخصوصاً نزدیکان میّت به خاطر شدت حبّ او را لمس نکنند حال آنکه آلوده به نجاسات است؛ شاید منظور از این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هذه الأشیاء</w:t>
      </w:r>
      <w:r>
        <w:rPr>
          <w:rFonts w:eastAsia="IRNazanin" w:cs="IRNazanin"/>
          <w:color w:val="111111"/>
          <w:sz w:val="28"/>
          <w:szCs w:val="28"/>
          <w:rtl w:val="true"/>
          <w:lang w:bidi="fa-IR"/>
        </w:rPr>
        <w:t xml:space="preserve">) </w:t>
      </w:r>
      <w:bookmarkStart w:id="54" w:name="pg13517_329036"/>
    </w:p>
    <w:p>
      <w:pPr>
        <w:pStyle w:val="BookText"/>
        <w:rPr/>
      </w:pPr>
      <w:bookmarkEnd w:id="54"/>
      <w:r>
        <w:rPr>
          <w:rFonts w:ascii="Amiri" w:hAnsi="Amiri" w:eastAsia="Amiri" w:cs="Amiri"/>
          <w:color w:val="111111"/>
          <w:sz w:val="28"/>
          <w:sz w:val="28"/>
          <w:szCs w:val="28"/>
          <w:rtl w:val="true"/>
          <w:lang w:bidi="ar-SA"/>
        </w:rPr>
        <w:t>الغرض أنه لما كان غالب المماسة هكذا فلذا رفع الغسل مطلقا و إلا فيلزم وجوب الغسل بمس ما تحله الحياة منها و لم يقل به أحد</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604962_1934241801"/>
      <w:bookmarkStart w:id="56" w:name="_Toc25"/>
      <w:bookmarkEnd w:id="55"/>
      <w:r>
        <w:rPr>
          <w:rtl w:val="true"/>
        </w:rPr>
        <w:t>«</w:t>
      </w:r>
      <w:r>
        <w:rPr/>
        <w:t>5</w:t>
      </w:r>
      <w:r>
        <w:rPr>
          <w:rtl w:val="true"/>
        </w:rPr>
        <w:t>»</w:t>
      </w:r>
      <w:bookmarkEnd w:id="56"/>
    </w:p>
    <w:p>
      <w:pPr>
        <w:pStyle w:val="BookText"/>
        <w:rPr/>
      </w:pPr>
      <w:r>
        <w:rPr>
          <w:rFonts w:ascii="Amiri" w:hAnsi="Amiri" w:eastAsia="Amiri" w:cs="Amiri"/>
          <w:color w:val="111111"/>
          <w:sz w:val="28"/>
          <w:sz w:val="28"/>
          <w:szCs w:val="28"/>
          <w:rtl w:val="true"/>
          <w:lang w:bidi="ar-SA"/>
        </w:rPr>
        <w:t>الْخِصَالُ، عَنْ أَبِيهِ عَنْ سَعْدِ بْنِ عَبْدِ اللَّهِ عَنْ أَحْمَدَ بْنِ مُحَمَّدِ بْنِ عِيسَي عَنْ أَحْمَدَ بْنِ مُحَمَّدِ بْنِ أَبِي نَصْرٍ الْبَزَنْطِيِّ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الْغُسْلَ فِي أَرْبَعَةَ عَشَرَ مَوْطِناً غُسْلُ الْمَيِّتِ وَ غُسْلُ الْجُنُبِ وَ غُسْلُ مَنْ غَسَّلَ الْمَيِّتَ وَ غُسْلُ الْجُمُعَةِ وَ الْعِيدَيْنِ وَ يَوْمِ عَرَفَةَ وَ غُسْلُ الْإِحْرَامِ وَ دُخُولِ الْكَعْبَةِ وَ دُخُولِ الْمَدِينَةِ وَ دُخُولِ الْحَرَمِ وَ الزِّيَارَةِ وَ لَيْلَةِ تِسْعَ عَشْرَةَ وَ إِحْدَي وَ عِشْرِينَ وَ ثَلَاثٍ وَ عِشْرِينَ مِنْ شَهْرِ رَمَضَانَ‌</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 w:name="__RefHeading___Toc604964_1934241801"/>
      <w:bookmarkStart w:id="58" w:name="_Toc26"/>
      <w:bookmarkEnd w:id="57"/>
      <w:r>
        <w:rPr>
          <w:rtl w:val="true"/>
        </w:rPr>
        <w:t>بيان</w:t>
      </w:r>
      <w:bookmarkEnd w:id="58"/>
    </w:p>
    <w:p>
      <w:pPr>
        <w:pStyle w:val="BookText"/>
        <w:rPr/>
      </w:pPr>
      <w:r>
        <w:rPr>
          <w:rFonts w:ascii="Amiri" w:hAnsi="Amiri" w:eastAsia="Amiri" w:cs="Amiri"/>
          <w:color w:val="111111"/>
          <w:sz w:val="28"/>
          <w:sz w:val="28"/>
          <w:szCs w:val="28"/>
          <w:rtl w:val="true"/>
          <w:lang w:bidi="ar-SA"/>
        </w:rPr>
        <w:t>لا خلاف في وجوب غسل الميت و غسل الجنب و غسل من غسل الميت و هو غسل المس و يحمل علي من مسه لا مطلقا و فيه دلالة علي أن المقلب غاسل بل هو الغاسل و المشهور أن الصاب غاسل و تظهر الفائدة في النية و في النذر و أشباهه و المشهور وجوبه و ذهب السيد إلي الاستحباب و الأشهر أقوي و غسل الجمعة و الإحرام قيل فيهما بالوجوب و المشهور الاستحباب و الباقية مستحبة إجماعا</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604966_1934241801"/>
      <w:bookmarkStart w:id="60" w:name="_Toc27"/>
      <w:bookmarkEnd w:id="59"/>
      <w:r>
        <w:rPr>
          <w:rtl w:val="true"/>
        </w:rPr>
        <w:t>«</w:t>
      </w:r>
      <w:r>
        <w:rPr/>
        <w:t>6</w:t>
      </w:r>
      <w:r>
        <w:rPr>
          <w:rtl w:val="true"/>
        </w:rPr>
        <w:t>»</w:t>
      </w:r>
      <w:bookmarkEnd w:id="60"/>
    </w:p>
    <w:p>
      <w:pPr>
        <w:pStyle w:val="BookText"/>
        <w:rPr/>
      </w:pPr>
      <w:r>
        <w:rPr>
          <w:rFonts w:ascii="Amiri" w:hAnsi="Amiri" w:eastAsia="Amiri" w:cs="Amiri"/>
          <w:color w:val="111111"/>
          <w:sz w:val="28"/>
          <w:sz w:val="28"/>
          <w:szCs w:val="28"/>
          <w:rtl w:val="true"/>
          <w:lang w:bidi="ar-SA"/>
        </w:rPr>
        <w:t>الْخِصَالُ، عَنْ أَبِيهِ عَنْ عَلِيِّ بْنِ إِبْرَاهِيمَ عَنْ أَبِيهِ عَنْ حَمَّادٍ عَنْ حَرِيزٍ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فِي سَبْعَةَ عَشَرَ مَوْطِناً لَيْلَةَ سَبْعَ عَشْرَةَ مِنْ شَهْرِ رَمَضَانَ وَ هِيَ لَيْلَةُ الْتِقَاءِ الْجَمْعَيْنِ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بَدْرٍ وَ لَيْلَةَ تِسْعَ عَشْرَةَ وَ فِيهَا يُكْتَبُ الْوَفْدُ وَفْدُ السَّنَةِ وَ لَيْلَةَ إِحْدَي وَ عِشْرِينَ وَ هِيَ اللَّيْلَةُ الَّتِي مَاتَ فِيهَا أَوْصِيَاءُ النَّبِيِّينَ عليهم السلام وَ فِيهَا رُفِعَ عِيسَي ابْنُ مَرْيَمَ وَ قُبِضَ مُوسَي عليهما السلام وَ لَيْلَةَ ثَلَاثٍ وَ عِشْرِينَ تُرْجَي فِيهَا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الرَّحْمَنِ بْنُ أَبِي عَبْدِ اللَّهِ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اغْتَسِلْ فِي لَيْلَةِ أَرْبَعَةٍ وَ عِشْرِينَ مَا عَلَيْكَ أَنْ تَعْمَلَ فِي اللَّيْلَتَيْنِ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 الْحَدِيثُ إِلَي مُحَمَّدِ بْنِ مُسْلِمٍ فِي الْغُسْلِ وَ يَوْمَ الْعِيدَيْنِ وَ إِذَا دَخَلْتَ الْحَرَمَيْنِ</w:t>
      </w:r>
    </w:p>
    <w:p>
      <w:pPr>
        <w:pStyle w:val="BookText"/>
        <w:rPr/>
      </w:pPr>
      <w:r>
        <w:rPr>
          <w:rFonts w:ascii="IRNazanin" w:hAnsi="IRNazanin" w:eastAsia="IRNazanin"/>
          <w:color w:val="111111"/>
          <w:sz w:val="28"/>
          <w:sz w:val="28"/>
          <w:szCs w:val="28"/>
          <w:rtl w:val="true"/>
          <w:lang w:bidi="fa-IR"/>
        </w:rPr>
        <w:t>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غالباً لمس کردن دیگر جانداران به این صورت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پشم، مو و کرک لمس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 غسل نمودن برای شخص لمس کننده به صورت مطلق برداشته شده است، و إلّا غسل فقط با لمس قسمت هایی که حیات در آن ها جریان دارد واجب می گردد؛و این نظری است که کسی آن را بیان نکرده است</w:t>
      </w:r>
      <w:r>
        <w:rPr>
          <w:rFonts w:eastAsia="IRNazanin" w:cs="IRNazanin"/>
          <w:color w:val="111111"/>
          <w:sz w:val="28"/>
          <w:szCs w:val="28"/>
          <w:rtl w:val="true"/>
          <w:lang w:bidi="fa-IR"/>
        </w:rPr>
        <w:t>.</w:t>
      </w:r>
    </w:p>
    <w:p>
      <w:pPr>
        <w:pStyle w:val="Heading5"/>
        <w:numPr>
          <w:ilvl w:val="4"/>
          <w:numId w:val="1"/>
        </w:numPr>
        <w:rPr/>
      </w:pPr>
      <w:bookmarkStart w:id="61" w:name="__RefHeading___Toc604968_1934241801"/>
      <w:bookmarkStart w:id="62" w:name="_Toc28"/>
      <w:bookmarkEnd w:id="61"/>
      <w:r>
        <w:rPr>
          <w:rtl w:val="true"/>
        </w:rPr>
        <w:t xml:space="preserve">روایت </w:t>
      </w:r>
      <w:r>
        <w:rPr/>
        <w:t>5</w:t>
      </w:r>
      <w:bookmarkEnd w:id="62"/>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در چهارده موضع انجام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میّت، غسل جنابت، غسل غسل دهنده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مسّ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غسل روز جمعه، غسل روز عید فطر و عید قربان و روز عرفه، غسل إحرام، غسل وارد شدن به خانه کعبه، غسل وارد شدن به مدینه منوّره و مسجد الحرام، غسل زیارت، غسل شب نوزدهم، بیست ویکم و بیست وسوم ماه مبارک رمضان</w:t>
      </w:r>
      <w:r>
        <w:rPr>
          <w:rFonts w:eastAsia="IRNazanin" w:cs="IRNazanin"/>
          <w:color w:val="111111"/>
          <w:sz w:val="28"/>
          <w:szCs w:val="28"/>
          <w:rtl w:val="true"/>
          <w:lang w:bidi="fa-IR"/>
        </w:rPr>
        <w:t>.</w:t>
      </w:r>
      <w:r>
        <w:rPr>
          <w:rStyle w:val="FootnoteAnchor"/>
          <w:rtl w:val="true"/>
        </w:rPr>
        <w:footnoteReference w:id="23"/>
      </w:r>
    </w:p>
    <w:p>
      <w:pPr>
        <w:pStyle w:val="Heading5"/>
        <w:numPr>
          <w:ilvl w:val="4"/>
          <w:numId w:val="1"/>
        </w:numPr>
        <w:rPr/>
      </w:pPr>
      <w:bookmarkStart w:id="63" w:name="__RefHeading___Toc604970_1934241801"/>
      <w:bookmarkStart w:id="64" w:name="_Toc29"/>
      <w:bookmarkEnd w:id="63"/>
      <w:r>
        <w:rPr>
          <w:rtl w:val="true"/>
        </w:rPr>
        <w:t>توضیح</w:t>
      </w:r>
      <w:bookmarkEnd w:id="64"/>
    </w:p>
    <w:p>
      <w:pPr>
        <w:pStyle w:val="BookText"/>
        <w:rPr/>
      </w:pPr>
      <w:r>
        <w:rPr>
          <w:rFonts w:ascii="IRNazanin" w:hAnsi="IRNazanin" w:eastAsia="IRNazanin"/>
          <w:color w:val="111111"/>
          <w:sz w:val="28"/>
          <w:sz w:val="28"/>
          <w:szCs w:val="28"/>
          <w:rtl w:val="true"/>
          <w:lang w:bidi="fa-IR"/>
        </w:rPr>
        <w:t xml:space="preserve">هیچ اختلاف نظری بر سر وجوب غسل میّت، غسل جنابت و غسل مسّ میت وجود ندارد، ولی غسل اخیر فقط بر لمس کننده جسد میّت واجب می باشد و مطلق نیست و روایت بر این نکته دلالت می کند که مقلّب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میت را جابجا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دهنده آن است بلکه وی همان غسل دهنده است و مشهور این است که کسی که آب را بر جسد میّت می ریزد غسل دهنده است، و فائده این مسأله در نیت و نذر و مانند آن نمایان می شود و نظر مشهور این است که این غسل واجب است، حال آنکه سیّد معتقد است مستحبّ می باشد، و نظر مشهور قوی تر است، همچنین عده ای از فقها نظر به وجوب غسل جمعه و احرام دارند، ولی نظر مشهور مستحبّ بودن آن هاست، و باقی غسل ها مستحبّ هستند</w:t>
      </w:r>
      <w:r>
        <w:rPr>
          <w:rFonts w:eastAsia="IRNazanin" w:cs="IRNazanin"/>
          <w:color w:val="111111"/>
          <w:sz w:val="28"/>
          <w:szCs w:val="28"/>
          <w:rtl w:val="true"/>
          <w:lang w:bidi="fa-IR"/>
        </w:rPr>
        <w:t>.</w:t>
      </w:r>
    </w:p>
    <w:p>
      <w:pPr>
        <w:pStyle w:val="Heading5"/>
        <w:numPr>
          <w:ilvl w:val="4"/>
          <w:numId w:val="1"/>
        </w:numPr>
        <w:rPr/>
      </w:pPr>
      <w:bookmarkStart w:id="65" w:name="__RefHeading___Toc604972_1934241801"/>
      <w:bookmarkStart w:id="66" w:name="_Toc30"/>
      <w:bookmarkEnd w:id="65"/>
      <w:r>
        <w:rPr>
          <w:rtl w:val="true"/>
        </w:rPr>
        <w:t xml:space="preserve">روایت </w:t>
      </w:r>
      <w:r>
        <w:rPr/>
        <w:t>6</w:t>
      </w:r>
      <w:bookmarkEnd w:id="66"/>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در هفده موضع انجام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هفدهم ماه رمضان که شب بدر و رویارویی دو گروه مسلمانان و مشرکان است، شب نوزدهم که در آن تعداد افرادی که در طول سال به حج مشرف می شوند نوشته می شود، شب بیست ویکم که در آن اوصیای پیامبران علیهم السلام وفات نمودند و عیسی بن مریم علیه السلام به آسمان عروج کرد و روح موسی علیه السلام ستانده شد، و شب بیست و سوم که امید می رود شب قدر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أبی عبدالله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بیست و چهارم ماه رمضان غسل کن، چه می شود بر تو که در هر دو شب اعمال را به جا آوری</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حدیث به ذکر موارد باقیمانده غسل ها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روز عید فطر و عید قربان، </w:t>
      </w:r>
      <w:bookmarkStart w:id="67" w:name="pg13517_329037"/>
    </w:p>
    <w:p>
      <w:pPr>
        <w:pStyle w:val="BookText"/>
        <w:rPr/>
      </w:pPr>
      <w:bookmarkEnd w:id="67"/>
      <w:r>
        <w:rPr>
          <w:rFonts w:ascii="Amiri" w:hAnsi="Amiri" w:eastAsia="Amiri" w:cs="Amiri"/>
          <w:color w:val="111111"/>
          <w:sz w:val="28"/>
          <w:sz w:val="28"/>
          <w:szCs w:val="28"/>
          <w:rtl w:val="true"/>
          <w:lang w:bidi="ar-SA"/>
        </w:rPr>
        <w:t>وَ يَوْمَ تُحْرِمُ وَ يَوْمَ الزِّيَارَةِ وَ يَوْمَ تَدْخُلُ الْبَيْتَ وَ يَوْمَ التَّرْوِيَةِ وَ يَوْمَ عَرَفَةَ وَ غُسْلَ الْمَيِّتِ وَ إِذَا غَسَّلْتَ مَيِّتاً أَوْ كَفَّنْتَهُ أَوْ مَسِسْتَهُ بَعْدَ مَا يَبْرُدُ وَ يَوْمَ الْجُمُعَةِ وَ غُسْلَ الْكُسُوفِ إِذَا احْتَرَقَ الْقُرْصُ كُلُّهُ فَاسْتَيْقَظْتَ وَ لَمْ تَصِلْ فَاغْتَسِلْ وَ اقْضِ الصَّلَاةَ</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 w:name="__RefHeading___Toc604974_1934241801"/>
      <w:bookmarkStart w:id="69" w:name="_Toc31"/>
      <w:bookmarkEnd w:id="68"/>
      <w:r>
        <w:rPr>
          <w:rtl w:val="true"/>
        </w:rPr>
        <w:t>توضيح</w:t>
      </w:r>
      <w:bookmarkEnd w:id="69"/>
    </w:p>
    <w:p>
      <w:pPr>
        <w:pStyle w:val="BookText"/>
        <w:rPr/>
      </w:pPr>
      <w:r>
        <w:rPr>
          <w:rFonts w:ascii="Amiri" w:hAnsi="Amiri" w:eastAsia="Amiri" w:cs="Amiri"/>
          <w:color w:val="111111"/>
          <w:sz w:val="28"/>
          <w:sz w:val="28"/>
          <w:szCs w:val="28"/>
          <w:rtl w:val="true"/>
          <w:lang w:bidi="ar-SA"/>
        </w:rPr>
        <w:t>لعل الغرض عد أغسال الرجال فلذا لم يذكر أغسال الدماء الثلاثة و ربما كان الاقتصار علي ذكر بعض الأغسال المسنونة لشدة الاهتمام بشأنها و إلا فهي تقرب من الستين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يخفي أن الأغسال التي تضمنها تسعة عشر فلعله عليه السلام عد الغسل في قوله يوم العيدين و إذا دخلت الحرمين غسلين لا أربعة أو أن غرضه عليه السلام تعداد الأغسال المسنونة فغسل الميت و غسل مسه غير داخلين في العدد و إن دخلا في الذكر أو أن يكون غسل من غسل ميتا أو كفنه أو مسه واحدا و لعله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بالتقاء الجمعين تلاقي فئتي المسلمين و المشركين للقتال يوم بدر و الوفد بفتح الواو و إسكان الفاء جمع وافد كصحب و صاحب و هم الجماعة القادمون علي الأعاظم برسالة أو حاجة و نحوها و المراد بهم هاهنا من قدر لهم أن يحجوا في تلك السنة و المراد بالحرمين حرما مكة و المدينة و قيل و يمكن أن يراد بهما نفس البلدين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يحرم يعم إحرام الحج و العمرة و الظاهر أن المراد بالزيارة زيارة البيت لطواف الزيارة و عمم الأصحاب ليشمل زيارة النبي صلي الله عليه و آله و الأئمة صلوات الله عليهم و لا حاجة إليه لورود أخبار كثيرة لخصوصها و قوله أو كفنه قيل المراد إرادة التكفين أي يستحب إيقاع غسل المس قبل التكفين و قيل باستحباب الغسل لتغسيل الميت و تكفينه قبلهما و إن لم يمس و ظاهر الخبر لزوم الغسل بعد تكفين الميت و يمكن حمله علي الاستحباب كما يظهر من غيره أيضا استحباب الغسل للمس بعد الغسل أو علي ميت لم يغسل و إن تيمم فإن الظاهر وجوب الغسل لمسه و لا يبعد هذا الحمل كثيرا بل مقابلته للتغسيل ربما يومي إلي ذلك و في بعض النسخ بالواو</w:t>
      </w:r>
    </w:p>
    <w:p>
      <w:pPr>
        <w:pStyle w:val="BookText"/>
        <w:rPr/>
      </w:pPr>
      <w:r>
        <w:rPr>
          <w:rFonts w:ascii="IRNazanin" w:hAnsi="IRNazanin" w:eastAsia="IRNazanin"/>
          <w:color w:val="111111"/>
          <w:sz w:val="28"/>
          <w:sz w:val="28"/>
          <w:szCs w:val="28"/>
          <w:rtl w:val="true"/>
          <w:lang w:bidi="fa-IR"/>
        </w:rPr>
        <w:t>غسل هنگام ورود به مسجد الحرام و مسجد النبیّ، غسل إحرام، غسل زیارت، غسل روز ورود به بیت الله الحرام، غسل روز ترویه و روز عرفه، غسل میّت، غسل غسل دادن یا کفن کردن یا مسّ میّت بعد از سرد شدن آن، غسل روز جمعه، غسل کسوف آن گاه که قرص کامل خورشید گرفته شود، پس از خواب برخیزی در حالی که نماز آیات را به جا نیاورده ای، بنابراین غسل کن و قضای نماز را به جای آور</w:t>
      </w:r>
      <w:r>
        <w:rPr>
          <w:rFonts w:eastAsia="IRNazanin" w:cs="IRNazanin"/>
          <w:color w:val="111111"/>
          <w:sz w:val="28"/>
          <w:szCs w:val="28"/>
          <w:rtl w:val="true"/>
          <w:lang w:bidi="fa-IR"/>
        </w:rPr>
        <w:t>.</w:t>
      </w:r>
      <w:r>
        <w:rPr>
          <w:rStyle w:val="FootnoteAnchor"/>
          <w:rtl w:val="true"/>
        </w:rPr>
        <w:footnoteReference w:id="25"/>
      </w:r>
    </w:p>
    <w:p>
      <w:pPr>
        <w:pStyle w:val="Heading5"/>
        <w:numPr>
          <w:ilvl w:val="4"/>
          <w:numId w:val="1"/>
        </w:numPr>
        <w:rPr/>
      </w:pPr>
      <w:bookmarkStart w:id="70" w:name="__RefHeading___Toc604976_1934241801"/>
      <w:bookmarkStart w:id="71" w:name="_Toc32"/>
      <w:bookmarkEnd w:id="70"/>
      <w:r>
        <w:rPr>
          <w:rtl w:val="true"/>
        </w:rPr>
        <w:t>توضیح</w:t>
      </w:r>
      <w:bookmarkEnd w:id="71"/>
    </w:p>
    <w:p>
      <w:pPr>
        <w:pStyle w:val="BookText"/>
        <w:rPr/>
      </w:pPr>
      <w:r>
        <w:rPr>
          <w:rFonts w:ascii="IRNazanin" w:hAnsi="IRNazanin" w:eastAsia="IRNazanin"/>
          <w:color w:val="111111"/>
          <w:sz w:val="28"/>
          <w:sz w:val="28"/>
          <w:szCs w:val="28"/>
          <w:rtl w:val="true"/>
          <w:lang w:bidi="fa-IR"/>
        </w:rPr>
        <w:t xml:space="preserve">شاید هدف این حدیث برشمردن غسل های مردان باشد، بنابراین غسل خونهای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 و نفاس واستحاضه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است، و شاید بسنده کردن به ذکر برخی از غسل های سنّت به خاطر شدت توجه به شأن ومنزلت آن ها، و گرنه آن گونه که می دانی تعداد غسل ها نزدیک به شصت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پوشیده نیست که اگر تعداد غسل ها را نوزده مورد می یابیم شاید به خاطر آن است که امام علیه السلام غسل دو روز عید فطر و قربان و غسل وارد شدن به مسجد الحرام و مسجد النبیّ را دو غسل و نه چهار غسل به حساب آورده است، و یا شاید مقصود امام علیه السلام بر شمردن غسل های مستحبّ بوده است، پس غسل میّت و غسل مسّ میّت را با وجود ذکر کردن به شمار نیاورده است، یا غسل غسل کننده میّت و غسل کفن کننده و لمس کننده او را یک غسل به حساب آورده است، شاید این دلیل صحیح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التقاء الجمعین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رویارویی دو سپاه مسلمانان و مشرکان در روز بدر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گروهی که پیام یا حاجت و درخواست و امثال آن را به درگاه بزرگان می رسانند، و مقصود از این گروه در اینجا کسانی هستند که در طول سال به انجام فریضه حج مشرف می گردند؛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و مسجد النبیّ است، و گفته شده ممکن است مقصود، دو شهر مکّه و مدینه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إحرام، إحرام حجّ تمتّع و عمره را شامل می شود، و آشکار است که مقصود از زیارت، زیارت خانه خدا به قصد طواف است، و علمای شیعه زیارت را به صورت عمومی ذکر کرده اند تا زیارت مزار پیامبر صلّی الله علیه و آله و امامان علیهم السلام را نیز شامل شود، هر چند نیازی به ذکر آن ها وجود ندارد چرا که احادیث بسیاری به طور خاص در این زمینه روایت شده است؛ گفته شده منظور از این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کفن کردن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آوردن غسل مسّ قبل از کفن کردن مستحبّ است، همچنین گفته شده که غسل کردن قبل از غسل دادن میّت و کفن کردن او مستحبّ است هر چند که مسّ میّت نیز اتفاق نیفتاده باشد، ولی ظاهر حدیث بر وجوب غسل بعد از کفن کردن میّت دلالت دارد، و ممکن است مقصود حمل بر استحباب شود چنان که در مواضعی غیر از این، مستحبّ بودن غسل مسّ بعد از غسل میّت نیز ذکر شده است، و یا حمل بر میّتی شود که غسل داده نشده است هر چند تیمّم برای او انجام گرفته باشد، پس ظاهر آن است که به خاطر مسّ او غسل واجب شود؛ و این احتمال اخیر زیاد بعید به نظر نمی رسد بلکه چه بسا در مقابله قرار دادن آن با غسل کردن اشاره ای به این امر وجود دارد؛ در یکی از نسخه ها</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جای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w:t>
      </w:r>
      <w:bookmarkStart w:id="72" w:name="pg13517_329038"/>
    </w:p>
    <w:p>
      <w:pPr>
        <w:pStyle w:val="BookText"/>
        <w:rPr/>
      </w:pPr>
      <w:bookmarkEnd w:id="72"/>
      <w:r>
        <w:rPr>
          <w:rFonts w:ascii="Amiri" w:hAnsi="Amiri" w:eastAsia="Amiri" w:cs="Amiri"/>
          <w:color w:val="111111"/>
          <w:sz w:val="28"/>
          <w:sz w:val="28"/>
          <w:szCs w:val="28"/>
          <w:rtl w:val="true"/>
          <w:lang w:bidi="ar-SA"/>
        </w:rPr>
        <w:t>فيكون ذكر التكفين استطرادا و علي أكثر التقادير ذكر المس بعد ذلك تعميم بعد التخصيص و يفهم من بعض الأصحاب حمله علي ما بعد الغسل استحبابا و هو بعيد جدا و ربما يستأنس للسيد بأن عد غسل المس في سياق الأغسال المندوبة يدل علي استحبابه و غسل الميت ليس من أغسال الأحياء 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قوله عليه السلام يوم العيدين يومي إلي استحباب الغسل في تمام اليوم و يوم تحرم و أمثاله إلي أنه يكفي إيقاع الغسل في ذلك اليوم و إن لم يقارنه بل و إن تخلل الحدث كما هو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الأصحاب في غسل قاضي صلاة الكسوف فقال الشيخ في الجمل باستحبابه إذا احترق القرص كله و ترك الصلاة متعمدا و اختاره أكثر المتأخرين و اقتصر المفيد و علم الهدي علي تركها متعمدا من غير اشتراط استيعاب الاحتراق و نقل عن السيد في المسائل المصرية و أبي الصلاح و سلار القول بالوجوب و قال بعض المتأخرين باستحباب الغسل لأداء صلاة الكسوف مع احتراق القرص لأنه روي الشيخ في التهذيب‌</w:t>
      </w:r>
      <w:r>
        <w:rPr>
          <w:rStyle w:val="FootnoteAnchor"/>
          <w:rtl w:val="true"/>
        </w:rPr>
        <w:footnoteReference w:id="26"/>
      </w:r>
      <w:r>
        <w:rPr>
          <w:rFonts w:ascii="Amiri" w:hAnsi="Amiri" w:eastAsia="Amiri" w:cs="Amiri"/>
          <w:color w:val="111111"/>
          <w:sz w:val="28"/>
          <w:sz w:val="28"/>
          <w:szCs w:val="28"/>
          <w:rtl w:val="true"/>
          <w:lang w:bidi="ar-SA"/>
        </w:rPr>
        <w:t>هذه الرواية بسند صحيح و في آخرها هكذا و غسل الكسوف إذا احترق القرص كله فاغتسل و لعل الزيادة سقطت من الرواة و في الفقيه‌</w:t>
      </w:r>
      <w:r>
        <w:rPr>
          <w:rStyle w:val="FootnoteAnchor"/>
          <w:rtl w:val="true"/>
        </w:rPr>
        <w:footnoteReference w:id="27"/>
      </w:r>
      <w:r>
        <w:rPr>
          <w:rFonts w:ascii="Amiri" w:hAnsi="Amiri" w:eastAsia="Amiri" w:cs="Amiri"/>
          <w:color w:val="111111"/>
          <w:sz w:val="28"/>
          <w:sz w:val="28"/>
          <w:szCs w:val="28"/>
          <w:rtl w:val="true"/>
          <w:lang w:bidi="ar-SA"/>
        </w:rPr>
        <w:t>و الهداية</w:t>
      </w:r>
      <w:r>
        <w:rPr>
          <w:rStyle w:val="FootnoteAnchor"/>
          <w:rtl w:val="true"/>
        </w:rPr>
        <w:footnoteReference w:id="28"/>
      </w:r>
      <w:r>
        <w:rPr>
          <w:rFonts w:ascii="Amiri" w:hAnsi="Amiri" w:eastAsia="Amiri" w:cs="Amiri"/>
          <w:color w:val="111111"/>
          <w:sz w:val="28"/>
          <w:sz w:val="28"/>
          <w:szCs w:val="28"/>
          <w:rtl w:val="true"/>
          <w:lang w:bidi="ar-SA"/>
        </w:rPr>
        <w:t>أيضا رواه مرسلا موافقا لما هنا و زاد في آخره و غسل الجنابة فريضة و لذا لم يذكر القدماء الغسل للأداء</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604978_1934241801"/>
      <w:bookmarkStart w:id="74" w:name="_Toc33"/>
      <w:bookmarkEnd w:id="73"/>
      <w:r>
        <w:rPr>
          <w:rtl w:val="true"/>
        </w:rPr>
        <w:t>«</w:t>
      </w:r>
      <w:r>
        <w:rPr/>
        <w:t>7</w:t>
      </w:r>
      <w:r>
        <w:rPr>
          <w:rtl w:val="true"/>
        </w:rPr>
        <w:t>»</w:t>
      </w:r>
      <w:bookmarkEnd w:id="74"/>
    </w:p>
    <w:p>
      <w:pPr>
        <w:pStyle w:val="BookText"/>
        <w:rPr/>
      </w:pPr>
      <w:r>
        <w:rPr>
          <w:rFonts w:ascii="Amiri" w:hAnsi="Amiri" w:eastAsia="Amiri" w:cs="Amiri"/>
          <w:color w:val="111111"/>
          <w:sz w:val="28"/>
          <w:sz w:val="28"/>
          <w:szCs w:val="28"/>
          <w:rtl w:val="true"/>
          <w:lang w:bidi="ar-SA"/>
        </w:rPr>
        <w:t>كِتَابُ الْمَسَائِلِ، لِعَلِيِّ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مَسَّ مَيِّتاً عَلَيْهِ الْغُسْلُ قَالَ إِنْ كَانَ الْمَيِّتُ لَمْ يَبْرُدْ فَلَا غُسْلَ عَلَيْهِ وَ إِنْ كَانَ قَدْ بَرَدَ فَعَلَيْهِ الْغُسْلُ إِذَا مَسَّهُ‌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 w:name="__RefHeading___Toc604980_1934241801"/>
      <w:bookmarkStart w:id="76" w:name="_Toc34"/>
      <w:bookmarkEnd w:id="75"/>
      <w:r>
        <w:rPr>
          <w:rtl w:val="true"/>
        </w:rPr>
        <w:t>«</w:t>
      </w:r>
      <w:r>
        <w:rPr/>
        <w:t>8</w:t>
      </w:r>
      <w:r>
        <w:rPr>
          <w:rtl w:val="true"/>
        </w:rPr>
        <w:t>»</w:t>
      </w:r>
      <w:bookmarkEnd w:id="76"/>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الزِّنْدِيقِ الَّذِي سَأَلَ الصَّادِقَ عليه السلام عَنْ مَسَائِلَ قَالَ</w:t>
      </w:r>
    </w:p>
    <w:p>
      <w:pPr>
        <w:pStyle w:val="BookText"/>
        <w:rPr/>
      </w:pPr>
      <w:r>
        <w:rPr>
          <w:rFonts w:ascii="IRNazanin" w:hAnsi="IRNazanin" w:eastAsia="IRNazanin"/>
          <w:color w:val="111111"/>
          <w:sz w:val="28"/>
          <w:sz w:val="28"/>
          <w:szCs w:val="28"/>
          <w:rtl w:val="true"/>
          <w:lang w:bidi="fa-IR"/>
        </w:rPr>
        <w:t xml:space="preserve">در این صورت ذکر کفن کردن استطراداً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سخن خود را از موضوع اصلی خارج کرد و به موضوع دیگری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اساس بیشتر تقادیر ذکر مسّ بعد از تکفین، ذکر عامّ بعد از خاصّ است؛ همچنین برخی از فقها ذکر غسل مسّ بعد از غسل میّت را نشانه ای بر مستحبّ بودن آن پنداشته اند که بسیار بعید به نظر می رسد، و چه بسا نظر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مطرح شود که بر شمردن غسل مسّ در جمله غسل های سنّت نشان دهنده مستحّب بودن آن است، وغسل میّت در چهارچوب غسل های زندگان نمی گنجد، و این رأی سیّد جای تأمل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العیدین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نکته اشاره دارد که غسل در تمام طول روز عید فطر و قربان مستحبّ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نشان دهنده این امر است که انجام غسل در آن روز کفایت می کند، اگر چه مقارن و همزمان با احرام نباشد و حتی اگر بین غسل و إحرام بستن با حدثی فاصله افتد همچنانکه غالباً این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فقهاء در مورد کسی که نماز آیاتش به هنگام کسوف قضا شده است اختلاف نظر دارند، شیخ مفید در کتاب الجمل بر این باور است که به هنگام گرفته شدن قرص کامل خورشید و ترک عمدی نماز آیات، به جا آوردن غسل مستحبّ است؛ بیشتر فقهای پس از شیخ این نظر را برگزیده اند، و شیخ مفید و علم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شرط عمدی بودن ترک نماز را ذکر کرده و کامل شدن قرص خورشید را به عنوان شرط مطرح نکرده اند، همچنین از سیّد در کتاب المسائل المصریّة و از ابو صلاح و از سلّار به قول به وجوب این غسل نقل شده است، برخی از فقهای معاصر نیز معتقدند که غسل کردن به منظور ادای نماز آیات هنگام گرفتگی قرص کامل خورشید مستحبّ است، چرا که شیخ طوسی در کتاب التهذیب این روایت را با سند صحیح ذکر کرده است،</w:t>
      </w:r>
      <w:r>
        <w:rPr>
          <w:rStyle w:val="FootnoteAnchor"/>
          <w:rtl w:val="true"/>
        </w:rPr>
        <w:footnoteReference w:id="30"/>
      </w:r>
      <w:r>
        <w:rPr>
          <w:rFonts w:ascii="IRNazanin" w:hAnsi="IRNazanin" w:eastAsia="IRNazanin"/>
          <w:color w:val="111111"/>
          <w:sz w:val="28"/>
          <w:sz w:val="28"/>
          <w:szCs w:val="28"/>
          <w:rtl w:val="true"/>
          <w:lang w:bidi="fa-IR"/>
        </w:rPr>
        <w:t>که در پایان</w:t>
      </w:r>
    </w:p>
    <w:p>
      <w:pPr>
        <w:pStyle w:val="BookText"/>
        <w:rPr/>
      </w:pPr>
      <w:r>
        <w:rPr>
          <w:rFonts w:ascii="IRNazanin" w:hAnsi="IRNazanin" w:eastAsia="IRNazanin"/>
          <w:color w:val="111111"/>
          <w:sz w:val="28"/>
          <w:sz w:val="28"/>
          <w:szCs w:val="28"/>
          <w:rtl w:val="true"/>
          <w:lang w:bidi="fa-IR"/>
        </w:rPr>
        <w:t>آن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غسل الکسوف إذا احترق القرص کلّه، فاغتسل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کسوف، آن گاه که قرص خورشید به صورت کامل گرفته شد غسل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وشاید که ای زیادت از آخر روایت توسط راویان حذف شده باشد، همچنین در دو کتاب الفقیه</w:t>
      </w:r>
      <w:r>
        <w:rPr>
          <w:rStyle w:val="FootnoteAnchor"/>
          <w:rtl w:val="true"/>
        </w:rPr>
        <w:footnoteReference w:id="31"/>
      </w:r>
      <w:r>
        <w:rPr>
          <w:rFonts w:ascii="IRNazanin" w:hAnsi="IRNazanin" w:eastAsia="IRNazanin"/>
          <w:color w:val="111111"/>
          <w:sz w:val="28"/>
          <w:sz w:val="28"/>
          <w:szCs w:val="28"/>
          <w:rtl w:val="true"/>
          <w:lang w:bidi="fa-IR"/>
        </w:rPr>
        <w:t>و الهدایة</w:t>
      </w:r>
      <w:r>
        <w:rPr>
          <w:rStyle w:val="FootnoteAnchor"/>
          <w:rtl w:val="true"/>
        </w:rPr>
        <w:footnoteReference w:id="32"/>
      </w:r>
      <w:r>
        <w:rPr>
          <w:rFonts w:ascii="IRNazanin" w:hAnsi="IRNazanin" w:eastAsia="IRNazanin"/>
          <w:color w:val="111111"/>
          <w:sz w:val="28"/>
          <w:sz w:val="28"/>
          <w:szCs w:val="28"/>
          <w:rtl w:val="true"/>
          <w:lang w:bidi="fa-IR"/>
        </w:rPr>
        <w:t>این روایت به صورت مرسل و موافق با آنچه در اینجا ذکر گردید نقل شده است، ودر پایان آن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غسل الجنابة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جنابت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قدما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را برای أداء ذکر نکرده اند</w:t>
      </w:r>
      <w:r>
        <w:rPr>
          <w:rFonts w:eastAsia="IRNazanin" w:cs="IRNazanin"/>
          <w:color w:val="111111"/>
          <w:sz w:val="28"/>
          <w:szCs w:val="28"/>
          <w:rtl w:val="true"/>
          <w:lang w:bidi="fa-IR"/>
        </w:rPr>
        <w:t>.</w:t>
      </w:r>
    </w:p>
    <w:p>
      <w:pPr>
        <w:pStyle w:val="Heading5"/>
        <w:numPr>
          <w:ilvl w:val="4"/>
          <w:numId w:val="1"/>
        </w:numPr>
        <w:rPr/>
      </w:pPr>
      <w:bookmarkStart w:id="77" w:name="__RefHeading___Toc604982_1934241801"/>
      <w:bookmarkStart w:id="78" w:name="_Toc35"/>
      <w:bookmarkEnd w:id="77"/>
      <w:r>
        <w:rPr>
          <w:rtl w:val="true"/>
        </w:rPr>
        <w:t xml:space="preserve">روایت </w:t>
      </w:r>
      <w:r>
        <w:rPr/>
        <w:t>7</w:t>
      </w:r>
      <w:bookmarkEnd w:id="78"/>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کاظم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غسل بر مردی که میّتی را لمس کند واجب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جسد میّت سرد نشده نباشد غسل بر لمس کننده او واجب نیست، ولی اگر جسد میّت سرد شده باشد غسل بر لمس کننده او واجب است</w:t>
      </w:r>
      <w:r>
        <w:rPr>
          <w:rFonts w:eastAsia="IRNazanin" w:cs="IRNazanin"/>
          <w:color w:val="111111"/>
          <w:sz w:val="28"/>
          <w:szCs w:val="28"/>
          <w:rtl w:val="true"/>
          <w:lang w:bidi="fa-IR"/>
        </w:rPr>
        <w:t>.</w:t>
      </w:r>
      <w:r>
        <w:rPr>
          <w:rStyle w:val="FootnoteAnchor"/>
          <w:rtl w:val="true"/>
        </w:rPr>
        <w:footnoteReference w:id="33"/>
      </w:r>
    </w:p>
    <w:p>
      <w:pPr>
        <w:pStyle w:val="Heading5"/>
        <w:numPr>
          <w:ilvl w:val="4"/>
          <w:numId w:val="1"/>
        </w:numPr>
        <w:rPr/>
      </w:pPr>
      <w:bookmarkStart w:id="79" w:name="__RefHeading___Toc604984_1934241801"/>
      <w:bookmarkStart w:id="80" w:name="_Toc36"/>
      <w:bookmarkEnd w:id="79"/>
      <w:r>
        <w:rPr>
          <w:rtl w:val="true"/>
        </w:rPr>
        <w:t xml:space="preserve">روایت </w:t>
      </w:r>
      <w:r>
        <w:rPr/>
        <w:t>8</w:t>
      </w:r>
      <w:bookmarkEnd w:id="80"/>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که به ذکر سؤالهای شخص زندیق از امام صادق علیه السلام پرداخته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زندیق از </w:t>
      </w:r>
      <w:bookmarkStart w:id="81" w:name="pg13517_329039"/>
    </w:p>
    <w:p>
      <w:pPr>
        <w:pStyle w:val="BookText"/>
        <w:rPr/>
      </w:pPr>
      <w:bookmarkEnd w:id="81"/>
      <w:r>
        <w:rPr>
          <w:rFonts w:ascii="Amiri" w:hAnsi="Amiri" w:eastAsia="Amiri" w:cs="Amiri"/>
          <w:color w:val="111111"/>
          <w:sz w:val="28"/>
          <w:sz w:val="28"/>
          <w:szCs w:val="28"/>
          <w:rtl w:val="true"/>
          <w:lang w:bidi="ar-SA"/>
        </w:rPr>
        <w:t xml:space="preserve">لَهُ أَخْبِرْنِي عَنِ الْمَجُوسِ كَانُوا أَقْرَبَ إِلَي الصَّوَابِ فِي دِينِهِمْ أَمِ الْعَرَبُ فِي الْجَاهِلِيَّةِ قَالَ الْعَرَبُ كَانَتْ أَقْرَبَ إِلَي الدِّينِ الْحَنِيفِيِّ مِنَ الْمَجُوسِ وَ ذَلِكَ أَنَّ الْمَجُوسَ كَفَرَتْ بِكُلِّ 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أَنْ قَالَ وَ كَانَتِ الْمَجُوسُ لَا تَغْتَسِلُ مِنَ الْجَنَابَةِ وَ الْعَرَبُ تَغْتَسِلُ وَ الِاغْتِسَالُ مِنْ خَالِصِ شَرَائِعِ الْحَنِيفِيَّةِ وَ كَانَتِ الْمَجُوسُ لَا تَخْتَتِنُ وَ هُوَ مِنْ سُنَنِ الْأَنْبِيَاءِ وَ إِنَّ أَوَّلَ مَنْ فَعَلَ ذَلِكَ إِبْرَاهِيمُ الْخَلِيلُ وَ كَانَتِ الْمَجُوسُ لَا تُغَسِّلُ مَوْتَاهَا وَ لَا تُكَفِّنُهَا وَ كَانَتِ الْعَرَبُ تَفْعَلُ ذَلِكَ وَ كَانَتِ الْمَجُوسُ تَرْمِي بِالْمَوْتَي فِي الصَّحَارِي وَ النَّوَاوِيسِ وَ الْعَرَبُ تُوَارِيهَا فِي قُبُورِهَا وَ كَذَلِكَ السُّنَّةُ عَنِ الرُّسُلِ وَ إِنَّ أَوَّلَ مَنْ حُفِرَ لَهُ 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أَبُو الْبَشَرِ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الْمَجُوسُ تَأْتِي الْأُمَّهَاتِ وَ تَنْكِحُ الْأَخَوَاتِ وَ الْبَنَاتِ وَ حَرَّمَتْ ذَلِكَ الْعَرَبُ وَ أَنْكَرَتِ الْمَجُوسُ بَيْتَ الْمَقْدِسِ وَ سَمَّوْهُ بَيْتَ الشَّيْطَانِ وَ الْعَرَبُ كَانَتْ تَحُجُّهُ وَ تُعَظِّمُهُ وَ تَقُولُ بَيْتُ رَبِّنَا وَ كَانَتِ الْعَرَبُ فِي كُلِّ الْأَشْيَاءِ أَقْرَبَ إِلَي الدِّينِ الْحَنِيفِيِّ مِنَ 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أَنْ قَالَ فَمَا عِلَّةُ غُسْلِ الْجَنَابَةِ وَ إِنَّمَا أَتَي الْحَلَالَ وَ لَيْسَ مِنَ الْحَلَالِ تَدْنِيسٌ قَالَ عليه السلام إِنَّ الْجَنَابَةَ بِمَنْزِلَةِ الْحَيْضِ وَ ذَلِكَ أَنَّ النُّطْفَةَ دَمٌ لَمْ يَسْتَحْكَمْ وَ لَا يَكُونُ الْجِمَاعُ إِلَّا بِحَرَكَةٍ شَدِيدَةٍ وَ شَهْوَةٍ غَالِبَةٍ فَإِذَا فَرَغَ تَنَفَّسَ الْبَدَنُ وَ وَجَدَ الرَّجُلُ مِنْ نَفْسِهِ رَائِحَةً كَرِيهَةً فَوَجَبَ الْغُسْلُ لِذَلِكَ وَ غُسْلُ الْجَنَابَةِ مَعَ ذَلِكَ أَمَانَةٌ ائْتَمَنَ اللَّهُ عَلَيْهَا عَبِيدَهُ لِيَخْتَبِرَهُمْ بِهَا</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 w:name="__RefHeading___Toc604986_1934241801"/>
      <w:bookmarkStart w:id="83" w:name="_Toc37"/>
      <w:bookmarkEnd w:id="82"/>
      <w:r>
        <w:rPr>
          <w:rtl w:val="true"/>
        </w:rPr>
        <w:t>بيان</w:t>
      </w:r>
      <w:bookmarkEnd w:id="83"/>
    </w:p>
    <w:p>
      <w:pPr>
        <w:pStyle w:val="BookText"/>
        <w:rPr/>
      </w:pPr>
      <w:r>
        <w:rPr>
          <w:rFonts w:ascii="Amiri" w:hAnsi="Amiri" w:eastAsia="Amiri" w:cs="Amiri"/>
          <w:color w:val="111111"/>
          <w:sz w:val="28"/>
          <w:sz w:val="28"/>
          <w:szCs w:val="28"/>
          <w:rtl w:val="true"/>
          <w:lang w:bidi="ar-SA"/>
        </w:rPr>
        <w:t>لعل المراد بتنفس البدن العرق في القاموس تنفس الموج نضح الماء</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604988_1934241801"/>
      <w:bookmarkStart w:id="85" w:name="_Toc38"/>
      <w:bookmarkEnd w:id="84"/>
      <w:r>
        <w:rPr>
          <w:rtl w:val="true"/>
        </w:rPr>
        <w:t>«</w:t>
      </w:r>
      <w:r>
        <w:rPr/>
        <w:t>9</w:t>
      </w:r>
      <w:r>
        <w:rPr>
          <w:rtl w:val="true"/>
        </w:rPr>
        <w:t>»</w:t>
      </w:r>
      <w:bookmarkEnd w:id="85"/>
    </w:p>
    <w:p>
      <w:pPr>
        <w:pStyle w:val="BookText"/>
        <w:rPr/>
      </w:pPr>
      <w:r>
        <w:rPr>
          <w:rFonts w:ascii="Amiri" w:hAnsi="Amiri" w:eastAsia="Amiri" w:cs="Amiri"/>
          <w:color w:val="111111"/>
          <w:sz w:val="28"/>
          <w:sz w:val="28"/>
          <w:szCs w:val="28"/>
          <w:rtl w:val="true"/>
          <w:lang w:bidi="ar-SA"/>
        </w:rPr>
        <w:t>الْخِصَالُ، عَنْ أَحْمَدَ بْنِ مُحَمَّدِ بْنِ هَيْثَمٍ وَ أَحْمَدَ بْنِ الْحَسَنِ الْقَطَّانِ وَ مُحَمَّدِ بْنِ أَحْمَدَ السِّنَانِيِّ وَ الْحُسَيْنِ بْنِ إِبْرَاهِيمَ الْمُكَتِّبِ وَ عَبْدِ اللَّهِ بْنِ مُحَمَّدٍ الصَّائِغِ وَ عَلِيِّ بْنِ عَبْدِ اللَّهِ الْوَرَّاقِ جَمِيعاً عَنْ أَحْمَدَ بْنِ يَحْيَي بْنِ زَكَرِيَّا عَنْ بَكْرِ بْنِ عَبْدِ اللَّهِ بْنِ</w:t>
      </w:r>
    </w:p>
    <w:p>
      <w:pPr>
        <w:pStyle w:val="BookText"/>
        <w:rPr/>
      </w:pP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احوال مجوسیان آگاه ساز که آیا آنان در دین داری به راه صواب نزدیک تر بوده اند یا قوم عرب در زمان جاهلیّت؟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عرب از مجوسیان به دین حنیف نزدیک تر بوده اند، این بدان سبب است که مجوسیان به تمام پیامبران کفر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مجوسیان به هنگام جنابت غسل نمی کردند حال آنکه قوم عرب غسل می کردند، و غسل کردن از جمله اعمال اساسی در شریعت ها و ادیان حنیف است؛ همچنین مجوسیان از ختنه کردن که از جمله سنّت پیامبران است نیز سر باز می زدند و ابراهیم خلیل نخستین کسی بود که به این کار مبادرت ورزید؛ مجوسیان مردگان خویش را غسل نمی دادند ولی قوم عرب غسل می دادند؛ همچنین مجوسیان اجساد مردگانشان را به صحراها و بیابانها می افکندند در حالی که قوم عرب اجساد مردگان خویش را در قبرها پنهان می کردند، و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کردن مردگان در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پیامبران است و آدم ابوالبشر علیه السلام نخستین کسی است که قبر برایش حفر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مجوسیان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انجام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مادران خویش می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خواهران و دخترانشان را به عقد خویش در می آوردند، در حالی که قوم عرب این عمل را حرام می دانستند؛ مجوسیان بیت المقدس را انکار کرده و آن را خانه شیطان می نامیدند، حال آنکه قوم عرب به زیارت آنجا می رفتند و گرامی اش می داشتند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خانه پروردگار ماست؛ در تمام امور، قوم عرب از مجوسیان به دین حنیف نزدیک 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زندیق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غسل جنابت چیست، حال آنکه شخص نزد همسر حلال خود می رود و در نزدیکی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آلودگی وجود ندارد؟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جنابت به منزله حیض است، به این ترتیب که نطفه خونی است که استوار و محکم نگشته است و جماع و مباشرت جز با حرکت شدید و شهوت غالب حادث نمی شود، پس آن گاه که شخص از جماع فارغ می گردد بدن نفسی می کشد و شخص بوی بدی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احساس می کند، و به همین خاطر غسل واجب شده است، با این وجود غسل جنابت امانتی است که خداوند آن را نزد بندگانش قرار داده تا آنان را به وسیله آن بیازماید</w:t>
      </w:r>
      <w:r>
        <w:rPr>
          <w:rFonts w:eastAsia="IRNazanin" w:cs="IRNazanin"/>
          <w:color w:val="111111"/>
          <w:sz w:val="28"/>
          <w:szCs w:val="28"/>
          <w:rtl w:val="true"/>
          <w:lang w:bidi="fa-IR"/>
        </w:rPr>
        <w:t>.</w:t>
      </w:r>
      <w:r>
        <w:rPr>
          <w:rStyle w:val="FootnoteAnchor"/>
          <w:rtl w:val="true"/>
        </w:rPr>
        <w:footnoteReference w:id="35"/>
      </w:r>
    </w:p>
    <w:p>
      <w:pPr>
        <w:pStyle w:val="Heading5"/>
        <w:numPr>
          <w:ilvl w:val="4"/>
          <w:numId w:val="1"/>
        </w:numPr>
        <w:rPr/>
      </w:pPr>
      <w:bookmarkStart w:id="86" w:name="__RefHeading___Toc604990_1934241801"/>
      <w:bookmarkStart w:id="87" w:name="_Toc39"/>
      <w:bookmarkEnd w:id="86"/>
      <w:r>
        <w:rPr>
          <w:rtl w:val="true"/>
        </w:rPr>
        <w:t>توضیح</w:t>
      </w:r>
      <w:bookmarkEnd w:id="87"/>
    </w:p>
    <w:p>
      <w:pPr>
        <w:pStyle w:val="BookText"/>
        <w:rPr/>
      </w:pPr>
      <w:r>
        <w:rPr>
          <w:rFonts w:ascii="IRNazanin" w:hAnsi="IRNazanin" w:eastAsia="IRNazanin"/>
          <w:color w:val="111111"/>
          <w:sz w:val="28"/>
          <w:sz w:val="28"/>
          <w:szCs w:val="28"/>
          <w:rtl w:val="true"/>
          <w:lang w:bidi="fa-IR"/>
        </w:rPr>
        <w:t>شاید مراد از تنفس بدن، عرق کردن بدن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تنفّس الموج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تراوش کرد و پاشیده شد</w:t>
      </w:r>
      <w:r>
        <w:rPr>
          <w:rFonts w:eastAsia="IRNazanin" w:cs="IRNazanin"/>
          <w:color w:val="111111"/>
          <w:sz w:val="28"/>
          <w:szCs w:val="28"/>
          <w:rtl w:val="true"/>
          <w:lang w:bidi="fa-IR"/>
        </w:rPr>
        <w:t>.</w:t>
      </w:r>
    </w:p>
    <w:p>
      <w:pPr>
        <w:pStyle w:val="Heading5"/>
        <w:numPr>
          <w:ilvl w:val="4"/>
          <w:numId w:val="1"/>
        </w:numPr>
        <w:rPr/>
      </w:pPr>
      <w:bookmarkStart w:id="88" w:name="__RefHeading___Toc604992_1934241801"/>
      <w:bookmarkStart w:id="89" w:name="_Toc40"/>
      <w:bookmarkEnd w:id="88"/>
      <w:r>
        <w:rPr>
          <w:rtl w:val="true"/>
        </w:rPr>
        <w:t xml:space="preserve">روایت </w:t>
      </w:r>
      <w:r>
        <w:rPr/>
        <w:t>9</w:t>
      </w:r>
      <w:bookmarkEnd w:id="8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bookmarkStart w:id="90" w:name="pg13517_329040"/>
    </w:p>
    <w:p>
      <w:pPr>
        <w:pStyle w:val="BookText"/>
        <w:rPr/>
      </w:pPr>
      <w:bookmarkEnd w:id="90"/>
      <w:r>
        <w:rPr>
          <w:rFonts w:ascii="Amiri" w:hAnsi="Amiri" w:eastAsia="Amiri" w:cs="Amiri"/>
          <w:color w:val="111111"/>
          <w:sz w:val="28"/>
          <w:sz w:val="28"/>
          <w:szCs w:val="28"/>
          <w:rtl w:val="true"/>
          <w:lang w:bidi="ar-SA"/>
        </w:rPr>
        <w:t>حَبِيبٍ عَنْ تَمِيمِ بْنِ بُهْلُولٍ عَنْ أَبِي مُعَاوِيَةَ عَنِ الْأَعْمَشِ عَنِ الصَّادِقِ عليه السلام فِي خَبَرٍ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الْأَغْسَالُ مِنْهَا غُسْلُ الْجَنَابَةِ وَ الْحَيْضِ وَ غُسْلُ الْمَيِّتِ وَ غُسْلُ مَنْ مَسَّ الْمَيِّتَ بَعْدَ مَا يَبْرُدُ وَ غُسْلُ مَنْ غَسَّلَ الْمَيِّتَ وَ غُسْلُ يَوْمِ الْجُمُعَةِ وَ غُسْلُ الْعِيدَيْنِ وَ غُسْلُ دُخُولِ مَكَّةَ وَ غُسْلُ دُخُولِ الْمَدِينَةِ وَ غُسْلُ الزِّيَارَةِ وَ غُسْلُ الْإِحْرَامِ وَ غُسْلُ يَوْمِ عَرَفَةَ وَ غُسْلُ لَيْلَةِ سَبْعَ عَشْرَةَ مِنْ شَهْرِ رَمَضَانَ وَ غُسْلُ لَيْلَةِ تِسْعَ عَشْرَةَ مِنْ شَهْرِ رَمَضَانَ وَ غُسْلُ لَيْلَةِ إِحْدَي وَ عِشْرِينَ مِنْهُ وَ لَيْلَةِ ثَلَاثٍ وَ عِشْرِينَ مِنْهُ أَمَّا الْفَرْضُ فَغُسْلُ الْجَنَابَةِ وَ غُسْلُ الْجَنَابَةِ وَ الْحَيْضِ وَاحِدٌ</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 w:name="__RefHeading___Toc604994_1934241801"/>
      <w:bookmarkStart w:id="92" w:name="_Toc41"/>
      <w:bookmarkEnd w:id="91"/>
      <w:r>
        <w:rPr>
          <w:rtl w:val="true"/>
        </w:rPr>
        <w:t>بيان</w:t>
      </w:r>
      <w:bookmarkEnd w:id="92"/>
    </w:p>
    <w:p>
      <w:pPr>
        <w:pStyle w:val="BookText"/>
        <w:rPr/>
      </w:pPr>
      <w:r>
        <w:rPr>
          <w:rFonts w:ascii="Amiri" w:hAnsi="Amiri" w:eastAsia="Amiri" w:cs="Amiri"/>
          <w:color w:val="111111"/>
          <w:sz w:val="28"/>
          <w:sz w:val="28"/>
          <w:szCs w:val="28"/>
          <w:rtl w:val="true"/>
          <w:lang w:bidi="ar-SA"/>
        </w:rPr>
        <w:t>و غسل من غسل الميت تخصيص بعد التعميم إن حملناه علي الغسل بعده و يحتمل أن يكون المراد استحباب الغسل لتغسيل الميت قبله كما عرفت بل هو الظاهر للمقابلة و المراد بالفرض ما ظهر وجوبه من القرآن قوله عليه السلام و غسل الجنابة و الحيض واحد أي مثله في الكيفية أو يكفي غسل واحد لهما و علي الأول ربما يستدل به علي أنه لا يجب في غسل الحيض الوضوء و فيه خفاء</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604996_1934241801"/>
      <w:bookmarkStart w:id="94" w:name="_Toc42"/>
      <w:bookmarkEnd w:id="93"/>
      <w:r>
        <w:rPr>
          <w:rtl w:val="true"/>
        </w:rPr>
        <w:t>«</w:t>
      </w:r>
      <w:r>
        <w:rPr/>
        <w:t>10</w:t>
      </w:r>
      <w:r>
        <w:rPr>
          <w:rtl w:val="true"/>
        </w:rPr>
        <w:t>»</w:t>
      </w:r>
      <w:bookmarkEnd w:id="94"/>
    </w:p>
    <w:p>
      <w:pPr>
        <w:pStyle w:val="BookText"/>
        <w:rPr/>
      </w:pPr>
      <w:r>
        <w:rPr>
          <w:rFonts w:ascii="Amiri" w:hAnsi="Amiri" w:eastAsia="Amiri" w:cs="Amiri"/>
          <w:color w:val="111111"/>
          <w:sz w:val="28"/>
          <w:sz w:val="28"/>
          <w:szCs w:val="28"/>
          <w:rtl w:val="true"/>
          <w:lang w:bidi="ar-SA"/>
        </w:rPr>
        <w:t>الْعُيُونُ، عَنْ عَبْدِ الْوَاحِدِ بْنِ مُحَمَّدِ بْنِ عُبْدُوسٍ النَّيْسَابُورِيِّ عَنْ عَلِيِّ بْنِ مُحَمَّدِ بْنِ قُتَيْبَةَ عَنِ الْفَضْلِ بْنِ شَاذَانَ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لِلْمَأْمُونِ مِنْ شَرَائِعِ الدِّينِ قَالَ غُسْلُ يَوْمِ الْجُمُعَةِ سُنَّةٌ وَ غُسْلُ الْعِيدَيْنِ وَ غُسْلُ دُخُولِ مَكَّةَ وَ الْمَدِينَةِ وَ غُسْلُ الزِّيَارَةِ وَ غُسْلُ الْإِحْرَامِ وَ أَوَّلِ لَيْلَةٍ مِنْ شَهْرِ رَمَضَانَ وَ لَيْلَةِ سَبْعَةَ عَشَرَ وَ لَيْلَةِ تِسْعَةَ عَشَرَ وَ لَيْلَةِ إِحْدَي وَ عِشْرِينَ وَ لَيْلَةِ ثَلَاثٍ وَ عِشْرِينَ مِنْ شَهْرِ رَمَضَانَ هَذِهِ الْأَغْسَالُ سُنَّةٌ وَ غُسْلُ الْجَنَابَةِ فَرِيضَةٌ وَ غُسْلُ الْحَيْضِ مِثْلُهُ‌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 w:name="__RefHeading___Toc604998_1934241801"/>
      <w:bookmarkStart w:id="96" w:name="_Toc43"/>
      <w:bookmarkEnd w:id="95"/>
      <w:r>
        <w:rPr>
          <w:rtl w:val="true"/>
        </w:rPr>
        <w:t>بيان</w:t>
      </w:r>
      <w:bookmarkEnd w:id="96"/>
    </w:p>
    <w:p>
      <w:pPr>
        <w:pStyle w:val="BookText"/>
        <w:rPr/>
      </w:pPr>
      <w:r>
        <w:rPr>
          <w:rFonts w:ascii="Amiri" w:hAnsi="Amiri" w:eastAsia="Amiri" w:cs="Amiri"/>
          <w:color w:val="111111"/>
          <w:sz w:val="28"/>
          <w:sz w:val="28"/>
          <w:szCs w:val="28"/>
          <w:rtl w:val="true"/>
          <w:lang w:bidi="ar-SA"/>
        </w:rPr>
        <w:t>قوله عليه السلام مثله أي في الكيفية لا في كونه فرضا</w:t>
      </w:r>
      <w:r>
        <w:rPr>
          <w:rStyle w:val="FootnoteAnchor"/>
          <w:rtl w:val="true"/>
        </w:rPr>
        <w:footnoteReference w:id="38"/>
      </w:r>
      <w:r>
        <w:rPr>
          <w:rFonts w:ascii="IRNazanin" w:hAnsi="IRNazanin" w:eastAsia="IRNazanin"/>
          <w:color w:val="111111"/>
          <w:sz w:val="28"/>
          <w:sz w:val="28"/>
          <w:szCs w:val="28"/>
          <w:rtl w:val="true"/>
          <w:lang w:bidi="fa-IR"/>
        </w:rPr>
        <w:t>و الاستدلال</w:t>
      </w:r>
    </w:p>
    <w:p>
      <w:pPr>
        <w:pStyle w:val="BookText"/>
        <w:rPr/>
      </w:pPr>
      <w:r>
        <w:rPr>
          <w:rFonts w:ascii="IRNazanin" w:hAnsi="IRNazanin" w:eastAsia="IRNazanin"/>
          <w:color w:val="111111"/>
          <w:sz w:val="28"/>
          <w:sz w:val="28"/>
          <w:szCs w:val="28"/>
          <w:rtl w:val="true"/>
          <w:lang w:bidi="fa-IR"/>
        </w:rPr>
        <w:t>در ضمن حدیثی طولانی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ها متعددند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و حیض، غسل میّت، غسل مسّ میّت بعد از سرد شدن جسد، غسلِ غسل کننده میّت، غسل روز جمعه، غسل عید فطر و قربان، غسل وارد شدن به مکه، غسل وارد شدن به مدینه، غسل زیارت، غسل إحرام، غسل روز عرفه، غسل شب هفدهم، نوزدهم، بیست و یکم و بیست وسوّم ماه رمضان؛ امّا غسل واجب غسل جنابت است، و غسل جنابت و حیض یکسان هستند</w:t>
      </w:r>
      <w:r>
        <w:rPr>
          <w:rFonts w:eastAsia="IRNazanin" w:cs="IRNazanin"/>
          <w:color w:val="111111"/>
          <w:sz w:val="28"/>
          <w:szCs w:val="28"/>
          <w:rtl w:val="true"/>
          <w:lang w:bidi="fa-IR"/>
        </w:rPr>
        <w:t>.</w:t>
      </w:r>
      <w:r>
        <w:rPr>
          <w:rStyle w:val="FootnoteAnchor"/>
          <w:rtl w:val="true"/>
        </w:rPr>
        <w:footnoteReference w:id="39"/>
      </w:r>
    </w:p>
    <w:p>
      <w:pPr>
        <w:pStyle w:val="Heading5"/>
        <w:numPr>
          <w:ilvl w:val="4"/>
          <w:numId w:val="1"/>
        </w:numPr>
        <w:rPr/>
      </w:pPr>
      <w:bookmarkStart w:id="97" w:name="__RefHeading___Toc605000_1934241801"/>
      <w:bookmarkStart w:id="98" w:name="_Toc44"/>
      <w:bookmarkEnd w:id="97"/>
      <w:r>
        <w:rPr>
          <w:rtl w:val="true"/>
        </w:rPr>
        <w:t>توضیح</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من غَسَل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غسل را پس از غسل میّت بدانیم ذکر خاصّ بعد از عامّ است، همچنین ممکن است آن گونه که قبلاً آگاه گشتی مقصود، مستحبّ بودن غسل برای غسل کننده قبل از غسل میّت باشد، بلکه آن ظاهر است برای مقابله و مراد از فرض، آن است که وجوبش در قرآن پدیدار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غسل الجنابة و الحیض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و غسل حیض در کیفیّت انجام پذیرفتن یکسان هستند؛ یا یک غسل واحد برای هر دو کافیست، و بر اساس معنای نخست چنین استدلال می شود که وضو گرفتن بعد از غسل حیض واجب نیست، و در آن ایرادی است که مخفی است</w:t>
      </w:r>
      <w:r>
        <w:rPr>
          <w:rFonts w:eastAsia="IRNazanin" w:cs="IRNazanin"/>
          <w:color w:val="111111"/>
          <w:sz w:val="28"/>
          <w:szCs w:val="28"/>
          <w:rtl w:val="true"/>
          <w:lang w:bidi="fa-IR"/>
        </w:rPr>
        <w:t>.</w:t>
      </w:r>
    </w:p>
    <w:p>
      <w:pPr>
        <w:pStyle w:val="Heading5"/>
        <w:numPr>
          <w:ilvl w:val="4"/>
          <w:numId w:val="1"/>
        </w:numPr>
        <w:rPr/>
      </w:pPr>
      <w:bookmarkStart w:id="99" w:name="__RefHeading___Toc605002_1934241801"/>
      <w:bookmarkStart w:id="100" w:name="_Toc45"/>
      <w:bookmarkEnd w:id="99"/>
      <w:r>
        <w:rPr>
          <w:rtl w:val="true"/>
        </w:rPr>
        <w:t xml:space="preserve">روایت </w:t>
      </w:r>
      <w:r>
        <w:rPr/>
        <w:t>10</w:t>
      </w:r>
      <w:bookmarkEnd w:id="100"/>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نوشته های امام رضا علیه السلام به مأمون که به تبیین قوانین دین پرداخته اند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جمعه سنّت است، همچنین غسل روز عید فطر و قربان، غسل وارد شدن به مکه و مدینه، غسل زیارت، غسل إحرام، غسل شب اوّل، هفدهم، نوزدهم، بیست ویکم وبیست وسوم ماه رمضان، این غسل ها مستحبّ هستند، و غسل جنابت واجب است و غسل حیض نیز مانند آن است</w:t>
      </w:r>
      <w:r>
        <w:rPr>
          <w:rFonts w:eastAsia="IRNazanin" w:cs="IRNazanin"/>
          <w:color w:val="111111"/>
          <w:sz w:val="28"/>
          <w:szCs w:val="28"/>
          <w:rtl w:val="true"/>
          <w:lang w:bidi="fa-IR"/>
        </w:rPr>
        <w:t>.</w:t>
      </w:r>
      <w:r>
        <w:rPr>
          <w:rStyle w:val="FootnoteAnchor"/>
          <w:rtl w:val="true"/>
        </w:rPr>
        <w:footnoteReference w:id="40"/>
      </w:r>
    </w:p>
    <w:p>
      <w:pPr>
        <w:pStyle w:val="Heading5"/>
        <w:numPr>
          <w:ilvl w:val="4"/>
          <w:numId w:val="1"/>
        </w:numPr>
        <w:rPr/>
      </w:pPr>
      <w:bookmarkStart w:id="101" w:name="__RefHeading___Toc605004_1934241801"/>
      <w:bookmarkStart w:id="102" w:name="_Toc46"/>
      <w:bookmarkEnd w:id="101"/>
      <w:r>
        <w:rPr>
          <w:rtl w:val="true"/>
        </w:rPr>
        <w:t>توضیح</w:t>
      </w:r>
      <w:bookmarkEnd w:id="10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الحیض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حیض در کیفیّت انجام دادن مانند غسل جنابت است و نه در وجوب ، و استدلال کردن </w:t>
      </w:r>
      <w:bookmarkStart w:id="103" w:name="pg13517_329041"/>
    </w:p>
    <w:p>
      <w:pPr>
        <w:pStyle w:val="BookText"/>
        <w:rPr/>
      </w:pPr>
      <w:bookmarkEnd w:id="103"/>
      <w:r>
        <w:rPr>
          <w:rFonts w:ascii="Amiri" w:hAnsi="Amiri" w:eastAsia="Amiri" w:cs="Amiri"/>
          <w:color w:val="111111"/>
          <w:sz w:val="28"/>
          <w:sz w:val="28"/>
          <w:szCs w:val="28"/>
          <w:rtl w:val="true"/>
          <w:lang w:bidi="ar-SA"/>
        </w:rPr>
        <w:t>بلفظ السنة الواقعة في مقابلة الفرض علي استحباب تلك الأغسال مشكل</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605006_1934241801"/>
      <w:bookmarkStart w:id="105" w:name="_Toc47"/>
      <w:bookmarkEnd w:id="104"/>
      <w:r>
        <w:rPr>
          <w:rtl w:val="true"/>
        </w:rPr>
        <w:t>«</w:t>
      </w:r>
      <w:r>
        <w:rPr/>
        <w:t>11</w:t>
      </w:r>
      <w:r>
        <w:rPr>
          <w:rtl w:val="true"/>
        </w:rPr>
        <w:t>»</w:t>
      </w:r>
      <w:bookmarkEnd w:id="105"/>
    </w:p>
    <w:p>
      <w:pPr>
        <w:pStyle w:val="BookText"/>
        <w:rPr/>
      </w:pPr>
      <w:r>
        <w:rPr>
          <w:rFonts w:ascii="Amiri" w:hAnsi="Amiri" w:eastAsia="Amiri" w:cs="Amiri"/>
          <w:color w:val="111111"/>
          <w:sz w:val="28"/>
          <w:sz w:val="28"/>
          <w:szCs w:val="28"/>
          <w:rtl w:val="true"/>
          <w:lang w:bidi="ar-SA"/>
        </w:rPr>
        <w:t>الْبَصَائِرُ، لِلصَّفَّارِ عَنْ أَحْمَدَ بْنِ مُحَمَّدٍ عَنِ الْحُسَيْنِ بْنِ سَعِيدٍ عَنِ الْحَسَنِ بْنِ عَلِيٍّ عَنْ كَرَّامِ بْنِ عَمْرٍو عَنْ عَبْدِ اللَّهِ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الْوَزَغِ فَقَالَ هُوَ رِجْسٌ وَ هُوَ مَسْخٌ فَإِذَا قَتَلْتَهُ فَاغْتَسِلْ‌</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عن عبد الله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Heading5"/>
        <w:numPr>
          <w:ilvl w:val="4"/>
          <w:numId w:val="1"/>
        </w:numPr>
        <w:rPr/>
      </w:pPr>
      <w:bookmarkStart w:id="106" w:name="__RefHeading___Toc605008_1934241801"/>
      <w:bookmarkStart w:id="107" w:name="_Toc48"/>
      <w:bookmarkEnd w:id="106"/>
      <w:r>
        <w:rPr>
          <w:rtl w:val="true"/>
        </w:rPr>
        <w:t>بيان</w:t>
      </w:r>
      <w:bookmarkEnd w:id="107"/>
    </w:p>
    <w:p>
      <w:pPr>
        <w:pStyle w:val="BookText"/>
        <w:rPr/>
      </w:pPr>
      <w:r>
        <w:rPr>
          <w:rFonts w:ascii="Amiri" w:hAnsi="Amiri" w:eastAsia="Amiri" w:cs="Amiri"/>
          <w:color w:val="111111"/>
          <w:sz w:val="28"/>
          <w:sz w:val="28"/>
          <w:szCs w:val="28"/>
          <w:rtl w:val="true"/>
          <w:lang w:bidi="ar-SA"/>
        </w:rPr>
        <w:t>قال الصدوق رحمه الله في الفقيه‌</w:t>
      </w:r>
      <w:r>
        <w:rPr>
          <w:rStyle w:val="FootnoteAnchor"/>
          <w:rtl w:val="true"/>
        </w:rPr>
        <w:footnoteReference w:id="42"/>
      </w:r>
      <w:r>
        <w:rPr>
          <w:rFonts w:ascii="Amiri" w:hAnsi="Amiri" w:eastAsia="Amiri" w:cs="Amiri"/>
          <w:color w:val="111111"/>
          <w:sz w:val="28"/>
          <w:sz w:val="28"/>
          <w:szCs w:val="28"/>
          <w:rtl w:val="true"/>
          <w:lang w:bidi="ar-SA"/>
        </w:rPr>
        <w:t>و الهداية</w:t>
      </w:r>
      <w:r>
        <w:rPr>
          <w:rStyle w:val="FootnoteAnchor"/>
          <w:rtl w:val="true"/>
        </w:rPr>
        <w:footnoteReference w:id="43"/>
      </w:r>
      <w:r>
        <w:rPr>
          <w:rFonts w:ascii="Amiri" w:hAnsi="Amiri" w:eastAsia="Amiri" w:cs="Amiri"/>
          <w:color w:val="111111"/>
          <w:sz w:val="28"/>
          <w:sz w:val="28"/>
          <w:szCs w:val="28"/>
          <w:rtl w:val="true"/>
          <w:lang w:bidi="ar-SA"/>
        </w:rPr>
        <w:t>روي أن من قتل وزغا فعليه الغسل و قال بعض مشايخنا إن العلة في ذلك أنه يخرج عن ذنوبه فيغتسل منها و قال المحقق في المعتبر و عندي أن ما ذكره ابن بابويه ليس حجة و ما ذكره المعلل ليس طائلا لأنه لو صحت علته لما اختص الوزغة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ما رواه الصدوق مع هذه الرواية المؤيدة بعمل الأصحاب تكفيان لأدلة السنن و العلة نكتة مناسبة لا يلزم اطرادها</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605010_1934241801"/>
      <w:bookmarkStart w:id="109" w:name="_Toc49"/>
      <w:bookmarkEnd w:id="108"/>
      <w:r>
        <w:rPr>
          <w:rtl w:val="true"/>
        </w:rPr>
        <w:t>«</w:t>
      </w:r>
      <w:r>
        <w:rPr/>
        <w:t>12</w:t>
      </w:r>
      <w:r>
        <w:rPr>
          <w:rtl w:val="true"/>
        </w:rPr>
        <w:t>»</w:t>
      </w:r>
      <w:bookmarkEnd w:id="109"/>
    </w:p>
    <w:p>
      <w:pPr>
        <w:pStyle w:val="BookText"/>
        <w:rPr/>
      </w:pPr>
      <w:r>
        <w:rPr>
          <w:rFonts w:ascii="Amiri" w:hAnsi="Amiri" w:eastAsia="Amiri" w:cs="Amiri"/>
          <w:color w:val="111111"/>
          <w:sz w:val="28"/>
          <w:sz w:val="28"/>
          <w:szCs w:val="28"/>
          <w:rtl w:val="true"/>
          <w:lang w:bidi="ar-SA"/>
        </w:rPr>
        <w:t>رَوْضَةُ الْوَاعِظِينَ، عَنْ عَبْدِ اللَّهِ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غُسْلِ يَوْمِ عَرَفَةَ فِي الْأَمْصَارِ فَقَالَ اغْتَسِلْ أَيْنَمَا كُنْتَ‌</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 w:name="__RefHeading___Toc605012_1934241801"/>
      <w:bookmarkStart w:id="111" w:name="_Toc50"/>
      <w:bookmarkEnd w:id="110"/>
      <w:r>
        <w:rPr>
          <w:rtl w:val="true"/>
        </w:rPr>
        <w:t>«</w:t>
      </w:r>
      <w:r>
        <w:rPr/>
        <w:t>13</w:t>
      </w:r>
      <w:r>
        <w:rPr>
          <w:rtl w:val="true"/>
        </w:rPr>
        <w:t>»</w:t>
      </w:r>
      <w:bookmarkEnd w:id="111"/>
    </w:p>
    <w:p>
      <w:pPr>
        <w:pStyle w:val="BookText"/>
        <w:rPr/>
      </w:pPr>
      <w:r>
        <w:rPr>
          <w:rFonts w:ascii="Amiri" w:hAnsi="Amiri" w:eastAsia="Amiri" w:cs="Amiri"/>
          <w:color w:val="111111"/>
          <w:sz w:val="28"/>
          <w:sz w:val="28"/>
          <w:szCs w:val="28"/>
          <w:rtl w:val="true"/>
          <w:lang w:bidi="ar-SA"/>
        </w:rPr>
        <w:t>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بُكَيْرُ بْنُ أَعْيَنَ عَنِ الصَّادِقِ عليه السلام قَضَاءَ غُسْلِ لَيَالِي</w:t>
      </w:r>
    </w:p>
    <w:p>
      <w:pPr>
        <w:pStyle w:val="BookText"/>
        <w:rPr/>
      </w:pPr>
      <w:r>
        <w:rPr>
          <w:rFonts w:ascii="IRNazanin" w:hAnsi="IRNazanin" w:eastAsia="IRNazanin"/>
          <w:color w:val="111111"/>
          <w:sz w:val="28"/>
          <w:sz w:val="28"/>
          <w:szCs w:val="28"/>
          <w:rtl w:val="true"/>
          <w:lang w:bidi="fa-IR"/>
        </w:rPr>
        <w:t xml:space="preserve">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به این منظور که این غسل ها را مستحبّ بِپنداریم مشکل است</w:t>
      </w:r>
      <w:r>
        <w:rPr>
          <w:rFonts w:eastAsia="IRNazanin" w:cs="IRNazanin"/>
          <w:color w:val="111111"/>
          <w:sz w:val="28"/>
          <w:szCs w:val="28"/>
          <w:rtl w:val="true"/>
          <w:lang w:bidi="fa-IR"/>
        </w:rPr>
        <w:t>.</w:t>
      </w:r>
    </w:p>
    <w:p>
      <w:pPr>
        <w:pStyle w:val="Heading5"/>
        <w:numPr>
          <w:ilvl w:val="4"/>
          <w:numId w:val="1"/>
        </w:numPr>
        <w:rPr/>
      </w:pPr>
      <w:bookmarkStart w:id="112" w:name="__RefHeading___Toc605014_1934241801"/>
      <w:bookmarkStart w:id="113" w:name="_Toc51"/>
      <w:bookmarkEnd w:id="112"/>
      <w:r>
        <w:rPr>
          <w:rtl w:val="true"/>
        </w:rPr>
        <w:t xml:space="preserve">روایت </w:t>
      </w:r>
      <w:r>
        <w:rPr/>
        <w:t>11</w:t>
      </w:r>
      <w:bookmarkEnd w:id="113"/>
    </w:p>
    <w:p>
      <w:pPr>
        <w:pStyle w:val="BookText"/>
        <w:rPr/>
      </w:pP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طلحة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وزغ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مارمولک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وزغ، نجس و ناپاک و مسخ شده است، هرگاه آن را کُشتی غسل کن</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الخرایج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طلحه نظیر این روایت نقل شده است</w:t>
      </w:r>
      <w:r>
        <w:rPr>
          <w:rFonts w:eastAsia="IRNazanin" w:cs="IRNazanin"/>
          <w:color w:val="111111"/>
          <w:sz w:val="28"/>
          <w:szCs w:val="28"/>
          <w:rtl w:val="true"/>
          <w:lang w:bidi="fa-IR"/>
        </w:rPr>
        <w:t>.</w:t>
      </w:r>
    </w:p>
    <w:p>
      <w:pPr>
        <w:pStyle w:val="Heading5"/>
        <w:numPr>
          <w:ilvl w:val="4"/>
          <w:numId w:val="1"/>
        </w:numPr>
        <w:rPr/>
      </w:pPr>
      <w:bookmarkStart w:id="114" w:name="__RefHeading___Toc605016_1934241801"/>
      <w:bookmarkStart w:id="115" w:name="_Toc52"/>
      <w:bookmarkEnd w:id="114"/>
      <w:r>
        <w:rPr>
          <w:rtl w:val="true"/>
        </w:rPr>
        <w:t>توضیح</w:t>
      </w:r>
      <w:bookmarkEnd w:id="115"/>
    </w:p>
    <w:p>
      <w:pPr>
        <w:pStyle w:val="BookText"/>
        <w:rPr/>
      </w:pPr>
      <w:r>
        <w:rPr>
          <w:rFonts w:ascii="IRNazanin" w:hAnsi="IRNazanin" w:eastAsia="IRNazanin"/>
          <w:color w:val="111111"/>
          <w:sz w:val="28"/>
          <w:sz w:val="28"/>
          <w:szCs w:val="28"/>
          <w:rtl w:val="true"/>
          <w:lang w:bidi="fa-IR"/>
        </w:rPr>
        <w:t>شیخ صدوق رحمه الله در کتاب الفقیه</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الهدایة</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هر کسی وزغی را بکُشد باید غسل کند، و یکی از مشایخ 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غسل این است که شخص از گناهانش خارج می شود پس غسل آن را به جا می آورد،؛ و محقّق در کتاب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آنچه ابن بابویه ذکر کرده حجت ودلیل نیست و آنچه علت 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مشایخ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بی فایده است، چرا که اگر دلیل او صحیح باشد مختصّ وزغ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شیخ صدوق روایت کرده است به همراه این روایت که با عمل اصحاب تأیید شده است برای ادله سنت ها کافی است؛ و آن علت، نکته مناسبی است که نباید آن را نادیده گرفت</w:t>
      </w:r>
      <w:r>
        <w:rPr>
          <w:rFonts w:eastAsia="IRNazanin" w:cs="IRNazanin"/>
          <w:color w:val="111111"/>
          <w:sz w:val="28"/>
          <w:szCs w:val="28"/>
          <w:rtl w:val="true"/>
          <w:lang w:bidi="fa-IR"/>
        </w:rPr>
        <w:t>.</w:t>
      </w:r>
    </w:p>
    <w:p>
      <w:pPr>
        <w:pStyle w:val="Heading5"/>
        <w:numPr>
          <w:ilvl w:val="4"/>
          <w:numId w:val="1"/>
        </w:numPr>
        <w:rPr/>
      </w:pPr>
      <w:bookmarkStart w:id="116" w:name="__RefHeading___Toc605018_1934241801"/>
      <w:bookmarkStart w:id="117" w:name="_Toc53"/>
      <w:bookmarkEnd w:id="116"/>
      <w:r>
        <w:rPr>
          <w:rtl w:val="true"/>
        </w:rPr>
        <w:t xml:space="preserve">روایت </w:t>
      </w:r>
      <w:r>
        <w:rPr/>
        <w:t>12</w:t>
      </w:r>
      <w:bookmarkEnd w:id="117"/>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سیابه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غسل روز عرفه در شهر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در عرفات نبودیم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بودی غسل را به جا آور</w:t>
      </w:r>
      <w:r>
        <w:rPr>
          <w:rFonts w:eastAsia="IRNazanin" w:cs="IRNazanin"/>
          <w:color w:val="111111"/>
          <w:sz w:val="28"/>
          <w:szCs w:val="28"/>
          <w:rtl w:val="true"/>
          <w:lang w:bidi="fa-IR"/>
        </w:rPr>
        <w:t>.</w:t>
      </w:r>
      <w:r>
        <w:rPr>
          <w:rStyle w:val="FootnoteAnchor"/>
          <w:rtl w:val="true"/>
        </w:rPr>
        <w:footnoteReference w:id="48"/>
      </w:r>
    </w:p>
    <w:p>
      <w:pPr>
        <w:pStyle w:val="Heading5"/>
        <w:numPr>
          <w:ilvl w:val="4"/>
          <w:numId w:val="1"/>
        </w:numPr>
        <w:rPr/>
      </w:pPr>
      <w:bookmarkStart w:id="118" w:name="__RefHeading___Toc605020_1934241801"/>
      <w:bookmarkStart w:id="119" w:name="_Toc54"/>
      <w:bookmarkEnd w:id="118"/>
      <w:r>
        <w:rPr>
          <w:rtl w:val="true"/>
        </w:rPr>
        <w:t xml:space="preserve">روایت </w:t>
      </w:r>
      <w:r>
        <w:rPr/>
        <w:t>13</w:t>
      </w:r>
      <w:bookmarkEnd w:id="11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بکیر بن أعین انجام قضای غسل شبهای سه گانه </w:t>
      </w:r>
      <w:bookmarkStart w:id="120" w:name="pg13517_329042"/>
    </w:p>
    <w:p>
      <w:pPr>
        <w:pStyle w:val="BookText"/>
        <w:rPr/>
      </w:pPr>
      <w:bookmarkEnd w:id="120"/>
      <w:r>
        <w:rPr>
          <w:rFonts w:ascii="Amiri" w:hAnsi="Amiri" w:eastAsia="Amiri" w:cs="Amiri"/>
          <w:color w:val="111111"/>
          <w:sz w:val="28"/>
          <w:sz w:val="28"/>
          <w:szCs w:val="28"/>
          <w:rtl w:val="true"/>
          <w:lang w:bidi="ar-SA"/>
        </w:rPr>
        <w:t>الْإِفْرَادِ الثَّلَاثِ بَعْدَ الْفَجْرِ إِنْ فَاتَهُ لَيْلًا</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605022_1934241801"/>
      <w:bookmarkStart w:id="122" w:name="_Toc55"/>
      <w:bookmarkEnd w:id="121"/>
      <w:r>
        <w:rPr>
          <w:rtl w:val="true"/>
        </w:rPr>
        <w:t>بيان</w:t>
      </w:r>
      <w:bookmarkEnd w:id="122"/>
    </w:p>
    <w:p>
      <w:pPr>
        <w:pStyle w:val="BookText"/>
        <w:rPr/>
      </w:pPr>
      <w:r>
        <w:rPr>
          <w:rFonts w:ascii="Amiri" w:hAnsi="Amiri" w:eastAsia="Amiri" w:cs="Amiri"/>
          <w:color w:val="111111"/>
          <w:sz w:val="28"/>
          <w:sz w:val="28"/>
          <w:szCs w:val="28"/>
          <w:rtl w:val="true"/>
          <w:lang w:bidi="ar-SA"/>
        </w:rPr>
        <w:t>ربما يتوهم أنه اشتبه عليه ما رواه الشَّيْخُ فِي التَّهْذِيبِ‌</w:t>
      </w:r>
      <w:r>
        <w:rPr>
          <w:rStyle w:val="FootnoteAnchor"/>
          <w:rtl w:val="true"/>
        </w:rPr>
        <w:footnoteReference w:id="49"/>
      </w:r>
      <w:r>
        <w:rPr>
          <w:rFonts w:ascii="Amiri" w:hAnsi="Amiri" w:eastAsia="Amiri" w:cs="Amiri"/>
          <w:color w:val="111111"/>
          <w:sz w:val="28"/>
          <w:sz w:val="28"/>
          <w:szCs w:val="28"/>
          <w:rtl w:val="true"/>
          <w:lang w:bidi="ar-SA"/>
        </w:rPr>
        <w:t>عَنْ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فِي أَيِّ اللَّيَالِي أَغْتَسِلُ فِي شَهْرِ رَمَضَانَ قَالَ فِي تِسْعَ عَشْرَةَ وَ فِي إِحْدَي وَ عِشْرِينَ وَ فِي ثَلَاثٍ وَ عِشْرِينَ وَ الْغُسْلُ أَوَّلَ اللَّيْلِ قُلْتُ فَإِنْ نَامَ بَعْدَ الْغُسْلِ قَالَ هُوَ مِثْلُ غُسْلِ الْجُمُعَةِ إِذَا اغْتَسَلْتَ بَعْدَ الْفَجْرِ أَجْزَأَكَ وَ هُوَ مِنْ مِثْلِهِ بَعِيدٌ</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605024_1934241801"/>
      <w:bookmarkStart w:id="124" w:name="_Toc56"/>
      <w:bookmarkEnd w:id="123"/>
      <w:r>
        <w:rPr>
          <w:rtl w:val="true"/>
        </w:rPr>
        <w:t>«</w:t>
      </w:r>
      <w:r>
        <w:rPr/>
        <w:t>14</w:t>
      </w:r>
      <w:r>
        <w:rPr>
          <w:rtl w:val="true"/>
        </w:rPr>
        <w:t>»</w:t>
      </w:r>
      <w:bookmarkEnd w:id="124"/>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يَتَحَرَّكُ بَعْضُ أَسْنَانِهِ وَ هُوَ فِي الصَّلَاةِ هَلْ يَصْلُحُ لَهُ أَنْ يَنْزِعَهَا وَ يَطْرَحَهَا قَالَ إِنْ كَانَ لَا يَجِدُ دَماً فَلْيَنْزِعْهُ وَ لْيَرْمِ بِهِ وَ إِنْ كَانَ دَمِيَ فَلْيَنْصَرِفْ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سَأَلْتُهُ عَنِ الرَّجُلِ يَكُونُ لَهُ الثُّؤْلُولُ أَوْ يَنْتِفُ بَعْضَ لَحْمِهِ مِنْ ذَلِكَ الْجُرْحِ وَ يَطْرَحُهُ قَالَ إِنْ لَمْ يَتَخَوَّفْ أَنْ يَسِيلَ الدَّمُ فَلَا بَأْسَ وَ إِنْ تَخَوَّفَ أَنْ يَسِيلَ الدَّمُ فَلَا يَفْعَلْ وَ إِنْ فَعَلَ فَقَدْ نَقَضَ مِنْ ذَلِكَ الصَّلَاةِ وَ لَا يَنْقُضُ الْوُضُوءَ</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 w:name="__RefHeading___Toc605026_1934241801"/>
      <w:bookmarkStart w:id="126" w:name="_Toc57"/>
      <w:bookmarkEnd w:id="125"/>
      <w:r>
        <w:rPr>
          <w:rtl w:val="true"/>
        </w:rPr>
        <w:t>«</w:t>
      </w:r>
      <w:r>
        <w:rPr/>
        <w:t>15</w:t>
      </w:r>
      <w:r>
        <w:rPr>
          <w:rtl w:val="true"/>
        </w:rPr>
        <w:t>»</w:t>
      </w:r>
      <w:bookmarkEnd w:id="126"/>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مَسِسْتَ مَيِّتاً قَبْلَ الْغُسْلِ بِحَرَارَتِهِ فَلَا غُسْلَ عَلَيْكَ فَإِنْ مَسِسْتَ بَعْدَ مَا بَرَدَ فَعَلَيْكَ الْغُسْلُ وَ إِنْ مَسِسْتَ شَيْئاً مِنْ جَسَدِ مَنْ أَكَلَهُ السَّبُعُ فَعَلَيْكَ الْغُسْلُ إِنْ كَانَ فِيمَا مَسِسْتَ عَظْمٌ وَ مَا لَمْ يَكُنْ فِيهِ عَظْمٌ فَلَا غُسْلَ عَلَيْكَ فِي مَسِّهِ وَ إِنْ مَسِسْتَ مَيْتَةً فَاغْسِلْ يَدَيْكَ وَ لَيْسَ عَلَيْكَ غُسْلٌ إِنَّمَا يَجِبُ عَلَيْكَ ذَلِكَ فِي الْإِنْسَانِ وَحْدَهُ‌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نوزدهم، بیست و یکم و بیست وسوم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امام صادق علیه السلام بعد از طلوع فجر را در صورت موفق نشدن به انجام آن در طول شب روایت کرده است</w:t>
      </w:r>
      <w:r>
        <w:rPr>
          <w:rFonts w:eastAsia="IRNazanin" w:cs="IRNazanin"/>
          <w:color w:val="111111"/>
          <w:sz w:val="28"/>
          <w:szCs w:val="28"/>
          <w:rtl w:val="true"/>
          <w:lang w:bidi="fa-IR"/>
        </w:rPr>
        <w:t>.</w:t>
      </w:r>
    </w:p>
    <w:p>
      <w:pPr>
        <w:pStyle w:val="Heading5"/>
        <w:numPr>
          <w:ilvl w:val="4"/>
          <w:numId w:val="1"/>
        </w:numPr>
        <w:rPr/>
      </w:pPr>
      <w:bookmarkStart w:id="127" w:name="__RefHeading___Toc605028_1934241801"/>
      <w:bookmarkStart w:id="128" w:name="_Toc58"/>
      <w:bookmarkEnd w:id="127"/>
      <w:r>
        <w:rPr>
          <w:rtl w:val="true"/>
        </w:rPr>
        <w:t>توضیح</w:t>
      </w:r>
      <w:bookmarkEnd w:id="128"/>
    </w:p>
    <w:p>
      <w:pPr>
        <w:pStyle w:val="BookText"/>
        <w:rPr/>
      </w:pPr>
      <w:r>
        <w:rPr>
          <w:rFonts w:ascii="IRNazanin" w:hAnsi="IRNazanin" w:eastAsia="IRNazanin"/>
          <w:color w:val="111111"/>
          <w:sz w:val="28"/>
          <w:sz w:val="28"/>
          <w:szCs w:val="28"/>
          <w:rtl w:val="true"/>
          <w:lang w:bidi="fa-IR"/>
        </w:rPr>
        <w:t>چه بسا گمان می رود آنچه که شیخ طوسی در التهذیب</w:t>
      </w:r>
      <w:r>
        <w:rPr>
          <w:rStyle w:val="FootnoteAnchor"/>
          <w:rtl w:val="true"/>
        </w:rPr>
        <w:footnoteReference w:id="52"/>
      </w:r>
      <w:r>
        <w:rPr>
          <w:rFonts w:ascii="IRNazanin" w:hAnsi="IRNazanin" w:eastAsia="IRNazanin"/>
          <w:color w:val="111111"/>
          <w:sz w:val="28"/>
          <w:sz w:val="28"/>
          <w:szCs w:val="28"/>
          <w:rtl w:val="true"/>
          <w:lang w:bidi="fa-IR"/>
        </w:rPr>
        <w:t xml:space="preserve">روایت کرده بر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مشتبه شده است، در التهذیب روایت شده که بکیر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شب هایی از ماه رمضان غسل به جا آورم؟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شبهای نوزدهم، بیست و یکم و بیست وسوم، و غسل در آغاز شب انجام می پذیرد،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بعد از غسل بخوابد چه می 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غسل روز جمعه، اگر بعد از طلوع فجر غسل را به جا آوری خداوند از تو می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از کسی مثل او بعید است </w:t>
      </w:r>
      <w:r>
        <w:rPr>
          <w:rFonts w:eastAsia="IRNazanin" w:cs="IRNazanin"/>
          <w:color w:val="111111"/>
          <w:sz w:val="28"/>
          <w:szCs w:val="28"/>
          <w:rtl w:val="true"/>
          <w:lang w:bidi="fa-IR"/>
        </w:rPr>
        <w:t>.</w:t>
      </w:r>
    </w:p>
    <w:p>
      <w:pPr>
        <w:pStyle w:val="Heading5"/>
        <w:numPr>
          <w:ilvl w:val="4"/>
          <w:numId w:val="1"/>
        </w:numPr>
        <w:rPr/>
      </w:pPr>
      <w:bookmarkStart w:id="129" w:name="__RefHeading___Toc605030_1934241801"/>
      <w:bookmarkStart w:id="130" w:name="_Toc59"/>
      <w:bookmarkEnd w:id="129"/>
      <w:r>
        <w:rPr>
          <w:rtl w:val="true"/>
        </w:rPr>
        <w:t xml:space="preserve">روایت </w:t>
      </w:r>
      <w:r>
        <w:rPr/>
        <w:t>14</w:t>
      </w:r>
      <w:bookmarkEnd w:id="13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جعفر روایت شده که از برادرش امام موسی کاظم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که به نماز ایستاده حال آنکه یکی از دندان هایش لقّ است می تواند آن را از جا کنده و دور اندازد؟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خونریزی نداشته باشد می تواند آن را از جا کنده و دور اندازد، ولی اگر خونریزی داشته باشد باید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امام درباره مردی پرسیدم که ثؤلول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آیا می تواند قسمتی از گوشت آن زخم را کنده و دور اندازد؟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 آن نداشته نباشد که خون جاری شود اشکالی ندارد، ولی اگر بیم داشته باشد که خون جاری می شود نباید این کار را انجام دهد، و اگر به چنین کاری دست زند نماز با آن باطل می شود در حالی که وضو باطل نمی شود</w:t>
      </w:r>
      <w:r>
        <w:rPr>
          <w:rFonts w:eastAsia="IRNazanin" w:cs="IRNazanin"/>
          <w:color w:val="111111"/>
          <w:sz w:val="28"/>
          <w:szCs w:val="28"/>
          <w:rtl w:val="true"/>
          <w:lang w:bidi="fa-IR"/>
        </w:rPr>
        <w:t>.</w:t>
      </w:r>
      <w:r>
        <w:rPr>
          <w:rStyle w:val="FootnoteAnchor"/>
          <w:rtl w:val="true"/>
        </w:rPr>
        <w:footnoteReference w:id="53"/>
      </w:r>
    </w:p>
    <w:p>
      <w:pPr>
        <w:pStyle w:val="Heading5"/>
        <w:numPr>
          <w:ilvl w:val="4"/>
          <w:numId w:val="1"/>
        </w:numPr>
        <w:rPr/>
      </w:pPr>
      <w:bookmarkStart w:id="131" w:name="__RefHeading___Toc605032_1934241801"/>
      <w:bookmarkStart w:id="132" w:name="_Toc60"/>
      <w:bookmarkEnd w:id="131"/>
      <w:r>
        <w:rPr>
          <w:rtl w:val="true"/>
        </w:rPr>
        <w:t xml:space="preserve">روایت </w:t>
      </w:r>
      <w:r>
        <w:rPr/>
        <w:t>15</w:t>
      </w:r>
      <w:bookmarkEnd w:id="13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غسل دادن میّتی که هنوز دارای حرارت و گرما است جسد او را لمس کردی غسل بر تو واجب نمی شود، ولی اگر بعد از سرد شدن میّت جسد او را لمس کردی غسل بر تو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قسمتی از جسد کسی که توسط درّندگان خورده شده است را لمس کردی غسل بر تو واجب است، و این در صورتی است که استخوان در میان آنچه لمس کرده ای وجود داشته باشد، امّا اگر جسدی که توسط درّندگان خورده شده استخوان نداشت و تو لمس کردی غسل بر تو واجب نیست؛ همچنین اگر مرداری را لمس کردی فقط دستهایت را بشوی و هیچ گونه غسلی بر تو واجب نیست، غسل کردن فقط هنگام لمس میّتِ انسان انجام می پذیرد</w:t>
      </w:r>
      <w:r>
        <w:rPr>
          <w:rFonts w:eastAsia="IRNazanin" w:cs="IRNazanin"/>
          <w:color w:val="111111"/>
          <w:sz w:val="28"/>
          <w:szCs w:val="28"/>
          <w:rtl w:val="true"/>
          <w:lang w:bidi="fa-IR"/>
        </w:rPr>
        <w:t>.</w:t>
      </w:r>
      <w:r>
        <w:rPr>
          <w:rStyle w:val="FootnoteAnchor"/>
          <w:rtl w:val="true"/>
        </w:rPr>
        <w:footnoteReference w:id="54"/>
      </w:r>
      <w:bookmarkStart w:id="133" w:name="pg13517_329043"/>
    </w:p>
    <w:p>
      <w:pPr>
        <w:pStyle w:val="BookText"/>
        <w:rPr/>
      </w:pPr>
      <w:bookmarkEnd w:id="133"/>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اغْتَسَلْتَ مِنْ غُسْلِ الْمَيِّتِ فَتَوَضَّأْ ثُمَّ اغْتَسِلْ كَغُسْلِكَ مِنَ الْجَنَابَةِ وَ إِنْ نَسِيتَ الْغُسْلَ فَذَكَرْتَهُ بَعْدَ مَا صَلَّيْتَ فَاغْتَسِلْ وَ أَعِدْ صَلَاتَكَ‌</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 w:name="__RefHeading___Toc605034_1934241801"/>
      <w:bookmarkStart w:id="135" w:name="_Toc61"/>
      <w:bookmarkEnd w:id="134"/>
      <w:r>
        <w:rPr>
          <w:rtl w:val="true"/>
        </w:rPr>
        <w:t>بيان</w:t>
      </w:r>
      <w:bookmarkEnd w:id="135"/>
    </w:p>
    <w:p>
      <w:pPr>
        <w:pStyle w:val="BookText"/>
        <w:rPr/>
      </w:pPr>
      <w:r>
        <w:rPr>
          <w:rFonts w:ascii="Amiri" w:hAnsi="Amiri" w:eastAsia="Amiri" w:cs="Amiri"/>
          <w:color w:val="111111"/>
          <w:sz w:val="28"/>
          <w:sz w:val="28"/>
          <w:szCs w:val="28"/>
          <w:rtl w:val="true"/>
          <w:lang w:bidi="ar-SA"/>
        </w:rPr>
        <w:t>اشتراط البرد في وجوب الغسل مما لا خلاف فيه بين الأصحاب و أما القطعة ذات العظم فالمشهور بين الأصحاب وجوب الغسل بمسها سواء أبينت من حي أو ميت و نقل الشيخ إجماع الفرقة عليه و يظهر من بعض عباراتهم اختصاص الحكم بالمبانة من الميت و يحكي عن ابن الجنيد القول بوجوبه ما بينه و بين سنة و توقف فيه المحقق في المعتبر و أجاب عما استدلوا به من مرسلة أيوب بن نوح‌</w:t>
      </w:r>
      <w:r>
        <w:rPr>
          <w:rStyle w:val="FootnoteAnchor"/>
          <w:rtl w:val="true"/>
        </w:rPr>
        <w:footnoteReference w:id="56"/>
      </w:r>
      <w:r>
        <w:rPr>
          <w:rFonts w:ascii="Amiri" w:hAnsi="Amiri" w:eastAsia="Amiri" w:cs="Amiri"/>
          <w:color w:val="111111"/>
          <w:sz w:val="28"/>
          <w:sz w:val="28"/>
          <w:szCs w:val="28"/>
          <w:rtl w:val="true"/>
          <w:lang w:bidi="ar-SA"/>
        </w:rPr>
        <w:t>بأنها مقطوعة و العمل بها قليل و قال دعوي الشيخ الإجماع لم يثبت و غايته الاستحباب تفصيا من إطراح قول الشيخ و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هذا أن ما ذكره الشيخ لم يكن فتوي مشهورا بين قدماء الأصحاب و الأحوط العمل بالمشهور و هل العظم المجرد بحكم ذات العظم فيه قولان أقربهما العدم بل مع الاتصال أيضا يشكل الحكم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يدل علي اشتراط الصلاة بغسل المس كما هو ظاهر بعض الإطلاقات من الأصحاب و صرح جماعة من المحققين من المتأخرين بعدم المستند و الأحوط رعاية الاشتراط و إن كان إثبات مثل هذا الحكم بمجرد هذه الرواية لا يخلو من إشكال</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605036_1934241801"/>
      <w:bookmarkStart w:id="137" w:name="_Toc62"/>
      <w:bookmarkEnd w:id="136"/>
      <w:r>
        <w:rPr>
          <w:rtl w:val="true"/>
        </w:rPr>
        <w:t>«</w:t>
      </w:r>
      <w:r>
        <w:rPr/>
        <w:t>16</w:t>
      </w:r>
      <w:r>
        <w:rPr>
          <w:rtl w:val="true"/>
        </w:rPr>
        <w:t>»</w:t>
      </w:r>
      <w:bookmarkEnd w:id="137"/>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اغْتَسِلْ يَوْمَ عَرَفَةَ قَبْلَ الزَّوَالِ‌</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تَتَوَضَّأُ إِذَا أَدْخَلْتَ الْقَبْرَ الْمَيِّتَ وَ اغْتَسِلْ إِذَا غَسَّلْتَ وَ لَا</w:t>
      </w:r>
    </w:p>
    <w:p>
      <w:pPr>
        <w:pStyle w:val="BookText"/>
        <w:rPr/>
      </w:pPr>
      <w:r>
        <w:rPr>
          <w:rFonts w:ascii="IRNazanin" w:hAnsi="IRNazanin" w:eastAsia="IRNazanin"/>
          <w:color w:val="111111"/>
          <w:sz w:val="28"/>
          <w:sz w:val="28"/>
          <w:szCs w:val="28"/>
          <w:rtl w:val="true"/>
          <w:lang w:bidi="fa-IR"/>
        </w:rPr>
        <w:t>امام رضا علیه السلام 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خواستی از غسل میّت غسل کنی، نخست وضو بگیر سپس مانند غسل جنابت غسل را به جا آور، و اگر غسل را فراموش کردی و بعد از ادای نماز آن را به یاد آوردی، ابتدا غسل کن سپس نمازت را دوباره اقامه کن</w:t>
      </w:r>
      <w:r>
        <w:rPr>
          <w:rFonts w:eastAsia="IRNazanin" w:cs="IRNazanin"/>
          <w:color w:val="111111"/>
          <w:sz w:val="28"/>
          <w:szCs w:val="28"/>
          <w:rtl w:val="true"/>
          <w:lang w:bidi="fa-IR"/>
        </w:rPr>
        <w:t>.</w:t>
      </w:r>
      <w:r>
        <w:rPr>
          <w:rStyle w:val="FootnoteAnchor"/>
          <w:rtl w:val="true"/>
        </w:rPr>
        <w:footnoteReference w:id="58"/>
      </w:r>
    </w:p>
    <w:p>
      <w:pPr>
        <w:pStyle w:val="Heading5"/>
        <w:numPr>
          <w:ilvl w:val="4"/>
          <w:numId w:val="1"/>
        </w:numPr>
        <w:rPr/>
      </w:pPr>
      <w:bookmarkStart w:id="138" w:name="__RefHeading___Toc605038_1934241801"/>
      <w:bookmarkStart w:id="139" w:name="_Toc63"/>
      <w:bookmarkEnd w:id="138"/>
      <w:r>
        <w:rPr>
          <w:rtl w:val="true"/>
        </w:rPr>
        <w:t>توضیح</w:t>
      </w:r>
      <w:bookmarkEnd w:id="139"/>
    </w:p>
    <w:p>
      <w:pPr>
        <w:pStyle w:val="BookText"/>
        <w:rPr/>
      </w:pPr>
      <w:r>
        <w:rPr>
          <w:rFonts w:ascii="IRNazanin" w:hAnsi="IRNazanin" w:eastAsia="IRNazanin"/>
          <w:color w:val="111111"/>
          <w:sz w:val="28"/>
          <w:sz w:val="28"/>
          <w:szCs w:val="28"/>
          <w:rtl w:val="true"/>
          <w:lang w:bidi="fa-IR"/>
        </w:rPr>
        <w:t>شرط سرد شدن جسد میّت در واجب گرداندن غسل برای غسل کننده از جمله اموری است که در میان فقها بر سر آن اختلاف نظر وجود ندارد، امّا در مورد لمس کردن قسمتی از جسد میّتی که توسط درندگان خورده شده و دارای استخوان است، نظر مشهور در بین فقها بر وجوب غسل است و فرقی ندارد که آن استخوان از بدن شخص زنده جدا شده باشد یا مرده، و شیخ طوسی اجماع فقها را بر این نظر نقل کرده است، و از برخی عبارت هایشان ظاهر می شود این حکم به کنده شدن از مرده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جنید نقل است که قائل به وجوب است در نوسان بین وجوب و استحباب؛ و محقق در المعتبر در این زمینه توقف کرده و به استدلالی که به مرسله ابن نوح کرده اند پاسخ داده که آن مقطوعه است و عمل به آن اندک است و گفته است ادعای اجماع شیخ ثابت نشده است و غایت آن استحباب است اگر بخواهیم قول شیخ و روایت را کنار نگذاریم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ظاهر می شود که آنچه شیخ ذکر کرده فتوای مشهوری بین قدمای اصحاب نبوده است و احوط عمل به مشهور است و آیا استخوانِ تنها در حکم آن قطعه ای است که دارای استخوان است، در آن دو قول است که نزدیکترین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است، بلکه با اتصال نیز حکم به وجوب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روایت به اشتراط نماز با غسل مس دلالت دارد چنان که ظاهر برخی اطلاقات اصحاب است و جماعتی از محققین متأخر به نبودن مستند در این زمینه تصریح کرده اند و احوط رعایت اشتراط است هرچند اثبات چنین حکمی با این یک روایت خالی از اشکال نیست</w:t>
      </w:r>
      <w:r>
        <w:rPr>
          <w:rFonts w:eastAsia="IRNazanin" w:cs="IRNazanin"/>
          <w:color w:val="111111"/>
          <w:sz w:val="28"/>
          <w:szCs w:val="28"/>
          <w:rtl w:val="true"/>
          <w:lang w:bidi="fa-IR"/>
        </w:rPr>
        <w:t>.</w:t>
      </w:r>
    </w:p>
    <w:p>
      <w:pPr>
        <w:pStyle w:val="Heading5"/>
        <w:numPr>
          <w:ilvl w:val="4"/>
          <w:numId w:val="1"/>
        </w:numPr>
        <w:rPr/>
      </w:pPr>
      <w:bookmarkStart w:id="140" w:name="__RefHeading___Toc605040_1934241801"/>
      <w:bookmarkStart w:id="141" w:name="_Toc64"/>
      <w:bookmarkEnd w:id="140"/>
      <w:r>
        <w:rPr>
          <w:rtl w:val="true"/>
        </w:rPr>
        <w:t xml:space="preserve">روایت </w:t>
      </w:r>
      <w:r>
        <w:rPr/>
        <w:t>16</w:t>
      </w:r>
      <w:bookmarkEnd w:id="141"/>
    </w:p>
    <w:p>
      <w:pPr>
        <w:pStyle w:val="BookText"/>
        <w:rPr/>
      </w:pPr>
      <w:r>
        <w:rPr>
          <w:rFonts w:ascii="IRNazanin" w:hAnsi="IRNazanin" w:eastAsia="IRNazanin"/>
          <w:color w:val="111111"/>
          <w:sz w:val="28"/>
          <w:sz w:val="28"/>
          <w:szCs w:val="28"/>
          <w:rtl w:val="true"/>
          <w:lang w:bidi="fa-IR"/>
        </w:rPr>
        <w:t>امام رضا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زوال خورشید روز عرفه غسل آن روز را به جا آور</w:t>
      </w:r>
      <w:r>
        <w:rPr>
          <w:rFonts w:eastAsia="IRNazanin" w:cs="IRNazanin"/>
          <w:color w:val="111111"/>
          <w:sz w:val="28"/>
          <w:szCs w:val="28"/>
          <w:rtl w:val="true"/>
          <w:lang w:bidi="fa-IR"/>
        </w:rPr>
        <w:t>.</w:t>
      </w:r>
      <w:r>
        <w:rPr>
          <w:rStyle w:val="FootnoteAnchor"/>
          <w:rtl w:val="true"/>
        </w:rPr>
        <w:footnoteReference w:id="5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قصد نمودی میّت را در قبر بگذاری وضو بگیر، و هنگامی که او را غسل دادی غسل کن، </w:t>
      </w:r>
    </w:p>
    <w:p>
      <w:pPr>
        <w:pStyle w:val="BookText"/>
        <w:rPr/>
      </w:pPr>
      <w:r>
        <w:rPr>
          <w:rFonts w:ascii="Amiri" w:hAnsi="Amiri" w:eastAsia="Amiri" w:cs="Amiri"/>
          <w:color w:val="111111"/>
          <w:sz w:val="28"/>
          <w:sz w:val="28"/>
          <w:szCs w:val="28"/>
          <w:rtl w:val="true"/>
          <w:lang w:bidi="ar-SA"/>
        </w:rPr>
        <w:t>تَغْتَسِلْ إِذَا حَمَلْتَهُ‌</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رَحِمَكُمُ اللَّهُ أَنَّ غُسْلَ الْجَنَابَةِ فَرِيضَةٌ مِنْ فَرَائِضِ اللَّهِ جَلَّ وَ عَزَّ وَ أَنَّهُ لَيْسَ مِنَ الْغُسْلِ فَرْضٌ غَيْرُهُ وَ بَاقِي الْغُسْلِ سُنَّةٌ وَاجِبَةٌ وَ مِنْهَا سُنَّةٌ مَسْنُونَةٌ إِلَّا أَنَّ بَعْضَهَا أَلْزَمُ مِنْ بَعْضٍ وَ أَوْجَبُ مِنْ بَعْضٍ‌</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الْغُسْلُ ثَلَاثَةٌ وَ عِشْرُونَ مِنَ الْجَنَابَةِ وَ الْإِحْرَامِ وَ غُسْلُ الْمَيِّتِ وَ مَنْ غَسَّلَ الْمَيِّتَ وَ غُسْلُ الْجُمُعَةِ وَ غُسْلُ دُخُولِ الْمَدِينَةِ وَ غُسْلُ دُخُولِ الْحَرَمِ وَ غُسْلُ دُخُولِ مَكَّةَ وَ غُسْلُ زِيَارَةِ الْبَيْتِ وَ يَوْمِ عَرَفَةَ خَمْسِ لَيَالٍ مِنْ شَهْرِ رَمَضَانَ أَوَّلِ لَيْلَةٍ مِنْهُ وَ لَيْلَةِ سَبْعَةَ عَشَرَ وَ لَيْلَةِ تِسْعَةَ عَشَرَ وَ لَيْلَةِ إِحْدَي وَ عِشْرِينَ وَ لَيْلَةِ ثَلَاثٍ وَ عِشْرِينَ وَ دُخُولِ الْبَيْتِ وَ الْعِيدَيْنِ وَ لَيْلَةِ النِّصْفِ مِنْ شَعْبَانَ وَ غُسْلُ الزِّيَارَاتِ وَ غُسْلُ الِاسْتِخَارَةِ وَ غُسْلُ طَلَبِ الْحَوَائِجِ مِنَ اللَّهِ تَبَارَكَ وَ تَعَالَي وَ غُسْلُ يَوْمِ 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مِنْ ذَلِكَ غُسْلُ الْجَنَابَةِ وَ الْوَاجِبُ غُسْلُ الْمَيِّتِ وَ غُسْلُ الْإِحْرَامِ وَ الْبَاقِي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الْغُسْلَ أَرْبَعَةَ عَشَرَ وَجْهاً ثَلَاثٌ مِنْهَا غُسْلٌ وَاجِبٌ مَفْرُوضٌ مَتَي مَا نَسِيتَهُ ثُمَّ ذَكَرْتَهُ بَعْدَ الْوَقْتِ اغْتَسِلْ وَ إِنْ لَمْ تَجِدِ الْمَاءَ تَيَمَّمْ ثُمَّ إِنْ وَجَدْتَ الْمَاءَ فَعَلَيْكَ الْإِعَادَةُ وَ أَحَدَ عَشَرَ غُسْلًا سُنَّةٌ غُسْلُ الْعِيدَيْنِ وَ الْجُمُعَةِ وَ غُسْلُ الْإِحْرَامِ وَ يَوْمِ عَرَفَةَ وَ دُخُولِ مَكَّةَ وَ دُخُولِ الْمَدِينَةِ وَ زِيَارَةِ الْبَيْتِ وَ ثَلَاثِ لَيَالٍ مِنْ شَهْرِ رَمَضَانَ لَيْلَةِ تِسْعَ عَشْرَةَ وَ لَيْلَةِ إِحْدَي وَ عِشْرِينَ وَ لَيْلَةِ ثَلَاثٍ وَ عِشْرِينَ وَ مَتَي مَا نَسِيَ بَعْضَهَا أَوِ اضْطُرَّ أَوْ بِهِ عِلَّةٌ تَمْنَعُهُ مِنَ الْغُسْلِ فَلَا إِعَادَةَ عَلَيْهِ وَ أَدْنَي مَا يَكْفِيكَ وَ يُجْزِيكَ مِنَ الْمَاءِ مَاءٌ تَبُلُّ بِهِ جَسَدَكَ مِثْلَ الدُّهْنِ وَ قَدِ اغْتَسَلَ رَسُولُ اللَّهِ صلي الله عليه و آله وَ بَعْضُ نِسَائِهِ بِصَاعٍ مِنْ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يُسْتَحَبُّ غُسْلُ لَيْلَةِ إِحْدَي وَ عِشْرِينَ لِأَنَّهَا اللَّيْلَةُ الَّتِي رُفِعَ</w:t>
      </w:r>
    </w:p>
    <w:p>
      <w:pPr>
        <w:pStyle w:val="BookText"/>
        <w:rPr/>
      </w:pPr>
      <w:r>
        <w:rPr>
          <w:rFonts w:ascii="IRNazanin" w:hAnsi="IRNazanin" w:eastAsia="IRNazanin"/>
          <w:color w:val="111111"/>
          <w:sz w:val="28"/>
          <w:sz w:val="28"/>
          <w:szCs w:val="28"/>
          <w:rtl w:val="true"/>
          <w:lang w:bidi="fa-IR"/>
        </w:rPr>
        <w:t>ولی هنگامی که جسد او را حمل کردی نیازی به غسل نیست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امام رضا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ببخشاید، آگاه باشید که غسل جنابت واجبی از واجبات خداوند عزّ و جلّ است و غسل واجبی غیر از آن وجود ندارد و غسل های دیگر غسل های سنّت واجب هستند و برخی نیز سنّت های مستحبّ هستند، جز اینکه برخی از غسل ها از برخی دیگر واجب تر و لازم تر هستند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امام علیه السلام در ادامه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ها بیست و سه 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غسل إحرام، غسل میّت، غسل غسل کننده میّت، غسل جمعه، غسل وارد شدن به مدینه، غسل وارد شدن به مسجد الحرام، غسل وارد شدن به مکّه، غسل زیارت خانه کعبه، غسل روز عرفه، غسل شب های اوّل، هفدهم، نوزدهم، بیست ویکم و بیست وسوّم ماه رمضان، غسل وارد شدن به خانه کعبه، غسل روز عید فطر و قربان، غسل شب نیمه شعبان، غسل زیارت ها، غسل استخاره، غسل طلب حاجات از درگاه خداوند متعال و غسل روز عید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غسل از غسل های مذکور واجب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غسل میّت و غسل احرام؛ و غسل های دیگر مستحبّ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 شده که تعداد غسل ها چهارده است، سه غسل در جمله غسل های واجب و فرض شده قرار دارند که هرگاه به جا آوردنشان را فراموش کردی و بعد از گذشت زمانش به یاد آوردی آن ها را به جا بیاور، و در صورت نیافتن آب تیمّم کن و بعد از یافتن آب اعاده غسل بر تو واجب است، و تعداد غسل های مستحبّ یازده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عید فطر و قربان، غسل جمعه، غسل احرام، غسل روز عرفه، غسل وارد شدن به مکّه، غسل وارد شدن به مدینه، غسل زیارت خانه کعبه، غسل سه شب نوزدهم، بیست و یکم و بیست و سوّم از ماه رمضان؛ اگر کسی انجام این غسل ها را فراموش کند یا در شرایط اضطرار باشد و یا مبتلا به مرضی باشد که او را از انجام غسل منع کند لازم نیست که آن غسل ها را بعداً به جا آورد؛ و کم ترین مقدار آبی که تو را به منظور غسل کردن کفایت می کند آن مقداری است که تنها جسم تو را خیس کند مانند روغن مالیدن ، این در حالی است که رسول خدا صلّی الله علیه و آله و یکی از همسران ایشان با یک پیمانه آب غسل کرده 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روایت شده که غسل شب بیست و یکم از ماه رمضان مستحبّ است چرا که شبی است که در </w:t>
      </w:r>
      <w:bookmarkStart w:id="142" w:name="pg13517_329045"/>
    </w:p>
    <w:p>
      <w:pPr>
        <w:pStyle w:val="BookText"/>
        <w:rPr/>
      </w:pPr>
      <w:bookmarkEnd w:id="142"/>
      <w:r>
        <w:rPr>
          <w:rFonts w:ascii="Amiri" w:hAnsi="Amiri" w:eastAsia="Amiri" w:cs="Amiri"/>
          <w:color w:val="111111"/>
          <w:sz w:val="28"/>
          <w:sz w:val="28"/>
          <w:szCs w:val="28"/>
          <w:rtl w:val="true"/>
          <w:lang w:bidi="ar-SA"/>
        </w:rPr>
        <w:t>فِيهَا عِيسَي ابْنُ مَرْيَمَ صَلَوَاتُ اللَّهِ عَلَيْهِ وَ دُفِنَ أَمِيرُ الْمُؤْمِنِينَ عَلِيٌّ عليه السلام وَ هِيَ عِنْدَهُمْ لَيْلَةُ الْقَدْرِ وَ لَيْلَةُ ثَلَاثٍ وَ عِشْرِينَ هِيَ اللَّيْلَةُ الَّتِي يُرْجَي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صَامَ الرَّجُلُ ثَلَاثَةً وَ عِشْرِينَ مِنْ شَهْرِ رَمَضَانَ جَازَ لَهُ أَنْ يَذْهَبَ وَ يَجِي‌ءَ فِي أَسْفَارِهِ وَ لَيْلَةُ تِسْعَةَ عَشَرَ مِنْ شَهْرِ رَمَضَانَ هِيَ الَّتِي ضُرِبَ فِيهَا 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صَلَوَاتُ اللَّهِ عَلَيْهِ وَ يُسْتَحَبُّ فِيهَا الْغُسْلُ‌</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الْفَجْرُ مِنْ يَوْمِ الْعِيدِ فَاغْتَسِلْ وَ هُوَ أَوَّلُ أَوْقَاتِ الْغُسْلِ ثُمَّ إِلَي وَقْتِ الزَّوَالِ‌</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 w:name="__RefHeading___Toc605042_1934241801"/>
      <w:bookmarkStart w:id="144" w:name="_Toc65"/>
      <w:bookmarkEnd w:id="143"/>
      <w:r>
        <w:rPr>
          <w:rtl w:val="true"/>
        </w:rPr>
        <w:t>بيان</w:t>
      </w:r>
      <w:bookmarkEnd w:id="144"/>
    </w:p>
    <w:p>
      <w:pPr>
        <w:pStyle w:val="BookText"/>
        <w:rPr/>
      </w:pPr>
      <w:r>
        <w:rPr>
          <w:rFonts w:ascii="Amiri" w:hAnsi="Amiri" w:eastAsia="Amiri" w:cs="Amiri"/>
          <w:color w:val="111111"/>
          <w:sz w:val="28"/>
          <w:sz w:val="28"/>
          <w:szCs w:val="28"/>
          <w:rtl w:val="true"/>
          <w:lang w:bidi="ar-SA"/>
        </w:rPr>
        <w:t>قال الشهيد في الذكري الظاهر أن غسل العيدين ممتد بامتداد اليوم عملا بإطلاق اللفظ و يتخرج من تعليل الجمعة أنه إلي الصلاة أو إلي الزوال الذي هو وقت الصلاة العيد و هو ظاهر الأصحاب</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605044_1934241801"/>
      <w:bookmarkStart w:id="146" w:name="_Toc66"/>
      <w:bookmarkEnd w:id="145"/>
      <w:r>
        <w:rPr>
          <w:rtl w:val="true"/>
        </w:rPr>
        <w:t>«</w:t>
      </w:r>
      <w:r>
        <w:rPr/>
        <w:t>17</w:t>
      </w:r>
      <w:r>
        <w:rPr>
          <w:rtl w:val="true"/>
        </w:rPr>
        <w:t>»</w:t>
      </w:r>
      <w:bookmarkEnd w:id="146"/>
    </w:p>
    <w:p>
      <w:pPr>
        <w:pStyle w:val="BookText"/>
        <w:rPr/>
      </w:pPr>
      <w:r>
        <w:rPr>
          <w:rFonts w:ascii="Amiri" w:hAnsi="Amiri" w:eastAsia="Amiri" w:cs="Amiri"/>
          <w:color w:val="111111"/>
          <w:sz w:val="28"/>
          <w:sz w:val="28"/>
          <w:szCs w:val="28"/>
          <w:rtl w:val="true"/>
          <w:lang w:bidi="ar-SA"/>
        </w:rPr>
        <w:t>كِتَابُ سَلَّامِ بْنِ أَبِي عَمْرَةَ، عَنْ مَعْرُوفِ بْنِ خَرَّبُوذَ الْمَكِّيِّ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فَأَنْشَأْتُ الْحَدِيثَ فَذَكَرْتُ بَابَ الْقَدَرِ فَقَالَ لَا أَرَاكَ إِلَّا هُنَاكَ اخْرُجْ عَنِّي قَالَ قُلْتُ جُعِلْتُ فِدَاكَ إِنِّي أَتُوبُ مِنْهُ فَقَالَ لَا وَ اللَّهِ حَتَّي تَخْرُجَ إِلَي بَيْتِكَ وَ تَغْتَسِلَ وَ تَتُوبَ مِنْهُ إِلَي اللَّهِ كَمَا يَتُوبُ النَّصْرَانِيُّ مِنْ نَصْرَانِيَّتِهِ قَالَ فَفَعَلْتُ</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605046_1934241801"/>
      <w:bookmarkStart w:id="148" w:name="_Toc67"/>
      <w:bookmarkEnd w:id="147"/>
      <w:r>
        <w:rPr>
          <w:rtl w:val="true"/>
        </w:rPr>
        <w:t>«</w:t>
      </w:r>
      <w:r>
        <w:rPr/>
        <w:t>18</w:t>
      </w:r>
      <w:r>
        <w:rPr>
          <w:rtl w:val="true"/>
        </w:rPr>
        <w:t>»</w:t>
      </w:r>
      <w:bookmarkEnd w:id="148"/>
    </w:p>
    <w:p>
      <w:pPr>
        <w:pStyle w:val="BookText"/>
        <w:rPr/>
      </w:pPr>
      <w:r>
        <w:rPr>
          <w:rFonts w:ascii="Amiri" w:hAnsi="Amiri" w:eastAsia="Amiri" w:cs="Amiri"/>
          <w:color w:val="111111"/>
          <w:sz w:val="28"/>
          <w:sz w:val="28"/>
          <w:szCs w:val="28"/>
          <w:rtl w:val="true"/>
          <w:lang w:bidi="ar-SA"/>
        </w:rPr>
        <w:t>قُرْبُ الْإِسْنَادِ، عَنْ مُحَمَّدِ بْنِ الْوَلِيدِ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الْغُسْلِ فِي رَمَضَانَ وَ أَيَّ اللَّيَالِي أَغْتَسِلُ قَالَ تِسْعَ عَشْرَةَ وَ إِحْدَي وَ عِشْرِينَ وَ ثَلَاثٍ وَ عِشْرِينَ‌</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 w:name="__RefHeading___Toc605048_1934241801"/>
      <w:bookmarkStart w:id="150" w:name="_Toc68"/>
      <w:bookmarkEnd w:id="149"/>
      <w:r>
        <w:rPr>
          <w:rtl w:val="true"/>
        </w:rPr>
        <w:t>«</w:t>
      </w:r>
      <w:r>
        <w:rPr/>
        <w:t>19</w:t>
      </w:r>
      <w:r>
        <w:rPr>
          <w:rtl w:val="true"/>
        </w:rPr>
        <w:t>»</w:t>
      </w:r>
      <w:bookmarkEnd w:id="150"/>
    </w:p>
    <w:p>
      <w:pPr>
        <w:pStyle w:val="BookText"/>
        <w:rPr/>
      </w:pPr>
      <w:r>
        <w:rPr>
          <w:rFonts w:ascii="Amiri" w:hAnsi="Amiri" w:eastAsia="Amiri" w:cs="Amiri"/>
          <w:color w:val="111111"/>
          <w:sz w:val="28"/>
          <w:sz w:val="28"/>
          <w:szCs w:val="28"/>
          <w:rtl w:val="true"/>
          <w:lang w:bidi="ar-SA"/>
        </w:rPr>
        <w:t>الْخِصَالُ، عَنْ أَبِيهِ عَنْ سَعْدِ بْنِ عَبْدِ اللَّهِ عَنْ مُحَمَّدِ بْنِ عِيسَي الْيَقْطِينِيِ</w:t>
      </w:r>
    </w:p>
    <w:p>
      <w:pPr>
        <w:pStyle w:val="BookText"/>
        <w:rPr/>
      </w:pPr>
      <w:r>
        <w:rPr>
          <w:rFonts w:ascii="IRNazanin" w:hAnsi="IRNazanin" w:eastAsia="IRNazanin"/>
          <w:color w:val="111111"/>
          <w:sz w:val="28"/>
          <w:sz w:val="28"/>
          <w:szCs w:val="28"/>
          <w:rtl w:val="true"/>
          <w:lang w:bidi="fa-IR"/>
        </w:rPr>
        <w:t>آن عیسی بن مریم علیه السلام به سوی آسمان بالا برده شد، و امیر مؤمنان علی علیه السلام نیز در آن شب دفن گردید که نزد آنان شب قدر است، حال آنکه شب بیست و سوّم آن شبی است که امید می رود شب قدر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شخص بیست و سه روز از ماه رمضان را روزه گرفت جایز است که در سفرهایش برود و بیاید، و شب نوزدهم ماه رمضان همان شبی است که جدّمان امیر مؤمنان –درود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ضربت خورد، و غسل کردن در آن شب مستحبّ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سپیده روز عید دمید، غسل را به جا آور و این نخستین اوقات انجام غسل است، سپس تا زوال خورشید روز عید فرصت برای غسل باقی است</w:t>
      </w:r>
      <w:r>
        <w:rPr>
          <w:rFonts w:eastAsia="IRNazanin" w:cs="IRNazanin"/>
          <w:color w:val="111111"/>
          <w:sz w:val="28"/>
          <w:szCs w:val="28"/>
          <w:rtl w:val="true"/>
          <w:lang w:bidi="fa-IR"/>
        </w:rPr>
        <w:t>.</w:t>
      </w:r>
      <w:r>
        <w:rPr>
          <w:rStyle w:val="FootnoteAnchor"/>
          <w:rtl w:val="true"/>
        </w:rPr>
        <w:footnoteReference w:id="68"/>
      </w:r>
    </w:p>
    <w:p>
      <w:pPr>
        <w:pStyle w:val="Heading5"/>
        <w:numPr>
          <w:ilvl w:val="4"/>
          <w:numId w:val="1"/>
        </w:numPr>
        <w:rPr/>
      </w:pPr>
      <w:bookmarkStart w:id="151" w:name="__RefHeading___Toc605050_1934241801"/>
      <w:bookmarkStart w:id="152" w:name="_Toc69"/>
      <w:bookmarkEnd w:id="151"/>
      <w:r>
        <w:rPr>
          <w:rtl w:val="true"/>
        </w:rPr>
        <w:t>توضیح</w:t>
      </w:r>
      <w:bookmarkEnd w:id="152"/>
    </w:p>
    <w:p>
      <w:pPr>
        <w:pStyle w:val="BookText"/>
        <w:rPr/>
      </w:pPr>
      <w:r>
        <w:rPr>
          <w:rFonts w:ascii="IRNazanin" w:hAnsi="IRNazanin" w:eastAsia="IRNazanin"/>
          <w:color w:val="111111"/>
          <w:sz w:val="28"/>
          <w:sz w:val="28"/>
          <w:szCs w:val="28"/>
          <w:rtl w:val="true"/>
          <w:lang w:bidi="fa-IR"/>
        </w:rPr>
        <w:t>شهید در کتاب الذکری گقته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پیداست که غسل دو روز عید فطر و قربان تا پایان روز، انجام پذیر است از باب عمل به اطلاق لفظ عید، و از تعلیل روز جمعه چنین بر می آید که فرصت غسل تا هنگام برگزاری نماز یا تا هنگام زوال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زمان نماز روز عید است، می باشد، و این ظاهر سخن فقهای شیعه است</w:t>
      </w:r>
      <w:r>
        <w:rPr>
          <w:rFonts w:eastAsia="IRNazanin" w:cs="IRNazanin"/>
          <w:color w:val="111111"/>
          <w:sz w:val="28"/>
          <w:szCs w:val="28"/>
          <w:rtl w:val="true"/>
          <w:lang w:bidi="fa-IR"/>
        </w:rPr>
        <w:t>.</w:t>
      </w:r>
    </w:p>
    <w:p>
      <w:pPr>
        <w:pStyle w:val="Heading5"/>
        <w:numPr>
          <w:ilvl w:val="4"/>
          <w:numId w:val="1"/>
        </w:numPr>
        <w:rPr/>
      </w:pPr>
      <w:bookmarkStart w:id="153" w:name="__RefHeading___Toc605052_1934241801"/>
      <w:bookmarkStart w:id="154" w:name="_Toc70"/>
      <w:bookmarkEnd w:id="153"/>
      <w:r>
        <w:rPr>
          <w:rtl w:val="true"/>
        </w:rPr>
        <w:t xml:space="preserve">روایت </w:t>
      </w:r>
      <w:r>
        <w:rPr/>
        <w:t>17</w:t>
      </w:r>
      <w:bookmarkEnd w:id="154"/>
    </w:p>
    <w:p>
      <w:pPr>
        <w:pStyle w:val="BookText"/>
        <w:rPr/>
      </w:pPr>
      <w:r>
        <w:rPr>
          <w:rFonts w:ascii="IRNazanin" w:hAnsi="IRNazanin" w:eastAsia="IRNazanin"/>
          <w:color w:val="111111"/>
          <w:sz w:val="28"/>
          <w:sz w:val="28"/>
          <w:szCs w:val="28"/>
          <w:rtl w:val="true"/>
          <w:lang w:bidi="fa-IR"/>
        </w:rPr>
        <w:t>کتاب سلام بن أبی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معروف بن خرّبوذ مکّی روایت است که نزد امام باقر علیه السلام رفتم و نوشتن حدیث آغاز کردم و به ذکر باب قضا و قدر پرداختم، 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فقط در آنجا می بینم، از نزد من خارج شو،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از انجام آن توبه خواهم 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خدا سوگند پذیرفته نیست تا به سوی خانه ات خارج شوی و غسل را به جا آوری و از انجام آن به درگاه خدا توبه کنی، آن گونه که شخص مسیحی از مسیحی بودنش توبه 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چنان کردم</w:t>
      </w:r>
      <w:r>
        <w:rPr>
          <w:rFonts w:eastAsia="IRNazanin" w:cs="IRNazanin"/>
          <w:color w:val="111111"/>
          <w:sz w:val="28"/>
          <w:szCs w:val="28"/>
          <w:rtl w:val="true"/>
          <w:lang w:bidi="fa-IR"/>
        </w:rPr>
        <w:t>.</w:t>
      </w:r>
    </w:p>
    <w:p>
      <w:pPr>
        <w:pStyle w:val="Heading5"/>
        <w:numPr>
          <w:ilvl w:val="4"/>
          <w:numId w:val="1"/>
        </w:numPr>
        <w:rPr/>
      </w:pPr>
      <w:bookmarkStart w:id="155" w:name="__RefHeading___Toc605054_1934241801"/>
      <w:bookmarkStart w:id="156" w:name="_Toc71"/>
      <w:bookmarkEnd w:id="155"/>
      <w:r>
        <w:rPr>
          <w:rtl w:val="true"/>
        </w:rPr>
        <w:t xml:space="preserve">روایت </w:t>
      </w:r>
      <w:r>
        <w:rPr/>
        <w:t>18</w:t>
      </w:r>
      <w:bookmarkEnd w:id="156"/>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غسل کردن در ماه رمضان پرسیدم و اینکه در چه شب هایی غسل کنم؟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نوزدهم، بیست و یکم و بیست و سوم</w:t>
      </w:r>
      <w:r>
        <w:rPr>
          <w:rFonts w:eastAsia="IRNazanin" w:cs="IRNazanin"/>
          <w:color w:val="111111"/>
          <w:sz w:val="28"/>
          <w:szCs w:val="28"/>
          <w:rtl w:val="true"/>
          <w:lang w:bidi="fa-IR"/>
        </w:rPr>
        <w:t>.</w:t>
      </w:r>
      <w:r>
        <w:rPr>
          <w:rStyle w:val="FootnoteAnchor"/>
          <w:rtl w:val="true"/>
        </w:rPr>
        <w:footnoteReference w:id="69"/>
      </w:r>
    </w:p>
    <w:p>
      <w:pPr>
        <w:pStyle w:val="Heading5"/>
        <w:numPr>
          <w:ilvl w:val="4"/>
          <w:numId w:val="1"/>
        </w:numPr>
        <w:rPr/>
      </w:pPr>
      <w:bookmarkStart w:id="157" w:name="__RefHeading___Toc605056_1934241801"/>
      <w:bookmarkStart w:id="158" w:name="_Toc72"/>
      <w:bookmarkEnd w:id="157"/>
      <w:r>
        <w:rPr>
          <w:rtl w:val="true"/>
        </w:rPr>
        <w:t xml:space="preserve">روایت </w:t>
      </w:r>
      <w:r>
        <w:rPr/>
        <w:t>19</w:t>
      </w:r>
      <w:bookmarkEnd w:id="15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bookmarkStart w:id="159" w:name="pg13517_329046"/>
    </w:p>
    <w:p>
      <w:pPr>
        <w:pStyle w:val="BookText"/>
        <w:rPr/>
      </w:pPr>
      <w:bookmarkEnd w:id="159"/>
      <w:r>
        <w:rPr>
          <w:rFonts w:ascii="Amiri" w:hAnsi="Amiri" w:eastAsia="Amiri" w:cs="Amiri"/>
          <w:color w:val="111111"/>
          <w:sz w:val="28"/>
          <w:sz w:val="28"/>
          <w:szCs w:val="28"/>
          <w:rtl w:val="true"/>
          <w:lang w:bidi="ar-SA"/>
        </w:rPr>
        <w:t>عَنِ الْقَاسِمِ بْنِ يَحْيَي عَنْ جَدِّهِ الْحَسَنِ بْنِ رَاشِدٍ عَنْ أَبِي بَصِيرٍ وَ مُحَمَّدِ بْنِ مُسْلِمٍ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 مِنْكُمْ مَيِّتاً فَلْيَغْتَسِلْ بَعْدَ مَا يُلْبِسُهُ أَكْفَانَهُ‌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 w:name="__RefHeading___Toc605058_1934241801"/>
      <w:bookmarkStart w:id="161" w:name="_Toc73"/>
      <w:bookmarkEnd w:id="160"/>
      <w:r>
        <w:rPr>
          <w:rtl w:val="true"/>
        </w:rPr>
        <w:t>بيان</w:t>
      </w:r>
      <w:bookmarkEnd w:id="161"/>
    </w:p>
    <w:p>
      <w:pPr>
        <w:pStyle w:val="BookText"/>
        <w:rPr/>
      </w:pPr>
      <w:r>
        <w:rPr>
          <w:rFonts w:ascii="Amiri" w:hAnsi="Amiri" w:eastAsia="Amiri" w:cs="Amiri"/>
          <w:color w:val="111111"/>
          <w:sz w:val="28"/>
          <w:sz w:val="28"/>
          <w:szCs w:val="28"/>
          <w:rtl w:val="true"/>
          <w:lang w:bidi="ar-SA"/>
        </w:rPr>
        <w:t>يدل علي خلاف ما هو المشهور من استحباب تقديم الغسل علي التكفين و هو أنسب بتعجيل التجهيز</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605060_1934241801"/>
      <w:bookmarkStart w:id="163" w:name="_Toc74"/>
      <w:bookmarkEnd w:id="162"/>
      <w:r>
        <w:rPr>
          <w:rtl w:val="true"/>
        </w:rPr>
        <w:t>«</w:t>
      </w:r>
      <w:r>
        <w:rPr/>
        <w:t>20</w:t>
      </w:r>
      <w:r>
        <w:rPr>
          <w:rtl w:val="true"/>
        </w:rPr>
        <w:t>»</w:t>
      </w:r>
      <w:bookmarkEnd w:id="163"/>
    </w:p>
    <w:p>
      <w:pPr>
        <w:pStyle w:val="BookText"/>
        <w:rPr/>
      </w:pPr>
      <w:r>
        <w:rPr>
          <w:rFonts w:ascii="Amiri" w:hAnsi="Amiri" w:eastAsia="Amiri" w:cs="Amiri"/>
          <w:color w:val="111111"/>
          <w:sz w:val="28"/>
          <w:sz w:val="28"/>
          <w:szCs w:val="28"/>
          <w:rtl w:val="true"/>
          <w:lang w:bidi="ar-SA"/>
        </w:rPr>
        <w:t>تُحَفُ الْعُقُولِ، عَنْ أَمِيرِ الْمُؤْمِنِينَ عليه السلام فِي حَدِيثِ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الْأَعْيَادِ طَهُورٌ لِمَنْ أَرَادَ طَلَبَ الْحَوَائِجِ وَ اتِّبَاعٌ لِلسُّنَّةِ</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مَنْ مَسَّ جَسَدَ مَيِّتٍ مَا يَبْرُدُ لَزِمَهُ الْغُسْلُ وَ مَنْ غَسَّلَ مُؤْمِناً فَلْيَغْتَسِلْ بَعْدَ مَا يُلْبِسُهُ أَكْفَانَهُ وَ لَا يَمَسُّهُ بَعْدَ ذَلِكَ فَيَجِبَ عَلَيْهِ الْغُسْلُ‌</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 w:name="__RefHeading___Toc605062_1934241801"/>
      <w:bookmarkStart w:id="165" w:name="_Toc75"/>
      <w:bookmarkEnd w:id="164"/>
      <w:r>
        <w:rPr>
          <w:rtl w:val="true"/>
        </w:rPr>
        <w:t>بيان</w:t>
      </w:r>
      <w:bookmarkEnd w:id="165"/>
    </w:p>
    <w:p>
      <w:pPr>
        <w:pStyle w:val="BookText"/>
        <w:rPr/>
      </w:pPr>
      <w:r>
        <w:rPr>
          <w:rFonts w:ascii="Amiri" w:hAnsi="Amiri" w:eastAsia="Amiri" w:cs="Amiri"/>
          <w:color w:val="111111"/>
          <w:sz w:val="28"/>
          <w:sz w:val="28"/>
          <w:szCs w:val="28"/>
          <w:rtl w:val="true"/>
          <w:lang w:bidi="ar-SA"/>
        </w:rPr>
        <w:t>لعل الغسل الأخير محمول علي الاستحباب</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605064_1934241801"/>
      <w:bookmarkStart w:id="167" w:name="_Toc76"/>
      <w:bookmarkEnd w:id="166"/>
      <w:r>
        <w:rPr>
          <w:rtl w:val="true"/>
        </w:rPr>
        <w:t>«</w:t>
      </w:r>
      <w:r>
        <w:rPr/>
        <w:t>21</w:t>
      </w:r>
      <w:r>
        <w:rPr>
          <w:rtl w:val="true"/>
        </w:rPr>
        <w:t>»</w:t>
      </w:r>
      <w:bookmarkEnd w:id="167"/>
    </w:p>
    <w:p>
      <w:pPr>
        <w:pStyle w:val="BookText"/>
        <w:rPr/>
      </w:pPr>
      <w:r>
        <w:rPr>
          <w:rFonts w:ascii="Amiri" w:hAnsi="Amiri" w:eastAsia="Amiri" w:cs="Amiri"/>
          <w:color w:val="111111"/>
          <w:sz w:val="28"/>
          <w:sz w:val="28"/>
          <w:szCs w:val="28"/>
          <w:rtl w:val="true"/>
          <w:lang w:bidi="ar-SA"/>
        </w:rPr>
        <w:t>الْإِحْتِجَاجُ‌</w:t>
      </w:r>
      <w:r>
        <w:rPr>
          <w:rStyle w:val="FootnoteAnchor"/>
          <w:rtl w:val="true"/>
        </w:rPr>
        <w:footnoteReference w:id="73"/>
      </w:r>
      <w:r>
        <w:rPr>
          <w:rFonts w:ascii="Amiri" w:hAnsi="Amiri" w:eastAsia="Amiri" w:cs="Amiri"/>
          <w:color w:val="111111"/>
          <w:sz w:val="28"/>
          <w:sz w:val="28"/>
          <w:szCs w:val="28"/>
          <w:rtl w:val="true"/>
          <w:lang w:bidi="ar-SA"/>
        </w:rPr>
        <w:t>، وَ 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مُحَمَّدُ بْنُ عَبْدِ اللَّهِ الْحِمْيَرِيُّ إِلَي الْقَائِمِ حَيْثُ كَتَبَ رُوِيَ لَنَا عَنِ الْعَالِمِ أَنَّهُ سُئِلَ عَنْ إِمَامٍ صَلَّي بِقَوْمٍ بَعْضَ صَلَاتِهِمْ وَ حَدَثَتْ عَلَيْهِ حَادِثَةٌ كَيْفَ يَعْمَلُ مَنْ خَلْفَهُ فَقَالَ يُؤَخَّرُ وَ يَتَقَدَّمُ بَعْضُهُمْ وَ يُتِمُّ صَلَاتَهُمْ وَ يَغْتَسِلُ مَنْ مَسَّهُ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مَنْ مَسَّهُ إِلَّا غَسْلُ الْيَدِ وَ إِذَا لَمْ تَحْدُثْ حَادِثَةٌ تَقْطَعُ الصَّلَاةَ تَمَّمَ صَلَاتَهُ مَعَ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وَ رُوِيَ عَنِ الْعَالِمِ عليه السلام أَنَّ مَنْ مَسَّ مَيِّتاً بِحَرَارَتِهِ غَسَلَ يَدَهُ وَ مَنْ مَسَّهُ وَ قَدْ بَرَدَ فَعَلَيْهِ الْغُسْلُ وَ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فِي هَذِهِ الْحَالَةِ لَا يَكُونُ إِلَّا بِحَرَارَتِهِ فَالْعَمَلُ فِي ذَلِكَ عَلَي مَا هُوَ وَ لَعَلَّهُ يُنَحِّيهِ بِثِيَابِهِ وَ لَا يَمَسُّهُ فَكَيْفَ يَجِبُ عَلَيْهِ الْغُسْلُ؟</w:t>
      </w:r>
    </w:p>
    <w:p>
      <w:pPr>
        <w:pStyle w:val="BookText"/>
        <w:rPr/>
      </w:pPr>
      <w:r>
        <w:rPr>
          <w:rFonts w:ascii="IRNazanin" w:hAnsi="IRNazanin" w:eastAsia="IRNazanin"/>
          <w:color w:val="111111"/>
          <w:sz w:val="28"/>
          <w:sz w:val="28"/>
          <w:szCs w:val="28"/>
          <w:rtl w:val="true"/>
          <w:lang w:bidi="fa-IR"/>
        </w:rPr>
        <w:t>از امام صادق علیه السلام روایت شده که امیر 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که میّتی را غسل داد بعد از آنکه کفن را بر او پوشانید خود نیز غسل کند</w:t>
      </w:r>
      <w:r>
        <w:rPr>
          <w:rFonts w:eastAsia="IRNazanin" w:cs="IRNazanin"/>
          <w:color w:val="111111"/>
          <w:sz w:val="28"/>
          <w:szCs w:val="28"/>
          <w:rtl w:val="true"/>
          <w:lang w:bidi="fa-IR"/>
        </w:rPr>
        <w:t>.</w:t>
      </w:r>
      <w:r>
        <w:rPr>
          <w:rStyle w:val="FootnoteAnchor"/>
          <w:rtl w:val="true"/>
        </w:rPr>
        <w:footnoteReference w:id="74"/>
      </w:r>
    </w:p>
    <w:p>
      <w:pPr>
        <w:pStyle w:val="Heading5"/>
        <w:numPr>
          <w:ilvl w:val="4"/>
          <w:numId w:val="1"/>
        </w:numPr>
        <w:rPr/>
      </w:pPr>
      <w:bookmarkStart w:id="168" w:name="__RefHeading___Toc605066_1934241801"/>
      <w:bookmarkStart w:id="169" w:name="_Toc77"/>
      <w:bookmarkEnd w:id="168"/>
      <w:r>
        <w:rPr>
          <w:rtl w:val="true"/>
        </w:rPr>
        <w:t>توضیح</w:t>
      </w:r>
      <w:bookmarkEnd w:id="169"/>
    </w:p>
    <w:p>
      <w:pPr>
        <w:pStyle w:val="BookText"/>
        <w:rPr/>
      </w:pPr>
      <w:r>
        <w:rPr>
          <w:rFonts w:ascii="IRNazanin" w:hAnsi="IRNazanin" w:eastAsia="IRNazanin"/>
          <w:color w:val="111111"/>
          <w:sz w:val="28"/>
          <w:sz w:val="28"/>
          <w:szCs w:val="28"/>
          <w:rtl w:val="true"/>
          <w:lang w:bidi="fa-IR"/>
        </w:rPr>
        <w:t xml:space="preserve">این حدیث بر خلاف آنچه مشهور است دلالت دارد که می گویند تقدیم غسلِ غسل دهنده بر کفن کردن میّت مستحب است و این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برخلاف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تر است، زیرا در تجهیز میّت تعجیل می کند</w:t>
      </w:r>
      <w:r>
        <w:rPr>
          <w:rFonts w:eastAsia="IRNazanin" w:cs="IRNazanin"/>
          <w:color w:val="111111"/>
          <w:sz w:val="28"/>
          <w:szCs w:val="28"/>
          <w:rtl w:val="true"/>
          <w:lang w:bidi="fa-IR"/>
        </w:rPr>
        <w:t>.</w:t>
      </w:r>
    </w:p>
    <w:p>
      <w:pPr>
        <w:pStyle w:val="Heading5"/>
        <w:numPr>
          <w:ilvl w:val="4"/>
          <w:numId w:val="1"/>
        </w:numPr>
        <w:rPr/>
      </w:pPr>
      <w:bookmarkStart w:id="170" w:name="__RefHeading___Toc605068_1934241801"/>
      <w:bookmarkStart w:id="171" w:name="_Toc78"/>
      <w:bookmarkEnd w:id="170"/>
      <w:r>
        <w:rPr>
          <w:rtl w:val="true"/>
        </w:rPr>
        <w:t xml:space="preserve">روایت </w:t>
      </w:r>
      <w:r>
        <w:rPr/>
        <w:t>20</w:t>
      </w:r>
      <w:bookmarkEnd w:id="171"/>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الأربَعِمِائَة 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روزهای عید باعث پاکی و طهارت کسی می شود که قصد طلب حاجات از درگاه خداوند دارد، همچنین به منزله پیروی از سنّت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جسد میّت را بعد از سرد شدن لمس نماید لازم است که غسل کند، و هر کسی که مؤمنی را غسل می دهد و بعد از پوشاندن کفن براو غسل می کند و بعد از آن میّت را لمس نمی کند پس بر او واجب است که غسل کند</w:t>
      </w:r>
      <w:r>
        <w:rPr>
          <w:rFonts w:eastAsia="IRNazanin" w:cs="IRNazanin"/>
          <w:color w:val="111111"/>
          <w:sz w:val="28"/>
          <w:szCs w:val="28"/>
          <w:rtl w:val="true"/>
          <w:lang w:bidi="fa-IR"/>
        </w:rPr>
        <w:t>.</w:t>
      </w:r>
      <w:r>
        <w:rPr>
          <w:rStyle w:val="FootnoteAnchor"/>
          <w:rtl w:val="true"/>
        </w:rPr>
        <w:footnoteReference w:id="76"/>
      </w:r>
    </w:p>
    <w:p>
      <w:pPr>
        <w:pStyle w:val="Heading5"/>
        <w:numPr>
          <w:ilvl w:val="4"/>
          <w:numId w:val="1"/>
        </w:numPr>
        <w:rPr/>
      </w:pPr>
      <w:bookmarkStart w:id="172" w:name="__RefHeading___Toc605070_1934241801"/>
      <w:bookmarkStart w:id="173" w:name="_Toc79"/>
      <w:bookmarkEnd w:id="172"/>
      <w:r>
        <w:rPr>
          <w:rtl w:val="true"/>
        </w:rPr>
        <w:t>توضیح</w:t>
      </w:r>
      <w:bookmarkEnd w:id="173"/>
    </w:p>
    <w:p>
      <w:pPr>
        <w:pStyle w:val="BookText"/>
        <w:rPr/>
      </w:pPr>
      <w:r>
        <w:rPr>
          <w:rFonts w:ascii="IRNazanin" w:hAnsi="IRNazanin" w:eastAsia="IRNazanin"/>
          <w:color w:val="111111"/>
          <w:sz w:val="28"/>
          <w:sz w:val="28"/>
          <w:szCs w:val="28"/>
          <w:rtl w:val="true"/>
          <w:lang w:bidi="fa-IR"/>
        </w:rPr>
        <w:t>شاید غسل اخیر محمول بر استحباب باشد</w:t>
      </w:r>
      <w:r>
        <w:rPr>
          <w:rFonts w:eastAsia="IRNazanin" w:cs="IRNazanin"/>
          <w:color w:val="111111"/>
          <w:sz w:val="28"/>
          <w:szCs w:val="28"/>
          <w:rtl w:val="true"/>
          <w:lang w:bidi="fa-IR"/>
        </w:rPr>
        <w:t>.</w:t>
      </w:r>
    </w:p>
    <w:p>
      <w:pPr>
        <w:pStyle w:val="Heading5"/>
        <w:numPr>
          <w:ilvl w:val="4"/>
          <w:numId w:val="1"/>
        </w:numPr>
        <w:rPr/>
      </w:pPr>
      <w:bookmarkStart w:id="174" w:name="__RefHeading___Toc605072_1934241801"/>
      <w:bookmarkStart w:id="175" w:name="_Toc80"/>
      <w:bookmarkEnd w:id="174"/>
      <w:r>
        <w:rPr>
          <w:rtl w:val="true"/>
        </w:rPr>
        <w:t xml:space="preserve">روایت </w:t>
      </w:r>
      <w:r>
        <w:rPr/>
        <w:t>21</w:t>
      </w:r>
      <w:bookmarkEnd w:id="175"/>
    </w:p>
    <w:p>
      <w:pPr>
        <w:pStyle w:val="BookText"/>
        <w:rPr/>
      </w:pPr>
      <w:r>
        <w:rPr>
          <w:rFonts w:ascii="IRNazanin" w:hAnsi="IRNazanin" w:eastAsia="IRNazanin"/>
          <w:color w:val="111111"/>
          <w:sz w:val="28"/>
          <w:sz w:val="28"/>
          <w:szCs w:val="28"/>
          <w:rtl w:val="true"/>
          <w:lang w:bidi="fa-IR"/>
        </w:rPr>
        <w:t>الاحتجاج و غیبة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نوشته های محمد بن عبدالله حِمیَریّ به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موسی بن جعفر علیه السلام برای ما روایت شده که از ایشان درباره امام جماعتی سؤال شد که یکی از نمازها را برای گروهی امامت می کند و دچار حادثه ای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باعث مرگ او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که پشت سر آن امام جماعت قرار دارند باید چگونه عمل کنند؟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عقب کشیده می شود و یکی از افراد آن گروه پیش می رود و نماز را برای آن ها به پایان می رساند و کسی که جسد امام جماعت را لمس کرده غسل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جسد امام جماعت را لمس کرده واجب است که فقط دستانش را بشوید، و اگر حادثه ای اتفاق نیفتد که باعث قطع شدن نماز شود، نمازش را با آن گروه به پایان می رساند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میّتی که جسدش هنوز گرم است را لمس کند باید دستانش را بشوید، و هر کسی جسدی که سرد شده است را لمس نماید باید غسل کند، و میّت در این حالت جز با حرارتش نیست، پس عمل در مورد آن چنان است که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آن شخص میّت را با لباس هایش به کناری براند و او را لمس نکند، چگونه غسل بر او واجب می شود؟ </w:t>
      </w:r>
      <w:bookmarkStart w:id="176" w:name="pg13517_329047"/>
    </w:p>
    <w:p>
      <w:pPr>
        <w:pStyle w:val="BookText"/>
        <w:rPr/>
      </w:pPr>
      <w:bookmarkEnd w:id="176"/>
      <w:r>
        <w:rPr>
          <w:rFonts w:ascii="Amiri" w:hAnsi="Amiri" w:eastAsia="Amiri" w:cs="Amiri"/>
          <w:color w:val="111111"/>
          <w:sz w:val="28"/>
          <w:sz w:val="28"/>
          <w:szCs w:val="28"/>
          <w:rtl w:val="true"/>
          <w:lang w:bidi="ar-SA"/>
        </w:rPr>
        <w:t>التَّوْقِيعُ إِذَا مَسَّهُ فِي هَذِهِ الْحَالَةِ لَمْ يَكُنْ عَلَيْهِ إِلَّا غَسْلُ يَدِهِ‌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 w:name="__RefHeading___Toc605074_1934241801"/>
      <w:bookmarkStart w:id="178" w:name="_Toc81"/>
      <w:bookmarkEnd w:id="177"/>
      <w:r>
        <w:rPr>
          <w:rtl w:val="true"/>
        </w:rPr>
        <w:t>بيان</w:t>
      </w:r>
      <w:bookmarkEnd w:id="178"/>
    </w:p>
    <w:p>
      <w:pPr>
        <w:pStyle w:val="BookText"/>
        <w:rPr/>
      </w:pPr>
      <w:r>
        <w:rPr>
          <w:rFonts w:ascii="Amiri" w:hAnsi="Amiri" w:eastAsia="Amiri" w:cs="Amiri"/>
          <w:color w:val="111111"/>
          <w:sz w:val="28"/>
          <w:sz w:val="28"/>
          <w:szCs w:val="28"/>
          <w:rtl w:val="true"/>
          <w:lang w:bidi="ar-SA"/>
        </w:rPr>
        <w:t>ظاهره وجوب غسل اليد بمس الميت يابسا كما ذهب إليه العلامة و قوله إذا لم تحدث حادثة أي علي الإمام أو علي من أخر الميت و علي الأخير قوله تمم صلاته أي بعد غسل اليد أو قبله بأن يكون غسل اليد علي الاستحباب</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605076_1934241801"/>
      <w:bookmarkStart w:id="180" w:name="_Toc82"/>
      <w:bookmarkEnd w:id="179"/>
      <w:r>
        <w:rPr>
          <w:rtl w:val="true"/>
        </w:rPr>
        <w:t>«</w:t>
      </w:r>
      <w:r>
        <w:rPr/>
        <w:t>22</w:t>
      </w:r>
      <w:r>
        <w:rPr>
          <w:rtl w:val="true"/>
        </w:rPr>
        <w:t>»</w:t>
      </w:r>
      <w:bookmarkEnd w:id="180"/>
    </w:p>
    <w:p>
      <w:pPr>
        <w:pStyle w:val="BookText"/>
        <w:rPr/>
      </w:pPr>
      <w:r>
        <w:rPr>
          <w:rFonts w:ascii="Amiri" w:hAnsi="Amiri" w:eastAsia="Amiri" w:cs="Amiri"/>
          <w:color w:val="111111"/>
          <w:sz w:val="28"/>
          <w:sz w:val="28"/>
          <w:szCs w:val="28"/>
          <w:rtl w:val="true"/>
          <w:lang w:bidi="ar-SA"/>
        </w:rPr>
        <w:t>إِكْمَالُ الدِّينِ، عَنْ أَبِيهِ عَنْ سَعْدِ بْنِ عَبْدِ اللَّهِ عَنْ أَحْمَدَ بْنِ مُحَمَّدِ بْنِ عِيسَي عَنِ الْحُسَيْنِ بْنِ سَعِيدٍ عَنْ فَضَالَةَ وَ الْحَسَنِ بْنِ عَلِيِّ بْنِ فَضَالَةَ مَعاً عَنْ يُونُسَ بْنِ يَعْقُوبَ عَنْ سَعِيدٍ الْأَعْرَجِ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إِسْمَاعِيلُ أَمَرْتُ بِهِ وَ هُوَ مُسَجًّي أَنْ يُكْشَفَ عَنْ وَجْهِهِ فَقَبَّلْتُ جَبْهَتَهُ وَ ذَقَنَهُ وَ نَحْرَهُ ثُمَّ أَمَرْتُ بِهِ‌</w:t>
      </w:r>
      <w:r>
        <w:rPr>
          <w:rStyle w:val="FootnoteAnchor"/>
          <w:rtl w:val="true"/>
        </w:rPr>
        <w:footnoteReference w:id="78"/>
      </w:r>
      <w:r>
        <w:rPr>
          <w:rFonts w:ascii="Amiri" w:hAnsi="Amiri" w:eastAsia="Amiri" w:cs="Amiri"/>
          <w:color w:val="111111"/>
          <w:sz w:val="28"/>
          <w:sz w:val="28"/>
          <w:szCs w:val="28"/>
          <w:rtl w:val="true"/>
          <w:lang w:bidi="ar-SA"/>
        </w:rPr>
        <w:t>فَغُطِّيَ ثُمَّ قُلْتُ اكْشِفُوا عَنْهُ فَقَبَّلْتُ أَيْضاً جَبْهَتَهُ وَ ذَقَنَهُ وَ نَحْرَهُ ثُمَّ أَمَرْتُهُمْ فَغَطَّوْهُ ثُمَّ أَمَرْتُ بِهِ فَغُسِّلَ ثُمَّ دَخَلْتُ عَلَيْهِ وَ قَدْ كُفِّنَ فَقُلْتُ اكْشِفُوا عَنْ وَجْهِهِ فَقَبَّلْتُ جَبْهَتَهُ وَ ذَقَنَهُ وَ نَحْرَهُ وَ عَوَّذْتُهُ ثُمَّ قُلْتُ أَدْرِجُوهُ فَقِيلَ بِأَيِّ شَيْ‌ءٍ عَوَّذْتَهُ فَقَالَ بِالْقُرْآنِ‌</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 w:name="__RefHeading___Toc605078_1934241801"/>
      <w:bookmarkStart w:id="182" w:name="_Toc83"/>
      <w:bookmarkEnd w:id="181"/>
      <w:r>
        <w:rPr>
          <w:rtl w:val="true"/>
        </w:rPr>
        <w:t>بيان</w:t>
      </w:r>
      <w:bookmarkEnd w:id="182"/>
    </w:p>
    <w:p>
      <w:pPr>
        <w:pStyle w:val="BookText"/>
        <w:rPr/>
      </w:pPr>
      <w:r>
        <w:rPr>
          <w:rFonts w:ascii="Amiri" w:hAnsi="Amiri" w:eastAsia="Amiri" w:cs="Amiri"/>
          <w:color w:val="111111"/>
          <w:sz w:val="28"/>
          <w:sz w:val="28"/>
          <w:szCs w:val="28"/>
          <w:rtl w:val="true"/>
          <w:lang w:bidi="ar-SA"/>
        </w:rPr>
        <w:t>حمل الشيخ رحمه الله التقبيل علي ما قبل البرد و لا حاجة إليه لأن جواز التقبيل لا ينافي وجوب الغسل بوجه و عدم الذكر لا يدل علي العدم و قد أشار إليه الصدوق رحمه الله أيضا</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605080_1934241801"/>
      <w:bookmarkStart w:id="184" w:name="_Toc84"/>
      <w:bookmarkEnd w:id="183"/>
      <w:r>
        <w:rPr>
          <w:rtl w:val="true"/>
        </w:rPr>
        <w:t>«</w:t>
      </w:r>
      <w:r>
        <w:rPr/>
        <w:t>23</w:t>
      </w:r>
      <w:r>
        <w:rPr>
          <w:rtl w:val="true"/>
        </w:rPr>
        <w:t>»</w:t>
      </w:r>
      <w:bookmarkEnd w:id="184"/>
    </w:p>
    <w:p>
      <w:pPr>
        <w:pStyle w:val="BookText"/>
        <w:rPr/>
      </w:pPr>
      <w:r>
        <w:rPr>
          <w:rFonts w:ascii="Amiri" w:hAnsi="Amiri" w:eastAsia="Amiri" w:cs="Amiri"/>
          <w:color w:val="111111"/>
          <w:sz w:val="28"/>
          <w:sz w:val="28"/>
          <w:szCs w:val="28"/>
          <w:rtl w:val="true"/>
          <w:lang w:bidi="ar-SA"/>
        </w:rPr>
        <w:t>الْمِصْبَاحُ، لِلشَّيْخِ عَنْ زُرَارَةَ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اللَّيَالِي الَّتِي يُسْتَحَبُّ فِيهَا الْغُسْلُ فِي شَهْرِ رَمَضَانَ فَقَالَ لَيْلَةَ تِسْعَ عَشْرَةَ وَ لَيْلَةَ إِحْدَي وَ عِشْرِينَ وَ لَيْلَةَ ثَلَاثٍ وَ عِشْرِينَ وَ قَالَ فِي لَيْلَةِ تِسْعَ عَشْرَةَ يُكْتَبُ وَفْدُ الْحَاجِّ وَ فِيهَا يُفْرَقُ كُلُّ أَمْرٍ حَكِيمٍ وَ لَيْلَةَ إِحْدَي وَ عِشْرِينَ فِيهَا رُفِعَ عِيسَي وَ فِيهَا قُبِضَ وَصِيُّ مُوسَي عليه السلام وَ فِيهَا قُبِضَ أَمِيرُ الْمُؤْمِنِينَ عليه السلام وَ لَيْلَةَ ثَلَاثٍ وَ عِشْرِينَ هِيَ</w:t>
      </w:r>
    </w:p>
    <w:p>
      <w:pPr>
        <w:pStyle w:val="BookText"/>
        <w:rPr/>
      </w:pPr>
      <w:r>
        <w:rPr>
          <w:rFonts w:ascii="IRNazanin" w:hAnsi="IRNazanin" w:eastAsia="IRNazanin"/>
          <w:color w:val="111111"/>
          <w:sz w:val="28"/>
          <w:sz w:val="28"/>
          <w:szCs w:val="28"/>
          <w:rtl w:val="true"/>
          <w:lang w:bidi="fa-IR"/>
        </w:rPr>
        <w:t>التوقیع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میّت را در این حالت لمس کند فقط بر او واجب است که دستانش را بشوید</w:t>
      </w:r>
      <w:r>
        <w:rPr>
          <w:rFonts w:eastAsia="IRNazanin" w:cs="IRNazanin"/>
          <w:color w:val="111111"/>
          <w:sz w:val="28"/>
          <w:szCs w:val="28"/>
          <w:rtl w:val="true"/>
          <w:lang w:bidi="fa-IR"/>
        </w:rPr>
        <w:t>.</w:t>
      </w:r>
      <w:r>
        <w:rPr>
          <w:rStyle w:val="FootnoteAnchor"/>
          <w:rtl w:val="true"/>
        </w:rPr>
        <w:footnoteReference w:id="80"/>
      </w:r>
    </w:p>
    <w:p>
      <w:pPr>
        <w:pStyle w:val="Heading5"/>
        <w:numPr>
          <w:ilvl w:val="4"/>
          <w:numId w:val="1"/>
        </w:numPr>
        <w:rPr/>
      </w:pPr>
      <w:bookmarkStart w:id="185" w:name="__RefHeading___Toc605082_1934241801"/>
      <w:bookmarkStart w:id="186" w:name="_Toc85"/>
      <w:bookmarkEnd w:id="185"/>
      <w:r>
        <w:rPr>
          <w:rtl w:val="true"/>
        </w:rPr>
        <w:t>توضیح</w:t>
      </w:r>
      <w:bookmarkEnd w:id="186"/>
    </w:p>
    <w:p>
      <w:pPr>
        <w:pStyle w:val="BookText"/>
        <w:rPr/>
      </w:pPr>
      <w:r>
        <w:rPr>
          <w:rFonts w:ascii="IRNazanin" w:hAnsi="IRNazanin" w:eastAsia="IRNazanin"/>
          <w:color w:val="111111"/>
          <w:sz w:val="28"/>
          <w:sz w:val="28"/>
          <w:szCs w:val="28"/>
          <w:rtl w:val="true"/>
          <w:lang w:bidi="fa-IR"/>
        </w:rPr>
        <w:t xml:space="preserve">از ظاهر حدیث چنین پیداست که با لمس کردن جسد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با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 شستن دستها واجب می گردد آن گونه که علّامه نیز بر این باور است؛ این فرموده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تحدث 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حادثه ای برای امام جماعت یا کسی که میّت را عقب کشیده است رخ ندهد، امّا فاعل این عبارت از کلام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تمّم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است که میت را عقب کشیده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شستن دست نمازش را به پایان می رساند، یا قبل از شستن دست که در این صورت، شستن دست بر اساس مستحبّ بودن است</w:t>
      </w:r>
      <w:r>
        <w:rPr>
          <w:rFonts w:eastAsia="IRNazanin" w:cs="IRNazanin"/>
          <w:color w:val="111111"/>
          <w:sz w:val="28"/>
          <w:szCs w:val="28"/>
          <w:rtl w:val="true"/>
          <w:lang w:bidi="fa-IR"/>
        </w:rPr>
        <w:t>.</w:t>
      </w:r>
    </w:p>
    <w:p>
      <w:pPr>
        <w:pStyle w:val="Heading5"/>
        <w:numPr>
          <w:ilvl w:val="4"/>
          <w:numId w:val="1"/>
        </w:numPr>
        <w:rPr/>
      </w:pPr>
      <w:bookmarkStart w:id="187" w:name="__RefHeading___Toc605084_1934241801"/>
      <w:bookmarkStart w:id="188" w:name="_Toc86"/>
      <w:bookmarkEnd w:id="187"/>
      <w:r>
        <w:rPr>
          <w:rtl w:val="true"/>
        </w:rPr>
        <w:t xml:space="preserve">روایت </w:t>
      </w:r>
      <w:r>
        <w:rPr/>
        <w:t>22</w:t>
      </w:r>
      <w:bookmarkEnd w:id="188"/>
    </w:p>
    <w:p>
      <w:pPr>
        <w:pStyle w:val="BookText"/>
        <w:rPr/>
      </w:pP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اسماعیل وفات نمود دستور دادم که صورتش را نمایان سازند حال آنکه جسدش با پارچه ای پوشیده شده بود، پس پیشانی و چانه و گردنش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گودی زیر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بوسیدم، سپس دستور دادم که او را پوشانده و غسلش دهند، آن  گاه نزدش رفتم در حالی که کفن شده بود،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را نمایان سازید، و پیشانی و چانه و گردن او را بوسیدم و او را پناه دادم،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قبر بگذارید، گفته شد او را با چه چیزی پناه دادید؟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w:t>
      </w:r>
      <w:r>
        <w:rPr>
          <w:rFonts w:eastAsia="IRNazanin" w:cs="IRNazanin"/>
          <w:color w:val="111111"/>
          <w:sz w:val="28"/>
          <w:szCs w:val="28"/>
          <w:rtl w:val="true"/>
          <w:lang w:bidi="fa-IR"/>
        </w:rPr>
        <w:t>.</w:t>
      </w:r>
      <w:r>
        <w:rPr>
          <w:rStyle w:val="FootnoteAnchor"/>
          <w:rtl w:val="true"/>
        </w:rPr>
        <w:footnoteReference w:id="81"/>
      </w:r>
    </w:p>
    <w:p>
      <w:pPr>
        <w:pStyle w:val="Heading5"/>
        <w:numPr>
          <w:ilvl w:val="4"/>
          <w:numId w:val="1"/>
        </w:numPr>
        <w:rPr/>
      </w:pPr>
      <w:bookmarkStart w:id="189" w:name="__RefHeading___Toc605086_1934241801"/>
      <w:bookmarkStart w:id="190" w:name="_Toc87"/>
      <w:bookmarkEnd w:id="189"/>
      <w:r>
        <w:rPr>
          <w:rtl w:val="true"/>
        </w:rPr>
        <w:t>توضیح</w:t>
      </w:r>
      <w:bookmarkEnd w:id="190"/>
    </w:p>
    <w:p>
      <w:pPr>
        <w:pStyle w:val="BookText"/>
        <w:rPr/>
      </w:pPr>
      <w:r>
        <w:rPr>
          <w:rFonts w:ascii="IRNazanin" w:hAnsi="IRNazanin" w:eastAsia="IRNazanin"/>
          <w:color w:val="111111"/>
          <w:sz w:val="28"/>
          <w:sz w:val="28"/>
          <w:szCs w:val="28"/>
          <w:rtl w:val="true"/>
          <w:lang w:bidi="fa-IR"/>
        </w:rPr>
        <w:t>شیخ رحمه الله این بوسیدن را به زمان قبل از سرد شدن جسد حمل کرده است، هر چند نیازی به این تعلیل نیست چرا که جواز بوسیدن صورت وجوب غسل را نفی نمی کند، و عدم ذکر این موضوع در حدیث بر عدم وجوب غسل دلالت نمی کند؛ شیخ صدوق رحمه الله نیز به این نکته اشاره کرده است</w:t>
      </w:r>
      <w:r>
        <w:rPr>
          <w:rFonts w:eastAsia="IRNazanin" w:cs="IRNazanin"/>
          <w:color w:val="111111"/>
          <w:sz w:val="28"/>
          <w:szCs w:val="28"/>
          <w:rtl w:val="true"/>
          <w:lang w:bidi="fa-IR"/>
        </w:rPr>
        <w:t>.</w:t>
      </w:r>
    </w:p>
    <w:p>
      <w:pPr>
        <w:pStyle w:val="Heading5"/>
        <w:numPr>
          <w:ilvl w:val="4"/>
          <w:numId w:val="1"/>
        </w:numPr>
        <w:rPr/>
      </w:pPr>
      <w:bookmarkStart w:id="191" w:name="__RefHeading___Toc605088_1934241801"/>
      <w:bookmarkStart w:id="192" w:name="_Toc88"/>
      <w:bookmarkEnd w:id="191"/>
      <w:r>
        <w:rPr>
          <w:rtl w:val="true"/>
        </w:rPr>
        <w:t xml:space="preserve">روایت </w:t>
      </w:r>
      <w:r>
        <w:rPr/>
        <w:t>23</w:t>
      </w:r>
      <w:bookmarkEnd w:id="19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روایت کرده که زرارة از امام باقر یا امام صادق علیهما السلام درباره شب هایی از ماه رمضان که غسل در آن ها مستحبّ است سؤال پرسید،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نوزدهم، بیست و یکم و بیست وسوم، در شب نوزدهم تعداد افرادی که به حج مشرف می شوند مشخص می شود و هر امر حکیمانه ای واضح و روشن می گردد، در شب بیست و یکم عیسی علیه السلام به سوی آسمان بالا برده شد، همچنین جان وصیّ موسی علیه السلام و امیر مؤمنان علی علیه السلام ستانده شد، و شب بیست و سوم همان </w:t>
      </w:r>
      <w:bookmarkStart w:id="193" w:name="pg13517_329048"/>
    </w:p>
    <w:p>
      <w:pPr>
        <w:pStyle w:val="BookText"/>
        <w:rPr/>
      </w:pPr>
      <w:bookmarkEnd w:id="193"/>
      <w:r>
        <w:rPr>
          <w:rFonts w:ascii="Amiri" w:hAnsi="Amiri" w:eastAsia="Amiri" w:cs="Amiri"/>
          <w:color w:val="111111"/>
          <w:sz w:val="28"/>
          <w:sz w:val="28"/>
          <w:szCs w:val="28"/>
          <w:rtl w:val="true"/>
          <w:lang w:bidi="ar-SA"/>
        </w:rPr>
        <w:t xml:space="preserve">لَيْلَةُ الْجُهَنِيِّ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حَدِيثُهُ أَنَّهُ قَالَ لِرَسُولِ اللَّهِ صلي الله عليه و آله إِنَّ مَنْزِلِي نَاءٍ عَنِ الْمَدِينَةِ فَمُرْنِي بِلَيْلَةٍ أَدْخُلُ فِيهَا فَأَمَرَهُ بِ لَيْلَةِ ثَلَاثٍ وَ عِشْرِينَ</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605090_1934241801"/>
      <w:bookmarkStart w:id="195" w:name="_Toc89"/>
      <w:bookmarkEnd w:id="194"/>
      <w:r>
        <w:rPr>
          <w:rtl w:val="true"/>
        </w:rPr>
        <w:t>«</w:t>
      </w:r>
      <w:r>
        <w:rPr/>
        <w:t>24</w:t>
      </w:r>
      <w:r>
        <w:rPr>
          <w:rtl w:val="true"/>
        </w:rPr>
        <w:t>»</w:t>
      </w:r>
      <w:bookmarkEnd w:id="195"/>
    </w:p>
    <w:p>
      <w:pPr>
        <w:pStyle w:val="BookText"/>
        <w:rPr/>
      </w:pPr>
      <w:r>
        <w:rPr>
          <w:rFonts w:ascii="Amiri" w:hAnsi="Amiri" w:eastAsia="Amiri" w:cs="Amiri"/>
          <w:color w:val="111111"/>
          <w:sz w:val="28"/>
          <w:sz w:val="28"/>
          <w:szCs w:val="28"/>
          <w:rtl w:val="true"/>
          <w:lang w:bidi="ar-SA"/>
        </w:rPr>
        <w:t>الْإِقْبَالُ، مِنْ كِتَابِ الْمُخْتَصَرِ الْمُنْتَخَبِ فِي عَمَلِ يَوْمِ عَاشُورَاءَ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تَتَأَهَّبُ لِلزِّيَارَةِ فَتَبْدَأُ وَ تَغْتَسِلُ الْخَبَرَ</w:t>
      </w:r>
      <w:r>
        <w:rPr>
          <w:rStyle w:val="FootnoteAnchor"/>
          <w:rtl w:val="true"/>
        </w:rPr>
        <w:footnoteReference w:id="82"/>
      </w:r>
      <w:r>
        <w:rPr>
          <w:rFonts w:ascii="Amiri" w:hAnsi="Amiri" w:eastAsia="Amiri" w:cs="Amiri"/>
          <w:color w:val="111111"/>
          <w:sz w:val="28"/>
          <w:sz w:val="28"/>
          <w:szCs w:val="28"/>
          <w:rtl w:val="true"/>
          <w:lang w:bidi="ar-SA"/>
        </w:rPr>
        <w:t>وَ ذَكَرَ لِيَوْمِ الْمَوْلِدِ غُسْلًا لِزِيَارَةِ النَّبِيِّ صلي الله عليه و آله عَنِ الصَّادِقِ عليه السلام‌</w:t>
      </w:r>
      <w:r>
        <w:rPr>
          <w:rStyle w:val="FootnoteAnchor"/>
          <w:rtl w:val="true"/>
        </w:rPr>
        <w:footnoteReference w:id="83"/>
      </w:r>
      <w:r>
        <w:rPr>
          <w:rFonts w:ascii="Amiri" w:hAnsi="Amiri" w:eastAsia="Amiri" w:cs="Amiri"/>
          <w:color w:val="111111"/>
          <w:sz w:val="28"/>
          <w:sz w:val="28"/>
          <w:szCs w:val="28"/>
          <w:rtl w:val="true"/>
          <w:lang w:bidi="ar-SA"/>
        </w:rPr>
        <w:t xml:space="preserve">لَكِنَّ الرِّوَايَةَ غَيْرُ مُخْتَصَّةٍ بِذَلِكَ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رَوَي عَنْ مُحَمَّدِ بْنِ مُسْلِمٍ الْغُسْلَ لِزِيَارَةِ أَمِيرِ الْمُؤْمِنِينَ وَ لَيْسَ فِي الرِّوَايَةِ التَّخْصِيصُ بِذَلِكَ الْيَوْمِ‌</w:t>
      </w:r>
      <w:r>
        <w:rPr>
          <w:rStyle w:val="FootnoteAnchor"/>
          <w:rtl w:val="true"/>
        </w:rPr>
        <w:footnoteReference w:id="84"/>
      </w:r>
      <w:r>
        <w:rPr>
          <w:rFonts w:ascii="Amiri" w:hAnsi="Amiri" w:eastAsia="Amiri" w:cs="Amiri"/>
          <w:color w:val="111111"/>
          <w:sz w:val="28"/>
          <w:sz w:val="28"/>
          <w:szCs w:val="28"/>
          <w:rtl w:val="true"/>
          <w:lang w:bidi="ar-SA"/>
        </w:rPr>
        <w:t>وَ يُفْهَمُ مِنْ كَلَامِهِ رِضْوَانُ اللَّهِ عَلَيْهِ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وَجَدْنَا فِي كُتُبِ الْعِبَادَاتِ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شَهْرَ رَجَبٍ فَاغْتَسَلَ فِي أَوَّلِهِ وَ أَوْسَطِهِ وَ آخِرِهِ خَرَجَ مِنْ ذُنُوبِهِ كَيَوْمَ وَلَدَتْهُ أُمُّهُ</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زيارة الحسين عليه السلام في اليوم الأول و اليوم الخامس عشر و يستحب الغسل للزيارة و عمل أم داود في الوسط مشتمل علي الغسل لمن عمل به‌</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و قال عند ذكر أعمال اليوم السابع و العشرين من رجب اعلم أن الغسل في هذا اليوم الشريف من شريف التكليف و لم يذكر رواية و ذكر الزيارة لأمير المؤمنين عليه السلام من غير رواية و ذكر الغسل في ليلة النصف من شعبان لزيارة الحسين عليه السلام من غير اختصاص للرواية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رَوَي ابْنُ أَبِي قُرَّةَ فِي كِتَابِ عَمَلِ شَهْرِ رَمَضَانَ بِإِسْنَادِهِ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الْغُسْلُ فِي أَوَّلِ لَيْلَةٍ مِنْ شَهْرِ رَمَضَانَ وَ لَيْلَةِ النِّصْفِ مِنْهُ و قال و قد ذكره جماعة من أصحابنا الماضين فلا نطيل بذكر أسماء المصنفين و وقت اغتسال شهر رمضان قبل دخول العشاء و يكفي ذلك الغسل</w:t>
      </w:r>
    </w:p>
    <w:p>
      <w:pPr>
        <w:pStyle w:val="BookText"/>
        <w:rPr/>
      </w:pPr>
      <w:r>
        <w:rPr>
          <w:rFonts w:ascii="IRNazanin" w:hAnsi="IRNazanin" w:eastAsia="IRNazanin"/>
          <w:color w:val="111111"/>
          <w:sz w:val="28"/>
          <w:sz w:val="28"/>
          <w:szCs w:val="28"/>
          <w:rtl w:val="true"/>
          <w:lang w:bidi="fa-IR"/>
        </w:rPr>
        <w:t xml:space="preserve">لیلة الجُهَنی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نقل شده است که شخصی به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 از مدینه دور است، شبی را مشخص و امر فرما که در آن وارد مدینه شوم، پس پیامبر ورود در شب بیست و سوم را امر فرمود</w:t>
      </w:r>
      <w:r>
        <w:rPr>
          <w:rFonts w:eastAsia="IRNazanin" w:cs="IRNazanin"/>
          <w:color w:val="111111"/>
          <w:sz w:val="28"/>
          <w:szCs w:val="28"/>
          <w:rtl w:val="true"/>
          <w:lang w:bidi="fa-IR"/>
        </w:rPr>
        <w:t>.</w:t>
      </w:r>
    </w:p>
    <w:p>
      <w:pPr>
        <w:pStyle w:val="Heading5"/>
        <w:numPr>
          <w:ilvl w:val="4"/>
          <w:numId w:val="1"/>
        </w:numPr>
        <w:rPr/>
      </w:pPr>
      <w:bookmarkStart w:id="196" w:name="__RefHeading___Toc605092_1934241801"/>
      <w:bookmarkStart w:id="197" w:name="_Toc90"/>
      <w:bookmarkEnd w:id="196"/>
      <w:r>
        <w:rPr>
          <w:rtl w:val="true"/>
        </w:rPr>
        <w:t xml:space="preserve">روایت </w:t>
      </w:r>
      <w:r>
        <w:rPr/>
        <w:t>24</w:t>
      </w:r>
      <w:bookmarkEnd w:id="197"/>
    </w:p>
    <w:p>
      <w:pPr>
        <w:pStyle w:val="BookText"/>
        <w:rPr/>
      </w:pP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المنتخب فی عمل یوم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آماده زیارت می شوی، بنابراین آغاز نموده و غسل می نمایی، تا آخر حدیث</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از امام صادق علیه السلام روایت شده که در روز میلاد، غسل نمودن را برای زیارت مزار پیامبر صلّی الله علیه و آله ذکر فرموده است</w:t>
      </w:r>
      <w:r>
        <w:rPr>
          <w:rStyle w:val="FootnoteAnchor"/>
          <w:rtl w:val="true"/>
        </w:rPr>
        <w:footnoteReference w:id="88"/>
      </w:r>
      <w:r>
        <w:rPr>
          <w:rFonts w:ascii="IRNazanin" w:hAnsi="IRNazanin" w:eastAsia="IRNazanin"/>
          <w:color w:val="111111"/>
          <w:sz w:val="28"/>
          <w:sz w:val="28"/>
          <w:szCs w:val="28"/>
          <w:rtl w:val="true"/>
          <w:lang w:bidi="fa-IR"/>
        </w:rPr>
        <w:t>، اما روایت مخصوص آن روز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کتاب، غسل زیارت مزار امیر مؤمنان علیه السلام را از محمد بن مسلم روایت کرده است و در روایت این غسل به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نشده است</w:t>
      </w:r>
      <w:r>
        <w:rPr>
          <w:rStyle w:val="FootnoteAnchor"/>
          <w:rtl w:val="true"/>
        </w:rPr>
        <w:footnoteReference w:id="89"/>
      </w:r>
      <w:r>
        <w:rPr>
          <w:rFonts w:ascii="IRNazanin" w:hAnsi="IRNazanin" w:eastAsia="IRNazanin"/>
          <w:color w:val="111111"/>
          <w:sz w:val="28"/>
          <w:sz w:val="28"/>
          <w:szCs w:val="28"/>
          <w:rtl w:val="true"/>
          <w:lang w:bidi="fa-IR"/>
        </w:rPr>
        <w:t>، و از کلام او اختصاص داشتن غسل به روز میلاد 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عبادات 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وارد ماه رجب شده و در آغاز، میانه و پایان آن غسل نماید، مانند روزی که مادرش او را زاده از گناهانی که مرتکب شده پاک می گردد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به ذکر زیارت امام حسین علیه السلام در روز اوّل و پانزدهم ماه رجب پرداخته و غسل زیارت را مستحبّ دانسته است، و عمل أمّ داوود در وسط ماه مشتمل بر غسل است برای هر که بدان عمل نماید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هنگام ذکر اعمال روز بیست و هفتم ماه رجب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غسل در این روز شریف از جمله تکالیف شریف است، و روایتی را در این خصوص ذکر نکرده است، همچنین غسل نمودن به هنگام زیارت مزار امیر المؤمنین علیه السلام را بدون استناد به هیچ روایتی ذکر کرده است، و غسل شب نیمه شعبان به منظور زیارت امام حسین علیه السلام را بدون نقل هیچ روایتی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قُرّة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خویش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در شب اول و پانزدهم ماه رمضان مستحبّ است؛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این امر را گروهی از یاران قدیم ما ذکر کرده اند پس سخن را در ذکر اسم مصنّفین این کلام به درازا نمی کشانیم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 غسل در ماه رمضان قبل از وارد شدن به عشاء است و آن غسل </w:t>
      </w:r>
      <w:bookmarkStart w:id="198" w:name="pg13517_329049"/>
    </w:p>
    <w:p>
      <w:pPr>
        <w:pStyle w:val="BookText"/>
        <w:rPr/>
      </w:pPr>
      <w:bookmarkEnd w:id="198"/>
      <w:r>
        <w:rPr>
          <w:rFonts w:ascii="Amiri" w:hAnsi="Amiri" w:eastAsia="Amiri" w:cs="Amiri"/>
          <w:color w:val="111111"/>
          <w:sz w:val="28"/>
          <w:sz w:val="28"/>
          <w:szCs w:val="28"/>
          <w:rtl w:val="true"/>
          <w:lang w:bidi="ar-SA"/>
        </w:rPr>
        <w:t>لليلة جميعها و روي أن الغسل في أول الليل و روي بين العشاءين و روينا ذلك عن الأئمة الطاهرين‌</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فِي كِتَابٍ أَعْتَقِدُ أَنَّهُ تَأْلِيفُ أَبِي مُحَمَّدٍ جَعْفَرِ بْنِ أَحْمَدَ الْقُمِّيِّ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أَوَّلَ لَيْلَةٍ مِنْ شَهْرِ رَمَضَانَ فِي نَهَرٍ جَارٍ وَ يَصُبُّ عَلَي رَأْسِهِ ثَلَاثِينَ كَفّاً مِنَ الْمَاءِ طَهُرَ إِلَي شَهْرِ رَمَضَانَ مِنْ قَابِلٍ‌</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الْكِتَابِ الْمُشَارِ إِلَيْهِ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لَا يَكُونَ بِهِ الْحِكَّةُ فَلْيَغْتَسِلْ أَوَّلَ لَيْلَةٍ مِنْ شَهْرِ رَمَضَانَ فَإِنَّهُ مَنِ اغْتَسَلَ أَوَّلَ لَيْلَةٍ مِنْ شَهْرِ رَمَضَانَ لَا تُصِيبُهُ حِكَّةٌ وَ يَكُونُ سَالِماً مِنْهَا إِلَي شَهْرِ رَمَضَانٍ قَابِلٍ‌</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نَقْلًا مِنْ كِتَابِ الْأَغْسَالِ لِأَحْمَدَ بْنِ مُحَمَّدِ بْنِ عَيَّاشٍ بِإِسْنَادِهِ إِلَي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أَوَّلُ لَيْلَةٍ مِنْ شَهْرِ رَمَضَانَ قَامَ رَسُولُ اللَّهِ صلي الله عليه و آله فَحَمِدَ اللَّهَ وَ أَثْنَي عَلَيْهِ إِلَي أَنْ قَالَ حَتَّي إِذَا كَانَ أَوَّلُ لَيْلَةٍ مِنَ الْعَشْرِ قَامَ فَحَمِدَ اللَّهَ وَ أَثْنَي عَلَيْهِ وَ قَالَ مِثْلَ ذَلِكَ ثُمَّ قَالَ وَ شَمَّرَ وَ شَدَّ الْمِئْزَرَ وَ بَرَزَ مِنْ بَيْتِهِ وَ اعْتَكَفَ وَ أَحْيَا اللَّيْلَ كُلَّهُ وَ كَانَ يَغْتَسِلُ كُلَّ لَيْلَةٍ مِنْهُ بَيْنَ الْعِشَاءَيْنِ الْحَدِيثَ‌</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بِإِسْنَادِهِ إِلَي سَعْدِ بْنِ عَبْدِ اللَّهِ عَنْ عَلِيِّ بْنِ إِبْرَاهِيمَ بْنِ هَاشِمٍ عَنْ أَبِيهِ عَنِ النَّوْفَلِيِّ عَنِ السَّكُونِيِّ عَنْ جَعْفَرِ بْنِ مُحَمَّدٍ عَنْ أَبِيهِ عَنْ آبَائِهِ عَنْ أَمِيرِ الْمُؤْمِنِينَ صَلَوَاتُ اللَّهِ عَلَيْهِمْ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أَوَّلَ يَوْمٍ مِنَ السَّنَةِ فِي مَاءٍ جَارٍ وَ صَبَّ عَلَي رَأْسِهِ ثَلَاثِينَ غُرْفَةً كَانَ دَوَاءً لِسَنَتِهِ‌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 w:name="__RefHeading___Toc605094_1934241801"/>
      <w:bookmarkStart w:id="200" w:name="_Toc91"/>
      <w:bookmarkEnd w:id="199"/>
      <w:r>
        <w:rPr>
          <w:rtl w:val="true"/>
        </w:rPr>
        <w:t>بيان</w:t>
      </w:r>
      <w:bookmarkEnd w:id="200"/>
    </w:p>
    <w:p>
      <w:pPr>
        <w:pStyle w:val="BookText"/>
        <w:rPr/>
      </w:pPr>
      <w:r>
        <w:rPr>
          <w:rFonts w:ascii="Amiri" w:hAnsi="Amiri" w:eastAsia="Amiri" w:cs="Amiri"/>
          <w:color w:val="111111"/>
          <w:sz w:val="28"/>
          <w:sz w:val="28"/>
          <w:szCs w:val="28"/>
          <w:rtl w:val="true"/>
          <w:lang w:bidi="ar-SA"/>
        </w:rPr>
        <w:t>أول السنة يحتمل أول المحرم و أول شهر رمضان لورود الرواية بأنه أول السنة</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605096_1934241801"/>
      <w:bookmarkStart w:id="202" w:name="_Toc92"/>
      <w:bookmarkEnd w:id="201"/>
      <w:r>
        <w:rPr>
          <w:rtl w:val="true"/>
        </w:rPr>
        <w:t>«</w:t>
      </w:r>
      <w:r>
        <w:rPr/>
        <w:t>25</w:t>
      </w:r>
      <w:r>
        <w:rPr>
          <w:rtl w:val="true"/>
        </w:rPr>
        <w:t>»</w:t>
      </w:r>
      <w:bookmarkEnd w:id="202"/>
    </w:p>
    <w:p>
      <w:pPr>
        <w:pStyle w:val="BookText"/>
        <w:rPr/>
      </w:pPr>
      <w:r>
        <w:rPr>
          <w:rFonts w:ascii="Amiri" w:hAnsi="Amiri" w:eastAsia="Amiri" w:cs="Amiri"/>
          <w:color w:val="111111"/>
          <w:sz w:val="28"/>
          <w:sz w:val="28"/>
          <w:szCs w:val="28"/>
          <w:rtl w:val="true"/>
          <w:lang w:bidi="ar-SA"/>
        </w:rPr>
        <w:t>الْإِقْبَالُ،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 أَعْمَالِ اللَّيْلَةِ الثَّالِثَةِ وَ فِيهَا يُسْتَحَبُّ الْغُسْلُ عَلَي مُقْتَضَي الرِّوَايَةِ الَّتِي تَضَمَّنَتْ أَنَّ كُلَّ لَيْلَةٍ مُفْرَدَةٍ مِنْ جَمِيعِ الشَّهْرِ يُسْتَحَبُ</w:t>
      </w:r>
    </w:p>
    <w:p>
      <w:pPr>
        <w:pStyle w:val="BookText"/>
        <w:rPr/>
      </w:pPr>
      <w:r>
        <w:rPr>
          <w:rFonts w:ascii="IRNazanin" w:hAnsi="IRNazanin" w:eastAsia="IRNazanin"/>
          <w:color w:val="111111"/>
          <w:sz w:val="28"/>
          <w:sz w:val="28"/>
          <w:szCs w:val="28"/>
          <w:rtl w:val="true"/>
          <w:lang w:bidi="fa-IR"/>
        </w:rPr>
        <w:t>برای تمام شب کافی است؛ در برخی از روایت ها زمان مناسب برای غسل، ابتدای شب و در برخی دیگر فاصله بین نماز مغرب و عشاء ذکر شده است، و ما نظر خود را به نقل از ائمه طاهرین نقل کردیم</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نویسنده کتاب المختصر در ادامه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که گمان می کنم از تألیفات ابو محمد جعفر بن احمد قمی است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شب اول ماه رمضان در رودخانه ای جاری غسل نماید و سی مشت آب بر سر خود بریزد تا ماه رمضان سال آینده پاک مطهر خواهد ماند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در کتابی که به آن اشاره شد از امام صادق علیه الیسلام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دوست ندارد گرفتار مرض خارش پوست شود، در شب اول ماه رمضان غسل نماید، و هر که در اولین شب ماه رمضان غسل نماید به مرض خارش پوست گرفتار نمی شود و تا ماه رمضان سال بعد سلامت خواهد بود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همچنین نویسنده المختصر به نقل از کتاب الأغسالِ احمد بن محمد بن عیاش از امیر مؤمنان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نخستین شب ماه رمضان فرا رسید، رسول خدا صلّی الله علیه و آله برخاست و به حمد و سپاس و ستایش خداوند پرداخت، سپس امام سخن را پی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نخستین شب از ده شب آخر ماه رمضان فرا رسید، پس پیامبر برخاست و خداوند را ستایش فرمود و اعمال شب نخست ماه را انجام داد، آن گاه برخاست و خود را آماده کرد و کمر همت بست و از خانه خارج شد و به اعتکاف پرداخت و تمام شب را به شب زنده داری پرداخت، همچنین پیامبر در دهه آخر ماه رمضان هر شب و مابین نماز مغرب و عشاء غسل می نمود، حدیث</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 با اسناد به سعد بن عبدالله از امیر مؤمنان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روز اول سال را در رودخانه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غسل نماید و سی مشت آب بر سر خود بریزد، این کار به منزله شفای او در طول سال خواهد بود</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 w:name="__RefHeading___Toc605098_1934241801"/>
      <w:bookmarkStart w:id="204" w:name="_Toc93"/>
      <w:bookmarkEnd w:id="203"/>
      <w:r>
        <w:rPr>
          <w:rtl w:val="true"/>
        </w:rPr>
        <w:t>توضیح</w:t>
      </w:r>
      <w:bookmarkEnd w:id="204"/>
    </w:p>
    <w:p>
      <w:pPr>
        <w:pStyle w:val="BookText"/>
        <w:rPr/>
      </w:pPr>
      <w:r>
        <w:rPr>
          <w:rFonts w:ascii="IRNazanin" w:hAnsi="IRNazanin" w:eastAsia="IRNazanin"/>
          <w:color w:val="111111"/>
          <w:sz w:val="28"/>
          <w:sz w:val="28"/>
          <w:szCs w:val="28"/>
          <w:rtl w:val="true"/>
          <w:lang w:bidi="fa-IR"/>
        </w:rPr>
        <w:t>ممکن است منظور از روز نخست سال، روز اول محرم باشد، همچنین ممکن است منظور روز اول رمضان باشد، چرا که در روایت از آن به عنوان روز نخست سال یاد شده است</w:t>
      </w:r>
      <w:r>
        <w:rPr>
          <w:rFonts w:eastAsia="IRNazanin" w:cs="IRNazanin"/>
          <w:color w:val="111111"/>
          <w:sz w:val="28"/>
          <w:szCs w:val="28"/>
          <w:rtl w:val="true"/>
          <w:lang w:bidi="fa-IR"/>
        </w:rPr>
        <w:t>.</w:t>
      </w:r>
    </w:p>
    <w:p>
      <w:pPr>
        <w:pStyle w:val="Heading5"/>
        <w:numPr>
          <w:ilvl w:val="4"/>
          <w:numId w:val="1"/>
        </w:numPr>
        <w:rPr/>
      </w:pPr>
      <w:bookmarkStart w:id="205" w:name="__RefHeading___Toc605100_1934241801"/>
      <w:bookmarkStart w:id="206" w:name="_Toc94"/>
      <w:bookmarkEnd w:id="205"/>
      <w:r>
        <w:rPr>
          <w:rtl w:val="true"/>
        </w:rPr>
        <w:t xml:space="preserve">روایت </w:t>
      </w:r>
      <w:r>
        <w:rPr/>
        <w:t>25</w:t>
      </w:r>
      <w:bookmarkEnd w:id="20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سیاق اعمال شب سوّم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نمودن در این شب مستحب است، و این به مقتصای روایتی است که غسل نمودن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شب های فرد در تمام ما ه 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فِيهَا الْغُسْلُ‌</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عَلِيِّ بْنِ عَبْدِ الْوَاحِدِ النَّهْدِيِّ عَنْ عَلِيِّ بْنِ حَاتِمٍ قَالَ حَدَّثَنَا أَحْمَدُ بْنُ عَلِيٍّ عَنْ مُحَمَّدِ بْنِ أَبِي الصُّهْبَانِ عَنْ مُحَمَّدِ بْنِ سُلَيْمَانَ قَالَ إِنَّ عِدَّةً مِنْ أَصْحَابِنَا اجْتَمَعُوا عَلَي هَذَا الْحَدِيثِ مِنْهُمْ يُونُسُ بْنُ عَبْدِ الرَّحْمَنِ عَنْ عَبْدِ اللَّهِ بْنِ سِنَانٍ عَنْ أَبِي عَبْدِ اللَّهِ عليه السلام وَ صَالِحٌ الْحَذَّاءُ عَنْ إِسْحَاقَ بْنِ عَمَّارٍ عَنْ أَبِي الْحَسَنِ عليه السلام وَ سَمَاعَةُ عَنْ أَبِي عَبْدِ اللَّهِ عليه السلام قَالَ مُحَمَّدُ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أَبَا الْحَسَنِ الرِّضَا عليه السلام عَنْ هَذَا الْحَدِيثِ فَأَخْبَرَنِي بِهِ قَالُوا هَؤُلَاءِ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سَأَلْنَا عَنِ الصَّلَاةِ فِي شَهْرِ رَمَضَانَ كَيْفَ هِيَ وَ كَيْفَ فَعَلَ رَسُولُ اللَّهِ صلي الله عليه و آله فَقَالُوا جَمِيعاً إِنَّهُ لَمَّا دَخَلَتْ أَوَّلُ لَيْلَةٍ مِنْ شَهْرِ رَمَضَانَ عَلَي رَسُولِ اللَّهِ صلي الله عليه و آله صَلَّي الْمَغْرِبَ وَ سَاقُوا الْحَدِيثَ إِلَي أَنْ قَالُوا فَلَمَّا كَانَ لَيْلَةُ تِسْعَ عَشْرَةَ مِنْ شَهْرِ رَمَضَانَ اغْتَسَلَ حِينَ غَابَتِ الشَّمْسُ وَ صَلَّي الْمَغْرِبَ بِغُسْلٍ وَ سَاقُوا إِلَي أَنْ قَالُوا فَلَمَّا كَانَ لَيْلَةُ ثَلَاثٍ وَ عِشْرِينَ اغْتَسَلَ أَيْضاً كَمَا اغْتَسَلَ فِي لَيْلَةِ إِحْدَي وَ عِشْرِينَ‌</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قَالَ وَ رَوَيْنَا عَنِ الشَّيْخِ الْمُفِيدِ فِي الْمُقْنِعَةِ فِي رِوَايَةٍ عَنْ أَبِي عَبْدِ اللَّهِ عليه السلام أَنَّهُ يُسْتَحَبُّ الْغُسْلُ لَيْلَةَ النِّصْفِ مِنْ شَهْرِ رَمَضَانَ‌</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قَالَ وَ رَوَيْنَا بِإِسْنَادِنَا إِلَي مُحَمَّدِ بْنِ أَبِي عُمَيْرٍ مِنْ كِتَابِ عَلِيِّ بْنِ عَبْدِ الْوَاحِدِ النَّهْدِيِّ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يَغْتَسِلُ فِي شَهْرِ رَمَضَانَ فِي الْعَشْرِ الْأَوَاخِرِ فِي كُلِّ لَيْلَةٍ</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قَالَ وَ قَدْ رَوَيْنَا بِإِسْنَادِنَا إِلَي الْحُسَيْنِ بْنِ سَعِيدٍ بِإِسْنَادِهِ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لَيْلَةِ إِحْدَي وَ عِشْرِينَ مِنْ شَهْرِ رَمَضَانَ سُنَّةٌ</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قَالَ وَ رَوَي عَلِيُّ بْنُ عَبْدِ الْوَاحِدِ فِي كِتَابِهِ بِإِسْنَادِهِ إِلَي عِيسَي بْنِ رَاشِدٍ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الْغُسْلِ فِي شَهْرِ رَمَضَانَ فَقَالَ كَانَ أَبِي يَغْتَسِلُ</w:t>
      </w:r>
    </w:p>
    <w:p>
      <w:pPr>
        <w:pStyle w:val="BookText"/>
        <w:rPr/>
      </w:pPr>
      <w:r>
        <w:rPr>
          <w:rFonts w:ascii="IRNazanin" w:hAnsi="IRNazanin" w:eastAsia="IRNazanin"/>
          <w:color w:val="111111"/>
          <w:sz w:val="28"/>
          <w:sz w:val="28"/>
          <w:szCs w:val="28"/>
          <w:rtl w:val="true"/>
          <w:lang w:bidi="fa-IR"/>
        </w:rPr>
        <w:t>را مستحبّ می داند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عده ای از اصحاب ما بر این حدیث متفق شده اند از جمله یُونُسُ بْنُ عَبْدِ الرَّحْمَن از عَبْدِ اللَّهِ بْنِ سِنَان از امام صادق علیه السلام و صَالِح الحَذَّاء از إِسْحَاق بْن عَمَّار از امام کاظم علیه السلام وَ سَمَاعَة از امام صادق علیه السلام مُحَمَّد بْن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این حدیث سوال کردم امام به من خبر دادند همگی اینها گفتند از نماز در ماه رمضان و کیفیت آن و اینکه چگونه رسول خدا به جا می آوردند سوال کردیم پس امامان معصوم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نخست ماه رمضان فرا می رسید، رسول خدا صلّی الله علیه و آله نماز مغرب را به جا می آورد؛ سپس سخن را پی گرفته تا جایی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نوزدهم ماه رمضان فرا می رسید، پیامبر هنگام غروب خورشید غسل می نمود و نماز مغرب را با غسل به جا می آورد، و هنگامی که شب بیست و سوم فرا می رسید پیامبر به شیوه ای که در شب نوزدهم غسل نموده بود دوباره غسل می نمود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همچنین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نمودن در شب نیمه ماه رمضان مستحبّ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در دهه آخر ماه رمضان هر شب غسل می نمود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با اسناد به حسین بن سعید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شب بیست و یک ماه رمضان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از عیسی بن راشد روایت کرده که از امام صادق علیه السلام درباره غسل شب بیست و یک ماه رمضان پرسیدم،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w:t>
      </w:r>
    </w:p>
    <w:p>
      <w:pPr>
        <w:pStyle w:val="BookText"/>
        <w:rPr/>
      </w:pPr>
      <w:r>
        <w:rPr>
          <w:rFonts w:ascii="Amiri" w:hAnsi="Amiri" w:eastAsia="Amiri" w:cs="Amiri"/>
          <w:color w:val="111111"/>
          <w:sz w:val="28"/>
          <w:sz w:val="28"/>
          <w:szCs w:val="28"/>
          <w:rtl w:val="true"/>
          <w:lang w:bidi="ar-SA"/>
        </w:rPr>
        <w:t>فِي لَيْلَةِ تِسْعَ عَشْرَةَ وَ إِحْدَي وَ عِشْرِينَ وَ ثَلَاثٍ وَ عِشْرِينَ وَ خَمْسٍ وَ عِشْرِينَ‌</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مِنَ الْكِتَابِ الْمَذْكُورِ بِإِسْنَادِهِ عَنْ حَنَانِ بْنِ سَدِيرٍ عَنِ ابْنِ أَبِي يَعْفُورٍ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الْغُسْلِ فِي شَهْرِ رَمَضَانَ قَالَ اغْتَسِلْ لَيْلَةَ تِسْعَ عَشْرَةَ وَ إِحْدَي وَ عِشْرِينَ وَ ثَلَاثٍ وَ عِشْرِينَ وَ سَبْعٍ وَ عِشْرِينَ وَ تِسْعٍ وَ عِشْرِينَ‌</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نَقْلًا مِنْ كِتَابِ مُحَمَّدِ بْنِ عَلِيٍّ الطِّرَازِيِّ عَنْ عَبْدِ الْبَاقِي بْنِ يَزْدَادَ عَنْ مُحَمَّدِ بْنِ وَهْبَانَ الْبَصْرِيِّ عَنْ مُحَمَّدِ بْنِ الْحَسَنِ بْنِ جُمْهُورٍ عَنْ أَبِيهِ عَنْ جَدِّهِ مُحَمَّدٍ عَنْ حَمَّادِ بْنِ عِيسَي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لَيْلَةَ إِحْدَي وَ عِشْرِينَ مِنْ شَهْرِ رَمَضَانَ قَالَ لِي يَا حَمَّادُ اغْتَسَلْتَ قُلْتُ نَعَمْ جُعِلْتُ فِدَاكَ الْحَدِيثَ‌</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قَالَ وَ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يَغْتَسِلُ فِي لَيْلَةِ سَبْعَةَ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رَوَيْنَا بِعِدَّةِ طُرُقٍ مِنْهَا بِإِسْنَادِنَا إِلَي هَارُونَ بْنِ مُوسَي التَّلَّعُكْبَرِيِّ بِإِسْنَادِهِ إِلَي بُرَيْدِ بْنِ مُعَاوِيَةَ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اغْتَسَلَ فِي لَيْلَةِ ثَلَاثٍ وَ عِشْرِينَ مِنْ شَهْرِ رَمَضَانَ مَرَّةً فِي أَوَّلِ اللَّيْلِ وَ مَرَّةً فِي آخِرِهِ‌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رَوَيْنَا بِإِسْنَادِنَا إِلَي الْحُسَيْنِ بْنِ سَعِيدٍ عَنْ كِتَابِ عَلِيِّ بْنِ عَبْدِ الْوَاحِدِ النَّهْدِيِّ عَنْ حَمَّادٍ عَنْ حَرِيزٍ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اغْتَسِلْ فِي لَيْلَةِ أَرْبَعٍ وَ عِشْرِينَ مِنْ شَهْرِ رَمَضَانَ‌</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قَالَ وَ رُوِيَ بِإِسْنَادٍ مُتَّصِلٍ إِلَي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النَّاسَ يَقُولُونَ إِنَّ الْمَغْفِرَةَ تَنْزِلُ عَلَي مَنْ صَامَ مِنْ شَهْرِ رَمَضَانَ لَيْلَةَ الْقَدْرِ فَقَالَ يَا حَسَنُ إِنَّ الْقَارِيجَارَ إِنَّمَا يُعْطَي أَجْرَهُ عَنْ فَرَاغِهِ مِنْ ذَلِكَ</w:t>
      </w:r>
    </w:p>
    <w:p>
      <w:pPr>
        <w:pStyle w:val="BookText"/>
        <w:rPr/>
      </w:pPr>
      <w:r>
        <w:rPr>
          <w:rFonts w:ascii="IRNazanin" w:hAnsi="IRNazanin" w:eastAsia="IRNazanin"/>
          <w:color w:val="111111"/>
          <w:sz w:val="28"/>
          <w:sz w:val="28"/>
          <w:szCs w:val="28"/>
          <w:rtl w:val="true"/>
          <w:lang w:bidi="fa-IR"/>
        </w:rPr>
        <w:t>شب های نوزده، بیست و یک، بیست و سه و بیست و پنج غسل می نمود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صاحب کتاب مذکور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ابی یعفور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غسل کردن در ماه رمضان پرسیدم،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های نوزده، بیست و یک، بیست و سه، بیست و هفت و بیست و نه غسل کن</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همچنین از حمّاد بن عثمان روایت کرده که گفت در شب بیست و یک ماه رمضان نزد امام صادق علیه السلام رفتم،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حمّاد، غسل نموده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آری، حدیث</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از پیامبر صلّی الله علیه و آله نیز روایت شده که ایشان در شب هفده ماه رمضان غسل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سلسله روایت های متعدد از امام صادق علیه السلام روایت شده که ایشان نیز در شب بیست وسوّم ماه رمضان یک بار در اوّل شب و بار دیگر در پایان شب آن غسل می نمود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از عبدالرحمن بن أبی عبدالله نیز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بیست و چهارم ماه رمضان غسل کن</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 هنگام ذکر اعمال روز بیست و هفتم ماه رجب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غسل در این روز شریف از تکالیف شریف است؛ و روایتی را در این خصوص ذکر نکرده است، همچنین زیارت امیر مؤمنان علیه السلام را بدون روایت ذکر کرده است، و غسل شب نیمه شعبان به منظور زیارت امام حسین علیه السلام را بدون اختصاص دادن روایت به آن ذکر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گفته است ابن أبی قرّه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إسناد خویش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در شب اول و پانزدهم ماه رمضان مستحبّ است، و این امر را گروهی از یاران گذشته ما ذکر کرده اند، پس سخن را در ذکر اسم مصنّفین این کلام به درازا نمی کشانیم، و هنگام غسل در ماه رمضان قبل از وارد شدن به عشاء است، و آن غسل برای تمام شب کافی است؛ در برخی از روایت ها زمان مناسب برای غسل، ابتدای شب و در برخی دیگر فاصله بین نماز مغرب و عشاء ذکر شده است، و ما سخن خود را به نقل از ائمه طاهرین نقل کردیم</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نویسنده کتاب المختصر در ادامه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که گمان می کنم از تألیفات ابو محمد جعفر بن احمد قمی است 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شب اول ماه رمضان در رودخانه ای جاری غسل کند و سی مُشت آب بر سر خود بریزد تا ماه رمضان سال آینده پاک و مطهر خواهد ماند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در کتابی که به آن اشاره شد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دوست ندارد گرفتار مرض خارش پوست شود در شب اول ماه رمضان غسل نماید، و هر که در اولین شب ماه رمضان غسل نماید به مرض خارش پوست گرفتار نمی شود و تا ماه رمضان سال بعد سلامت خواهد بود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همچنین نویسنده المختصر به نقل از کتاب الأغسال احمد بن محمّد بن عیاش از امیر مؤمنان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نخستین شب ماه رمضان فرا رسید، رسول خدا صلّی الله علیه وآله برخاست و به حمد و سپاس و ستایش خداوند پرداخت؛ سپس امام سخن را پی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نخستین شب از ده شب آخر ماه رمضان فرا رسید،پس پیامبر برخاست و خداوند را ستایش فرمود و اعمال شب نخست ماه را انجام داد، سپس برخاست و خود را آماده کرد و کمر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 و از خانه خارج شد و به اعتکاف پرداخت و تمام شب را بیدار ماند، همچنین پیامبر در دهه آخر ماه رمضان هر شب مابین نماز مغرب و عشاء غسل می نمود، حدیث</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با اسناد به سعد بن عبدالله از امیر مؤمنان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روز اوّل سال در رودخانه ای جاری غسل کند و سی مشت آب بر سر خود بریزد، این کار به منزله شفای او در طول سال خواهد بود</w:t>
      </w:r>
      <w:r>
        <w:rPr>
          <w:rFonts w:eastAsia="IRNazanin" w:cs="IRNazanin"/>
          <w:color w:val="111111"/>
          <w:sz w:val="28"/>
          <w:szCs w:val="28"/>
          <w:rtl w:val="true"/>
          <w:lang w:bidi="fa-IR"/>
        </w:rPr>
        <w:t>.</w:t>
      </w:r>
      <w:r>
        <w:rPr>
          <w:rStyle w:val="FootnoteAnchor"/>
          <w:rtl w:val="true"/>
        </w:rPr>
        <w:footnoteReference w:id="12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با اسناد متصل به حسن بن راشد از وی روایت شده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می گویند که مغفرت و بخشش در شب قدر بر کسانی فرود می آید که ماه رمضان را روزه گرفته اند؛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 مزد کارگر بعد از فارغ شدن از انجام کار پرداخت می شود، </w:t>
      </w:r>
      <w:bookmarkStart w:id="207" w:name="pg13517_329052"/>
    </w:p>
    <w:p>
      <w:pPr>
        <w:pStyle w:val="BookText"/>
        <w:rPr/>
      </w:pPr>
      <w:bookmarkEnd w:id="207"/>
      <w:r>
        <w:rPr>
          <w:rFonts w:ascii="Amiri" w:hAnsi="Amiri" w:eastAsia="Amiri" w:cs="Amiri"/>
          <w:color w:val="111111"/>
          <w:sz w:val="28"/>
          <w:sz w:val="28"/>
          <w:szCs w:val="28"/>
          <w:rtl w:val="true"/>
          <w:lang w:bidi="ar-SA"/>
        </w:rPr>
        <w:t>لَيْلَةُ الْعِيدِ قُلْتُ جُعِلْتُ فِدَاكَ فَمَا يَنْبَغِي لَنَا أَنْ نَفْعَلَ فِيهَا قَالَ إِذَا غَرَبَتِ الشَّمْسُ فَاغْتَسِلْ الْحَدِيثَ‌</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العلل، عن أبيه عن محمد بن يحيي عن محمد بن أحمد بن يحيي عن أحمد بن محمد السياري عن القاسم بن يحيي عن جده الحسن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8"/>
      </w:r>
    </w:p>
    <w:p>
      <w:pPr>
        <w:pStyle w:val="Heading5"/>
        <w:numPr>
          <w:ilvl w:val="4"/>
          <w:numId w:val="1"/>
        </w:numPr>
        <w:rPr/>
      </w:pPr>
      <w:bookmarkStart w:id="208" w:name="__RefHeading___Toc605102_1934241801"/>
      <w:bookmarkStart w:id="209" w:name="_Toc95"/>
      <w:bookmarkEnd w:id="208"/>
      <w:r>
        <w:rPr>
          <w:rtl w:val="true"/>
        </w:rPr>
        <w:t>بيان</w:t>
      </w:r>
      <w:bookmarkEnd w:id="209"/>
    </w:p>
    <w:p>
      <w:pPr>
        <w:pStyle w:val="BookText"/>
        <w:rPr/>
      </w:pPr>
      <w:r>
        <w:rPr>
          <w:rFonts w:ascii="IRNazanin" w:hAnsi="IRNazanin" w:eastAsia="IRNazanin"/>
          <w:color w:val="111111"/>
          <w:sz w:val="28"/>
          <w:sz w:val="28"/>
          <w:szCs w:val="28"/>
          <w:rtl w:val="true"/>
          <w:lang w:bidi="fa-IR"/>
        </w:rPr>
        <w:t>القاريجار معرب كارگر</w:t>
      </w:r>
      <w:r>
        <w:rPr>
          <w:rFonts w:eastAsia="IRNazanin" w:cs="IRNazanin"/>
          <w:color w:val="111111"/>
          <w:sz w:val="28"/>
          <w:szCs w:val="28"/>
          <w:rtl w:val="true"/>
          <w:lang w:bidi="fa-IR"/>
        </w:rPr>
        <w:t>.</w:t>
      </w:r>
    </w:p>
    <w:p>
      <w:pPr>
        <w:pStyle w:val="Heading5"/>
        <w:numPr>
          <w:ilvl w:val="4"/>
          <w:numId w:val="1"/>
        </w:numPr>
        <w:rPr/>
      </w:pPr>
      <w:bookmarkStart w:id="210" w:name="__RefHeading___Toc605104_1934241801"/>
      <w:bookmarkStart w:id="211" w:name="_Toc96"/>
      <w:bookmarkEnd w:id="210"/>
      <w:r>
        <w:rPr>
          <w:rtl w:val="true"/>
        </w:rPr>
        <w:t>«</w:t>
      </w:r>
      <w:r>
        <w:rPr/>
        <w:t>26</w:t>
      </w:r>
      <w:r>
        <w:rPr>
          <w:rtl w:val="true"/>
        </w:rPr>
        <w:t>»</w:t>
      </w:r>
      <w:bookmarkEnd w:id="211"/>
    </w:p>
    <w:p>
      <w:pPr>
        <w:pStyle w:val="BookText"/>
        <w:rPr/>
      </w:pPr>
      <w:r>
        <w:rPr>
          <w:rFonts w:ascii="Amiri" w:hAnsi="Amiri" w:eastAsia="Amiri" w:cs="Amiri"/>
          <w:color w:val="111111"/>
          <w:sz w:val="28"/>
          <w:sz w:val="28"/>
          <w:szCs w:val="28"/>
          <w:rtl w:val="true"/>
          <w:lang w:bidi="ar-SA"/>
        </w:rPr>
        <w:t>الْإِقْبَالُ، رَوَيْنَا بِإِسْنَادِنَا إِلَي الْحُسَيْنِ بْنِ سَعِيدٍ عَنِ النَّضْرِ بْنِ سُوَيْدٍ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يَوْمَ الْفِطْرِ سُنَّةٌ</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مِنْ كِتَابِ مُحَمَّدِ بْنِ أَبِي قُرَّةَ بِإِسْنَادِهِ إِلَي أَبِي عَنْبَسَةَ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الْعِيدِ يَوْمَ الْفِطْرِ أَنْ تَغْتَسِلَ مِنْ نَهَرٍ فَإِنْ لَمْ يَكُنْ نَهَرٌ فَلِ أَنْتَ بِنَفْسِكَ اسْتِقَاءَ الْمَاءِ بِتَخَشُّعٍ وَ لْيَكُنْ غُسْلُكَ تَحْتَ الظِّلَالِ أَوْ تَحْتَ حَائِطٍ وَ تَسَتَّرْ بِجُهْدِكَ فَإِذَا هَمَمْتَ بِذَلِكَ فَقُلِ اللَّهُمَّ إِيمَاناً بِكَ وَ تَصْدِيقاً بِكِتَابِكَ وَ اتِّبَاعَ سُنَّةِ نَبِيِّكَ مُحَمَّدٍ صلي الله عليه و آله ثُمَّ سَمِّ وَ اغْتَسِلْ فَإِذَا فَرَغْتَ مِنَ الْغُسْلِ فَقُلِ اللَّهُمَّ اجْعَلْهُ كَفَّارَةً لِذُنُوبِي وَ طَهِّرْ دِينِي اللَّهُمَّ أَذْهِبْ عَنِّي الدَّنَسَ‌</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 w:name="__RefHeading___Toc605106_1934241801"/>
      <w:bookmarkStart w:id="213" w:name="_Toc97"/>
      <w:bookmarkEnd w:id="212"/>
      <w:r>
        <w:rPr>
          <w:rtl w:val="true"/>
        </w:rPr>
        <w:t>بيان</w:t>
      </w:r>
      <w:bookmarkEnd w:id="213"/>
    </w:p>
    <w:p>
      <w:pPr>
        <w:pStyle w:val="BookText"/>
        <w:rPr/>
      </w:pPr>
      <w:r>
        <w:rPr>
          <w:rFonts w:ascii="Amiri" w:hAnsi="Amiri" w:eastAsia="Amiri" w:cs="Amiri"/>
          <w:color w:val="111111"/>
          <w:sz w:val="28"/>
          <w:sz w:val="28"/>
          <w:szCs w:val="28"/>
          <w:rtl w:val="true"/>
          <w:lang w:bidi="ar-SA"/>
        </w:rPr>
        <w:t>ل أمر من ولي يلي و يدل علي استحباب تولي مقدمات العبادة بنفسه و لا يلزم أن يكون خلافه داخلا في الاستعانة المكروهة</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605108_1934241801"/>
      <w:bookmarkStart w:id="215" w:name="_Toc98"/>
      <w:bookmarkEnd w:id="214"/>
      <w:r>
        <w:rPr>
          <w:rtl w:val="true"/>
        </w:rPr>
        <w:t>«</w:t>
      </w:r>
      <w:r>
        <w:rPr/>
        <w:t>27</w:t>
      </w:r>
      <w:r>
        <w:rPr>
          <w:rtl w:val="true"/>
        </w:rPr>
        <w:t>»</w:t>
      </w:r>
      <w:bookmarkEnd w:id="215"/>
    </w:p>
    <w:p>
      <w:pPr>
        <w:pStyle w:val="BookText"/>
        <w:rPr/>
      </w:pPr>
      <w:r>
        <w:rPr>
          <w:rFonts w:ascii="Amiri" w:hAnsi="Amiri" w:eastAsia="Amiri" w:cs="Amiri"/>
          <w:color w:val="111111"/>
          <w:sz w:val="28"/>
          <w:sz w:val="28"/>
          <w:szCs w:val="28"/>
          <w:rtl w:val="true"/>
          <w:lang w:bidi="ar-SA"/>
        </w:rPr>
        <w:t>الْمِصْبَاحُ، عَنِ الْمُعَلَّي بْنِ خُنَيْسٍ عَنِ الصَّادِقِ عليه السلام فِي يَوْمِ النَّيْرُوزِ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النَّيْرُوزِ فَاغْتَسِلْ وَ الْبَسْ أَنْظَفَ ثِيَابِكَ الْحَدِيثَ‌</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 w:name="__RefHeading___Toc605110_1934241801"/>
      <w:bookmarkStart w:id="217" w:name="_Toc99"/>
      <w:bookmarkEnd w:id="216"/>
      <w:r>
        <w:rPr>
          <w:rtl w:val="true"/>
        </w:rPr>
        <w:t>«</w:t>
      </w:r>
      <w:r>
        <w:rPr/>
        <w:t>28</w:t>
      </w:r>
      <w:r>
        <w:rPr>
          <w:rtl w:val="true"/>
        </w:rPr>
        <w:t>»</w:t>
      </w:r>
      <w:bookmarkEnd w:id="217"/>
    </w:p>
    <w:p>
      <w:pPr>
        <w:pStyle w:val="BookText"/>
        <w:rPr/>
      </w:pPr>
      <w:r>
        <w:rPr>
          <w:rFonts w:ascii="Amiri" w:hAnsi="Amiri" w:eastAsia="Amiri" w:cs="Amiri"/>
          <w:color w:val="111111"/>
          <w:sz w:val="28"/>
          <w:sz w:val="28"/>
          <w:szCs w:val="28"/>
          <w:rtl w:val="true"/>
          <w:lang w:bidi="ar-SA"/>
        </w:rPr>
        <w:t>الْإِقْبَالُ،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بِمَشْهَدِ الْحُسَيْنِ فِي يَوْمِ عَرَفَةَ فَاغْتَسِلْ غُسْلَ الزِّيَارَةِ وَ قَالَ فِي عَمَلِ يَوْمِ عَرَفَةَ فَاغْتَسِلِ الْغُسْلَ الْمَأْمُورَ بِهِ فِي عَرَفَةَ فَإِنَّهُ مِنَ</w:t>
      </w:r>
    </w:p>
    <w:p>
      <w:pPr>
        <w:pStyle w:val="BookText"/>
        <w:rPr/>
      </w:pPr>
      <w:r>
        <w:rPr>
          <w:rFonts w:ascii="IRNazanin" w:hAnsi="IRNazanin" w:eastAsia="IRNazanin"/>
          <w:color w:val="111111"/>
          <w:sz w:val="28"/>
          <w:sz w:val="28"/>
          <w:szCs w:val="28"/>
          <w:rtl w:val="true"/>
          <w:lang w:bidi="fa-IR"/>
        </w:rPr>
        <w:t>که شب عید از آن جمله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پس لازم است که چه عملی را در آن شب انجام دهیم؟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خورشید غروب کرد غسل کن، حدیث</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از حسن بن راشد روایت شده است</w:t>
      </w:r>
      <w:r>
        <w:rPr>
          <w:rFonts w:eastAsia="IRNazanin" w:cs="IRNazanin"/>
          <w:color w:val="111111"/>
          <w:sz w:val="28"/>
          <w:szCs w:val="28"/>
          <w:rtl w:val="true"/>
          <w:lang w:bidi="fa-IR"/>
        </w:rPr>
        <w:t>.</w:t>
      </w:r>
      <w:r>
        <w:rPr>
          <w:rStyle w:val="FootnoteAnchor"/>
          <w:rtl w:val="true"/>
        </w:rPr>
        <w:footnoteReference w:id="133"/>
      </w:r>
    </w:p>
    <w:p>
      <w:pPr>
        <w:pStyle w:val="Heading5"/>
        <w:numPr>
          <w:ilvl w:val="4"/>
          <w:numId w:val="1"/>
        </w:numPr>
        <w:rPr/>
      </w:pPr>
      <w:bookmarkStart w:id="218" w:name="__RefHeading___Toc605112_1934241801"/>
      <w:bookmarkStart w:id="219" w:name="_Toc100"/>
      <w:bookmarkEnd w:id="218"/>
      <w:r>
        <w:rPr>
          <w:rtl w:val="true"/>
        </w:rPr>
        <w:t>توضیح</w:t>
      </w:r>
      <w:bookmarkEnd w:id="2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القاریجار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کلمه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20" w:name="__RefHeading___Toc605114_1934241801"/>
      <w:bookmarkStart w:id="221" w:name="_Toc101"/>
      <w:bookmarkEnd w:id="220"/>
      <w:r>
        <w:rPr>
          <w:rtl w:val="true"/>
        </w:rPr>
        <w:t xml:space="preserve">روایت </w:t>
      </w:r>
      <w:r>
        <w:rPr/>
        <w:t>26</w:t>
      </w:r>
      <w:bookmarkEnd w:id="221"/>
    </w:p>
    <w:p>
      <w:pPr>
        <w:pStyle w:val="BookText"/>
        <w:rPr/>
      </w:pP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به عبدالله بن سنان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روز عید فطر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همچنین با اسناد به ابوعنبسه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به جا آوردن نماز عید فطر از یک رودخانه غسل نما، اگر رودخانه ای وجود نداشت جستجو کن و خود با خشوع در طلب آب باش، پس باید غسل کردنت زیر سایه ها یا دیوار باشد و با تلاش و کوشش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چشم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دار، هنگامی که قصد غسل کردن نمودی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إِیمَاناً بِکَ وَ تَصْدِیقاً بِکِتَابِکَ وَ اتِّبَاعَ سُنَّةِ نَبِیِّکَ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این کار را به خاطر ایمان به تو، تصدیق کتابت و پیروی از سنّت پیامبرت محمد صلّی الله علیه و آله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نام خداوند آغاز کن، و هنگامی که از غسل کردن فارغ گشتی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کَفَّارَةً لِذُنُوبِی وَ طَهِّرْ دِینِی اللَّهُمَّ أَذْهِبْ عَنِّی الدَّنَسَ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این غسل کردن را کفّاره گناهانم قرار ده و دینم را مطهر گردان، خداوندا، آلودگی را از من برطرف ساز</w:t>
      </w:r>
      <w:r>
        <w:rPr>
          <w:rFonts w:eastAsia="IRNazanin" w:cs="IRNazanin"/>
          <w:color w:val="111111"/>
          <w:sz w:val="28"/>
          <w:szCs w:val="28"/>
          <w:rtl w:val="true"/>
          <w:lang w:bidi="fa-IR"/>
        </w:rPr>
        <w:t>.}</w:t>
      </w:r>
      <w:r>
        <w:rPr>
          <w:rStyle w:val="FootnoteAnchor"/>
          <w:rtl w:val="true"/>
        </w:rPr>
        <w:footnoteReference w:id="135"/>
      </w:r>
    </w:p>
    <w:p>
      <w:pPr>
        <w:pStyle w:val="Heading5"/>
        <w:numPr>
          <w:ilvl w:val="4"/>
          <w:numId w:val="1"/>
        </w:numPr>
        <w:rPr/>
      </w:pPr>
      <w:bookmarkStart w:id="222" w:name="__RefHeading___Toc605116_1934241801"/>
      <w:bookmarkStart w:id="223" w:name="_Toc102"/>
      <w:bookmarkEnd w:id="222"/>
      <w:r>
        <w:rPr>
          <w:rtl w:val="true"/>
        </w:rPr>
        <w:t>توضیح</w:t>
      </w:r>
      <w:bookmarkEnd w:id="2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امر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فلان چیز رفت 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بر مستحبّ بودن فراهم کردن مقدّمات عبادت توسط خود شخص دلالت می کند و لزوما این طور نیست که خلاف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گرفتن از دیگران در مقدمات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استعانت به مکروه داخل باشد</w:t>
      </w:r>
      <w:r>
        <w:rPr>
          <w:rFonts w:eastAsia="IRNazanin" w:cs="IRNazanin"/>
          <w:color w:val="111111"/>
          <w:sz w:val="28"/>
          <w:szCs w:val="28"/>
          <w:rtl w:val="true"/>
          <w:lang w:bidi="fa-IR"/>
        </w:rPr>
        <w:t>.</w:t>
      </w:r>
    </w:p>
    <w:p>
      <w:pPr>
        <w:pStyle w:val="Heading5"/>
        <w:numPr>
          <w:ilvl w:val="4"/>
          <w:numId w:val="1"/>
        </w:numPr>
        <w:rPr/>
      </w:pPr>
      <w:bookmarkStart w:id="224" w:name="__RefHeading___Toc605118_1934241801"/>
      <w:bookmarkStart w:id="225" w:name="_Toc103"/>
      <w:bookmarkEnd w:id="224"/>
      <w:r>
        <w:rPr>
          <w:rtl w:val="true"/>
        </w:rPr>
        <w:t xml:space="preserve">روایت </w:t>
      </w:r>
      <w:r>
        <w:rPr/>
        <w:t>27</w:t>
      </w:r>
      <w:bookmarkEnd w:id="225"/>
    </w:p>
    <w:p>
      <w:pPr>
        <w:pStyle w:val="BookText"/>
        <w:rPr/>
      </w:pP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در روز نوروز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نوروز فرا رسید غسل کن و پاکیزه ترین لباس هایت را بپوش، حدیث</w:t>
      </w:r>
      <w:r>
        <w:rPr>
          <w:rFonts w:eastAsia="IRNazanin" w:cs="IRNazanin"/>
          <w:color w:val="111111"/>
          <w:sz w:val="28"/>
          <w:szCs w:val="28"/>
          <w:rtl w:val="true"/>
          <w:lang w:bidi="fa-IR"/>
        </w:rPr>
        <w:t>.</w:t>
      </w:r>
      <w:r>
        <w:rPr>
          <w:rStyle w:val="FootnoteAnchor"/>
          <w:rtl w:val="true"/>
        </w:rPr>
        <w:footnoteReference w:id="136"/>
      </w:r>
    </w:p>
    <w:p>
      <w:pPr>
        <w:pStyle w:val="Heading5"/>
        <w:numPr>
          <w:ilvl w:val="4"/>
          <w:numId w:val="1"/>
        </w:numPr>
        <w:rPr/>
      </w:pPr>
      <w:bookmarkStart w:id="226" w:name="__RefHeading___Toc605120_1934241801"/>
      <w:bookmarkStart w:id="227" w:name="_Toc104"/>
      <w:bookmarkEnd w:id="226"/>
      <w:r>
        <w:rPr>
          <w:rtl w:val="true"/>
        </w:rPr>
        <w:t xml:space="preserve">روایت </w:t>
      </w:r>
      <w:r>
        <w:rPr/>
        <w:t>28</w:t>
      </w:r>
      <w:bookmarkEnd w:id="22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روز عرفه در مکان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بودی، غسل زیارت را به جا آور، و در ذکر اعمال روز عرفه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روز عرفه غسلی که به آن امر شده ای را به انجام برسان، چرا که از </w:t>
      </w:r>
      <w:bookmarkStart w:id="228" w:name="pg13517_329053"/>
    </w:p>
    <w:p>
      <w:pPr>
        <w:pStyle w:val="BookText"/>
        <w:rPr/>
      </w:pPr>
      <w:bookmarkEnd w:id="228"/>
      <w:r>
        <w:rPr>
          <w:rFonts w:ascii="Amiri" w:hAnsi="Amiri" w:eastAsia="Amiri" w:cs="Amiri"/>
          <w:color w:val="111111"/>
          <w:sz w:val="28"/>
          <w:sz w:val="28"/>
          <w:szCs w:val="28"/>
          <w:rtl w:val="true"/>
          <w:lang w:bidi="ar-SA"/>
        </w:rPr>
        <w:t>الْمُهِمَّاتِ إِلَي أَنْ قَالَ وَ لْيَكُنْ غُسْلُكَ قَبْلَ الظُّهْرَيْنِ بِقَلِيلٍ‌</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مِنْ كِتَابِ مُحَمَّدِ بْنِ عَلِيٍّ الطِّرَازِيِّ قَالَ رَوَيْنَاهُ بِإِسْنَادِنَا إِلَي عَبْدِ اللَّهِ بْنِ جَعْفَرٍ الْحِمْيَرِيِّ عَنْ هَارُونَ بْنِ مُسْلِمٍ عَنْ أَبِي الْحَسَنِ اللَّيْثِيِّ عَنْ أَبِي عَبْدِ اللَّهِ عليه السلام فِي حَدِيثٍ طَوِيلٍ ذَكَرَ فِيهِ فَضْلَ يَوْمِ الْغَدِيرِ إِلَي أَنْ قَالَ فَإِذَا كَانَ صَبِيحَةُ ذَلِكَ الْيَوْمِ وَجَبَ الْغُسْلُ فِي صَدْرِ نَهَارِهِ الْحَدِيثَ‌</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بِإِسْنَادِهِ إِلَي أَبِي الْفَرَجِ مُحَمَّدِ بْنِ عَلِيِّ بْنِ أَبِي قُرَّةَ بِإِسْنَادِهِ إِلَي عَلِيِّ بْنِ مُحَمَّدٍ الْقُمِّيِّ رَفَعَهُ فِي خَبَرِ الْمُبَاهَلَةِ وَ هِيَ يَوْمُ أَرْبَعٍ وَ عِشْرِينَ مِنْ ذِي الْحِجَّةِ وَ قِيلَ يَوْمُ إِحْدَي وَ عِشْرِينَ وَ قِيلَ يَوْمُ سَبْعَةٍ وَ عِشْرِينَ وَ أَصَحُّ الرِّوَايَاتِ يَوْمُ أَرْبَعَةٍ وَ عِشْرِينَ وَ الزِّيَارَةِ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ذَلِكَ فَابْدَأْ بِصَوْمِ ذَلِكَ الْيَوْمِ شُكْراً لِلَّهِ تَعَالَي وَ اغْتَسِلْ وَ الْبَسْ أَنْظَفَ ثِيَابِكَ‌</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 w:name="__RefHeading___Toc605122_1934241801"/>
      <w:bookmarkStart w:id="230" w:name="_Toc105"/>
      <w:bookmarkEnd w:id="229"/>
      <w:r>
        <w:rPr>
          <w:rtl w:val="true"/>
        </w:rPr>
        <w:t>«</w:t>
      </w:r>
      <w:r>
        <w:rPr/>
        <w:t>29</w:t>
      </w:r>
      <w:r>
        <w:rPr>
          <w:rtl w:val="true"/>
        </w:rPr>
        <w:t>»</w:t>
      </w:r>
      <w:bookmarkEnd w:id="230"/>
    </w:p>
    <w:p>
      <w:pPr>
        <w:pStyle w:val="BookText"/>
        <w:rPr/>
      </w:pPr>
      <w:r>
        <w:rPr>
          <w:rFonts w:ascii="Amiri" w:hAnsi="Amiri" w:eastAsia="Amiri" w:cs="Amiri"/>
          <w:color w:val="111111"/>
          <w:sz w:val="28"/>
          <w:sz w:val="28"/>
          <w:szCs w:val="28"/>
          <w:rtl w:val="true"/>
          <w:lang w:bidi="ar-SA"/>
        </w:rPr>
        <w:t>إِخْتِيَارُ ابْنِ الْبَاقِي،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الْأَعْيَادِ طَهُورٌ لِمَنْ أَرَادَ طَلَبَ الْحَوَائِجِ بَيْنَ يَدَيِ اللَّهِ عَزَّ وَ جَلَّ وَ اتِّبَاعٌ لِسُنَّةِ رَسُولِ اللَّهِ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605124_1934241801"/>
      <w:bookmarkStart w:id="232" w:name="_Toc106"/>
      <w:bookmarkEnd w:id="231"/>
      <w:r>
        <w:rPr>
          <w:rtl w:val="true"/>
        </w:rPr>
        <w:t>«</w:t>
      </w:r>
      <w:r>
        <w:rPr/>
        <w:t>30</w:t>
      </w:r>
      <w:r>
        <w:rPr>
          <w:rtl w:val="true"/>
        </w:rPr>
        <w:t>»</w:t>
      </w:r>
      <w:bookmarkEnd w:id="232"/>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الْأَغْسَالُ الْمَنْدُوبَةُ غُسْلُ التَّوْبَةِ وَ غُسْلُ الْجُمُعَةِ وَ غُسْلُ أَوَّلِ لَيْلَةٍ مِنْ شَهْرِ رَمَضَانَ وَ غُسْلُ كُلِّ لَيْلَةٍ مُفْرَدَةٍ مِنْهُ وَ أَفْضَلُ أَغْسَالِهِ غُسْلُ لَيْلَةِ النِّصْفِ مِنْهُ وَ غُسْلُ لَيْلَةِ سَبْعَ عَشْرَةَ مِنْهُ وَ غُسْلُ لَيْلَةِ تِسْعَ عَشْرَةَ مِنْهُ وَ غُسْلُ لَيْلَةِ إِحْدَي وَ عِشْرِينَ مِنْهُ وَ غُسْلُ لَيْلَةِ ثَلَاثٍ وَ عِشْرِينَ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الشَّيْخُ ابْنُ أَبِي قُرَّةَ رَحِمَهُ اللَّهُ فِي كِتَابِ عَمَلِ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غُسْلُ لَيْلَةِ أَرْبَعٍ وَ عِشْرِينَ مِنْهُ وَ لَيْلَةِ خَمْسٍ وَ عِشْرِينَ مِنْهُ وَ لَيْلَةِ سَبْعٍ وَ عِشْرِينَ مِنْهُ وَ لَيْلَةِ تِسْعٍ وَ عِشْرِينَ مِنْهُ وَ رَوَي فِي ذَلِكَ 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غُسْلُ لَيْلَةِ عِيدِ الْفِطْرِ وَ غُسْلُ يَوْمِ عِيدِ الْفِطْرِ وَ غُسْلُ يَوْمِ عَرَفَةَ وَ هُوَ تَاسِعُ ذِي الْحِجَّةِ وَ غُسْلُ عِيدِ الْأَضْحَي عَاشِرِ ذِي الْحِجَّةِ وَ غُسْلُ يَوْمِ الْغَدِيرِ ثَامِنَ عَشَرَ ذِي الْحِجَّةِ وَ غُسْلُ يَوْمِ الْمُبَاهَلَةِ وَ هُوَ الرَّابِعُ وَ الْعِشْرُونَ مِنْ ذِي الْحِجَّةِ وَ</w:t>
      </w:r>
    </w:p>
    <w:p>
      <w:pPr>
        <w:pStyle w:val="BookText"/>
        <w:rPr/>
      </w:pPr>
      <w:r>
        <w:rPr>
          <w:rFonts w:ascii="IRNazanin" w:hAnsi="IRNazanin" w:eastAsia="IRNazanin"/>
          <w:color w:val="111111"/>
          <w:sz w:val="28"/>
          <w:sz w:val="28"/>
          <w:szCs w:val="28"/>
          <w:rtl w:val="true"/>
          <w:lang w:bidi="fa-IR"/>
        </w:rPr>
        <w:t>امور مهّم است؛ سپس سخن را پی گرفته تا جائی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غسل کردنت را اندکی پیش از نماز ظهر و عصر به جا آوری</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همچنین با اسناد به ابوالحسن لیثیّ در ضمن حدیثی طولانی که به ذکر فضل روز غدیر پرداخته است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روز غدیر فرا رسد در آغاز آن روز غسل واجب می شود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با اسناد به علی بن محمد قمی در ضمن حدیث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 بیست و چهارم ذی الحجه می باشد و گفته شده روز بیست و یک یا بیست و هفت، ولی بر اساس صحیح ترین روایات روز بیست و چهارم می باشد و روز زیارت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قصد زیارت نمودی به عنوان شکرگزاری به درگاه خداوند متعال آن روز را با روزه آغاز کن، پس غسل نموده و پاکیزه ترین لباس هایت را به تن کن</w:t>
      </w:r>
      <w:r>
        <w:rPr>
          <w:rFonts w:eastAsia="IRNazanin" w:cs="IRNazanin"/>
          <w:color w:val="111111"/>
          <w:sz w:val="28"/>
          <w:szCs w:val="28"/>
          <w:rtl w:val="true"/>
          <w:lang w:bidi="fa-IR"/>
        </w:rPr>
        <w:t>.</w:t>
      </w:r>
      <w:r>
        <w:rPr>
          <w:rStyle w:val="FootnoteAnchor"/>
          <w:rtl w:val="true"/>
        </w:rPr>
        <w:footnoteReference w:id="142"/>
      </w:r>
    </w:p>
    <w:p>
      <w:pPr>
        <w:pStyle w:val="Heading5"/>
        <w:numPr>
          <w:ilvl w:val="4"/>
          <w:numId w:val="1"/>
        </w:numPr>
        <w:rPr/>
      </w:pPr>
      <w:bookmarkStart w:id="233" w:name="__RefHeading___Toc605126_1934241801"/>
      <w:bookmarkStart w:id="234" w:name="_Toc107"/>
      <w:bookmarkEnd w:id="233"/>
      <w:r>
        <w:rPr>
          <w:rtl w:val="true"/>
        </w:rPr>
        <w:t xml:space="preserve">روایت </w:t>
      </w:r>
      <w:r>
        <w:rPr/>
        <w:t>29</w:t>
      </w:r>
      <w:bookmarkEnd w:id="234"/>
    </w:p>
    <w:p>
      <w:pPr>
        <w:pStyle w:val="BookText"/>
        <w:rPr/>
      </w:pPr>
      <w:r>
        <w:rPr>
          <w:rFonts w:ascii="IRNazanin" w:hAnsi="IRNazanin" w:eastAsia="IRNazanin"/>
          <w:color w:val="111111"/>
          <w:sz w:val="28"/>
          <w:sz w:val="28"/>
          <w:szCs w:val="28"/>
          <w:rtl w:val="true"/>
          <w:lang w:bidi="fa-IR"/>
        </w:rPr>
        <w:t>اختیار ابن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روزهای عید، پاک کننده کسی است که حاجات خویش را از درگاه خداوند متعال طلب می کند، همچنین پیروی از سنّت رسول خدا صلّی الله علیه و آله است</w:t>
      </w:r>
      <w:r>
        <w:rPr>
          <w:rFonts w:eastAsia="IRNazanin" w:cs="IRNazanin"/>
          <w:color w:val="111111"/>
          <w:sz w:val="28"/>
          <w:szCs w:val="28"/>
          <w:rtl w:val="true"/>
          <w:lang w:bidi="fa-IR"/>
        </w:rPr>
        <w:t>.</w:t>
      </w:r>
    </w:p>
    <w:p>
      <w:pPr>
        <w:pStyle w:val="Heading5"/>
        <w:numPr>
          <w:ilvl w:val="4"/>
          <w:numId w:val="1"/>
        </w:numPr>
        <w:rPr/>
      </w:pPr>
      <w:bookmarkStart w:id="235" w:name="__RefHeading___Toc605128_1934241801"/>
      <w:bookmarkStart w:id="236" w:name="_Toc108"/>
      <w:bookmarkEnd w:id="235"/>
      <w:r>
        <w:rPr>
          <w:rtl w:val="true"/>
        </w:rPr>
        <w:t xml:space="preserve">روایت </w:t>
      </w:r>
      <w:r>
        <w:rPr/>
        <w:t>30</w:t>
      </w:r>
      <w:bookmarkEnd w:id="236"/>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های مستحب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توبه، غسل جمعه، غسل نخستین شب ماه رمضان، غسل تمام شب های فرد ماه رمضان، و برترین غسل های ماه رمضان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شب پانزدهم، هفدهم، نوزدهم، بیست و یکم، و بیست و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ابن أبی قرّه رحمه الله در کتاب اعمال ماه رمضان چنین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غسل شب بیست و چهار، بیست و پنج، بیست و هفت و بیست و نهم از ماه رمضان از جمله غسل های سنّت و پر فضیلت هستند، و برای اثبات سخن خویش روایاتی را ذکر کرده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غسل های سنّت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شب عید فطر، غسل روز عید فطر، غسل روز عرفه یعنی نهم ماه ذی الحجه، غسل روز عید قربان یعنی دهم ماه ذی الحجّه، غسل روز غدیر یعنی هجدهم ماه ذی الحجه، غسل روز مباهله یعنی بیست و چهارم ماه ذی الحجه، </w:t>
      </w:r>
      <w:bookmarkStart w:id="237" w:name="pg13517_329054"/>
    </w:p>
    <w:p>
      <w:pPr>
        <w:pStyle w:val="BookText"/>
        <w:rPr/>
      </w:pPr>
      <w:bookmarkEnd w:id="237"/>
      <w:r>
        <w:rPr>
          <w:rFonts w:ascii="Amiri" w:hAnsi="Amiri" w:eastAsia="Amiri" w:cs="Amiri"/>
          <w:color w:val="111111"/>
          <w:sz w:val="28"/>
          <w:sz w:val="28"/>
          <w:szCs w:val="28"/>
          <w:rtl w:val="true"/>
          <w:lang w:bidi="ar-SA"/>
        </w:rPr>
        <w:t xml:space="preserve">غُسْلُ يَوْمِ مَوْلِدِ النَّبِيِّ صلي الله عليه و آله وَ هُوَ يَوْمُ سَابِعَ عَشَرَ رَبِيعٍ الْأَوَّلِ وَ غُسْلُ صَلَاةِ الْكُسُوفِ إِذَا كَانَ قَدْ احْتَرَقَ كُلُّهُ وَ تَرَكَهَا مُتَعَمِّداً فَيَغْتَسِلُ وَ يَقْضِيهَا وَ غُسْلُ صَلَاةِ الْحَاجَةِ وَ غُسْلُ صَلَاةِ الِاسْتِخَارَةِ وَ غُسْلُ الْإِحْرَامِ وَ غُسْلُ دُخُولِ مَسْجِدِ الْحَرَامِ وَ دُخُولِ الْكَعْبَةِ وَ دُخُولِ الْمَدِينَةِ وَ دُخُولِ مَسْجِدِ النَّبِيِّ صلي الله عليه و آله وَ عِنْدَ زِيَارَتِهِ عَلَيْهِ أَكْمَلُ الصَّلَوَاتِ وَ عِنْدَ زِيَارَةِ الْأَئِمَّةِ مِنْ عِتْرَتِهِ أَيْنَ كَانَتْ قُبُورُهُمْ عَلَيْهِمْ أَفْضَلُ التَّحِيَّاتِ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غُسْلُ أَخْذِ التُّرْبَةِ مِنْ ضَرِيحِ الْحُسَيْنِ عليه السلام فِي بَعْضِ الرِّوَايَاتِ‌</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ابْنُ بَابَوَيْهِ فِي الْجُزْءِ الْأَوَّلِ مِنْ كِتَابِ مَدِينَةِ الْعِلْمِ عَنِ الصَّادِقِ عليه السلام حَدِيثاً فِي الْأَغْسَالِ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فِيهَا غُسْلَ الِاسْتِخَارَةِ وَ غُسْلَ صَلَاةِ الِاسْتِخَارَةِ وَ غُسْلَ صَلَاةِ الِاسْتِسْقَاءِ وَ غُسْلَ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فِي الْأَحَادِيثِ مِنْ غَيْرِ كِتَابِ 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مَوْلَانَا عَلِيّاً عليه السلام كَانَ يَغْتَسِلُ فِي اللَّيَالِي الْبَارِدَةِ طَلَباً لِلنَّشَاطِ فِي صَلَاةِ اللَّيْلِ‌</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 w:name="__RefHeading___Toc605130_1934241801"/>
      <w:bookmarkStart w:id="239" w:name="_Toc109"/>
      <w:bookmarkEnd w:id="238"/>
      <w:r>
        <w:rPr>
          <w:rtl w:val="true"/>
        </w:rPr>
        <w:t>«</w:t>
      </w:r>
      <w:r>
        <w:rPr/>
        <w:t>31</w:t>
      </w:r>
      <w:r>
        <w:rPr>
          <w:rtl w:val="true"/>
        </w:rPr>
        <w:t>»</w:t>
      </w:r>
      <w:bookmarkEnd w:id="239"/>
    </w:p>
    <w:p>
      <w:pPr>
        <w:pStyle w:val="BookText"/>
        <w:rPr/>
      </w:pPr>
      <w:r>
        <w:rPr>
          <w:rFonts w:ascii="Amiri" w:hAnsi="Amiri" w:eastAsia="Amiri" w:cs="Amiri"/>
          <w:color w:val="111111"/>
          <w:sz w:val="28"/>
          <w:sz w:val="28"/>
          <w:szCs w:val="28"/>
          <w:rtl w:val="true"/>
          <w:lang w:bidi="ar-SA"/>
        </w:rPr>
        <w:t>الْهِدَايَةُ لِلصَّدُوقِ،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 وَ الْحَيْضِ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قَصَدَ مَصْلُوباً فَنَظَرَ إِلَيْهِ وَجَبَ عَلَيْهِ الْغُسْلُ عُقُوبَةً</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 w:name="__RefHeading___Toc605132_1934241801"/>
      <w:bookmarkStart w:id="241" w:name="_Toc110"/>
      <w:bookmarkEnd w:id="240"/>
      <w:r>
        <w:rPr>
          <w:rtl w:val="true"/>
        </w:rPr>
        <w:t>بيان</w:t>
      </w:r>
      <w:bookmarkEnd w:id="241"/>
    </w:p>
    <w:p>
      <w:pPr>
        <w:pStyle w:val="BookText"/>
        <w:rPr/>
      </w:pPr>
      <w:r>
        <w:rPr>
          <w:rFonts w:ascii="Amiri" w:hAnsi="Amiri" w:eastAsia="Amiri" w:cs="Amiri"/>
          <w:color w:val="111111"/>
          <w:sz w:val="28"/>
          <w:sz w:val="28"/>
          <w:szCs w:val="28"/>
          <w:rtl w:val="true"/>
          <w:lang w:bidi="ar-SA"/>
        </w:rPr>
        <w:t>قال أكثر الأصحاب باستحباب هذا الغسل و استندوا إلي هذه الرواية و رواها في الفقيه‌</w:t>
      </w:r>
      <w:r>
        <w:rPr>
          <w:rStyle w:val="FootnoteAnchor"/>
          <w:rtl w:val="true"/>
        </w:rPr>
        <w:footnoteReference w:id="146"/>
      </w:r>
      <w:r>
        <w:rPr>
          <w:rFonts w:ascii="Amiri" w:hAnsi="Amiri" w:eastAsia="Amiri" w:cs="Amiri"/>
          <w:color w:val="111111"/>
          <w:sz w:val="28"/>
          <w:sz w:val="28"/>
          <w:szCs w:val="28"/>
          <w:rtl w:val="true"/>
          <w:lang w:bidi="ar-SA"/>
        </w:rPr>
        <w:t>أيضا هكذا مرسلا و ذهب أبو الصلاح إلي الوجوب و إثبات الوجوب بمثلها مشكل و الأصحاب قيدوه بكونه بعد ثلاثة أيام و قال الأكثر الحكم شامل لما كان بحق أم لا أو بالكيفية الشرعية أم لا لإطلاق النص و هو كذلك لكن لا بد من تقييده بما يسمي صلبا</w:t>
      </w:r>
    </w:p>
    <w:p>
      <w:pPr>
        <w:pStyle w:val="BookText"/>
        <w:rPr/>
      </w:pPr>
      <w:r>
        <w:rPr>
          <w:rFonts w:ascii="IRNazanin" w:hAnsi="IRNazanin" w:eastAsia="IRNazanin"/>
          <w:color w:val="111111"/>
          <w:sz w:val="28"/>
          <w:sz w:val="28"/>
          <w:szCs w:val="28"/>
          <w:rtl w:val="true"/>
          <w:lang w:bidi="fa-IR"/>
        </w:rPr>
        <w:t xml:space="preserve">غسل روز میلاد پیامبر صلّی الله علیه و آله یعنی هفدهم ماه ربیع الأول، غسل نماز کسوف آن گاه که قرص کامل خورشید گرفته شود و شخص نماز را به صورت عمدی ترک کرده، پس غسل نموده و قضای نماز را به جا می آورد، غسل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غسل نماز استخاره، غسل إحرام، غسل ورود به مسجدالحرام، غسل ورود به خانه کعبه، غسل ورود به مدینه، غسل ورود به مسجدالنبی صلّی الله علیه و آله و غسل زیارت مزار ایشان علیه أفضل الصلوات، غسل زیارت مزار امامان عترت پیامبر علیهم أفضل التحیات در هر جایی قرار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از روایات غسل برگرفتن خاک از ضریح امام حسین علیه السلام نیز ذکر شده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ابن بابویه در جزء نخست از کتاب مدینة العلم حدیثی را درباره انواع غسل ها از امام صادق علیه السلام نقل کرده است و در آن به غسل استخاره، غسل نماز استخاره، غسل نماز استسقاء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غسل زیارت نیز اشاره کرده است؛ و به غیر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احادیث مشاهده کردم که مولایمان علی علیه السلام در شب های سرد و به منظور با نشاط شدن برای ادای نماز شب غسل می نمود</w:t>
      </w:r>
      <w:r>
        <w:rPr>
          <w:rFonts w:eastAsia="IRNazanin" w:cs="IRNazanin"/>
          <w:color w:val="111111"/>
          <w:sz w:val="28"/>
          <w:szCs w:val="28"/>
          <w:rtl w:val="true"/>
          <w:lang w:bidi="fa-IR"/>
        </w:rPr>
        <w:t>.</w:t>
      </w:r>
      <w:r>
        <w:rPr>
          <w:rStyle w:val="FootnoteAnchor"/>
          <w:rtl w:val="true"/>
        </w:rPr>
        <w:footnoteReference w:id="148"/>
      </w:r>
    </w:p>
    <w:p>
      <w:pPr>
        <w:pStyle w:val="Heading5"/>
        <w:numPr>
          <w:ilvl w:val="4"/>
          <w:numId w:val="1"/>
        </w:numPr>
        <w:rPr/>
      </w:pPr>
      <w:bookmarkStart w:id="242" w:name="__RefHeading___Toc605134_1934241801"/>
      <w:bookmarkStart w:id="243" w:name="_Toc111"/>
      <w:bookmarkEnd w:id="242"/>
      <w:r>
        <w:rPr>
          <w:rtl w:val="true"/>
        </w:rPr>
        <w:t xml:space="preserve">روایت </w:t>
      </w:r>
      <w:r>
        <w:rPr/>
        <w:t>31</w:t>
      </w:r>
      <w:bookmarkEnd w:id="243"/>
    </w:p>
    <w:p>
      <w:pPr>
        <w:pStyle w:val="BookText"/>
        <w:rPr/>
      </w:pPr>
      <w:r>
        <w:rPr>
          <w:rFonts w:ascii="IRNazanin" w:hAnsi="IRNazanin" w:eastAsia="IRNazanin"/>
          <w:color w:val="111111"/>
          <w:sz w:val="28"/>
          <w:sz w:val="28"/>
          <w:szCs w:val="28"/>
          <w:rtl w:val="true"/>
          <w:lang w:bidi="fa-IR"/>
        </w:rPr>
        <w:t>کتاب الهدایة مرحوم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و غسل حیض یکسان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شده که هرکسی قصد دیدار مصلوب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دار آویخته شده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پس به او نظر اندازد، به عنوان مجازات، غسل بر او واجب می شود</w:t>
      </w:r>
      <w:r>
        <w:rPr>
          <w:rFonts w:eastAsia="IRNazanin" w:cs="IRNazanin"/>
          <w:color w:val="111111"/>
          <w:sz w:val="28"/>
          <w:szCs w:val="28"/>
          <w:rtl w:val="true"/>
          <w:lang w:bidi="fa-IR"/>
        </w:rPr>
        <w:t>.</w:t>
      </w:r>
      <w:r>
        <w:rPr>
          <w:rStyle w:val="FootnoteAnchor"/>
          <w:rtl w:val="true"/>
        </w:rPr>
        <w:footnoteReference w:id="149"/>
      </w:r>
    </w:p>
    <w:p>
      <w:pPr>
        <w:pStyle w:val="Heading5"/>
        <w:numPr>
          <w:ilvl w:val="4"/>
          <w:numId w:val="1"/>
        </w:numPr>
        <w:rPr/>
      </w:pPr>
      <w:bookmarkStart w:id="244" w:name="__RefHeading___Toc605136_1934241801"/>
      <w:bookmarkStart w:id="245" w:name="_Toc112"/>
      <w:bookmarkEnd w:id="244"/>
      <w:r>
        <w:rPr>
          <w:rtl w:val="true"/>
        </w:rPr>
        <w:t>توضیح</w:t>
      </w:r>
      <w:bookmarkEnd w:id="245"/>
    </w:p>
    <w:p>
      <w:pPr>
        <w:pStyle w:val="BookText"/>
        <w:rPr/>
      </w:pPr>
      <w:r>
        <w:rPr>
          <w:rFonts w:ascii="IRNazanin" w:hAnsi="IRNazanin" w:eastAsia="IRNazanin"/>
          <w:color w:val="111111"/>
          <w:sz w:val="28"/>
          <w:sz w:val="28"/>
          <w:szCs w:val="28"/>
          <w:rtl w:val="true"/>
          <w:lang w:bidi="fa-IR"/>
        </w:rPr>
        <w:t>بیشتر فقها نظر به استحباب غسل اخیر دارند و به این روایت استناد کرده اند، و در الفقیه</w:t>
      </w:r>
      <w:r>
        <w:rPr>
          <w:rStyle w:val="FootnoteAnchor"/>
          <w:rtl w:val="true"/>
        </w:rPr>
        <w:footnoteReference w:id="15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به همین ترتیب و به صورت مرسل این حدیث را روایت کرده است، این در حالی است که ابوصلاح به وجوب این غسل اعتقاد دارد و اثبات وجوب با استناد به این گونه روایات مشکل است؛ و عدّه ای از فقها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غسل را مشروط به گذشت سه روز از به دار آویخته شدن دانسته اند، و بیشتر فقها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اطلاق نصّ، حکم شامل آن دارزدنی است که روی داده است، از سر حق بوده باشد یا خیر، با کیفیت شرعی و قانونی انجام گرفته باشد یا خیر، و این قول، صحیح است، امّا باید با آنچه </w:t>
      </w:r>
    </w:p>
    <w:p>
      <w:pPr>
        <w:pStyle w:val="BookText"/>
        <w:rPr/>
      </w:pPr>
      <w:r>
        <w:rPr>
          <w:rFonts w:ascii="Amiri" w:hAnsi="Amiri" w:eastAsia="Amiri" w:cs="Amiri"/>
          <w:color w:val="111111"/>
          <w:sz w:val="28"/>
          <w:sz w:val="28"/>
          <w:szCs w:val="28"/>
          <w:rtl w:val="true"/>
          <w:lang w:bidi="ar-SA"/>
        </w:rPr>
        <w:t>في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سيأتي أغسال الاستخارة و صلاة الحاجة و غيرها في مواضعها و حصر بعض الأصحاب الأغسال المندوبة فذكر فيها غسل العيدين و المبعث و الغدير و النيروز و الدحو و الجمعة و المباهلة و التوبة و الحاجة و الاستخارة و التروية و عرفة و الطواف و الحلق و الذبح و رمي الجمار و إحرامي الحج و العمرة و دخول الكعبة و مكة و المدينة و حرميهما و مسجديهما و الاستسقاء و المولود و من غسل ميتا أو كفنه أو مسه بعد تغسيله و ليلتي نصف رجب و شعبان و الكسوف مع الشرط و قتل الوزغة و السعي إلي رؤية المصلوب بعد ثلاث و عند الشك في الحدث الأكبر مع تيقن الطهارة و الحدث بعد غسل العضو و غسل الجنابة لمن مات جنبا و فرادي من شهر رمضان الخمس عشرة</w:t>
      </w:r>
      <w:r>
        <w:rPr>
          <w:rStyle w:val="FootnoteAnchor"/>
          <w:rtl w:val="true"/>
        </w:rPr>
        <w:footnoteReference w:id="151"/>
      </w:r>
      <w:r>
        <w:rPr>
          <w:rFonts w:ascii="Amiri" w:hAnsi="Amiri" w:eastAsia="Amiri" w:cs="Amiri"/>
          <w:color w:val="111111"/>
          <w:sz w:val="28"/>
          <w:sz w:val="28"/>
          <w:szCs w:val="28"/>
          <w:rtl w:val="true"/>
          <w:lang w:bidi="ar-SA"/>
        </w:rPr>
        <w:t>و ثاني الغسلتين ليلة ثلاث و عشرين منه و زيارة البيت و أحد المعصومين عليهم السلام و إثبات بعضها لا يخلو من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آویخته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مقیّد گردد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غسل های استخاره، نماز حاجت و غیره در مکان خویش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فقها غسل های مستحبّ را در موارد ذیل محصور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عید فطر و قربان، غسل روزهای مبعث، غدیر، نوروز، دحوالارض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 شدن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جمعه، مباهله، غسل توبه، طلب حاجت، استخاره، روز ترویه ، غسل روز عرفه، غسل طواف، تراشیدن سر، قربانی کردن، رمی جمرات، دو إحرام حج و عمره، غسل ورود به کعبه، مکّه، مدینه، حرم مکه و نبوی، مسجد الحرام و مسجدالنبی، غسل استسقاء، غسل روز میلاد پیامبر، غسلِ غسل دهنده، کفن کننده یا لمس کننده میّت بعد از غسل نخست، غسل دو شب نیمه رجب و شعبان، غسل کسوف، یا حاصل شدن شروط آن، غسل کُشتن وزغ، غسل تلاش برای دیدن به دار آویخته شده بعد از سه روز، غسل شکّ در وقوع حدث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یقین در طهارت، وقوع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غسل عضو، غسل جنابت برای میّتی که جُنب بوده است و غسل شب های فرد ماه رمضان که پانزده شب هستند و دومین غسل در شب بیست و سوم ماه رمضان، زیارت خانه خدا و زیارت مزار یکی از امامان معصوم علیهم السلام، هر چند اثبات برخی از غسل ها خالی از اشکال نیست </w:t>
      </w:r>
      <w:r>
        <w:rPr>
          <w:rFonts w:eastAsia="IRNazanin" w:cs="IRNazanin"/>
          <w:color w:val="111111"/>
          <w:sz w:val="28"/>
          <w:szCs w:val="28"/>
          <w:rtl w:val="true"/>
          <w:lang w:bidi="fa-IR"/>
        </w:rPr>
        <w:t xml:space="preserve">. </w:t>
      </w:r>
      <w:bookmarkStart w:id="246" w:name="pg13517_329056"/>
    </w:p>
    <w:p>
      <w:pPr>
        <w:pStyle w:val="Heading3"/>
        <w:numPr>
          <w:ilvl w:val="2"/>
          <w:numId w:val="1"/>
        </w:numPr>
        <w:rPr/>
      </w:pPr>
      <w:bookmarkStart w:id="247" w:name="__RefHeading___Toc605138_1934241801"/>
      <w:bookmarkStart w:id="248" w:name="_Toc113"/>
      <w:bookmarkEnd w:id="246"/>
      <w:bookmarkEnd w:id="247"/>
      <w:r>
        <w:rPr>
          <w:rtl w:val="true"/>
        </w:rPr>
        <w:t xml:space="preserve">باب </w:t>
      </w:r>
      <w:r>
        <w:rPr/>
        <w:t>2</w:t>
      </w:r>
      <w:r>
        <w:rPr>
          <w:rtl w:val="true"/>
        </w:rPr>
        <w:t xml:space="preserve"> </w:t>
      </w:r>
      <w:r>
        <w:rPr>
          <w:rtl w:val="true"/>
        </w:rPr>
        <w:t>جوامع أحكام الأغسال الواجبة و المندوبة و آدابها</w:t>
      </w:r>
      <w:bookmarkEnd w:id="248"/>
    </w:p>
    <w:p>
      <w:pPr>
        <w:pStyle w:val="Heading4"/>
        <w:numPr>
          <w:ilvl w:val="3"/>
          <w:numId w:val="1"/>
        </w:numPr>
        <w:rPr/>
      </w:pPr>
      <w:bookmarkStart w:id="249" w:name="__RefHeading___Toc605140_1934241801"/>
      <w:bookmarkStart w:id="250" w:name="_Toc114"/>
      <w:bookmarkEnd w:id="249"/>
      <w:r>
        <w:rPr>
          <w:rtl w:val="true"/>
        </w:rPr>
        <w:t>روايات</w:t>
      </w:r>
      <w:bookmarkEnd w:id="250"/>
    </w:p>
    <w:p>
      <w:pPr>
        <w:pStyle w:val="Heading5"/>
        <w:numPr>
          <w:ilvl w:val="4"/>
          <w:numId w:val="1"/>
        </w:numPr>
        <w:rPr/>
      </w:pPr>
      <w:bookmarkStart w:id="251" w:name="__RefHeading___Toc605142_1934241801"/>
      <w:bookmarkStart w:id="252" w:name="_Toc115"/>
      <w:bookmarkEnd w:id="251"/>
      <w:r>
        <w:rPr>
          <w:rtl w:val="true"/>
        </w:rPr>
        <w:t>«</w:t>
      </w:r>
      <w:r>
        <w:rPr/>
        <w:t>1</w:t>
      </w:r>
      <w:r>
        <w:rPr>
          <w:rtl w:val="true"/>
        </w:rPr>
        <w:t>»</w:t>
      </w:r>
      <w:bookmarkEnd w:id="252"/>
    </w:p>
    <w:p>
      <w:pPr>
        <w:pStyle w:val="BookText"/>
        <w:rPr/>
      </w:pPr>
      <w:r>
        <w:rPr>
          <w:rFonts w:ascii="Amiri" w:hAnsi="Amiri" w:eastAsia="Amiri" w:cs="Amiri"/>
          <w:color w:val="111111"/>
          <w:sz w:val="28"/>
          <w:sz w:val="28"/>
          <w:szCs w:val="28"/>
          <w:rtl w:val="true"/>
          <w:lang w:bidi="ar-SA"/>
        </w:rPr>
        <w:t>قُرْبُ الْإِسْنَادِ، وَ كِتَابُ الْمَسَائِلِ، بِإِسْنَادِهِمَا عَنْ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هَلْ يُجْزِيهِ أَنْ يَغْتَسِلَ قَبْلَ طُلُوعِ الْفَجْرِ وَ هَلْ يُجْزِيهِ ذَلِكَ مِنْ غُسْلِ الْعِيدَيْنِ قَالَ إِنِ اغْتَسَلَ يَوْمَ الْفِطْرِ وَ الْأَضْحَي قَبْلَ طُلُوعِ الْفَجْرِ لَمْ يُجْزِهِ وَ إِنِ اغْتَسَلَ بَعْدَ طُلُوعِ الْفَجْرِ أَجْزَأَهُ‌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 w:name="__RefHeading___Toc605144_1934241801"/>
      <w:bookmarkStart w:id="254" w:name="_Toc116"/>
      <w:bookmarkEnd w:id="253"/>
      <w:r>
        <w:rPr>
          <w:rtl w:val="true"/>
        </w:rPr>
        <w:t>بيان</w:t>
      </w:r>
      <w:bookmarkEnd w:id="254"/>
    </w:p>
    <w:p>
      <w:pPr>
        <w:pStyle w:val="BookText"/>
        <w:rPr/>
      </w:pPr>
      <w:r>
        <w:rPr>
          <w:rFonts w:ascii="Amiri" w:hAnsi="Amiri" w:eastAsia="Amiri" w:cs="Amiri"/>
          <w:color w:val="111111"/>
          <w:sz w:val="28"/>
          <w:sz w:val="28"/>
          <w:szCs w:val="28"/>
          <w:rtl w:val="true"/>
          <w:lang w:bidi="ar-SA"/>
        </w:rPr>
        <w:t>في بعض النسخ هل يجزيه فالظاهر أنه تأكيد لقوله هل يجزيه سابقا و في بعضها و هل يجزيه مع الواو فالظاهر كون السؤال الأول عن إيقاع غسل الجنابة قبل الفجر و الثاني عن إجزائه عن غسل العيدين فيدل علي تداخل الأغسال المسنونة و الواجبة</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605146_1934241801"/>
      <w:bookmarkStart w:id="256" w:name="_Toc117"/>
      <w:bookmarkEnd w:id="255"/>
      <w:r>
        <w:rPr>
          <w:rtl w:val="true"/>
        </w:rPr>
        <w:t>«</w:t>
      </w:r>
      <w:r>
        <w:rPr/>
        <w:t>2</w:t>
      </w:r>
      <w:r>
        <w:rPr>
          <w:rtl w:val="true"/>
        </w:rPr>
        <w:t>»</w:t>
      </w:r>
      <w:bookmarkEnd w:id="256"/>
    </w:p>
    <w:p>
      <w:pPr>
        <w:pStyle w:val="BookText"/>
        <w:rPr/>
      </w:pPr>
      <w:r>
        <w:rPr>
          <w:rFonts w:ascii="Amiri" w:hAnsi="Amiri" w:eastAsia="Amiri" w:cs="Amiri"/>
          <w:color w:val="111111"/>
          <w:sz w:val="28"/>
          <w:sz w:val="28"/>
          <w:szCs w:val="28"/>
          <w:rtl w:val="true"/>
          <w:lang w:bidi="ar-SA"/>
        </w:rPr>
        <w:t>قُرْبُ الْإِسْنَادِ، عَنْ مُحَمَّدِ بْنِ الْوَلِيدِ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الْغُسْلِ فِي رَمَضَانَ وَ أَيَّ اللَّيْلِ أَغْتَسِلُ قَالَ تِسْعَ عَشْرَةَ وَ إِحْدَي وَ عِشْرِينَ وَ ثَلَاثٍ وَ عِشْرِينَ وَ فِي لَيْلَةِ تِسْعَ عَشْرَةَ يُكْتَبُ وَفْدُ الْحَاجِّ وَ فِيهَا ضُرِبَ أَمِيرُ الْمُؤْمِنِينَ وَ قَضَي عليه السلام لَيْلَةَ إِحْدَي وَ عِشْرِينَ وَ الْغُسْلُ أَوَّلَ اللَّيْلِ‌</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فَإِنْ نَامَ بَعْدَ الْغُسْلِ قَالَ فَقَالَ أَ لَيْسَ هُوَ مِثْلَ غُسْلِ يَوْمِ الْجُمُعَةِ إِذَا اغْتَسَلْتَ بَعْدَ الْفَجْرِ كَفَاكَ‌</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 w:name="__RefHeading___Toc605148_1934241801"/>
      <w:bookmarkStart w:id="258" w:name="_Toc118"/>
      <w:bookmarkEnd w:id="257"/>
      <w:r>
        <w:rPr>
          <w:rtl w:val="true"/>
        </w:rPr>
        <w:t>«</w:t>
      </w:r>
      <w:r>
        <w:rPr/>
        <w:t>3</w:t>
      </w:r>
      <w:r>
        <w:rPr>
          <w:rtl w:val="true"/>
        </w:rPr>
        <w:t>»</w:t>
      </w:r>
      <w:bookmarkEnd w:id="258"/>
    </w:p>
    <w:p>
      <w:pPr>
        <w:pStyle w:val="BookText"/>
        <w:rPr/>
      </w:pPr>
      <w:r>
        <w:rPr>
          <w:rFonts w:ascii="Amiri" w:hAnsi="Amiri" w:eastAsia="Amiri" w:cs="Amiri"/>
          <w:color w:val="111111"/>
          <w:sz w:val="28"/>
          <w:sz w:val="28"/>
          <w:szCs w:val="28"/>
          <w:rtl w:val="true"/>
          <w:lang w:bidi="ar-SA"/>
        </w:rPr>
        <w:t>الْعُيُونُ‌</w:t>
      </w:r>
      <w:r>
        <w:rPr>
          <w:rStyle w:val="FootnoteAnchor"/>
          <w:rtl w:val="true"/>
        </w:rPr>
        <w:footnoteReference w:id="155"/>
      </w:r>
      <w:r>
        <w:rPr>
          <w:rFonts w:ascii="Amiri" w:hAnsi="Amiri" w:eastAsia="Amiri" w:cs="Amiri"/>
          <w:color w:val="111111"/>
          <w:sz w:val="28"/>
          <w:sz w:val="28"/>
          <w:szCs w:val="28"/>
          <w:rtl w:val="true"/>
          <w:lang w:bidi="ar-SA"/>
        </w:rPr>
        <w:t>، وَ الْعِلَلُ، عَنِ الْحُسَيْنِ بْنِ أَحْمَدَ بْنِ إِدْرِيسَ رَحِمَهُ اللَّهُ</w:t>
      </w:r>
    </w:p>
    <w:p>
      <w:pPr>
        <w:pStyle w:val="Heading3"/>
        <w:numPr>
          <w:ilvl w:val="2"/>
          <w:numId w:val="1"/>
        </w:numPr>
        <w:rPr/>
      </w:pPr>
      <w:bookmarkStart w:id="259" w:name="__RefHeading___Toc605150_1934241801"/>
      <w:bookmarkStart w:id="260" w:name="_Toc119"/>
      <w:bookmarkEnd w:id="259"/>
      <w:r>
        <w:rPr>
          <w:rtl w:val="true"/>
        </w:rPr>
        <w:t xml:space="preserve">باب دوم </w:t>
      </w:r>
      <w:r>
        <w:rPr>
          <w:rtl w:val="true"/>
        </w:rPr>
        <w:t xml:space="preserve">: </w:t>
      </w:r>
      <w:r>
        <w:rPr>
          <w:rtl w:val="true"/>
        </w:rPr>
        <w:t>احکام جامع غسل های واجب و مستحبّ و آداب آن ها</w:t>
      </w:r>
      <w:bookmarkEnd w:id="260"/>
    </w:p>
    <w:p>
      <w:pPr>
        <w:pStyle w:val="Heading4"/>
        <w:numPr>
          <w:ilvl w:val="3"/>
          <w:numId w:val="1"/>
        </w:numPr>
        <w:rPr/>
      </w:pPr>
      <w:bookmarkStart w:id="261" w:name="__RefHeading___Toc605152_1934241801"/>
      <w:bookmarkStart w:id="262" w:name="_Toc120"/>
      <w:bookmarkEnd w:id="261"/>
      <w:r>
        <w:rPr>
          <w:rtl w:val="true"/>
        </w:rPr>
        <w:t>روایات</w:t>
      </w:r>
      <w:bookmarkEnd w:id="262"/>
    </w:p>
    <w:p>
      <w:pPr>
        <w:pStyle w:val="Heading5"/>
        <w:numPr>
          <w:ilvl w:val="4"/>
          <w:numId w:val="1"/>
        </w:numPr>
        <w:rPr/>
      </w:pPr>
      <w:bookmarkStart w:id="263" w:name="__RefHeading___Toc605154_1934241801"/>
      <w:bookmarkStart w:id="264" w:name="_Toc121"/>
      <w:bookmarkEnd w:id="263"/>
      <w:r>
        <w:rPr>
          <w:rtl w:val="true"/>
        </w:rPr>
        <w:t xml:space="preserve">روایت </w:t>
      </w:r>
      <w:r>
        <w:rPr/>
        <w:t>1</w:t>
      </w:r>
      <w:bookmarkEnd w:id="264"/>
    </w:p>
    <w:p>
      <w:pPr>
        <w:pStyle w:val="BookText"/>
        <w:rPr/>
      </w:pPr>
      <w:r>
        <w:rPr>
          <w:rFonts w:ascii="IRNazanin" w:hAnsi="IRNazanin" w:eastAsia="IRNazanin"/>
          <w:color w:val="111111"/>
          <w:sz w:val="28"/>
          <w:sz w:val="28"/>
          <w:szCs w:val="28"/>
          <w:rtl w:val="true"/>
          <w:lang w:bidi="fa-IR"/>
        </w:rPr>
        <w:t>قرب الاسناد 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بردارش امام موسی کاظم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شخصی قبل از طلوع فجر غسل نماید وی را کفایت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غسل او را از غسل عید فطر و قربان کفایت می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عید فطر و قربان قبل از طلوع فجر غسل نماید او را کفایت نمی کند و اگر بعد از طلوع فجر غسل نماید او را کفایت می کند</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 w:name="__RefHeading___Toc605156_1934241801"/>
      <w:bookmarkStart w:id="266" w:name="_Toc122"/>
      <w:bookmarkEnd w:id="265"/>
      <w:r>
        <w:rPr>
          <w:rtl w:val="true"/>
        </w:rPr>
        <w:t>توضیح</w:t>
      </w:r>
      <w:bookmarkEnd w:id="266"/>
    </w:p>
    <w:p>
      <w:pPr>
        <w:pStyle w:val="BookText"/>
        <w:rPr/>
      </w:pPr>
      <w:r>
        <w:rPr>
          <w:rFonts w:ascii="IRNazanin" w:hAnsi="IRNazanin" w:eastAsia="IRNazanin"/>
          <w:color w:val="111111"/>
          <w:sz w:val="28"/>
          <w:sz w:val="28"/>
          <w:szCs w:val="28"/>
          <w:rtl w:val="true"/>
          <w:lang w:bidi="fa-IR"/>
        </w:rPr>
        <w:t xml:space="preserve">در بعضی از نسخه ها سؤال دوّم نیز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است و چنین پیداست که به منظور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سؤال نخست با آن آغاز شده آمده است، و در برخی از نسخه های دیگر سؤال دوّم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 و منظور این است که سؤال اوّل از انجام گرفتن غسل جنابت قبل از طلوع فجر خبر می دهد و سؤال دوّم از بی نیاز بودن به انجام غسل عید فطر و قربان با انجام آن است؛ پس دلالت دارد که غسل های سنّت و واجب با هم تداخل می کنند</w:t>
      </w:r>
      <w:r>
        <w:rPr>
          <w:rFonts w:eastAsia="IRNazanin" w:cs="IRNazanin"/>
          <w:color w:val="111111"/>
          <w:sz w:val="28"/>
          <w:szCs w:val="28"/>
          <w:rtl w:val="true"/>
          <w:lang w:bidi="fa-IR"/>
        </w:rPr>
        <w:t>.</w:t>
      </w:r>
    </w:p>
    <w:p>
      <w:pPr>
        <w:pStyle w:val="Heading5"/>
        <w:numPr>
          <w:ilvl w:val="4"/>
          <w:numId w:val="1"/>
        </w:numPr>
        <w:rPr/>
      </w:pPr>
      <w:bookmarkStart w:id="267" w:name="__RefHeading___Toc605158_1934241801"/>
      <w:bookmarkStart w:id="268" w:name="_Toc123"/>
      <w:bookmarkEnd w:id="267"/>
      <w:r>
        <w:rPr>
          <w:rtl w:val="true"/>
        </w:rPr>
        <w:t xml:space="preserve">روایت </w:t>
      </w:r>
      <w:r>
        <w:rPr/>
        <w:t>2</w:t>
      </w:r>
      <w:bookmarkEnd w:id="268"/>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غسل ماه رمضان و اینکه در کدام شب غسل نمایم سؤال پرسیدم؟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نوزده، بیست و یک و بیست و سه؛ در شب نوزده تعداد کسانی که در طول سال به حجّ مشرّف می شوند نوشته می شود، همچنین امیر مؤمنان علیه السلام در این شب ضربت خورد و در شب بیست و یک به شهادت رسید، و غسل در آغاز شب انجام می شود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عبد الله در ادامه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بعد از غسل بخوابد تکلیف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غسل نیز مانند غسل جمعه نیست، اگر بعد از طلوع فجر غسل نمایی تو را کفایت می کند</w:t>
      </w:r>
      <w:r>
        <w:rPr>
          <w:rFonts w:eastAsia="IRNazanin" w:cs="IRNazanin"/>
          <w:color w:val="111111"/>
          <w:sz w:val="28"/>
          <w:szCs w:val="28"/>
          <w:rtl w:val="true"/>
          <w:lang w:bidi="fa-IR"/>
        </w:rPr>
        <w:t>.</w:t>
      </w:r>
      <w:r>
        <w:rPr>
          <w:rStyle w:val="FootnoteAnchor"/>
          <w:rtl w:val="true"/>
        </w:rPr>
        <w:footnoteReference w:id="158"/>
      </w:r>
    </w:p>
    <w:p>
      <w:pPr>
        <w:pStyle w:val="Heading5"/>
        <w:numPr>
          <w:ilvl w:val="4"/>
          <w:numId w:val="1"/>
        </w:numPr>
        <w:rPr/>
      </w:pPr>
      <w:bookmarkStart w:id="269" w:name="__RefHeading___Toc605160_1934241801"/>
      <w:bookmarkStart w:id="270" w:name="_Toc124"/>
      <w:bookmarkEnd w:id="269"/>
      <w:r>
        <w:rPr>
          <w:rtl w:val="true"/>
        </w:rPr>
        <w:t xml:space="preserve">روایت </w:t>
      </w:r>
      <w:r>
        <w:rPr/>
        <w:t>3</w:t>
      </w:r>
      <w:bookmarkEnd w:id="27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العیون، علل الشریع</w:t>
      </w:r>
      <w:r>
        <w:rPr>
          <w:rFonts w:eastAsia="IRNazanin" w:cs="IRNazanin"/>
          <w:color w:val="111111"/>
          <w:sz w:val="28"/>
          <w:szCs w:val="28"/>
          <w:rtl w:val="true"/>
          <w:lang w:bidi="fa-IR"/>
        </w:rPr>
        <w:t xml:space="preserve">: </w:t>
      </w:r>
      <w:bookmarkStart w:id="271" w:name="pg13517_329057"/>
    </w:p>
    <w:p>
      <w:pPr>
        <w:pStyle w:val="BookText"/>
        <w:rPr/>
      </w:pPr>
      <w:bookmarkEnd w:id="271"/>
      <w:r>
        <w:rPr>
          <w:rFonts w:ascii="Amiri" w:hAnsi="Amiri" w:eastAsia="Amiri" w:cs="Amiri"/>
          <w:color w:val="111111"/>
          <w:sz w:val="28"/>
          <w:sz w:val="28"/>
          <w:szCs w:val="28"/>
          <w:rtl w:val="true"/>
          <w:lang w:bidi="ar-SA"/>
        </w:rPr>
        <w:t>عَنْ أَبِيهِ عَنْ أَحْمَدَ بْنِ مُحَمَّدٍ عَنِ الْحَسَنِ بْنِ 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الْقَوْمِ يَكُونُونَ فِي السَّفَرِ فَيَمُوتُ مِنْهُمْ مَيِّتٌ وَ مَعَهُمْ جُنُبٌ وَ مَعَهُمْ مَاءٌ قَلِيلٌ قَدْرَ مَا يَكْفِي أَحَدَهُمْ‌</w:t>
      </w:r>
      <w:r>
        <w:rPr>
          <w:rStyle w:val="FootnoteAnchor"/>
          <w:rtl w:val="true"/>
        </w:rPr>
        <w:footnoteReference w:id="159"/>
      </w:r>
      <w:r>
        <w:rPr>
          <w:rFonts w:ascii="Amiri" w:hAnsi="Amiri" w:eastAsia="Amiri" w:cs="Amiri"/>
          <w:color w:val="111111"/>
          <w:sz w:val="28"/>
          <w:sz w:val="28"/>
          <w:szCs w:val="28"/>
          <w:rtl w:val="true"/>
          <w:lang w:bidi="ar-SA"/>
        </w:rPr>
        <w:t>أَيُّهُمْ يَبْدَأُ بِهِ قَالَ يَغْتَسِلُ الْجُنُبُ وَ يُتْرَكُ الْمَيِّتُ لِأَنَّهُ هَذَا فَرِيضَةٌ وَ هَذَا سُنَّةٌ</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 w:name="__RefHeading___Toc605162_1934241801"/>
      <w:bookmarkStart w:id="273" w:name="_Toc125"/>
      <w:bookmarkEnd w:id="272"/>
      <w:r>
        <w:rPr>
          <w:rtl w:val="true"/>
        </w:rPr>
        <w:t>بيان</w:t>
      </w:r>
      <w:bookmarkEnd w:id="273"/>
    </w:p>
    <w:p>
      <w:pPr>
        <w:pStyle w:val="BookText"/>
        <w:rPr/>
      </w:pPr>
      <w:r>
        <w:rPr>
          <w:rFonts w:ascii="Amiri" w:hAnsi="Amiri" w:eastAsia="Amiri" w:cs="Amiri"/>
          <w:color w:val="111111"/>
          <w:sz w:val="28"/>
          <w:sz w:val="28"/>
          <w:szCs w:val="28"/>
          <w:rtl w:val="true"/>
          <w:lang w:bidi="ar-SA"/>
        </w:rPr>
        <w:t>اعلم أن الأصحاب فرضوا المسألة فيما إذا اجتمع ميت و محدث و جنب و معهم من الماء ما يكفي أحدهم كما ورد في رواية رواها الصَّدُوقُ فِي الْفَقِيهِ‌</w:t>
      </w:r>
      <w:r>
        <w:rPr>
          <w:rStyle w:val="FootnoteAnchor"/>
          <w:rtl w:val="true"/>
        </w:rPr>
        <w:footnoteReference w:id="161"/>
      </w:r>
      <w:r>
        <w:rPr>
          <w:rFonts w:ascii="Amiri" w:hAnsi="Amiri" w:eastAsia="Amiri" w:cs="Amiri"/>
          <w:color w:val="111111"/>
          <w:sz w:val="28"/>
          <w:sz w:val="28"/>
          <w:szCs w:val="28"/>
          <w:rtl w:val="true"/>
          <w:lang w:bidi="ar-SA"/>
        </w:rPr>
        <w:t>بِسَنَدٍ صَحِيحٍ عَنِ ابْنِ أَبِي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الْحَسَنِ مُوسَي بْنَ جَعْفَرٍ عليهما السلام عَنْ ثَلَاثَةِ نَفَرٍ كَانُوا فِي سَفَرٍ أَحَدُهُمْ جُنُبٌ وَ الثَّانِي مَيِّتٌ وَ الثَّالِثُ عَلَي غَيْرِ وُضُوءٍ وَ حَضَرَتِ الصَّلَاةُ وَ مَعَهُمْ مِنَ الْمَاءِ قَدْرُ مَا يَكْفِي أَحَدَهُمْ مَنْ يَأْخُذُ الْمَاءَ وَ كَيْفَ يَصْنَعُونَ فَقَالَ يَغْتَسِلُ الْجُنُبُ وَ يُدْفَنُ الْمَيِّتُ بِتَيَمُّمٍ وَ يَتَيَمَّمُ الَّذِي هُوَ عَلَي غَيْرِ وُضُوءٍ لِأَنَّ الْغُسْلَ مِنَ الْجَنَابَةِ فَرِيضَةٌ وَ غُسْلَ الْمَيِّتِ سُنَّةٌ وَ التَّيَمُّمَ لِلْآخَرِ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ذكروا أنه إن كان الماء ملكا لأحدهم اختص به و لم يكن له بذله لغيره و لو كان مباحا وجب علي كل من المحدث و الجنب المبادرة إلي حيازته فإن سبق إليه أحدهما و حازه اختص به و لو توافيا دفعة اشتراكا و لو تغلب أحدهما أثم و ملك و إن كان ملكا لهم جميعا أو لمالك يسمح ببذله فلا ريب أن لملاكه الخيرة في تخصيص من شاءوا به و إنما الكلام في من الأولي؟</w:t>
      </w:r>
    </w:p>
    <w:p>
      <w:pPr>
        <w:pStyle w:val="BookText"/>
        <w:rPr/>
      </w:pPr>
      <w:r>
        <w:rPr>
          <w:rFonts w:ascii="Amiri" w:hAnsi="Amiri" w:eastAsia="Amiri" w:cs="Amiri"/>
          <w:color w:val="111111"/>
          <w:sz w:val="28"/>
          <w:sz w:val="28"/>
          <w:szCs w:val="28"/>
          <w:rtl w:val="true"/>
          <w:lang w:bidi="ar-SA"/>
        </w:rPr>
        <w:t>فقال الشيخ في النهاية إنه الجنب و اختاره الأكثر و قيل الميت و قال الشيخ في الخلاف إن كان لأحدهم فهو أحق به و إن لم يكن لواحد بعينه تخيروا في التخصيص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بن نضر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درباره قومی پرسیدم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می باشند، پس یکی از ایشان وفات می نماید و در همان حال شخصی که جنب شده است نیز همراه آنان است، و آب اندکی به همراه دارند که فقط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 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کفایت می کند، کدام یک در ابتدا غسل کنند؟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غسل می نماید و میّت رها می گردد، چرا که غسل جنابت واجب است و غسل میّت سنّت</w:t>
      </w:r>
      <w:r>
        <w:rPr>
          <w:rFonts w:eastAsia="IRNazanin" w:cs="IRNazanin"/>
          <w:color w:val="111111"/>
          <w:sz w:val="28"/>
          <w:szCs w:val="28"/>
          <w:rtl w:val="true"/>
          <w:lang w:bidi="fa-IR"/>
        </w:rPr>
        <w:t>.</w:t>
      </w:r>
      <w:r>
        <w:rPr>
          <w:rStyle w:val="FootnoteAnchor"/>
          <w:rtl w:val="true"/>
        </w:rPr>
        <w:footnoteReference w:id="162"/>
      </w:r>
    </w:p>
    <w:p>
      <w:pPr>
        <w:pStyle w:val="Heading5"/>
        <w:numPr>
          <w:ilvl w:val="4"/>
          <w:numId w:val="1"/>
        </w:numPr>
        <w:rPr/>
      </w:pPr>
      <w:bookmarkStart w:id="274" w:name="__RefHeading___Toc605164_1934241801"/>
      <w:bookmarkStart w:id="275" w:name="_Toc126"/>
      <w:bookmarkEnd w:id="274"/>
      <w:r>
        <w:rPr>
          <w:rtl w:val="true"/>
        </w:rPr>
        <w:t>توضیح</w:t>
      </w:r>
      <w:bookmarkEnd w:id="275"/>
    </w:p>
    <w:p>
      <w:pPr>
        <w:pStyle w:val="BookText"/>
        <w:rPr/>
      </w:pPr>
      <w:r>
        <w:rPr>
          <w:rFonts w:ascii="IRNazanin" w:hAnsi="IRNazanin" w:eastAsia="IRNazanin"/>
          <w:color w:val="111111"/>
          <w:sz w:val="28"/>
          <w:sz w:val="28"/>
          <w:szCs w:val="28"/>
          <w:rtl w:val="true"/>
          <w:lang w:bidi="fa-IR"/>
        </w:rPr>
        <w:t>آگاه باش که فقها مسأله را این گونه در نظر گرفته اند که اگر میّت، شخص بی وضو وجُنب با هم در یک گروه جمع گردند و همراه آن ها به حدّی آب وجود داشته باشد که فقط برای غسل یکی از آن ها کفایت کند، آن گونه که در حدیثی که شیخ صدوق در کتاب الفقیه</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با سند صحیح از ابن أبی نجران روایت می کند که وی از امام موسی کاظم علیه السلام درباره وضعیت سه نفر سؤال پرسید که در مسافرت به سر می برند و یکی از آنان جنب است ودیگری وفات نموده و نفر سوّم بی وضو است، در این احوال موعد نماز فرا می رسد و به اندازه ای آب به همرا دارند که فقط یکی از آنان را کفایت می کند، کدام یک با آب غسل می نماید؟ و چگونه رفتار می کنند؟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جُنب شده غسل می نماید، میّت با تیمّم دفن می گردد و شخص بی وضو تیمّم می کند، چرا که غسل جنابت واجب و فریضه ، غسل میّت واجب و سنت است و شخص بی وضو جایز است که تیمّم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کرده اند که اگر آب ملک خصوصی یکی از آن سه نفر باشد مختصّ خود اوست و نباید آن را به دیگری ببخشد، اگر چه چنین کاری مباح است ولی بر شخص بی وضو و جُنب واجب است که برای به دست آوردن آب بر یکدیگر پیشی گیرند، پس هر یک از آنان که به سوی آب شتافت و آن را به دست آورد به او اختصاص دارد، و اگر همزمان و با هم به آب دست یابند در استفاده از آن شریک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یکی از آنان در استفاده کردن از آب بر دیگری غلبه کند مرتکب گناه شده و آب را صاحب شده است، امّا اگر آب ملک مشترک همه ی آنان باشد یا متعلق به مالکی باشد که اجازه بخشش آن را داده است، تردیدی نیست که مالکان آب اختیار دارند که استفاده از آن را به هر که می خواهند اختصاص دهند، و در این حالت سؤال فقط این است که اولویت استفاده از آب با کیست؟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کتاب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استفاده از آب با شخص جُنب است؛ بیشتر فقها نیز این نظر را برگزیده اند، همچنین گفته شده اولویت با میّت است، شیخ در الخلاف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متعلق به یکی از آنان باشد، در استفاده از آن شایسته تر است و اگر آب به صورت مشخص متعلق به یکی از آنان نباشد در اختصاص آن به هر که بخواهند مختارند</w:t>
      </w:r>
      <w:r>
        <w:rPr>
          <w:rFonts w:eastAsia="IRNazanin" w:cs="IRNazanin"/>
          <w:color w:val="111111"/>
          <w:sz w:val="28"/>
          <w:szCs w:val="28"/>
          <w:rtl w:val="true"/>
          <w:lang w:bidi="fa-IR"/>
        </w:rPr>
        <w:t xml:space="preserve">. </w:t>
      </w:r>
      <w:bookmarkStart w:id="276" w:name="pg13517_329058"/>
    </w:p>
    <w:p>
      <w:pPr>
        <w:pStyle w:val="BookText"/>
        <w:rPr/>
      </w:pPr>
      <w:bookmarkEnd w:id="276"/>
      <w:r>
        <w:rPr>
          <w:rFonts w:ascii="Amiri" w:hAnsi="Amiri" w:eastAsia="Amiri" w:cs="Amiri"/>
          <w:color w:val="111111"/>
          <w:sz w:val="28"/>
          <w:sz w:val="28"/>
          <w:szCs w:val="28"/>
          <w:rtl w:val="true"/>
          <w:lang w:bidi="ar-SA"/>
        </w:rPr>
        <w:t>و الروايتان معتبرتان مؤيدتان بالشهرة و معللتان فلا معدل عنهما و وردت رواية مرسلة بتقديم الميت فيمكن حملها علي ما إذا كان الماء ملكا للميت و يمكن القول بأن الجنب مع كونه أولي يجوز له إيثار الميت بل يستحب له ذلك كما يظهر من الشيخ في الخلاف و قد عرفت أن المراد بالفرض ما ظهر وجوبه من القرآن و بالسنة غيره</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605166_1934241801"/>
      <w:bookmarkStart w:id="278" w:name="_Toc127"/>
      <w:bookmarkEnd w:id="277"/>
      <w:r>
        <w:rPr>
          <w:rtl w:val="true"/>
        </w:rPr>
        <w:t>«</w:t>
      </w:r>
      <w:r>
        <w:rPr/>
        <w:t>4</w:t>
      </w:r>
      <w:r>
        <w:rPr>
          <w:rtl w:val="true"/>
        </w:rPr>
        <w:t>»</w:t>
      </w:r>
      <w:bookmarkEnd w:id="278"/>
    </w:p>
    <w:p>
      <w:pPr>
        <w:pStyle w:val="BookText"/>
        <w:rPr/>
      </w:pPr>
      <w:r>
        <w:rPr>
          <w:rFonts w:ascii="Amiri" w:hAnsi="Amiri" w:eastAsia="Amiri" w:cs="Amiri"/>
          <w:color w:val="111111"/>
          <w:sz w:val="28"/>
          <w:sz w:val="28"/>
          <w:szCs w:val="28"/>
          <w:rtl w:val="true"/>
          <w:lang w:bidi="ar-SA"/>
        </w:rPr>
        <w:t>الْخِصَالُ، فِي حَدِيثِ الْأَعْمَشِ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غُسْلُ الْجَنَابَةِ وَ الْحَيْضِ وَاحِدٌ</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w:t>
      </w:r>
      <w:r>
        <w:rPr>
          <w:rStyle w:val="FootnoteAnchor"/>
          <w:rtl w:val="true"/>
        </w:rPr>
        <w:footnoteReference w:id="165"/>
      </w:r>
      <w:r>
        <w:rPr>
          <w:rFonts w:ascii="Amiri" w:hAnsi="Amiri" w:eastAsia="Amiri" w:cs="Amiri"/>
          <w:color w:val="111111"/>
          <w:sz w:val="28"/>
          <w:sz w:val="28"/>
          <w:szCs w:val="28"/>
          <w:rtl w:val="true"/>
          <w:lang w:bidi="ar-SA"/>
        </w:rPr>
        <w:t>، و الأمالي‌</w:t>
      </w:r>
      <w:r>
        <w:rPr>
          <w:rStyle w:val="FootnoteAnchor"/>
          <w:rtl w:val="true"/>
        </w:rPr>
        <w:footnoteReference w:id="166"/>
      </w:r>
      <w:r>
        <w:rPr>
          <w:rFonts w:ascii="Amiri" w:hAnsi="Amiri" w:eastAsia="Amiri" w:cs="Amiri"/>
          <w:color w:val="111111"/>
          <w:sz w:val="28"/>
          <w:sz w:val="28"/>
          <w:szCs w:val="28"/>
          <w:rtl w:val="true"/>
          <w:lang w:bidi="ar-SA"/>
        </w:rPr>
        <w:t>، و الهداية،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9" w:name="__RefHeading___Toc605168_1934241801"/>
      <w:bookmarkStart w:id="280" w:name="_Toc128"/>
      <w:bookmarkEnd w:id="279"/>
      <w:r>
        <w:rPr>
          <w:rtl w:val="true"/>
        </w:rPr>
        <w:t>«</w:t>
      </w:r>
      <w:r>
        <w:rPr/>
        <w:t>5</w:t>
      </w:r>
      <w:r>
        <w:rPr>
          <w:rtl w:val="true"/>
        </w:rPr>
        <w:t>»</w:t>
      </w:r>
      <w:bookmarkEnd w:id="280"/>
    </w:p>
    <w:p>
      <w:pPr>
        <w:pStyle w:val="BookText"/>
        <w:rPr/>
      </w:pPr>
      <w:r>
        <w:rPr>
          <w:rFonts w:ascii="Amiri" w:hAnsi="Amiri" w:eastAsia="Amiri" w:cs="Amiri"/>
          <w:color w:val="111111"/>
          <w:sz w:val="28"/>
          <w:sz w:val="28"/>
          <w:szCs w:val="28"/>
          <w:rtl w:val="true"/>
          <w:lang w:bidi="ar-SA"/>
        </w:rPr>
        <w:t>تُحَفُ الْعُقُولِ،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الْأَعْيَادِ طَهُورٌ لِمَنْ أَرَادَ طَلَبَ الْحَوَائِجِ بَيْنَ يَدَيِ اللَّهِ عَزَّ وَ جَلَّ وَ اتِّبَاعٌ لِلسُّنَّةِ</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 w:name="__RefHeading___Toc605170_1934241801"/>
      <w:bookmarkStart w:id="282" w:name="_Toc129"/>
      <w:bookmarkEnd w:id="281"/>
      <w:r>
        <w:rPr>
          <w:rtl w:val="true"/>
        </w:rPr>
        <w:t>«</w:t>
      </w:r>
      <w:r>
        <w:rPr/>
        <w:t>6</w:t>
      </w:r>
      <w:r>
        <w:rPr>
          <w:rtl w:val="true"/>
        </w:rPr>
        <w:t>»</w:t>
      </w:r>
      <w:bookmarkEnd w:id="282"/>
    </w:p>
    <w:p>
      <w:pPr>
        <w:pStyle w:val="BookText"/>
        <w:rPr/>
      </w:pP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فِي كُلِّ غُسْلٍ مَا خَلَا غُسْلَ الْجَنَابَةِ لِأَنَّ غُسْلَ الْجَنَابَةِ فَرِيضَةٌ تُجْزِيهِ عَنِ الْفَرْضِ الثَّانِي وَ لَا تُجْزِيهِ سَائِرُ الْأَغْسَالِ عَنِ الْوُضُوءِ لِأَنَّ الْغُسْلَ سُنَّةٌ وَ الْوُضُوءَ فَرِيضَةٌ وَ لَا تُجْزِي سُنَّةٌ عَنْ فَرْضٍ وَ غُسْلُ الْجَنَابَةِ وَ الْوُضُوءُ فَرِيضَتَانِ فَإِذَا اجْتَمَعَا فَأَكْبَرُهُمَا يُجْزِي عَنْ أَصْغَرِهِمَا وَ إِذَا اغْتَسَلْتَ لِغَيْرِ جَنَابَةٍ فَابْدَأْ بِالْوُضُوءِ ثُمَّ اغْتَسِلْ وَ لَا يُجْزِيكَ الْغُسْلُ عَنِ الْوُضُوءِ فَإِنِ اغْتَسَلْتَ وَ نَسِيتَ الْوُضُوءَ فَتَوَضَّأْ وَ أَعِدِ الصَّلَاةَ</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 w:name="__RefHeading___Toc605172_1934241801"/>
      <w:bookmarkStart w:id="284" w:name="_Toc130"/>
      <w:bookmarkEnd w:id="283"/>
      <w:r>
        <w:rPr>
          <w:rtl w:val="true"/>
        </w:rPr>
        <w:t>بيان</w:t>
      </w:r>
      <w:bookmarkEnd w:id="284"/>
    </w:p>
    <w:p>
      <w:pPr>
        <w:pStyle w:val="BookText"/>
        <w:rPr/>
      </w:pPr>
      <w:r>
        <w:rPr>
          <w:rFonts w:ascii="Amiri" w:hAnsi="Amiri" w:eastAsia="Amiri" w:cs="Amiri"/>
          <w:color w:val="111111"/>
          <w:sz w:val="28"/>
          <w:sz w:val="28"/>
          <w:szCs w:val="28"/>
          <w:rtl w:val="true"/>
          <w:lang w:bidi="ar-SA"/>
        </w:rPr>
        <w:t>نقل الصدوق هذه العبارة بعينها في الفقيه‌</w:t>
      </w:r>
      <w:r>
        <w:rPr>
          <w:rStyle w:val="FootnoteAnchor"/>
          <w:rtl w:val="true"/>
        </w:rPr>
        <w:footnoteReference w:id="170"/>
      </w:r>
      <w:r>
        <w:rPr>
          <w:rFonts w:ascii="Amiri" w:hAnsi="Amiri" w:eastAsia="Amiri" w:cs="Amiri"/>
          <w:color w:val="111111"/>
          <w:sz w:val="28"/>
          <w:sz w:val="28"/>
          <w:szCs w:val="28"/>
          <w:rtl w:val="true"/>
          <w:lang w:bidi="ar-SA"/>
        </w:rPr>
        <w:t>و أكثر ما يذكره هو</w:t>
      </w:r>
    </w:p>
    <w:p>
      <w:pPr>
        <w:pStyle w:val="BookText"/>
        <w:rPr/>
      </w:pPr>
      <w:r>
        <w:rPr>
          <w:rFonts w:ascii="IRNazanin" w:hAnsi="IRNazanin" w:eastAsia="IRNazanin"/>
          <w:color w:val="111111"/>
          <w:sz w:val="28"/>
          <w:sz w:val="28"/>
          <w:szCs w:val="28"/>
          <w:rtl w:val="true"/>
          <w:lang w:bidi="fa-IR"/>
        </w:rPr>
        <w:t>و هر دو روایت معتبر و با توجّه به شهرت و تأیید شده هستند و علّت آن ها بیان شده است، پس هیچ گونه تعدیلی در آن ها صورت نمی گیرد، همچنین روایت مرسلی نقل شده که تقدیم میّت را ترجیح می دهد، بنابراین ممکن است که این روایت بر این نکته حمل شود که آب مِلک خصوصی میّت باشد، یا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اولویت جنب، جایز است که وی میّت را بر خود برتری دهد، آری این کار برای او مستحبّ است، آن گونه که این نکته در کلام منقول شیخ از الخلاف نیز پدیدار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 گشتی که مقصود از فرض آن است که وجوبش در قرآن آشکار شده باشد و منظور از سنت غیر آن است</w:t>
      </w:r>
      <w:r>
        <w:rPr>
          <w:rFonts w:eastAsia="IRNazanin" w:cs="IRNazanin"/>
          <w:color w:val="111111"/>
          <w:sz w:val="28"/>
          <w:szCs w:val="28"/>
          <w:rtl w:val="true"/>
          <w:lang w:bidi="fa-IR"/>
        </w:rPr>
        <w:t>.</w:t>
      </w:r>
    </w:p>
    <w:p>
      <w:pPr>
        <w:pStyle w:val="Heading5"/>
        <w:numPr>
          <w:ilvl w:val="4"/>
          <w:numId w:val="1"/>
        </w:numPr>
        <w:rPr/>
      </w:pPr>
      <w:bookmarkStart w:id="285" w:name="__RefHeading___Toc605174_1934241801"/>
      <w:bookmarkStart w:id="286" w:name="_Toc131"/>
      <w:bookmarkEnd w:id="285"/>
      <w:r>
        <w:rPr>
          <w:rtl w:val="true"/>
        </w:rPr>
        <w:t xml:space="preserve">روایت </w:t>
      </w:r>
      <w:r>
        <w:rPr/>
        <w:t>4</w:t>
      </w:r>
      <w:bookmarkEnd w:id="286"/>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وحیض یکسان هستند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المقنع، الأمالی، 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به صورت مرسل روایت شده است</w:t>
      </w:r>
      <w:r>
        <w:rPr>
          <w:rFonts w:eastAsia="IRNazanin" w:cs="IRNazanin"/>
          <w:color w:val="111111"/>
          <w:sz w:val="28"/>
          <w:szCs w:val="28"/>
          <w:rtl w:val="true"/>
          <w:lang w:bidi="fa-IR"/>
        </w:rPr>
        <w:t>.</w:t>
      </w:r>
      <w:r>
        <w:rPr>
          <w:rStyle w:val="FootnoteAnchor"/>
          <w:rtl w:val="true"/>
        </w:rPr>
        <w:footnoteReference w:id="172"/>
      </w:r>
    </w:p>
    <w:p>
      <w:pPr>
        <w:pStyle w:val="Heading5"/>
        <w:numPr>
          <w:ilvl w:val="4"/>
          <w:numId w:val="1"/>
        </w:numPr>
        <w:rPr/>
      </w:pPr>
      <w:bookmarkStart w:id="287" w:name="__RefHeading___Toc605176_1934241801"/>
      <w:bookmarkStart w:id="288" w:name="_Toc132"/>
      <w:bookmarkEnd w:id="287"/>
      <w:r>
        <w:rPr>
          <w:rtl w:val="true"/>
        </w:rPr>
        <w:t xml:space="preserve">روایت </w:t>
      </w:r>
      <w:r>
        <w:rPr/>
        <w:t>5</w:t>
      </w:r>
      <w:bookmarkEnd w:id="288"/>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روزهای عید باعث پاکی وطهارت کسی است که حاجاتش را از درگاه خداوند عزّ و جلّ طلب می کند، همچنین پیروی از سنت است</w:t>
      </w:r>
      <w:r>
        <w:rPr>
          <w:rFonts w:eastAsia="IRNazanin" w:cs="IRNazanin"/>
          <w:color w:val="111111"/>
          <w:sz w:val="28"/>
          <w:szCs w:val="28"/>
          <w:rtl w:val="true"/>
          <w:lang w:bidi="fa-IR"/>
        </w:rPr>
        <w:t>.</w:t>
      </w:r>
      <w:r>
        <w:rPr>
          <w:rStyle w:val="FootnoteAnchor"/>
          <w:rtl w:val="true"/>
        </w:rPr>
        <w:footnoteReference w:id="173"/>
      </w:r>
    </w:p>
    <w:p>
      <w:pPr>
        <w:pStyle w:val="Heading5"/>
        <w:numPr>
          <w:ilvl w:val="4"/>
          <w:numId w:val="1"/>
        </w:numPr>
        <w:rPr/>
      </w:pPr>
      <w:bookmarkStart w:id="289" w:name="__RefHeading___Toc605178_1934241801"/>
      <w:bookmarkStart w:id="290" w:name="_Toc133"/>
      <w:bookmarkEnd w:id="289"/>
      <w:r>
        <w:rPr>
          <w:rtl w:val="true"/>
        </w:rPr>
        <w:t xml:space="preserve">روایت </w:t>
      </w:r>
      <w:r>
        <w:rPr/>
        <w:t>6</w:t>
      </w:r>
      <w:bookmarkEnd w:id="290"/>
    </w:p>
    <w:p>
      <w:pPr>
        <w:pStyle w:val="BookText"/>
        <w:rPr/>
      </w:pP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بعد از هر غسلی غیر از غسل جنابت واجب است، چرا که غسل جنابت غسل فریضه واجبی است که انجام فریضه دوم یعنی وضو را کفایت می کند، ولی سایر غسل ها شخص را از وضو گرفتن بی نیاز نمی کنند، به خاطر اینکه سایر غسل ها سنّت هستند و وضو فریضه است، و هیچ سنتّی انسان را از انجام فریضه کفایت نمی کند، غسل جنابت و وضو هر دو از فرایض هستند پس هنگامی که با هم جمع گردند فریضه بزرگ تر شخص را از انجام فریضه کوچک تر 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قصد انجام غسلی غیر از غسل جنابت نمودی ابتدا وضو گرفته سپس غسل کن ، امّا غسل کردن تو را از وضو گرفتن کفایت نمی کند، پس اگر غسل کردی و وضو گرفتن را فراموش کردی، وضو بگیر و نماز را دوباره به جای آور</w:t>
      </w:r>
      <w:r>
        <w:rPr>
          <w:rFonts w:eastAsia="IRNazanin" w:cs="IRNazanin"/>
          <w:color w:val="111111"/>
          <w:sz w:val="28"/>
          <w:szCs w:val="28"/>
          <w:rtl w:val="true"/>
          <w:lang w:bidi="fa-IR"/>
        </w:rPr>
        <w:t>.</w:t>
      </w:r>
      <w:r>
        <w:rPr>
          <w:rStyle w:val="FootnoteAnchor"/>
          <w:rtl w:val="true"/>
        </w:rPr>
        <w:footnoteReference w:id="174"/>
      </w:r>
    </w:p>
    <w:p>
      <w:pPr>
        <w:pStyle w:val="Heading5"/>
        <w:numPr>
          <w:ilvl w:val="4"/>
          <w:numId w:val="1"/>
        </w:numPr>
        <w:rPr/>
      </w:pPr>
      <w:bookmarkStart w:id="291" w:name="__RefHeading___Toc605180_1934241801"/>
      <w:bookmarkStart w:id="292" w:name="_Toc134"/>
      <w:bookmarkEnd w:id="291"/>
      <w:r>
        <w:rPr>
          <w:rtl w:val="true"/>
        </w:rPr>
        <w:t>توضیح</w:t>
      </w:r>
      <w:bookmarkEnd w:id="29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عین این عبارت را در کتاب الفقیه</w:t>
      </w:r>
      <w:r>
        <w:rPr>
          <w:rStyle w:val="FootnoteAnchor"/>
          <w:rtl w:val="true"/>
        </w:rPr>
        <w:footnoteReference w:id="175"/>
      </w:r>
      <w:r>
        <w:rPr>
          <w:rFonts w:ascii="IRNazanin" w:hAnsi="IRNazanin" w:eastAsia="IRNazanin"/>
          <w:color w:val="111111"/>
          <w:sz w:val="28"/>
          <w:sz w:val="28"/>
          <w:szCs w:val="28"/>
          <w:rtl w:val="true"/>
          <w:lang w:bidi="fa-IR"/>
        </w:rPr>
        <w:t xml:space="preserve">نقل کرده است و بیشتر مطالبی که او </w:t>
      </w:r>
      <w:bookmarkStart w:id="293" w:name="pg13517_329059"/>
    </w:p>
    <w:p>
      <w:pPr>
        <w:pStyle w:val="BookText"/>
        <w:rPr/>
      </w:pPr>
      <w:bookmarkEnd w:id="293"/>
      <w:r>
        <w:rPr>
          <w:rFonts w:ascii="Amiri" w:hAnsi="Amiri" w:eastAsia="Amiri" w:cs="Amiri"/>
          <w:color w:val="111111"/>
          <w:sz w:val="28"/>
          <w:sz w:val="28"/>
          <w:szCs w:val="28"/>
          <w:rtl w:val="true"/>
          <w:lang w:bidi="ar-SA"/>
        </w:rPr>
        <w:t>و والده بلا سند مأخوذ من هذا الكتاب‌</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أجمع علماؤنا علي أن غسل الجنابة مجز عن الوضوء و اختلف في غيره من الأغسال فالمشهور أنه لا يكفي بل يجب معه الوضوء للصلاة سواء كان فرضا أو نفلا و قال المرتضي رحمه الله لا يجب الوضوء مع الغسل سواء كان فرضا أو نفلا هو مختار ابن الجنيد و كثير من المتأخرين و عليه دلت الأخبار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القائلين بالوجوب خيروا بين تقديم الوضوء علي الغسل و تأخيره عنه مع أفضلية التقديم و نقل عن الشيخ في الجمل القول بوجوب تقديم الوضوء للحائض و النفساء علي الغسل و نقله المحقق عن الراوندي و تتخير بين نية الرفع و الاستباحة فيهما علي الحالين و عن ابن إدريس أنها تنوي نية الاستباحة لا الرفع في الوضوء و الأمر في النية هين و الأحوط تقديم الوضوء و مع التأخير النقض بالحدث الأصغر و الوضوء بعده و الله يعلم</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605182_1934241801"/>
      <w:bookmarkStart w:id="295" w:name="_Toc135"/>
      <w:bookmarkEnd w:id="294"/>
      <w:r>
        <w:rPr>
          <w:rtl w:val="true"/>
        </w:rPr>
        <w:t>«</w:t>
      </w:r>
      <w:r>
        <w:rPr/>
        <w:t>7</w:t>
      </w:r>
      <w:r>
        <w:rPr>
          <w:rtl w:val="true"/>
        </w:rPr>
        <w:t>»</w:t>
      </w:r>
      <w:bookmarkEnd w:id="295"/>
    </w:p>
    <w:p>
      <w:pPr>
        <w:pStyle w:val="BookText"/>
        <w:rPr/>
      </w:pPr>
      <w:r>
        <w:rPr>
          <w:rFonts w:ascii="Amiri" w:hAnsi="Amiri" w:eastAsia="Amiri" w:cs="Amiri"/>
          <w:color w:val="111111"/>
          <w:sz w:val="28"/>
          <w:sz w:val="28"/>
          <w:szCs w:val="28"/>
          <w:rtl w:val="true"/>
          <w:lang w:bidi="ar-SA"/>
        </w:rPr>
        <w:t>السَّرَائِرُ، مِنْ كِتَابِ حَرِيزِ بْنِ عَبْدِ اللَّهِ عَنِ الْفُضَيْلِ وَ زُرَارَةَ عَنْ أَبِي جَعْفَرٍ عليه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 أَ يُجْزِي إِذَا اغْتَسَلْتُ بَعْدَ الْفَجْرِ لِلْجُمُعَةِ قَالَ نَعَمْ‌</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اغْتَسَلْتَ بَعْدَ طُلُوعِ الْفَجْرِ أَجْزَأَكَ غُسْلُكَ ذَلِكَ لِلْجَنَابَةِ وَ الْجُمُعَةِ وَ عَرَفَةَ وَ النَّحْرِ وَ الْحَلْقِ وَ الذَّبْحِ وَ الزِّيَارَةِ فَإِذَا اجْتَمَعَتْ عَلَيْكَ لِلَّهِ حُقُوقٌ أَجْزَأَكَ عَنْهَا غُسْلٌ وَاحِدٌ قَالَ زُرَارَةُ قَالَ وَ كَذَلِكَ الْمَرْأَةُ يُجْزِيهَا غُسْلٌ وَاحِدٌ لِجَنَابَتِهَا وَ إِحْرَامِهَا وَ جُمُعَتِهَا وَ غُسْلِهَا مِنْ حَيْضِهَا وَ عِيدِهَا</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نَقْلًا مِنْ كِتَابِ مُحَمَّدِ بْنِ عَلِيِّ بْنِ مَحْبُوبٍ عَنْ عَلِيِّ بْنِ السِّنْدِيِ</w:t>
      </w:r>
    </w:p>
    <w:p>
      <w:pPr>
        <w:pStyle w:val="BookText"/>
        <w:rPr/>
      </w:pPr>
      <w:r>
        <w:rPr>
          <w:rFonts w:ascii="IRNazanin" w:hAnsi="IRNazanin" w:eastAsia="IRNazanin"/>
          <w:color w:val="111111"/>
          <w:sz w:val="28"/>
          <w:sz w:val="28"/>
          <w:szCs w:val="28"/>
          <w:rtl w:val="true"/>
          <w:lang w:bidi="fa-IR"/>
        </w:rPr>
        <w:t>و پدرش بدون سند ذکر کرده اند برگرفته از این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ما بر این نظر اتفاق دارند که غسل جنابت شخص را از وضو گرفتن بی نیاز می کند ولی در مورد سایر غسل ها اختلاف نظر دارند، نظر مشهور آن است که سایر غسل ها شخص را از وضو گرفتن بی نیاز نمی کنند بلکه برای ادای نماز واجب است که به همراه غسل وضو نیز داشته باشد و فرقی نمی کند که نماز، واجب باشد یا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مرتضی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غسل –چه واجب چه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گرفتن واجب نیست؛ ابن جنید و بسیاری از فقهای پس از او نیز این نظر را بر گزیده اند، و احادیث و روایات بسیاری بر این نظر دلالت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فقهایی که به وجوب وضو همراه غسل اعتقاد دارند شخص را بین تقدیم وضو بر غسل یا تأخیر آن مخیّر گردانده اند هر چند فضیلت را به تقدیم داده اند، از شیخ در الجمل نقل شده است که تقدیم وضو بر غسل را برای زن حائض و زن زائو واجب دانسته است؛ آن را محقّق حلی از راوندی نقل کرده و در هر دو حال نیّت رفع و استباحه را اختیاری دانسته است؛ از ابن ادریس روایت شده که در وضو نیّت استباحه و نه رفع قصد می شود، و مسأله در نیّت آسان است؛ و احوط تقدیم وضو است و با تأخیر نقض در حدث اصغر پیش می آید و وضوء بعد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w:t>
      </w:r>
    </w:p>
    <w:p>
      <w:pPr>
        <w:pStyle w:val="Heading5"/>
        <w:numPr>
          <w:ilvl w:val="4"/>
          <w:numId w:val="1"/>
        </w:numPr>
        <w:rPr/>
      </w:pPr>
      <w:bookmarkStart w:id="296" w:name="__RefHeading___Toc605184_1934241801"/>
      <w:bookmarkStart w:id="297" w:name="_Toc136"/>
      <w:bookmarkEnd w:id="296"/>
      <w:r>
        <w:rPr>
          <w:rtl w:val="true"/>
        </w:rPr>
        <w:t xml:space="preserve">روایت </w:t>
      </w:r>
      <w:r>
        <w:rPr/>
        <w:t>7</w:t>
      </w:r>
      <w:bookmarkEnd w:id="297"/>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و زراره از امام باقر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غسل نمودن بعد از طلوع فجر در روز جمعه کفایت می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Style w:val="FootnoteAnchor"/>
          <w:rtl w:val="true"/>
        </w:rPr>
        <w:footnoteReference w:id="17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زراره روایت شده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نمودن بعد از طلوع فجر برای غسل جنابت، غسل روز جمعه وغسل عرفه، غسل قربانی کردن و سر تراشیدن و ذبح و زیارت کفایت می کند، پس آن گاه که حقوقی از جانب خداوند بر تو واجب شد تنها یک غسل تو را از همه 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غسل زن را از انجام غسل های جنابت، إحرام او ، غسل روز جمعه او و حیض او و روز عید بی نیاز می کند</w:t>
      </w:r>
      <w:r>
        <w:rPr>
          <w:rFonts w:eastAsia="IRNazanin" w:cs="IRNazanin"/>
          <w:color w:val="111111"/>
          <w:sz w:val="28"/>
          <w:szCs w:val="28"/>
          <w:rtl w:val="true"/>
          <w:lang w:bidi="fa-IR"/>
        </w:rPr>
        <w:t>.</w:t>
      </w:r>
      <w:r>
        <w:rPr>
          <w:rStyle w:val="FootnoteAnchor"/>
          <w:rtl w:val="true"/>
        </w:rPr>
        <w:footnoteReference w:id="180"/>
      </w:r>
      <w:bookmarkStart w:id="298" w:name="pg13517_329060"/>
    </w:p>
    <w:p>
      <w:pPr>
        <w:pStyle w:val="BookText"/>
        <w:rPr/>
      </w:pPr>
      <w:bookmarkEnd w:id="298"/>
      <w:r>
        <w:rPr>
          <w:rFonts w:ascii="Amiri" w:hAnsi="Amiri" w:eastAsia="Amiri" w:cs="Amiri"/>
          <w:color w:val="111111"/>
          <w:sz w:val="28"/>
          <w:sz w:val="28"/>
          <w:szCs w:val="28"/>
          <w:rtl w:val="true"/>
          <w:lang w:bidi="ar-SA"/>
        </w:rPr>
        <w:t>عَنْ حَمَّادٍ عَنْ حَرِيزٍ عَنْ زُرَارَةَ عَنْ أَحَدِهِمَا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 آخِرِهِ وَ قَالَ زُرَارَةُ حُرَمٌ اجْتَمَعَتْ فِي حُرْمَةٍ يُجْزِيكَ عَنْهَا غُسْلٌ وَاحِدٌ</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حَاضَتِ الْمَرْأَةُ وَ هِيَ جُنُبٌ أَجْزَأَهَا غُسْلٌ وَاحِدٌ</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مِنَ الْكِتَابِ الْمَذْكُورِ عَنْ أَحْمَدَ بْنِ مُحَمَّدٍ عَنِ الْحُسَيْنِ بْنِ سَعِيدٍ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يُجَامِعُ الْمَرْأَةَ فَتَحِيضُ قَبْلَ أَنْ تَغْتَسِلَ مِنَ الْجَنَابَةِ قَالَ غُسْلُ الْجَنَابَةِ عَلَيْهَا وَاجِبٌ‌</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 w:name="__RefHeading___Toc605186_1934241801"/>
      <w:bookmarkStart w:id="300" w:name="_Toc137"/>
      <w:bookmarkEnd w:id="299"/>
      <w:r>
        <w:rPr>
          <w:rtl w:val="true"/>
        </w:rPr>
        <w:t>بيان</w:t>
      </w:r>
      <w:bookmarkEnd w:id="300"/>
    </w:p>
    <w:p>
      <w:pPr>
        <w:pStyle w:val="BookText"/>
        <w:rPr/>
      </w:pPr>
      <w:r>
        <w:rPr>
          <w:rFonts w:ascii="Amiri" w:hAnsi="Amiri" w:eastAsia="Amiri" w:cs="Amiri"/>
          <w:color w:val="111111"/>
          <w:sz w:val="28"/>
          <w:sz w:val="28"/>
          <w:szCs w:val="28"/>
          <w:rtl w:val="true"/>
          <w:lang w:bidi="ar-SA"/>
        </w:rPr>
        <w:t>يستفاد من تلك الأخبار تداخل الأغسال مطلقا كما هو مختار كثير من المحققين و نفاه جماعة مطلقا و قال بعضهم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القول فيه أنه إذا اجتمع علي المكلف غسلان فصاعدا فإما أن يكون الكل واجبا أو يكون الكل مستحبا أو بعضها واجبا و بعضها مستحبا فإن كان الكل واجبا فإن قصد الجميع في النية فالظاهر إجزاؤه عن الجميع و إن لم يقصد تعيينا أصلا فالظاهر أيضا إجزاؤه عن الجميع إن تحقق ما يعتبر في صحة النية من القربة و غيرها إن قلنا باعتبار أمر زائد علي القربة و إن قصد حدثا معينا فإن كان الجنابة فالمشهور بين الأصحاب إجزاؤه عن غيره بل قيل إنه متفق عليه و إن كان غيرها ففيه قولان و الأقوي أنه كالأول و ظاهر القول بعدم التداخل عدم الإجزاء مطلقا و لو كان كلها مستحبا فالظاهر التداخل أيضا سواء قصد الأسباب بأسرها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رحمه الله لو نوي بالواحد الجميع فالوجه الإجزاء و الأحوط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بعضها واجبا و بعضها مستحبا فإن نوي الجميع فالظاهر الإجزاء و إن نوي الواجب كالجنابة فالظاهر أيضا الإجزاء كما اختاره الشيخ في الخلاف</w:t>
      </w:r>
    </w:p>
    <w:p>
      <w:pPr>
        <w:pStyle w:val="BookText"/>
        <w:rPr/>
      </w:pPr>
      <w:r>
        <w:rPr>
          <w:rFonts w:ascii="IRNazanin" w:hAnsi="IRNazanin" w:eastAsia="IRNazanin"/>
          <w:color w:val="111111"/>
          <w:sz w:val="28"/>
          <w:sz w:val="28"/>
          <w:szCs w:val="28"/>
          <w:rtl w:val="true"/>
          <w:lang w:bidi="fa-IR"/>
        </w:rPr>
        <w:t>از امام باقر یا امام موسی کاظم علیهما السلام نظیر این حدیث روایت و به پایان آن چنین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جمع شدن چندین امر با حرمت در یک حرمت، غسلی واحد تو را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دچار حیض شود در حالی که جنب است، تنها یک غسل او را کفایت می کند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مردی پرسیدم که با زن خویش همبستر می گردد، پس آن زن قبل از انجام غسل جنابت دچار حیض می 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بر او واجب است</w:t>
      </w:r>
      <w:r>
        <w:rPr>
          <w:rFonts w:eastAsia="IRNazanin" w:cs="IRNazanin"/>
          <w:color w:val="111111"/>
          <w:sz w:val="28"/>
          <w:szCs w:val="28"/>
          <w:rtl w:val="true"/>
          <w:lang w:bidi="fa-IR"/>
        </w:rPr>
        <w:t>.</w:t>
      </w:r>
      <w:r>
        <w:rPr>
          <w:rStyle w:val="FootnoteAnchor"/>
          <w:rtl w:val="true"/>
        </w:rPr>
        <w:footnoteReference w:id="185"/>
      </w:r>
    </w:p>
    <w:p>
      <w:pPr>
        <w:pStyle w:val="Heading5"/>
        <w:numPr>
          <w:ilvl w:val="4"/>
          <w:numId w:val="1"/>
        </w:numPr>
        <w:rPr/>
      </w:pPr>
      <w:bookmarkStart w:id="301" w:name="__RefHeading___Toc605188_1934241801"/>
      <w:bookmarkStart w:id="302" w:name="_Toc138"/>
      <w:bookmarkEnd w:id="301"/>
      <w:r>
        <w:rPr>
          <w:rtl w:val="true"/>
        </w:rPr>
        <w:t>توضیح</w:t>
      </w:r>
      <w:bookmarkEnd w:id="302"/>
    </w:p>
    <w:p>
      <w:pPr>
        <w:pStyle w:val="BookText"/>
        <w:rPr/>
      </w:pPr>
      <w:r>
        <w:rPr>
          <w:rFonts w:ascii="IRNazanin" w:hAnsi="IRNazanin" w:eastAsia="IRNazanin"/>
          <w:color w:val="111111"/>
          <w:sz w:val="28"/>
          <w:sz w:val="28"/>
          <w:szCs w:val="28"/>
          <w:rtl w:val="true"/>
          <w:lang w:bidi="fa-IR"/>
        </w:rPr>
        <w:t xml:space="preserve">از احادیثِ روایت شده تداخل مطلق غسل ها برداشت می شود آن گونه که بسیاری از محقّقان نیز چنین برگزیده اند، و گروهی نیز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 غسل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مطلقاً نفی کرده اند و عدّه ای از آنان به تفصیل در این باره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کلام درباره این موضوع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شخص مکلّف دو غسل یا بیشتر به صورت همزمان جمع گردد ممکن است همه آن غسل ها واجب، همه آن ها مستحبّ و یا بعضی واجب و بعضی دیگر مستحبّ باشند، اگر همه غسل ها واجب باشند و شخص هنگام غسل در نیّت خویش قصد به جا آوردن همه غسل ها را داشته باشد، ظاهرا یک غسل او را از انجام غسل های دیگر کفایت می کند؛ همچنین اگر هیچ یک از غسل ها را نیز قصد نکند یک غسل او را کفایت می کند اگر آنچه در صحت نیت معتبر است یعنی قصد قربت و غیر آن، محقق شده باشد، البته اگر علاوه بر قصد قربت چیز دیگری را در نیت شرط بدانیم؛ و اگر شخص یکی از غسل ها را به صورت مشخص در نظر داشته باشد و آن، غسل جنابت باشد، نظر مشهور در بین فقها این است که او را از سایر غسل ها کفایت می کند، بلکه گفته شده که بر این امر اتّفاق نظر وجود دارد؛ امّا اگر قصد غسل جنابت نداشته باشد در این باره دو نظر روایت شده است و نظر قوی تر آن است که مانند حالت نخست، یک غسل او را کفایت می کند؛ و از ظاهر سخن کسانی که به عدم تداخل غسل ها اعتقاد دارند، عدم کفایت مطلق برداشت می شود، و اگر همه غسل ها مستحبّ باشند نیز تداخل می کنند چه همه اسباب را قصد کرده باشد یا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هنگام انجام یک غسل همه غسل ها را نیّت کند، نظر صحیح آن است که آن غسل وی را از انجام سایر غسل ها کفایت می کند، و احوَط نیز همین است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بعضی از غسل ها واجب و بعضی دیگر مستحبّ باشند، اگر همه غسل ها را نیّت کند یک غسل او را کفایت می کند و اگر یکی از غسل های واجب مانند غسل جنابت را قصد کند باز او را از انجام غسل های دیگر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شیخ در کتاب های الخلاف </w:t>
      </w:r>
      <w:bookmarkStart w:id="303" w:name="pg13517_329061"/>
    </w:p>
    <w:p>
      <w:pPr>
        <w:pStyle w:val="BookText"/>
        <w:rPr/>
      </w:pPr>
      <w:bookmarkEnd w:id="303"/>
      <w:r>
        <w:rPr>
          <w:rFonts w:ascii="Amiri" w:hAnsi="Amiri" w:eastAsia="Amiri" w:cs="Amiri"/>
          <w:color w:val="111111"/>
          <w:sz w:val="28"/>
          <w:sz w:val="28"/>
          <w:szCs w:val="28"/>
          <w:rtl w:val="true"/>
          <w:lang w:bidi="ar-SA"/>
        </w:rPr>
        <w:t>و المبسوط و إن منعه العلامة و استشكله المحقق و لو نوي المندوب كالجمعة دون الواجب كالجنابة فلا يبعد أيضا الإجزاء كما يدل عليه بعض الأخبار و الأحوط قصد الجميع</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605190_1934241801"/>
      <w:bookmarkStart w:id="305" w:name="_Toc139"/>
      <w:bookmarkEnd w:id="304"/>
      <w:r>
        <w:rPr>
          <w:rtl w:val="true"/>
        </w:rPr>
        <w:t>تقريب</w:t>
      </w:r>
      <w:bookmarkEnd w:id="305"/>
    </w:p>
    <w:p>
      <w:pPr>
        <w:pStyle w:val="BookText"/>
        <w:rPr/>
      </w:pPr>
      <w:r>
        <w:rPr>
          <w:rFonts w:ascii="Amiri" w:hAnsi="Amiri" w:eastAsia="Amiri" w:cs="Amiri"/>
          <w:color w:val="111111"/>
          <w:sz w:val="28"/>
          <w:sz w:val="28"/>
          <w:szCs w:val="28"/>
          <w:rtl w:val="true"/>
          <w:lang w:bidi="ar-SA"/>
        </w:rPr>
        <w:t>قال الكراجكي رحمه الله في كنز الفوائد ذكر شيخنا المفيد في كتاب الأشراف رجل اجتمع عليه عشرون غسلا فرض و سنة و مستحب أجزأه عن جميعها غسل واحد هذا رجل احتلم و أجنب نفسه بإنزال الماء و جامع في الفرج و غسل ميتا و مس آخر بعد برده بالموت قبل تغسيله و دخل المدينة لزيارة رسول الله صلي الله عليه و آله و أراد زيارة الأئمة عليهم السلام هناك و أدرك فجر يوم العيد و كان يوم جمعة و أراد قضاء غسل يوم عرفة و عزم علي صلاة الحاجة و أراد أن يقضي صلاة الكسوف و كان عليه في يومه بعينه صلاة ركعتين بغسل و أراد التوبة من كبيرة علي ما جاء عن النبي صلي الله عليه و آله و أراد صلاة الاستخارة و حضرت صلاة الاستسقاء و نظر إلي مصلوب و قتل وزغة و قصد إلي المباهلة و أهرق عليه ماء غالب النجاسة انتهي</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605192_1934241801"/>
      <w:bookmarkStart w:id="307" w:name="_Toc140"/>
      <w:bookmarkEnd w:id="306"/>
      <w:r>
        <w:rPr>
          <w:rtl w:val="true"/>
        </w:rPr>
        <w:t>أقول</w:t>
      </w:r>
      <w:bookmarkEnd w:id="307"/>
    </w:p>
    <w:p>
      <w:pPr>
        <w:pStyle w:val="BookText"/>
        <w:rPr/>
      </w:pPr>
      <w:r>
        <w:rPr>
          <w:rFonts w:ascii="Amiri" w:hAnsi="Amiri" w:eastAsia="Amiri" w:cs="Amiri"/>
          <w:color w:val="111111"/>
          <w:sz w:val="28"/>
          <w:sz w:val="28"/>
          <w:szCs w:val="28"/>
          <w:rtl w:val="true"/>
          <w:lang w:bidi="ar-SA"/>
        </w:rPr>
        <w:t>في عد الأخير في الأغسال تمحل و يظهر منه استحباب قضاء غسل عرفة و لم نقف له علي مستند</w:t>
      </w:r>
      <w:r>
        <w:rPr>
          <w:rFonts w:eastAsia="Amiri" w:cs="Amiri" w:ascii="Amiri" w:hAnsi="Amiri"/>
          <w:color w:val="111111"/>
          <w:sz w:val="28"/>
          <w:szCs w:val="28"/>
          <w:rtl w:val="true"/>
          <w:lang w:bidi="ar-SA"/>
        </w:rPr>
        <w:t>.</w:t>
      </w:r>
    </w:p>
    <w:p>
      <w:pPr>
        <w:pStyle w:val="Heading5"/>
        <w:numPr>
          <w:ilvl w:val="4"/>
          <w:numId w:val="1"/>
        </w:numPr>
        <w:rPr/>
      </w:pPr>
      <w:bookmarkStart w:id="308" w:name="__RefHeading___Toc605194_1934241801"/>
      <w:bookmarkStart w:id="309" w:name="_Toc141"/>
      <w:bookmarkEnd w:id="308"/>
      <w:r>
        <w:rPr>
          <w:rtl w:val="true"/>
        </w:rPr>
        <w:t>«</w:t>
      </w:r>
      <w:r>
        <w:rPr/>
        <w:t>8</w:t>
      </w:r>
      <w:r>
        <w:rPr>
          <w:rtl w:val="true"/>
        </w:rPr>
        <w:t>»</w:t>
      </w:r>
      <w:bookmarkEnd w:id="309"/>
    </w:p>
    <w:p>
      <w:pPr>
        <w:pStyle w:val="BookText"/>
        <w:rPr/>
      </w:pPr>
      <w:r>
        <w:rPr>
          <w:rFonts w:ascii="Amiri" w:hAnsi="Amiri" w:eastAsia="Amiri" w:cs="Amiri"/>
          <w:color w:val="111111"/>
          <w:sz w:val="28"/>
          <w:sz w:val="28"/>
          <w:szCs w:val="28"/>
          <w:rtl w:val="true"/>
          <w:lang w:bidi="ar-SA"/>
        </w:rPr>
        <w:t>تَفْسِيرُ عَلِيِّ بْنِ إِبْرَاهِيمَ، عَنْ أَبِيهِ عَنِ الْقَاسِمِ بْنِ مُحَمَّدٍ عَنْ سُلَيْمَانَ بْنِ دَاوُدَ عَنِ الْمِنْقَرِيِّ عَنْ حَمَّادٍ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لُقْمَانَ عليه السلام لَمْ يَرَهُ أَحَدٌ مِنَ النَّاسِ عَلَي بَوْلٍ وَ لَا غَائِطٍ وَ لَا اغْتِسَالٍ لِشِدَّةِ تَسَتُّرِهِ وَ عُمُوقِ نَظَرِهِ وَ تَحَفُّظِهِ فِي أَمْرِهِ‌</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 w:name="__RefHeading___Toc605196_1934241801"/>
      <w:bookmarkStart w:id="311" w:name="_Toc142"/>
      <w:bookmarkEnd w:id="310"/>
      <w:r>
        <w:rPr>
          <w:rtl w:val="true"/>
        </w:rPr>
        <w:t>«</w:t>
      </w:r>
      <w:r>
        <w:rPr/>
        <w:t>9</w:t>
      </w:r>
      <w:r>
        <w:rPr>
          <w:rtl w:val="true"/>
        </w:rPr>
        <w:t>»</w:t>
      </w:r>
      <w:bookmarkEnd w:id="311"/>
    </w:p>
    <w:p>
      <w:pPr>
        <w:pStyle w:val="BookText"/>
        <w:rPr/>
      </w:pPr>
      <w:r>
        <w:rPr>
          <w:rFonts w:ascii="Amiri" w:hAnsi="Amiri" w:eastAsia="Amiri" w:cs="Amiri"/>
          <w:color w:val="111111"/>
          <w:sz w:val="28"/>
          <w:sz w:val="28"/>
          <w:szCs w:val="28"/>
          <w:rtl w:val="true"/>
          <w:lang w:bidi="ar-SA"/>
        </w:rPr>
        <w:t>الْعُيُونُ‌</w:t>
      </w:r>
      <w:r>
        <w:rPr>
          <w:rStyle w:val="FootnoteAnchor"/>
          <w:rtl w:val="true"/>
        </w:rPr>
        <w:footnoteReference w:id="187"/>
      </w:r>
      <w:r>
        <w:rPr>
          <w:rFonts w:ascii="Amiri" w:hAnsi="Amiri" w:eastAsia="Amiri" w:cs="Amiri"/>
          <w:color w:val="111111"/>
          <w:sz w:val="28"/>
          <w:sz w:val="28"/>
          <w:szCs w:val="28"/>
          <w:rtl w:val="true"/>
          <w:lang w:bidi="ar-SA"/>
        </w:rPr>
        <w:t>، وَ الْعِلَلُ، عَنْ أَبِيهِ عَنْ سَعْدِ بْنِ عَبْدِ اللَّهِ عَنْ مُحَمَّدِ بْنِ عِيسَي الْيَقْطِينِيِّ عَنْ دُرُسْتَ عَنْ إِبْرَاهِيمَ بْنِ عَبْدِ الْحَمِيدِ عَنْ أَبِي الْحَسَنِ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المبسوط این نظر را برگزیده است، هرچند علاّمه آن را منع کرده و محقق مشکلش پنداشته است، و اگر یکی از غسل های مستحبّ مانند غسل جمعه را نیّت کند نه یکی از غسل های واجب مانند غسل جنابت، این نظر که او را از سایر غسل ها کفایت می کند بعید نیست آن گونه که بعضی از احادیث نیز بر این نکته دلالت می کنند، ولی احوَط آن است که شخص همه غسل ها را قصد کند</w:t>
      </w:r>
      <w:r>
        <w:rPr>
          <w:rFonts w:eastAsia="IRNazanin" w:cs="IRNazanin"/>
          <w:color w:val="111111"/>
          <w:sz w:val="28"/>
          <w:szCs w:val="28"/>
          <w:rtl w:val="true"/>
          <w:lang w:bidi="fa-IR"/>
        </w:rPr>
        <w:t>.</w:t>
      </w:r>
    </w:p>
    <w:p>
      <w:pPr>
        <w:pStyle w:val="Heading5"/>
        <w:numPr>
          <w:ilvl w:val="4"/>
          <w:numId w:val="1"/>
        </w:numPr>
        <w:rPr/>
      </w:pPr>
      <w:bookmarkStart w:id="312" w:name="__RefHeading___Toc605198_1934241801"/>
      <w:bookmarkStart w:id="313" w:name="_Toc143"/>
      <w:bookmarkEnd w:id="312"/>
      <w:r>
        <w:rPr>
          <w:rtl w:val="true"/>
        </w:rPr>
        <w:t>تقریب</w:t>
      </w:r>
      <w:bookmarkEnd w:id="313"/>
    </w:p>
    <w:p>
      <w:pPr>
        <w:pStyle w:val="BookText"/>
        <w:rPr/>
      </w:pPr>
      <w:r>
        <w:rPr>
          <w:rFonts w:ascii="IRNazanin" w:hAnsi="IRNazanin" w:eastAsia="IRNazanin"/>
          <w:color w:val="111111"/>
          <w:sz w:val="28"/>
          <w:sz w:val="28"/>
          <w:szCs w:val="28"/>
          <w:rtl w:val="true"/>
          <w:lang w:bidi="fa-IR"/>
        </w:rPr>
        <w:t>الکراجکیّ رحِمهُ الله در کتاب کنز الفوائد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کتاب الأشراف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بیست غسل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و مستحبّ بر او جمع شده باشد، انجام یک غسل او را از انجام سایر غسل ها بی نیاز می کند، مانند مردی که دچار احتلام شده و با انزال منی جنب شده است، و همزمان با همسر خویش مباشرت کرده و میّتی را غسل داده است، و میّت دیگری را بعد از سرد شدن و قبل از غسل داده شدن لمس کرده است، همچنین به منظور زیارت رسول خدا صلّی الله علیه و آله و زیارت قبور ائمّه علیهم السلام وارد مدینه شده وصبح روز عید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آن روز روز جمعه بوده و قصد قضای غسل روز عرفه نموده است، وقصد ادای نماز حاجت دارد و می خواهد نماز کسوف را به جا آوَرَد و باید در همان روز با داشتن غسل دو رکعت نماز را نیز به جا آورد، و می خواهد آن گونه که از پیامبر صلّی الله علیه و آله روایت شده از گناه کبیره ای توبه کند، همچنین قصد نماز استخاره می کند و در نماز استسقاء حاضر می شود و به شخص به دار آویخته شده ای نگاه می کند و وزغی را به قتل رسانده و قصد انجام مباهله نموده است و آبی که اغلب آن نجس است بر روی او ریخته شده است، پایان نقل قول</w:t>
      </w:r>
      <w:r>
        <w:rPr>
          <w:rFonts w:eastAsia="IRNazanin" w:cs="IRNazanin"/>
          <w:color w:val="111111"/>
          <w:sz w:val="28"/>
          <w:szCs w:val="28"/>
          <w:rtl w:val="true"/>
          <w:lang w:bidi="fa-IR"/>
        </w:rPr>
        <w:t>.</w:t>
      </w:r>
    </w:p>
    <w:p>
      <w:pPr>
        <w:pStyle w:val="Heading5"/>
        <w:numPr>
          <w:ilvl w:val="4"/>
          <w:numId w:val="1"/>
        </w:numPr>
        <w:rPr/>
      </w:pPr>
      <w:bookmarkStart w:id="314" w:name="__RefHeading___Toc605200_1934241801"/>
      <w:bookmarkStart w:id="315" w:name="_Toc144"/>
      <w:bookmarkEnd w:id="314"/>
      <w:r>
        <w:rPr>
          <w:rtl w:val="true"/>
        </w:rPr>
        <w:t>می گویم</w:t>
      </w:r>
      <w:bookmarkEnd w:id="315"/>
    </w:p>
    <w:p>
      <w:pPr>
        <w:pStyle w:val="BookText"/>
        <w:rPr/>
      </w:pPr>
      <w:r>
        <w:rPr>
          <w:rFonts w:ascii="IRNazanin" w:hAnsi="IRNazanin" w:eastAsia="IRNazanin"/>
          <w:color w:val="111111"/>
          <w:sz w:val="28"/>
          <w:sz w:val="28"/>
          <w:szCs w:val="28"/>
          <w:rtl w:val="true"/>
          <w:lang w:bidi="fa-IR"/>
        </w:rPr>
        <w:t xml:space="preserve">به شمار آوردن غسل اخیر در میان غسل های دیگر قابل مناقشه است، و استحباب قضای غسل روز عرفه از این کلام شیخ مفید برداشت می شود، حال آنکه ما به مستندی در این زمینه دست نیافتیم </w:t>
      </w:r>
      <w:r>
        <w:rPr>
          <w:rFonts w:eastAsia="IRNazanin" w:cs="IRNazanin"/>
          <w:color w:val="111111"/>
          <w:sz w:val="28"/>
          <w:szCs w:val="28"/>
          <w:rtl w:val="true"/>
          <w:lang w:bidi="fa-IR"/>
        </w:rPr>
        <w:t>.</w:t>
      </w:r>
    </w:p>
    <w:p>
      <w:pPr>
        <w:pStyle w:val="Heading5"/>
        <w:numPr>
          <w:ilvl w:val="4"/>
          <w:numId w:val="1"/>
        </w:numPr>
        <w:rPr/>
      </w:pPr>
      <w:bookmarkStart w:id="316" w:name="__RefHeading___Toc605202_1934241801"/>
      <w:bookmarkStart w:id="317" w:name="_Toc145"/>
      <w:bookmarkEnd w:id="316"/>
      <w:r>
        <w:rPr>
          <w:rtl w:val="true"/>
        </w:rPr>
        <w:t xml:space="preserve">روایت </w:t>
      </w:r>
      <w:r>
        <w:rPr/>
        <w:t>8</w:t>
      </w:r>
      <w:bookmarkEnd w:id="317"/>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در وصف لقمان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از مردم او را در حال بول کردن، قضای حاجت وغسل نمودن مشاهده نکرد و این به خاطر شدّتِ در پوشش ماندن، ژرفای نگاه و حذر و محافظت وی در اموراتش بود</w:t>
      </w:r>
      <w:r>
        <w:rPr>
          <w:rFonts w:eastAsia="IRNazanin" w:cs="IRNazanin"/>
          <w:color w:val="111111"/>
          <w:sz w:val="28"/>
          <w:szCs w:val="28"/>
          <w:rtl w:val="true"/>
          <w:lang w:bidi="fa-IR"/>
        </w:rPr>
        <w:t>.</w:t>
      </w:r>
      <w:r>
        <w:rPr>
          <w:rStyle w:val="FootnoteAnchor"/>
          <w:rtl w:val="true"/>
        </w:rPr>
        <w:footnoteReference w:id="188"/>
      </w:r>
    </w:p>
    <w:p>
      <w:pPr>
        <w:pStyle w:val="Heading5"/>
        <w:numPr>
          <w:ilvl w:val="4"/>
          <w:numId w:val="1"/>
        </w:numPr>
        <w:rPr/>
      </w:pPr>
      <w:bookmarkStart w:id="318" w:name="__RefHeading___Toc605204_1934241801"/>
      <w:bookmarkStart w:id="319" w:name="_Toc146"/>
      <w:bookmarkEnd w:id="318"/>
      <w:r>
        <w:rPr>
          <w:rtl w:val="true"/>
        </w:rPr>
        <w:t xml:space="preserve">روایت </w:t>
      </w:r>
      <w:r>
        <w:rPr/>
        <w:t>9</w:t>
      </w:r>
      <w:bookmarkEnd w:id="31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أخبار الرضا، علل الشریع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فرموده است</w:t>
      </w:r>
      <w:r>
        <w:rPr>
          <w:rFonts w:eastAsia="IRNazanin" w:cs="IRNazanin"/>
          <w:color w:val="111111"/>
          <w:sz w:val="28"/>
          <w:szCs w:val="28"/>
          <w:rtl w:val="true"/>
          <w:lang w:bidi="fa-IR"/>
        </w:rPr>
        <w:t xml:space="preserve">: </w:t>
      </w:r>
      <w:bookmarkStart w:id="320" w:name="pg13517_329062"/>
    </w:p>
    <w:p>
      <w:pPr>
        <w:pStyle w:val="BookText"/>
        <w:rPr/>
      </w:pPr>
      <w:bookmarkEnd w:id="320"/>
      <w:r>
        <w:rPr>
          <w:rFonts w:ascii="Amiri" w:hAnsi="Amiri" w:eastAsia="Amiri" w:cs="Amiri"/>
          <w:color w:val="111111"/>
          <w:sz w:val="28"/>
          <w:sz w:val="28"/>
          <w:szCs w:val="28"/>
          <w:rtl w:val="true"/>
          <w:lang w:bidi="ar-SA"/>
        </w:rPr>
        <w:t>دَخَلَ رَسُولُ اللَّهِ صلي الله عليه و آله عَلَي عَائِشَةَ وَ قَدْ وَضَعَتْ قُمْقُمَتَهَا فِي الشَّمْسِ فَقَالَ يَا حُمَيْرَاءُ مَا هَذَا قَالَتْ أَغْسِلُ رَأْسِي وَ جَسَدِي قَالَ لَا تَعُودِي فَإِنَّهُ يُورِثُ الْبَرَصَ‌</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90"/>
      </w:r>
    </w:p>
    <w:p>
      <w:pPr>
        <w:pStyle w:val="Heading5"/>
        <w:numPr>
          <w:ilvl w:val="4"/>
          <w:numId w:val="1"/>
        </w:numPr>
        <w:rPr/>
      </w:pPr>
      <w:bookmarkStart w:id="321" w:name="__RefHeading___Toc605206_1934241801"/>
      <w:bookmarkStart w:id="322" w:name="_Toc147"/>
      <w:bookmarkEnd w:id="321"/>
      <w:r>
        <w:rPr>
          <w:rtl w:val="true"/>
        </w:rPr>
        <w:t>بيان</w:t>
      </w:r>
      <w:bookmarkEnd w:id="322"/>
    </w:p>
    <w:p>
      <w:pPr>
        <w:pStyle w:val="BookText"/>
        <w:rPr/>
      </w:pPr>
      <w:r>
        <w:rPr>
          <w:rFonts w:ascii="Amiri" w:hAnsi="Amiri" w:eastAsia="Amiri" w:cs="Amiri"/>
          <w:color w:val="111111"/>
          <w:sz w:val="28"/>
          <w:sz w:val="28"/>
          <w:szCs w:val="28"/>
          <w:rtl w:val="true"/>
          <w:lang w:bidi="ar-SA"/>
        </w:rPr>
        <w:t>قال الصدوق رحمه الله في العيون أبو الحسن صاحب هذا الحديث يجوز أن يكون الرضا عليه السلام و يجوز أن يكون موسي عليه السلام لأن إبراهيم بن عبد الحميد قد لقيهما جميعا و هذا الحديث من المراسيل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يحتمل أن يكون مرادها من غسل الرأس و الجسد الغسل الشرعي أو معناه الظاهر و علي التقديرين يفهم منه كراهة الغسل بالماء المسخن بالشمس علي بعض الوجوه و قوله صلي الله عليه و آله لا تعودي إما من العود أو بمعني التعود بمعني العادة و الأول أظهر و أما قول الصدوق رحمه الله إن الخبر من المراسيل‌</w:t>
      </w:r>
      <w:r>
        <w:rPr>
          <w:rStyle w:val="FootnoteAnchor"/>
          <w:rtl w:val="true"/>
        </w:rPr>
        <w:footnoteReference w:id="191"/>
      </w:r>
      <w:r>
        <w:rPr>
          <w:rFonts w:ascii="Amiri" w:hAnsi="Amiri" w:eastAsia="Amiri" w:cs="Amiri"/>
          <w:color w:val="111111"/>
          <w:sz w:val="28"/>
          <w:sz w:val="28"/>
          <w:szCs w:val="28"/>
          <w:rtl w:val="true"/>
          <w:lang w:bidi="ar-SA"/>
        </w:rPr>
        <w:t>فلا أعرف له معني إلا أن يريد أن الإمام عليه السلام أرسله و هو من مثله بعيد و قد مضي في أبواب الوضوء</w:t>
      </w:r>
      <w:r>
        <w:rPr>
          <w:rStyle w:val="FootnoteAnchor"/>
          <w:rtl w:val="true"/>
        </w:rPr>
        <w:footnoteReference w:id="192"/>
      </w:r>
      <w:r>
        <w:rPr>
          <w:rFonts w:ascii="Amiri" w:hAnsi="Amiri" w:eastAsia="Amiri" w:cs="Amiri"/>
          <w:color w:val="111111"/>
          <w:sz w:val="28"/>
          <w:sz w:val="28"/>
          <w:szCs w:val="28"/>
          <w:rtl w:val="true"/>
          <w:lang w:bidi="ar-SA"/>
        </w:rPr>
        <w:t>كراهة الاغتسال بالماء المسخن بالشمس في رواية أخري</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605208_1934241801"/>
      <w:bookmarkStart w:id="324" w:name="_Toc148"/>
      <w:bookmarkEnd w:id="323"/>
      <w:r>
        <w:rPr>
          <w:rtl w:val="true"/>
        </w:rPr>
        <w:t>«</w:t>
      </w:r>
      <w:r>
        <w:rPr/>
        <w:t>10</w:t>
      </w:r>
      <w:r>
        <w:rPr>
          <w:rtl w:val="true"/>
        </w:rPr>
        <w:t>»</w:t>
      </w:r>
      <w:bookmarkEnd w:id="324"/>
    </w:p>
    <w:p>
      <w:pPr>
        <w:pStyle w:val="BookText"/>
        <w:rPr/>
      </w:pPr>
      <w:r>
        <w:rPr>
          <w:rFonts w:ascii="Amiri" w:hAnsi="Amiri" w:eastAsia="Amiri" w:cs="Amiri"/>
          <w:color w:val="111111"/>
          <w:sz w:val="28"/>
          <w:sz w:val="28"/>
          <w:szCs w:val="28"/>
          <w:rtl w:val="true"/>
          <w:lang w:bidi="ar-SA"/>
        </w:rPr>
        <w:t>فَلَاحُ السَّائِلِ، نَقْلًا مِنْ كِتَابِ مَدِينَةِ الْعِلْمِ لِلصَّدُوقِ قَالَ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غُسْلَ يَوْمِكَ يُجْزِيكَ لِلَيْلَتِكَ وَ غُسْلَ لَيْلَتِكَ يُجْزِيكَ لِيَوْمِكَ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نزد عایشه رفت در حالی که عایشه قمقمه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 مسی برای گرم کردن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جلوی آفتاب نهاده بود،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حمیراء این چیست؟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بدنم را با آن می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تکرار نکن چرا که انسان را دچار پیسی می کند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به صورت مرسل روایت شده است</w:t>
      </w:r>
      <w:r>
        <w:rPr>
          <w:rFonts w:eastAsia="IRNazanin" w:cs="IRNazanin"/>
          <w:color w:val="111111"/>
          <w:sz w:val="28"/>
          <w:szCs w:val="28"/>
          <w:rtl w:val="true"/>
          <w:lang w:bidi="fa-IR"/>
        </w:rPr>
        <w:t>.</w:t>
      </w:r>
      <w:r>
        <w:rPr>
          <w:rStyle w:val="FootnoteAnchor"/>
          <w:rtl w:val="true"/>
        </w:rPr>
        <w:footnoteReference w:id="194"/>
      </w:r>
    </w:p>
    <w:p>
      <w:pPr>
        <w:pStyle w:val="Heading5"/>
        <w:numPr>
          <w:ilvl w:val="4"/>
          <w:numId w:val="1"/>
        </w:numPr>
        <w:rPr/>
      </w:pPr>
      <w:bookmarkStart w:id="325" w:name="__RefHeading___Toc605210_1934241801"/>
      <w:bookmarkStart w:id="326" w:name="_Toc149"/>
      <w:bookmarkEnd w:id="325"/>
      <w:r>
        <w:rPr>
          <w:rtl w:val="true"/>
        </w:rPr>
        <w:t>توضیح</w:t>
      </w:r>
      <w:bookmarkEnd w:id="326"/>
    </w:p>
    <w:p>
      <w:pPr>
        <w:pStyle w:val="BookText"/>
        <w:rPr/>
      </w:pPr>
      <w:r>
        <w:rPr>
          <w:rFonts w:ascii="IRNazanin" w:hAnsi="IRNazanin" w:eastAsia="IRNazanin"/>
          <w:color w:val="111111"/>
          <w:sz w:val="28"/>
          <w:sz w:val="28"/>
          <w:szCs w:val="28"/>
          <w:rtl w:val="true"/>
          <w:lang w:bidi="fa-IR"/>
        </w:rPr>
        <w:t>شیخ صدوق رحمه الله در تاب العیون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قائل این حدیث امام رضا علیه السلام یا امام موسی کاظم علیه السلام باشد، چرا که ابراهیم بن عبد حمید آن دو بزرگوار را درک نموده است، و این حدیث از مراسل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آگاه باش که ممکن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الرأس و الجسد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غسل شرعی یا معنای ظاهری آن یعنی شستن باشد، و بر حسب هر دو تقدیر کراهت غسل نمودن یا شستشو با آب گرم شده در مقابل خورشید، از برخی وجوه قابل فهم و برداشت است، این فرموده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احتمال نخست صحیح تر به نظر می رسد؛ امّا برای این سخن شیخ صدوق که این حدیث از مراسیل است معنایی متّصور نیستم جز اینکه منظور او چنین باشد که امام علیه السلام آن را مرسل آورده است، و این سخن از کسی چون او بعید است؛ در ابواب وضو در روایتی دیگر، کراهت غسل با آب گرم شده در مقابل خورشید نقل شد</w:t>
      </w:r>
      <w:r>
        <w:rPr>
          <w:rFonts w:eastAsia="IRNazanin" w:cs="IRNazanin"/>
          <w:color w:val="111111"/>
          <w:sz w:val="28"/>
          <w:szCs w:val="28"/>
          <w:rtl w:val="true"/>
          <w:lang w:bidi="fa-IR"/>
        </w:rPr>
        <w:t>.</w:t>
      </w:r>
      <w:r>
        <w:rPr>
          <w:rStyle w:val="FootnoteAnchor"/>
          <w:rtl w:val="true"/>
        </w:rPr>
        <w:footnoteReference w:id="195"/>
      </w:r>
    </w:p>
    <w:p>
      <w:pPr>
        <w:pStyle w:val="Heading5"/>
        <w:numPr>
          <w:ilvl w:val="4"/>
          <w:numId w:val="1"/>
        </w:numPr>
        <w:rPr/>
      </w:pPr>
      <w:bookmarkStart w:id="327" w:name="__RefHeading___Toc605212_1934241801"/>
      <w:bookmarkStart w:id="328" w:name="_Toc150"/>
      <w:bookmarkEnd w:id="327"/>
      <w:r>
        <w:rPr>
          <w:rtl w:val="true"/>
        </w:rPr>
        <w:t xml:space="preserve">روایت </w:t>
      </w:r>
      <w:r>
        <w:rPr/>
        <w:t>10</w:t>
      </w:r>
      <w:bookmarkEnd w:id="32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کتاب مدینه العلم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انجام غسل در روز تو را انجام آن در شب بی نیاز می کند و عکس این امر نیز صادق است</w:t>
      </w:r>
      <w:r>
        <w:rPr>
          <w:rFonts w:eastAsia="IRNazanin" w:cs="IRNazanin"/>
          <w:color w:val="111111"/>
          <w:sz w:val="28"/>
          <w:szCs w:val="28"/>
          <w:rtl w:val="true"/>
          <w:lang w:bidi="fa-IR"/>
        </w:rPr>
        <w:t xml:space="preserve">. </w:t>
      </w:r>
      <w:bookmarkStart w:id="329" w:name="pg13517_329063"/>
    </w:p>
    <w:p>
      <w:pPr>
        <w:pStyle w:val="Heading5"/>
        <w:numPr>
          <w:ilvl w:val="4"/>
          <w:numId w:val="1"/>
        </w:numPr>
        <w:rPr/>
      </w:pPr>
      <w:bookmarkStart w:id="330" w:name="__RefHeading___Toc605214_1934241801"/>
      <w:bookmarkStart w:id="331" w:name="_Toc151"/>
      <w:bookmarkEnd w:id="329"/>
      <w:bookmarkEnd w:id="330"/>
      <w:r>
        <w:rPr>
          <w:rtl w:val="true"/>
        </w:rPr>
        <w:t>بيان</w:t>
      </w:r>
      <w:bookmarkEnd w:id="331"/>
    </w:p>
    <w:p>
      <w:pPr>
        <w:pStyle w:val="BookText"/>
        <w:rPr/>
      </w:pPr>
      <w:r>
        <w:rPr>
          <w:rFonts w:ascii="Amiri" w:hAnsi="Amiri" w:eastAsia="Amiri" w:cs="Amiri"/>
          <w:color w:val="111111"/>
          <w:sz w:val="28"/>
          <w:sz w:val="28"/>
          <w:szCs w:val="28"/>
          <w:rtl w:val="true"/>
          <w:lang w:bidi="ar-SA"/>
        </w:rPr>
        <w:t>الإجزاء في الفضل في الجملة لا ينافي استحباب إعادة بعض الأغسال بعد النوم أو سائر الأحداث أو لبس ما لا يجوز لبسه في الإحرام أو انقضاء اليوم أو الليل كما يومي إليه بعض الأخبار</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605216_1934241801"/>
      <w:bookmarkStart w:id="333" w:name="_Toc152"/>
      <w:bookmarkEnd w:id="332"/>
      <w:r>
        <w:rPr>
          <w:rtl w:val="true"/>
        </w:rPr>
        <w:t>«</w:t>
      </w:r>
      <w:r>
        <w:rPr/>
        <w:t>11</w:t>
      </w:r>
      <w:r>
        <w:rPr>
          <w:rtl w:val="true"/>
        </w:rPr>
        <w:t>»</w:t>
      </w:r>
      <w:bookmarkEnd w:id="333"/>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غُسْلٍ فِيهِ وُضُوءٌ إِلَّا غُسْلَ الْجَنَابَةِ لِأَنَّ كُلَّ غُسْلٍ سُنَّةٌ إِلَّا غُسْلَ الْجَنَابَةِ فَإِنَّهُ فَرِيضَةٌ وَ غُسْلُ الْحَيْضِ فَرِيضَةٌ مِثْلُ غُسْلِ الْجَنَابَةِ</w:t>
      </w:r>
      <w:r>
        <w:rPr>
          <w:rStyle w:val="FootnoteAnchor"/>
          <w:rtl w:val="true"/>
        </w:rPr>
        <w:footnoteReference w:id="196"/>
      </w:r>
      <w:r>
        <w:rPr>
          <w:rFonts w:ascii="Amiri" w:hAnsi="Amiri" w:eastAsia="Amiri" w:cs="Amiri"/>
          <w:color w:val="111111"/>
          <w:sz w:val="28"/>
          <w:sz w:val="28"/>
          <w:szCs w:val="28"/>
          <w:rtl w:val="true"/>
          <w:lang w:bidi="ar-SA"/>
        </w:rPr>
        <w:t>فَإِذَا اجْتَمَعَ فَرْضَانِ فَأَكْبَرُهُمَا يُجْزِي عَنْ أَصْغَرِهِمَا وَ مَنِ اغْتَسَلَ لِغَيْرِ جَنَابَةٍ فَلْيَبْدَأْ بِالْوُضُوءِ ثُمَّ يَغْتَسِلُ وَ لَا يُجْزِيهِ الْغُسْلُ عَنِ الْوُضُوءِ لِأَنَّ الْغُسْلَ سُنَّةٌ وَ الْوُضُوءَ فَرِيضَةٌ وَ لَا يُجْزِي سُنَّةٌ عَنْ فَرْضٍ‌</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 w:name="__RefHeading___Toc605218_1934241801"/>
      <w:bookmarkStart w:id="335" w:name="_Toc153"/>
      <w:bookmarkEnd w:id="334"/>
      <w:r>
        <w:rPr>
          <w:rtl w:val="true"/>
        </w:rPr>
        <w:t>بيان</w:t>
      </w:r>
      <w:bookmarkEnd w:id="335"/>
    </w:p>
    <w:p>
      <w:pPr>
        <w:pStyle w:val="BookText"/>
        <w:rPr/>
      </w:pPr>
      <w:r>
        <w:rPr>
          <w:rFonts w:ascii="Amiri" w:hAnsi="Amiri" w:eastAsia="Amiri" w:cs="Amiri"/>
          <w:color w:val="111111"/>
          <w:sz w:val="28"/>
          <w:sz w:val="28"/>
          <w:szCs w:val="28"/>
          <w:rtl w:val="true"/>
          <w:lang w:bidi="ar-SA"/>
        </w:rPr>
        <w:t>يحتمل أن يكون المراد بإجزاء الأكبر عن الأصغر أنه تعالي ذكرهما في القرآن في موضع واحد متقابلين فالظاهر كون الوضوء في غير موضع الغسل و الأظهر أنه من الخطابيات لإلزام المخالفين أو بيان لما علموا من العلل الواقعية</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605220_1934241801"/>
      <w:bookmarkStart w:id="337" w:name="_Toc154"/>
      <w:bookmarkEnd w:id="336"/>
      <w:r>
        <w:rPr>
          <w:rtl w:val="true"/>
        </w:rPr>
        <w:t>توضیح</w:t>
      </w:r>
      <w:bookmarkEnd w:id="337"/>
    </w:p>
    <w:p>
      <w:pPr>
        <w:pStyle w:val="BookText"/>
        <w:rPr/>
      </w:pPr>
      <w:r>
        <w:rPr>
          <w:rFonts w:ascii="IRNazanin" w:hAnsi="IRNazanin" w:eastAsia="IRNazanin"/>
          <w:color w:val="111111"/>
          <w:sz w:val="28"/>
          <w:sz w:val="28"/>
          <w:szCs w:val="28"/>
          <w:rtl w:val="true"/>
          <w:lang w:bidi="fa-IR"/>
        </w:rPr>
        <w:t>ذکر کفایت کردن غسل روز برای شب و برعکس فی الجمله، استحباب انجام دوباره بعضی غسل ها بعد از خواب یا سایر أحداث، پوشیدن لباس هایی که پوشیدن آن ها در احرام جایز نیست یا پایان یافتن شب و روز را نفی نمی کند آن گونه که برخی احادیث نیز به این نکته اشاره دارند</w:t>
      </w:r>
      <w:r>
        <w:rPr>
          <w:rFonts w:eastAsia="IRNazanin" w:cs="IRNazanin"/>
          <w:color w:val="111111"/>
          <w:sz w:val="28"/>
          <w:szCs w:val="28"/>
          <w:rtl w:val="true"/>
          <w:lang w:bidi="fa-IR"/>
        </w:rPr>
        <w:t>.</w:t>
      </w:r>
    </w:p>
    <w:p>
      <w:pPr>
        <w:pStyle w:val="Heading5"/>
        <w:numPr>
          <w:ilvl w:val="4"/>
          <w:numId w:val="1"/>
        </w:numPr>
        <w:rPr/>
      </w:pPr>
      <w:bookmarkStart w:id="338" w:name="__RefHeading___Toc605222_1934241801"/>
      <w:bookmarkStart w:id="339" w:name="_Toc155"/>
      <w:bookmarkEnd w:id="338"/>
      <w:r>
        <w:rPr>
          <w:rtl w:val="true"/>
        </w:rPr>
        <w:t xml:space="preserve">روایت </w:t>
      </w:r>
      <w:r>
        <w:rPr/>
        <w:t>11</w:t>
      </w:r>
      <w:bookmarkEnd w:id="339"/>
    </w:p>
    <w:p>
      <w:p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بعد از همه غسل ها غیر از غسل جنابت واجب است، چرا که همه غسل ها سنت هستند غیر از غسل جنابت که فریضه است، وغسل حیض مانند غسل جنابت است</w:t>
      </w:r>
      <w:r>
        <w:rPr>
          <w:rStyle w:val="FootnoteAnchor"/>
          <w:rtl w:val="true"/>
        </w:rPr>
        <w:footnoteReference w:id="19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گاه که دو فریضه با هم جمع شوند انجام بزرگ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شخص را از انجام کوچک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اهمیت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بی نیاز می کند، و هر کسی که اقدام به انجام غسلی غیر از غسل جنابت می کند باید در ابتدا وضو بگیرد سپس غسل نماید، و غسل نمودن او را از وضو گرفتن بی نیاز نمی کند چرا که غسل سنت است و وضو فریضه، و انجام سنّت شخص را از انجام واجب بی نیاز نمی کند</w:t>
      </w:r>
      <w:r>
        <w:rPr>
          <w:rFonts w:eastAsia="IRNazanin" w:cs="IRNazanin"/>
          <w:color w:val="111111"/>
          <w:sz w:val="28"/>
          <w:szCs w:val="28"/>
          <w:rtl w:val="true"/>
          <w:lang w:bidi="fa-IR"/>
        </w:rPr>
        <w:t>.</w:t>
      </w:r>
      <w:r>
        <w:rPr>
          <w:rStyle w:val="FootnoteAnchor"/>
          <w:rtl w:val="true"/>
        </w:rPr>
        <w:footnoteReference w:id="199"/>
      </w:r>
    </w:p>
    <w:p>
      <w:pPr>
        <w:pStyle w:val="Heading5"/>
        <w:numPr>
          <w:ilvl w:val="4"/>
          <w:numId w:val="1"/>
        </w:numPr>
        <w:rPr/>
      </w:pPr>
      <w:bookmarkStart w:id="340" w:name="__RefHeading___Toc605224_1934241801"/>
      <w:bookmarkStart w:id="341" w:name="_Toc156"/>
      <w:bookmarkEnd w:id="340"/>
      <w:r>
        <w:rPr>
          <w:rtl w:val="true"/>
        </w:rPr>
        <w:t>توضیح</w:t>
      </w:r>
      <w:bookmarkEnd w:id="34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مقصود از کفایت کردن انجام فریضه بزرگ تر به جای فریضه کوچک تر این باشد که خداوند متعال هر دو فریضه را در یک موضع واحد در قرآن و در مقابل هم ذکر کرده باشد، پس آشکار است که وضو در غیر از موضع غسل می باشد، وآشکارتر اینکه این نکته از جمله خطابه هایی می باشد که از آن برای قانع و محکوم کردن مخالفان یا بیان علل واقعی که از آن  آگاه بودند استفاده شده است </w:t>
      </w:r>
      <w:r>
        <w:rPr>
          <w:rFonts w:eastAsia="IRNazanin" w:cs="IRNazanin"/>
          <w:color w:val="111111"/>
          <w:sz w:val="28"/>
          <w:szCs w:val="28"/>
          <w:rtl w:val="true"/>
          <w:lang w:bidi="fa-IR"/>
        </w:rPr>
        <w:t xml:space="preserve">. </w:t>
      </w:r>
      <w:bookmarkStart w:id="342" w:name="pg13517_329064"/>
    </w:p>
    <w:p>
      <w:pPr>
        <w:pStyle w:val="Heading3"/>
        <w:numPr>
          <w:ilvl w:val="2"/>
          <w:numId w:val="1"/>
        </w:numPr>
        <w:rPr/>
      </w:pPr>
      <w:bookmarkStart w:id="343" w:name="__RefHeading___Toc605226_1934241801"/>
      <w:bookmarkStart w:id="344" w:name="_Toc157"/>
      <w:bookmarkEnd w:id="342"/>
      <w:bookmarkEnd w:id="343"/>
      <w:r>
        <w:rPr>
          <w:rtl w:val="true"/>
        </w:rPr>
        <w:t xml:space="preserve">باب </w:t>
      </w:r>
      <w:r>
        <w:rPr/>
        <w:t>3</w:t>
      </w:r>
      <w:r>
        <w:rPr>
          <w:rtl w:val="true"/>
        </w:rPr>
        <w:t xml:space="preserve"> </w:t>
      </w:r>
      <w:r>
        <w:rPr>
          <w:rtl w:val="true"/>
        </w:rPr>
        <w:t>وجوب غسل الجنابة و علله و كيفيته و أحكام الجنب</w:t>
      </w:r>
      <w:bookmarkEnd w:id="344"/>
    </w:p>
    <w:p>
      <w:pPr>
        <w:pStyle w:val="Heading4"/>
        <w:numPr>
          <w:ilvl w:val="3"/>
          <w:numId w:val="1"/>
        </w:numPr>
        <w:rPr/>
      </w:pPr>
      <w:bookmarkStart w:id="345" w:name="__RefHeading___Toc605228_1934241801"/>
      <w:bookmarkStart w:id="346" w:name="_Toc158"/>
      <w:bookmarkEnd w:id="345"/>
      <w:r>
        <w:rPr>
          <w:rtl w:val="true"/>
        </w:rPr>
        <w:t>الآيات</w:t>
      </w:r>
      <w:bookmarkEnd w:id="346"/>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تَقْرَبُوا الصَّلاةَ وَ أَنْتُمْ سُكاري حَتَّي تَعْلَمُوا ما تَقُولُونَ وَ لا جُنُباً إِلَّا عابِرِي سَبِيلٍ حَتَّي تَغْتَسِلُوا</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قُمْتُمْ إِلَي الصَّلاةِ فَاغْسِلُوا وُجُوهَكُمْ وَ أَيْدِيَكُمْ إِلَي الْمَرافِقِ وَ امْسَحُوا بِرُؤُسِكُمْ وَ أَرْجُلَكُمْ إِلَي الْكَعْبَيْنِ وَ إِنْ كُنْتُمْ جُنُباً فَاطَّهَّرُوا</w:t>
      </w:r>
      <w:r>
        <w:rPr>
          <w:rStyle w:val="FootnoteAnchor"/>
          <w:rtl w:val="true"/>
        </w:rPr>
        <w:footnoteReference w:id="201"/>
      </w:r>
    </w:p>
    <w:p>
      <w:pPr>
        <w:pStyle w:val="Heading4"/>
        <w:numPr>
          <w:ilvl w:val="3"/>
          <w:numId w:val="1"/>
        </w:numPr>
        <w:rPr/>
      </w:pPr>
      <w:bookmarkStart w:id="347" w:name="__RefHeading___Toc605230_1934241801"/>
      <w:bookmarkStart w:id="348" w:name="_Toc159"/>
      <w:bookmarkEnd w:id="347"/>
      <w:r>
        <w:rPr>
          <w:rtl w:val="true"/>
        </w:rPr>
        <w:t>تفسير</w:t>
      </w:r>
      <w:bookmarkEnd w:id="348"/>
    </w:p>
    <w:p>
      <w:pPr>
        <w:pStyle w:val="BookText"/>
        <w:rPr/>
      </w:pPr>
      <w:r>
        <w:rPr>
          <w:rFonts w:ascii="Amiri" w:hAnsi="Amiri" w:eastAsia="Amiri" w:cs="Amiri"/>
          <w:color w:val="111111"/>
          <w:sz w:val="28"/>
          <w:sz w:val="28"/>
          <w:szCs w:val="28"/>
          <w:rtl w:val="true"/>
          <w:lang w:bidi="ar-SA"/>
        </w:rPr>
        <w:t>في النهي عن الشي‌ء بالنهي عن القرب منه مبالغة في الاحتراز عنه كما قال سبحانه وَ لا تَقْرَبُوا مالَ الْيَتِيمِ‌</w:t>
      </w:r>
      <w:r>
        <w:rPr>
          <w:rStyle w:val="FootnoteAnchor"/>
          <w:rtl w:val="true"/>
        </w:rPr>
        <w:footnoteReference w:id="202"/>
      </w:r>
      <w:r>
        <w:rPr>
          <w:rFonts w:ascii="Amiri" w:hAnsi="Amiri" w:eastAsia="Amiri" w:cs="Amiri"/>
          <w:color w:val="111111"/>
          <w:sz w:val="28"/>
          <w:sz w:val="28"/>
          <w:szCs w:val="28"/>
          <w:rtl w:val="true"/>
          <w:lang w:bidi="ar-SA"/>
        </w:rPr>
        <w:t>و لا تَقْرَبُوا الزِّني‌</w:t>
      </w:r>
      <w:r>
        <w:rPr>
          <w:rStyle w:val="FootnoteAnchor"/>
          <w:rtl w:val="true"/>
        </w:rPr>
        <w:footnoteReference w:id="203"/>
      </w:r>
      <w:r>
        <w:rPr>
          <w:rFonts w:ascii="Amiri" w:hAnsi="Amiri" w:eastAsia="Amiri" w:cs="Amiri"/>
          <w:color w:val="111111"/>
          <w:sz w:val="28"/>
          <w:sz w:val="28"/>
          <w:szCs w:val="28"/>
          <w:rtl w:val="true"/>
          <w:lang w:bidi="ar-SA"/>
        </w:rPr>
        <w:t xml:space="preserve">و اختلف المفسرون في تأويل الآية علي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المراد بالصلاة مواضعها أعني المساجد كما روي عن أئمتنا عليهم السلام‌</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و أمّا وجه استدلالهم عليهم السلام فهو مبني علي قراءة كتاب اللّه بكل وجه احتمله،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صح عنه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علي سبعة أحرف فاقرءوا ما تيسر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الحروف المحتملة في الآية قراءة الصلاة بضم الصاد و اللام أو بضم الصاد و فتح اللام مفردا أو جمعا و مطلع ذلك قوله تعالي في سورة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لَهُدِّمَتْ صَوامِعُ وَ بِيَعٌ وَ صَلَواتٌ وَ مَساجِدُ يُذْكَرُ فِيهَا اسْمُ اللَّهِ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المقطوع فيها أن المراد بالصلاة مواضع الصلاة حقيقة أو مجازا علي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يذهب عليك أن هذا الحرف لا يناقض الحرف المشهور عند العامّة، بل كل الحروف السبعة كذلك لا ينقض بعضها بعضا، الا أن بعضها مستور و بعضها مشهور، فالاحكام المذكورة للصلاة في هذه الآية ثابتة للصلاة بكلا الحرفين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بمعني الماهية المجعولة عبادة، و المصلي الذي تقام فيها تلك العبادة و هي المساجد، و لذلك جي‌ء في الاستثناء بلفظ يوافق كلا المعنيين، و لو قال بدل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عابِرِي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مسافرين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يوافق الصلاة بمعني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سيجي‌ء تتمة البحث في باب التيمم عند تعرض المؤلّف لذيل الآية الشريفة ان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إما من قبيل تسمية المحل باسم الحال فإنه مجاز شائع في</w:t>
      </w:r>
    </w:p>
    <w:p>
      <w:pPr>
        <w:pStyle w:val="Heading3"/>
        <w:numPr>
          <w:ilvl w:val="2"/>
          <w:numId w:val="1"/>
        </w:numPr>
        <w:rPr/>
      </w:pPr>
      <w:bookmarkStart w:id="349" w:name="__RefHeading___Toc605232_1934241801"/>
      <w:bookmarkStart w:id="350" w:name="_Toc160"/>
      <w:bookmarkEnd w:id="349"/>
      <w:r>
        <w:rPr>
          <w:rtl w:val="true"/>
        </w:rPr>
        <w:t xml:space="preserve">باب سوم </w:t>
      </w:r>
      <w:r>
        <w:rPr>
          <w:rtl w:val="true"/>
        </w:rPr>
        <w:t xml:space="preserve">: </w:t>
      </w:r>
      <w:r>
        <w:rPr>
          <w:rtl w:val="true"/>
        </w:rPr>
        <w:t>وجوب غسل جنابت و علل و کیفیت انجام آن و احکام جُنب</w:t>
      </w:r>
      <w:bookmarkEnd w:id="350"/>
    </w:p>
    <w:p>
      <w:pPr>
        <w:pStyle w:val="Heading4"/>
        <w:numPr>
          <w:ilvl w:val="3"/>
          <w:numId w:val="1"/>
        </w:numPr>
        <w:rPr/>
      </w:pPr>
      <w:bookmarkStart w:id="351" w:name="__RefHeading___Toc605234_1934241801"/>
      <w:bookmarkStart w:id="352" w:name="_Toc161"/>
      <w:bookmarkEnd w:id="351"/>
      <w:r>
        <w:rPr>
          <w:rtl w:val="true"/>
        </w:rPr>
        <w:t>آیات</w:t>
      </w:r>
      <w:bookmarkEnd w:id="3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لَا تَقْرَبُوا الصَّلَاةَ وَ أَنْتُمْ سُکَارَی حَتَّی تَعْلَمُوا مَا تَقُولُونَ وَ لَا جُنُبًا إِلَّا عَابِرِی سَبِیلٍ حَتَّی تَغْتَسِلُوا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در حال مستی به نماز نزدیک نشوید تا زمانی که بدانید چه می گویید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جنابت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نماز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راهگذر باشید تا غسل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إِذَا قُمْتُمْ إِلَی الصَّلَاةِ فَاغْسِلُوا وُجُوهَکُمْ وَ أَیْدِیَکُمْ إِلَی الْمَرَافِقِ وَ امْسَحُوا بِرُءُوسِکُمْ وَ أَرْجُلَکُمْ إِلَی الْکَعْبَیْنِ وَ إِنْ کُنْتُمْ جُنُبًا فَاطَّهَّرُوا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برخیزید صورت و دست هایتان را تا آرنج بشویید و سر و پاهای خودتان را تا برآمدگی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کنید و اگر جُنب هستید خود را پاک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نمایید</w:t>
      </w:r>
      <w:r>
        <w:rPr>
          <w:rFonts w:eastAsia="IRNazanin" w:cs="IRNazanin"/>
          <w:color w:val="111111"/>
          <w:sz w:val="28"/>
          <w:szCs w:val="28"/>
          <w:rtl w:val="true"/>
          <w:lang w:bidi="fa-IR"/>
        </w:rPr>
        <w:t>]}.</w:t>
      </w:r>
    </w:p>
    <w:p>
      <w:pPr>
        <w:pStyle w:val="Heading4"/>
        <w:numPr>
          <w:ilvl w:val="3"/>
          <w:numId w:val="1"/>
        </w:numPr>
        <w:rPr/>
      </w:pPr>
      <w:bookmarkStart w:id="353" w:name="__RefHeading___Toc605236_1934241801"/>
      <w:bookmarkStart w:id="354" w:name="_Toc162"/>
      <w:bookmarkEnd w:id="353"/>
      <w:r>
        <w:rPr>
          <w:rtl w:val="true"/>
        </w:rPr>
        <w:t>تفسیر</w:t>
      </w:r>
      <w:bookmarkEnd w:id="354"/>
    </w:p>
    <w:p>
      <w:pPr>
        <w:pStyle w:val="BookText"/>
        <w:rPr/>
      </w:pPr>
      <w:r>
        <w:rPr>
          <w:rFonts w:ascii="IRNazanin" w:hAnsi="IRNazanin" w:eastAsia="IRNazanin"/>
          <w:color w:val="111111"/>
          <w:sz w:val="28"/>
          <w:sz w:val="28"/>
          <w:szCs w:val="28"/>
          <w:rtl w:val="true"/>
          <w:lang w:bidi="fa-IR"/>
        </w:rPr>
        <w:t>نهی کردن از نزدیک شدن به چیزی، مبالغه در نهی کردن و دوری جستن از آن چیز را در خود پنهان دارد، آن گونه که خداوند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تقربوا مال الیتیم</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مال یتیم جز به 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نیکو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تقربوا الزّنا</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زنا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تفسیر آیه تخست به چند صورت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مواضعی است که در آن ها نماز ادا می شود، یعنی مساجد، آن گونه که از امامان ما علیهم السلام نیز روایت شده است، پس این آیه یا از قبیل تسمیه محلّ به اسم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یا چیزی که در محلّ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در این صورت مجاز است و در </w:t>
      </w:r>
    </w:p>
    <w:p>
      <w:pPr>
        <w:pStyle w:val="BookText"/>
        <w:rPr/>
      </w:pPr>
      <w:r>
        <w:rPr>
          <w:rFonts w:ascii="Amiri" w:hAnsi="Amiri" w:eastAsia="Amiri" w:cs="Amiri"/>
          <w:color w:val="111111"/>
          <w:sz w:val="28"/>
          <w:sz w:val="28"/>
          <w:szCs w:val="28"/>
          <w:rtl w:val="true"/>
          <w:lang w:bidi="ar-SA"/>
        </w:rPr>
        <w:t>كلام البلغاء أو علي حذف مضاف أي مواضع الصلاة و المعني و الله أعلم لا تقربوا المساجد في حالتين إحداهما حالة السكر فإن الأغلب أن الذي يأتي المسجد إنما يأتيه للصلاة و هي مشتملة علي أذكار و أقوال يمنع السكر من الإتيان بها علي وجهها و الحالة الثانية حالة الجنابة و استثني من هذه الحالة ما إذا كنتم عابري سبيل أي مارين في المسجد و مجتازين فيه و العبور الاجتياز و السبيل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ما نقله بعض المفسرين عن ابن عباس و سعيد بن جبير و ربما رواه بعضهم عن أمير المؤمنين عليه السلام و هو أن المراد و الله أعلم لا تصلوا في حالين حال السكر و حالة الجنابة و استثني من حال الجنابة ما إذا كنتم عابري سبيل أي مسافرين غير واجدين الماء كما هو الغالب من حال المسافرين فيجوز لكم حينئذ الصلاة بالتيمم الذي لا يرتفع به الحدث و إنما يباح به الدخول في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کلام بلیغان شایع می باشد، یا از قبیل حذف مضاف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مواضع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حالت به مساجد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حالت، مستی است چرا که اغلب افراد برای به جا آوردن نماز به مسجد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مشتمل بر اذکار و اقوالی است که مستی مانع از ادای صحیح آن ها می شود؛ حال دوم جنابت است، ولی یک مورد استثناء در این حالت وجود دارد و آن هنگامی است که راهگذر باشید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مسجد عبور کنید و از آن بگذرید،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گذشتن و عبور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که برخی از مفسران از ابن عباس و سعید بن جبیر نقل کرده اند و چه بسا برخی از مفسّران آن را از امیر مؤمنان علیه السلام روایت کرده اند، والله اعلم که معنای آیه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حالت نماز نگزارید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مستی و حالت جنابت، ولی در حالت جنابت یک استثناء وجود دارد و آن هنگامی است که راهگذر باشید یعنی در حال سفر باشید و به آب دسترسی نداشته باشید، کما اینکه حال بیشتر مسافران چنین است، چه در چنین حالتی اجازه دارید نماز را با تیمّمی به جا آورید که جنابت با آن رفع نمی شود و فقط ورود به نماز را مباح می سازد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الشيخ البهائي قدس الله روحه عمل أصحابنا رضي الله عنهم علي التفسير الأول فإنه هو المروي عن أصحاب العصمة صلوات الله عليهم و أما رواية التفسير الثاني عن أمير المؤمنين عليه السلام فلم تثبت عندنا و أيضا فهو غير سالم من شائبة التكرار فإنه سبحانه بين حكم الجنب العادم للماء في آخر الآية</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فصدر الآية يفيد أن الجنب لا يقرب الصلاة حتّي يغتسل و يطهر نفسه عن الجنابة، لكنه إذا كان عابر سبيل علي جناح السفر، يجوز له الصلاة مع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ذيل الآية يدرجه في سائر من حكمه التيمم و يكلفه أن يتيمم ثمّ يصلي، و يبين لهم مجتمعا كيفية التيمم و لذلك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لما كان ذا شطرين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الصلاة مع الجنابة، و لزوم التيمم عند قيامه الي الصلاة؛ عنونه مرة بعنوان الجنب في صدر الكلام و حكم عليه بالحكم الأول؛ ثم عنونه في ذيل الكلام بعنوان ملامس النساء، و حكم عليه بالحكم الثاني، فلا تكرار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أن تكرار العنوان و تجديده بلفظ آخر، يفيد بظاهره تعدّد الموضوع و الفرق بين الجنابة و اللمس، و هو اشكال عام يرد علي الآية الشريفة بكل الوجوه، حيث لم يقل به أحد من الفقهاء الا الشافعي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باللمس مطلق مس النساء و مالك فانه قال فانه المس بشهوة و جعلاه ناقضا للوضوء كالمجي‌ء من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من الآية الشريفة و الآية التي وقعت في سورة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الجنابة و الملامسة لغة و عرفا، و أن المراد بالملامسة التقاء الختانين من دون جنابة بانزال المني، و سنتعرض لبيان ذلك في باب التيمم عند تعرص المؤلّف قدّس سرّه للاشكال و جوابه،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قال</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 – تفسیر نخست را پسندیده اند، چرا که از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امّا روایت تفسیر دوّم از امیر مؤمنان علیه السلام نزد ما ثابت نشده است، و همچنین تفسیری است که از شائبه تکرار در امان نیست، چرا که خداوند سبحان حکم جُنبی که به آب دست نمی یابد را در آخر آیه بیان کرده است آن گاه که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جل شأنه وَ إِنْ كُنْتُمْ مَرْضي أَوْ عَلي سَفَرٍ أَوْ جاءَ أَحَدٌ مِنْكُمْ مِنَ الْغائِطِ أَوْ لامَسْتُمُ النِّساءَ فَلَمْ تَجِدُوا ماءً فَتَيَمَّمُوا صَعِيداً طَيِّباً فإن قوله سبحانه أَوْ لامَسْتُمُ النِّساءَ كناية عن الجماع كما روي عن أئمتنا سلام الله عليهم و ليس المراد به مطلق اللمس كما يقوله الشافعي و لا الذي بشهوة كما يقوله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ما ذكره بعض فضلاء فن العربية من أصحابنا الإمامية رضي الله عنهم في كتاب ألفه في الصناعات البديعية و هو أن تكون الصلاة في قوله لا تَقْرَبُوا الصَّلاةَ علي معناه الحقيقي و يراد بها عند قوله تعالي وَ لا جُنُباً إِلَّا عابِرِي سَبِيلٍ مواضعها أعني المساجد و هذا النوع من الاستخدام غير مشهور بين المتأخرين من علماء المعاني و إنما المشهور منه نوعان الأول أن يراد بلفظ له معنيان أحدهما ثم يراد بالضمير الراجع إليه معناه الآخر و الثاني أن يراد بأحد الضميرين الراجعين إلي لفظ أحد معنييه و بالآخر المعني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البهائي رحمه الله عدم اشتهار هذا النوع بين المتأخرين غير ضار فإن صاحب هذا الكلام من أعلام علماء المعاني و لا مشاحة في الاصطلاح‌</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علي أن صدر الآية تتضمن حكم الصلاة نفسها و هو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تَقْرَبُوا الصَّلاةَ وَ أَنْتُمْ سُكاري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ذيل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كُنْتُمْ مَرْضي أَوْ عَلي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كما في آية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 فكيف يتضمن ما بينهما حكم مواضع الصلاة، من دون ذكر لها، و لا ضرورة تلجئ الي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المفسرين اختلفوا في السكر الذي اشتمل عليه الآية فقال بعضهم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کنتم مرضی أو علی سفر أو جاء أحدٌ مِنکم مِن الغائط أو لامَستُم النساء فلم تجدوا ماء فتیمّموا صعیدا طیبّاً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بیمارید یا در سفر به سر می برید یا یکی از شما از قضای حاجت آمد یا با زنان آمیزش کرده اید و آب نیافته اید پس بر خاکی پاک تیمم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لامستم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جماع و همبستری با زنان است، آن گونه که امامان ما علیهم السلام نیز روایت کرده ا ند، و چنان که شافعی می گوید منظور لمس کردن به صورت مطلق نیست، همچنین به نظر مالک منظور لمس کردن با شهوت نیز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است که یکی از فضلای فنّ زبان عربی از یاران امامیّه ما – 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که درباره صناعت های بدیع تألیف نموده ذکر کرده است، به این ترتیب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معنای واقعی آن یعنی نماز است، و مقصود از آن در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جُنُباً إِلَّا عابِرِی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 نماز گزاردن یعنی مساجد می باشد؛ و این نوع استفاده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علمای معانی متأخّر مشهور نیست، بلکه مشهور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لفظی که دارای دو معنی است در نظر گرفته شود سپس به وسیله ضمیری که به آن لفظ باز می گردد معنای دیگر اتّخاذ شود؛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دو ضمیری که به لفظ بر می گردد یکی از معانی و با ضمیر دیگر معنای دوّم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بهایی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شهرت این برداشت و این شیوه ی استفاده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متأخرین زیان آور نیست، چرا که صاحب این نظر از جمله بزرگان علمای علم معانی است، و هیچ بحث و جدلی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وجود ندارد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مفسران بر سر معنای مستی که آیه به آن اشاره کرده است اختلاف نظر دارند، برخی از آنان گفته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المراد سكر النعاس فإن الناعس لا يعلم ما يقول و قد سمع من العرب سكر السنة و الظاهر أنه مجاز و قال الأكثرون إن المراد به سكر الخمر كما نقل أن عبد الرحمن بن عوف صنع طعاما و شرابا لجماعة من الصحابة قبل نزول تحريم الخمر فأكلوا و شربوا فلما ثملوا دخل وقت المغرب فقدموا أحدهم ليصلي بهم فقرأ أعبد 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أَنْتُمْ عابِدُونَ ما أَعْبُدُ فنزلت الآية فكانوا لا يشربون الخمر في أوقات الصلاة فإذا صلوا العشاء شربوا فلا يصبحون إلا و قد ذهب عنهم السكر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الواو في قوله تعالي وَ أَنْتُمْ سُكاري واو الحال و الجملة حالية من فاعل تقربوا و المراد نهيهم عن أن يكونوا في وقت الاشتغال بالصلاة سكاري بأن لا يشربوا في وقت يؤدي إلي تلبسهم بالصلاة حال سكرهم و ليس الخطاب متوجها إليهم حال سكرهم إذ السكران غير متأهل لهذا الخطاب و حتي في قوله سبحانه حَتَّي تَعْلَمُوا يحتمل أن يكون تعليلية كما في أسلمت حتي أدخل الجنة و أن تكون بمعني إلي أن كما في أسير حتي تغيب الشمس و أما التي في قوله جل شأنه حَتَّي تَغْتَسِلُوا فبمعني إلي أن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دلت الآية علي بطلان صلاة السكران لاقتضاء النهي في العبادة الفساد و يمكن أن يستنبط منها منع السكران من دخول المسجد و لعل في قوله جل شأنه تَعْلَمُوا ما تَقُولُونَ نوع إشعار بأنه ينبغي للمصلي أن يعلم ما يقوله في الصلاة و يتدبر في معاني ما يقرؤه و يأتي به من الأدعية و الأذكار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الجنب يستوي فيه المفرد و الجمع و المذكر و المؤنث و هو لغة بمعني البعيد و شرعا البعيد عن أحكام الطاهرين لغيبوبة الحشفة في الفرج أو لخروج المني يقظة أو نوما و نصبه علي العطف علي الجملة الحالية و الاستثناء من عامة أحوال المخاطبين و المعني علي التفسير الأول الذي عليه أصحابنا لا تدخلوا</w:t>
      </w:r>
    </w:p>
    <w:p>
      <w:pPr>
        <w:pStyle w:val="BookText"/>
        <w:rPr/>
      </w:pPr>
      <w:r>
        <w:rPr>
          <w:rFonts w:ascii="IRNazanin" w:hAnsi="IRNazanin" w:eastAsia="IRNazanin"/>
          <w:color w:val="111111"/>
          <w:sz w:val="28"/>
          <w:sz w:val="28"/>
          <w:szCs w:val="28"/>
          <w:rtl w:val="true"/>
          <w:lang w:bidi="fa-IR"/>
        </w:rPr>
        <w:t xml:space="preserve">مقصود، مستی خواب و چرت است، چرا که چرت زننده به آنچه می گوید آگاه نیست، و از قوم عرب نیز شنیده شده که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چرت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کنند، و چنین پیداست که این تفسیر جایز است، ولی بیشتر مفسران بر این باورند که مقصود، مستی ناشی از خوردن شراب است، آن گونه که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 قبل از نزول آیه تحریم شراب، طعام و شرابی برای عدّه ای از صحابه فراهم کرد، هنگامی که مست شدند وقت نماز مغرب فرا رسید، پس یکی از میان خود را پیش راندند تا نماز را برای شان امامت کند و او چنین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أعبد 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أنتم عابدون ما أعبد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شما می پرستید می پرستم، و شما نیز آنچه من می پرستم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در تحریم شراب نازل شد، بنابراین در اوقات نماز شراب نمی نوشیدند، و هنگامی که نماز عشاء را به جا می آوردند شراب می نوشیدند و تا فرا رسیدن صبح، مستیِ آنان بر طرف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وأنتم سکاری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حالیّه است، و جمله نیز حالیّه و صاحب حال، فاعل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ضمیر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نهی آنان از مست بودن به هنگام مشغول شدن به نماز است، به این ترتیب که در زمان منتهی به وقت نماز شراب ننوشند که مست گردند، و روی سخن این آیه با مؤمنان در حال مستی نیست، چرا که انسان مست شایستگی و آمادگی پذیرش این خطابه را ندارد؛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تعلیلیّه باشد مانند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أسلمتُ حتّی أدخُل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آوردم تا به علت آن وارد بهشت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ممکن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مانند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أسیرُ حتی تغیب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روی می کنم تا اینکه خورشید غروب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فرموده خدواند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تغتسلوا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 که این آیه بر باطل بودن نماز انسان مست دلالت می کند، چرا که نهی کردن در عبادت، فساد و باطل بودن آن را اقتضا می کند؛ همچنین ممکن است منع ورود انسان مست به داخل مسجد از این آیه استنباط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ما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خبر دادن از این امر باشد که لازم است نماز گزار به آنچه در نماز می گوید آگاه باشد و در معانی آیات و ادعیّه و اذکاری که قرائت می کند و بر زبان می راند تدبّر و اندیشه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ای است که مفرد و جمع و مذکر و مؤنث آن یکسان است و معنای لغوی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در اصطلاح شرعی به معنای شخص بعید از احکام انسان های پاک و مطهّر است به خاطر فرو رفتن وپنهان شدن آلت مرد در فرج زن یا خارج شدن منی چه در خواب چه در بیداری؛ و منصوب بودن آن به خاطر عطف بر جمله حالیه و استثناء از عامّه احوال مخاطبین است؛ پس معنای آیه بر اساس تفسیر اول که اصحاب و یاران ما برآنند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حالی از احوال هنگامی که جُنب هستید وارد </w:t>
      </w:r>
    </w:p>
    <w:p>
      <w:pPr>
        <w:pStyle w:val="BookText"/>
        <w:rPr/>
      </w:pPr>
      <w:r>
        <w:rPr>
          <w:rFonts w:ascii="Amiri" w:hAnsi="Amiri" w:eastAsia="Amiri" w:cs="Amiri"/>
          <w:color w:val="111111"/>
          <w:sz w:val="28"/>
          <w:sz w:val="28"/>
          <w:szCs w:val="28"/>
          <w:rtl w:val="true"/>
          <w:lang w:bidi="ar-SA"/>
        </w:rPr>
        <w:t>المساجد و أنتم علي جنابة في حال من الأحوال إلا حال اجتيازكم فيها من باب إلي باب و علي الثاني لا تصلوا و أنتم علي جنابة في حال من الأحوال إلا حال كونكم مسافرين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تضمنته الآية علي التفسير الأول من إطلاق جواز اجتياز الجنب في المساجد مقيد عند علمائنا بما عدا المسجدين كما سيأتي و عند بعض المخالفين غير مقيد بذلك و بعضهم كأبي حنيفة لا يجوز اجتيازه في شي‌ء من المساجد أصلا إلا إذا كان الماء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دلت الآية علي جواز اجتياز الجنب في المسجد فقد دلت علي عدم جواز مكثه فيه و لا خلاف بين علمائنا إلا من سلار فإنه جعل مكث الجنب في المسجد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استنبط فخر المحققين قدس الله روحه من هذه الآية عدم جواز مكث الجنب في المسجد إذا تيمم تيمما مبيحا للصلاة لأنه سبحانه علق دخول الجنب إلي المسجد علي الإتيان بالغسل لا غير بخلاف صلاته فإنه جل شأنه علقها علي الغسل مع وجود الماء و علي التيمم مع عدمه و حمل المكث في المسجد علي الصلاة قياس و نحن 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بأن هذا قياس الأولوية فإن احترام المساجد لكونها مواضع الصلاة فإذا أباح التميم الدخول فيها أباح الدخول فيها بطريق أولي و أيضا قوله عليه السلام جعل الله التراب طهورا كما جعل الماء طهورا يقتضي أن يستباح بالتيمم كل ما يستباح بالغسل من الصلاة و غيرها لكن للبحث فيهما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و يمكن أن يستنبط من الآية عدم افتقار غسل الجنابة لدخول المسجد إلي الوضوء علي التفسير الأول و للصلاة علي الثاني و إلا لكان بعض الغاية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الآية الثانية فالجملة الشرطية في قوله سبحانه وَ إِنْ كُنْتُمْ جُنُباً فَاطَّهَّرُوا يجوز أن تكون معطوفة علي جملة الشرط الواقعة في صدرها و هي قوله</w:t>
      </w:r>
    </w:p>
    <w:p>
      <w:pPr>
        <w:pStyle w:val="BookText"/>
        <w:rPr/>
      </w:pPr>
      <w:r>
        <w:rPr>
          <w:rFonts w:ascii="IRNazanin" w:hAnsi="IRNazanin" w:eastAsia="IRNazanin"/>
          <w:color w:val="111111"/>
          <w:sz w:val="28"/>
          <w:sz w:val="28"/>
          <w:szCs w:val="28"/>
          <w:rtl w:val="true"/>
          <w:lang w:bidi="fa-IR"/>
        </w:rPr>
        <w:t>مساجد نشوید مگر زمانی که قصد عبور از یک در و خارج شدن از در دیگر مسجد را داشته باشید؛ و بر اساس تفسیر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حالی از احوال هنگامی که جنب هستید نماز نگزارید مگر در حالتی که مسافر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جایز شمردن عبور جُنب از مساجد که تفسیر نخست از آیه متضمّن آن است، آن گونه که ذکر خواهد شد، نزد علمای ما مقیّد به عدم جواز عبور از دو مسجد الحرام و مسجد النبی است، و نزد برخی از مخالفان به این شرط نیز مقیّد نیست، و برخی از آنان مانند ابو حنیفه عبور از هیچ یک از مساجد را جایز نمی دانند مگر آنکه آب در داخل مسجد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آیه بر جواز عبور جُنب از مسجد دلالت می کند به همان ترتیب بر عدم جوازِ توقف در آن نیز دلالت می کند، و در این امر هیچ اختلاف نظری بین علمای ما وجود ندارد، به جز سلّار که توقف جُنب در مسجد را مکروه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فخر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توقف جُنب در مسجد را از این آیه استنباط می کند حتّی با وجود داشتن تیمّمی که نماز گزاردن را برای او مباح می سازد، چرا که خداوند سبحان وارد شدن جنب به مسجد را فقط با انجام غسل و نه غیر آن منوط دانسته است، بر خلاف نماز گزاردن جنب که خداوند آن را در صورت وجود آب، منوط به غسل و در صورت عدم وجود آب منوط به تیمّم دانسته است، و حمل نمودن توقف در مسجد بر نماز گزاردن قیاس است و ما به آن نظر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پاسخ داده شده که این قیاسِ اولوّیت است، چه که احترام قائل شدن برای مساجد به خاطر آن است که در آن ها نماز به جا آورده می شود، پس اگر تیمم دخول در نماز را مباح کند دخول در مسجد به طریق اولی مباح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الله التراب طهوراً کما جعل الماء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گونه که آب را پاک کننده قرار داده خاک را نیز پاک کننده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چنین اقتضاء می کند که هر فریضه ای که انجام آن با غسل مباح می شود، مانند نماز و غیره، انجامش با تیمّم نیز مباح شود، امّا مجال بحث در مورد آنها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براساس تفسیر نخست، عدم نیاز غسل جنابت برای ورود به مسجد به وضو و بر اساس تفسیر دوّم عدم نیاز غسل جنابت به وضو برای نماز گزاردن از آیه استنباط شود، در غیر این صورت تحقق قسمتی از غایت، غایت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جمله شرطیه در 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کنتم جنباً فاطّهّروا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جمله شرطیّه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عز و علا إِذا قُمْتُمْ إِلَي الصَّلاةِ فلا تكون مندرجة تحت القيام إلي الصلاة بل مستقلة برأسها و المراد يا أيها الذين آمنوا إن كنتم جنبا فاطهروا و يجوز أن تكون معطوفة علي جزاء الشرط الأول أعني فَاغْسِلُوا وُجُوهَكُمْ فيندرج تحت الشرط و يكون تقدير الكلام إذا قمتم إلي الصلاة فإن كنتم محدثين فتوضئوا و إن كنتم جنبا فاطهروا و علي الأول يستنبط منها وجوب غسل الجنابة لنفسه بخلاف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طال التشاجر بين علمائنا قدس الله أرواحهم في هذه المسألة لتعارض الأخبار من الجانبين و احتمال الآية الكريمة كلا من العطفين فالقائلون بوجوبه لنفسه عولوا علي التفسير الأول و قالوا أيضا كون الواو في الآية للعطف غير متعين لجواز أن تكون للاستئناف و علي تقدير كونها للعطف عليه فإنما يلزم الوجوب عند القيام إلي الصلاة لا عدم الوجوب في غير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القائلون بوجوبه لغيره عولوا علي التفسير الثاني لأن الظاهر اندراج الشرط الثاني تحت الأول كما أن الثالث مندرج تحته البتة و إلا لم يتناسق المتعاطفان في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 العطف بأن دون إذا يأبي العطف علي جملة إذا قمتم و أجيب بأنه يمكن أن يكون في العطف بأن دون إذا إشعار بالمبالغة في أمر الصلاة و التأكيد فيها حيث أتي في القيام بها بكلمة إذا الدالة علي تيقن الوقوع يعني أنه أمر متيقن الوقوع البتة و ليس مما يجوز العقل عدمه و في الجنابة بكلمة إن الموضوعة للشك مع تحقق وقوعها و تيقنها تنبيها علي أنها في جنب القيام إلي الصلاة كأنه أمر مشكوك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فائدة الخلاف تظهر في نية الغسل للجنب عند خلو ذمته من مشروط بالطهارة فهل يوقعها إذا أراد إيقاعها بنية الوجوب أو الندب مع اتفاق الفريقين ظاهرا علي شرعية الإيقاع و في عصيانه بتركه لو ظن الموت قبل التكليف بمشروط بالطهارة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داده شود که در ابتدای آیه ذکر شده است، پس این جمله شرطیه تحت حُکم قیام برای نماز نیست بلکه خود مستقلّ است، و مقصود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إن کنتم جنباً فاطّهّروا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اگر جُنب هستید خود را پاک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جایز است که معطوف بر جمله جواب شرط اوّل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تحت حکم شرط مندرج می  گردد و تقدیر کلام چنین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قمتم إلی الصلاة، فإن کنتم محدثین فتوضّؤوا و إن کنتم جنباً فاطّهّروا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نماز برخیزید اگر بی وضو بودید وضو بگیرید و اگر جنب بودید خود را پاک سازید، یعنی غسل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بر اساس تفسیر اوّل و بر خلاف تفسیر دوم وجوب غسل جنابت به خودی خود از این آیه استنباط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تعارض احادیث و روایات نقل شده از طرفین و احتمال صحّت عطف آیه کریمه به هر دو جمله، مشاجره بین علمای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این مسأله به درازا کشیده شده است، پس کسانی که به وجوب خود به خودی غسل جنابت اعتقاد دارند بر تفسیر نخست تکیه می کنند، همچنین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فقط بر عطف دلالت نمی کند، چرا که جایز است واو استینافیّه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واو عطف در نظر بگیریم، وجوب غسل هنگام قیام برای نماز استنباط می شود نه عدم وجوب در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قائل به وجوب لغیره هستند بر تفسیر دوّم تکیه می کنند، چرا که ظاهر آیه حُکم به درج شرط دوّم در ذیل شرط اوّل است، آن گونه که البته شرط سوّم نیز در زیر حُکم آن قرار می گیرد، در غیر این صورت هماهنگی و تناسقی میان دو جمله متعاطف موجود در آیه کریمه باقی نمی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ادات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عطف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جنباً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غیر ممکن می سازد، در پاسخ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مقصود از ادات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 دادن از مبالغه در مسأله نماز و تأکید بر آن باشد، چرا که برای بیان اقامه نماز از 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که برای دلالت بر وقوع حتمی امور از آن استفاده می شود، یعنی نماز امری است که وقوع آن حتمی می باشد و عقل عدمش را جایز نمی شمارد، و در استفاده از 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حُکم جنابت که برای بیان تحققِ وقوع و انجام پذیرفتن امور همراه با شکّ و تردید از آن استفاده می شود، تذکّری وجود دارد در مورد اینکه قرار گرفتن غسل جنابت در کنار قیام برای نماز امری است که وقوع آن مورد شکّ و تردید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فایده این اختلاف در نیت غسل برای جنب ظاهر می شود هنگام خالی بودن ذمه اش از مشروط به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اگر بخواهد آن را ایقاع کند آن را با نیت وجوب ایقاع کند یا با نیت استحباب؛ با توجه به اتفاق 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و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شرعیت ایقاع آن و اینکه اگر گمان بر موت قبل از تکلیفِ مشروط به طهارت ببرد با ترک آن عصیان کرده است، </w:t>
      </w:r>
      <w:bookmarkStart w:id="355" w:name="pg13517_329071"/>
    </w:p>
    <w:p>
      <w:pPr>
        <w:pStyle w:val="BookText"/>
        <w:rPr/>
      </w:pPr>
      <w:bookmarkEnd w:id="355"/>
      <w:r>
        <w:rPr>
          <w:rFonts w:ascii="Amiri" w:hAnsi="Amiri" w:eastAsia="Amiri" w:cs="Amiri"/>
          <w:color w:val="111111"/>
          <w:sz w:val="28"/>
          <w:sz w:val="28"/>
          <w:szCs w:val="28"/>
          <w:rtl w:val="true"/>
          <w:lang w:bidi="ar-SA"/>
        </w:rPr>
        <w:t>و قد يناقش في الأول بأنه لا ينافي الوجوب بالغير كونه واجبا قبل وجوب الغير إذا علم أو ظن أنه سيصير واجبا و يمكن الإتيان به وجوبا موسعا يتضيق بتضيق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عندي أن لا جدوي في هذا الخلاف كثيرا إذ الفائدة الثانية قلما يتفق موردها و معه يوقعه خروجا من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الأولي فلا ريب في أن الأئمة و أتباعهم عليهم السلام لم يكونوا يوجبون تأخير الطاهرة إلي الوقت بل كانوا يواظبون عليها مع نقل الاتفاق علي شرعية إيقاعها قبل الوقت و أما النية فلم يثبت وجوب نية الوجه و علي تقديره فإنما هو فيما كان معلوما فإيقاعها بنية القربة كاف لا سيما إذا ضم إليها نية الرفع و الاستباحة لصلاة ما فظهر أن تلك المشاجرات الطويلة لا طائل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أن القائلين بالوجوب النفسي قائلون بالوجوب الغيري أيضا بعد دخول وقت مشروط به فلا تغفل</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605238_1934241801"/>
      <w:bookmarkStart w:id="357" w:name="_Toc163"/>
      <w:bookmarkEnd w:id="356"/>
      <w:r>
        <w:rPr>
          <w:rtl w:val="true"/>
        </w:rPr>
        <w:t>الأخبار</w:t>
      </w:r>
      <w:bookmarkEnd w:id="357"/>
    </w:p>
    <w:p>
      <w:pPr>
        <w:pStyle w:val="Heading5"/>
        <w:numPr>
          <w:ilvl w:val="4"/>
          <w:numId w:val="1"/>
        </w:numPr>
        <w:rPr/>
      </w:pPr>
      <w:bookmarkStart w:id="358" w:name="__RefHeading___Toc605240_1934241801"/>
      <w:bookmarkStart w:id="359" w:name="_Toc164"/>
      <w:bookmarkEnd w:id="358"/>
      <w:r>
        <w:rPr>
          <w:rtl w:val="true"/>
        </w:rPr>
        <w:t>«</w:t>
      </w:r>
      <w:r>
        <w:rPr/>
        <w:t>1</w:t>
      </w:r>
      <w:r>
        <w:rPr>
          <w:rtl w:val="true"/>
        </w:rPr>
        <w:t>»</w:t>
      </w:r>
      <w:bookmarkEnd w:id="359"/>
    </w:p>
    <w:p>
      <w:pPr>
        <w:pStyle w:val="BookText"/>
        <w:rPr/>
      </w:pPr>
      <w:r>
        <w:rPr>
          <w:rFonts w:ascii="Amiri" w:hAnsi="Amiri" w:eastAsia="Amiri" w:cs="Amiri"/>
          <w:color w:val="111111"/>
          <w:sz w:val="28"/>
          <w:sz w:val="28"/>
          <w:szCs w:val="28"/>
          <w:rtl w:val="true"/>
          <w:lang w:bidi="ar-SA"/>
        </w:rPr>
        <w:t>جُنَّةُ الْأَمَانِ لِلْكَفْعَمِيِّ،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يَقُولَ فِي أَثْنَاءِ كُلِّ غُسْلٍ مَا ذَكَرُهُ الشَّهِيدُ فِي نَفْلِيَّتِهِ اللَّهُمَّ طَهِّرْ قَلْبِي وَ اشْرَحْ لِي صَدْرِي وَ أَجْرِ عَلَي لِسَانِي مِدْحَتَكَ وَ الثَّنَاءَ عَلَيْكَ اللَّهُمَّ اجْعَلْهُ لِي طَهُوراً وَ شِفَاءً وَ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كُلِّ شَيْ‌ءٍ قَدِيرٌ وَ يَقُولُ بَعْدَ الْفَرَاغِ اللَّهُمَّ طَهِّرْ قَلْبِي وَ زَكِّ عَمَلِي وَ تَقَبَّلْ سَعْيِي وَ اجْعَلْ مَا عِنْدَكَ خَيْراً لِي اللَّهُمَّ اجْعَلْنِي مِنَ التَّوَّابِينَ وَ اجْعَلْنِي مِنَ الْمُتَطَهِّرِينَ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يَقُولَ عِنْدَ الْغُسْلِ اللَّهُمَّ طَهِّرْنِي وَ طَهِّرْ لِي قَلْبِي إِلَي آخِرِ الدُّعَاءِ الْأَوَّلِ</w:t>
      </w:r>
      <w:r>
        <w:rPr>
          <w:rFonts w:eastAsia="Amiri" w:cs="Amiri" w:ascii="Amiri" w:hAnsi="Amiri"/>
          <w:color w:val="111111"/>
          <w:sz w:val="28"/>
          <w:szCs w:val="28"/>
          <w:rtl w:val="true"/>
          <w:lang w:bidi="ar-SA"/>
        </w:rPr>
        <w:t>.</w:t>
      </w:r>
    </w:p>
    <w:p>
      <w:pPr>
        <w:pStyle w:val="Heading5"/>
        <w:numPr>
          <w:ilvl w:val="4"/>
          <w:numId w:val="1"/>
        </w:numPr>
        <w:rPr/>
      </w:pPr>
      <w:bookmarkStart w:id="360" w:name="__RefHeading___Toc605242_1934241801"/>
      <w:bookmarkStart w:id="361" w:name="_Toc165"/>
      <w:bookmarkEnd w:id="360"/>
      <w:r>
        <w:rPr>
          <w:rtl w:val="true"/>
        </w:rPr>
        <w:t>بيان</w:t>
      </w:r>
      <w:bookmarkEnd w:id="361"/>
    </w:p>
    <w:p>
      <w:pPr>
        <w:pStyle w:val="BookText"/>
        <w:rPr/>
      </w:pPr>
      <w:r>
        <w:rPr>
          <w:rFonts w:ascii="Amiri" w:hAnsi="Amiri" w:eastAsia="Amiri" w:cs="Amiri"/>
          <w:color w:val="111111"/>
          <w:sz w:val="28"/>
          <w:sz w:val="28"/>
          <w:szCs w:val="28"/>
          <w:rtl w:val="true"/>
          <w:lang w:bidi="ar-SA"/>
        </w:rPr>
        <w:t>روي الكليني‌</w:t>
      </w:r>
      <w:r>
        <w:rPr>
          <w:rStyle w:val="FootnoteAnchor"/>
          <w:rtl w:val="true"/>
        </w:rPr>
        <w:footnoteReference w:id="209"/>
      </w:r>
      <w:r>
        <w:rPr>
          <w:rFonts w:ascii="Amiri" w:hAnsi="Amiri" w:eastAsia="Amiri" w:cs="Amiri"/>
          <w:color w:val="111111"/>
          <w:sz w:val="28"/>
          <w:sz w:val="28"/>
          <w:szCs w:val="28"/>
          <w:rtl w:val="true"/>
          <w:lang w:bidi="ar-SA"/>
        </w:rPr>
        <w:t>بسند فيه إرسال قال تقول في غسل الجنابة اللهم طهر قلبي إلي قوله خيرا لي و روي الشَّيْخُ فِي الْمُوَثَّقِ عَنْ عَمَّارٍ</w:t>
      </w:r>
      <w:r>
        <w:rPr>
          <w:rStyle w:val="FootnoteAnchor"/>
          <w:rtl w:val="true"/>
        </w:rPr>
        <w:footnoteReference w:id="210"/>
      </w:r>
      <w:r>
        <w:rPr>
          <w:rFonts w:ascii="Amiri" w:hAnsi="Amiri" w:eastAsia="Amiri" w:cs="Amiri"/>
          <w:color w:val="111111"/>
          <w:sz w:val="28"/>
          <w:sz w:val="28"/>
          <w:szCs w:val="28"/>
          <w:rtl w:val="true"/>
          <w:lang w:bidi="ar-SA"/>
        </w:rPr>
        <w:t>السَّابَاطِيِّ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اغْتَسَلْتَ مِنْ جَنَابَةٍ فَقُلِ اللَّهُمَّ طَهِّرْ</w:t>
      </w:r>
    </w:p>
    <w:p>
      <w:pPr>
        <w:pStyle w:val="BookText"/>
        <w:rPr/>
      </w:pPr>
      <w:r>
        <w:rPr>
          <w:rFonts w:ascii="IRNazanin" w:hAnsi="IRNazanin" w:eastAsia="IRNazanin"/>
          <w:color w:val="111111"/>
          <w:sz w:val="28"/>
          <w:sz w:val="28"/>
          <w:szCs w:val="28"/>
          <w:rtl w:val="true"/>
          <w:lang w:bidi="fa-IR"/>
        </w:rPr>
        <w:t xml:space="preserve">ممکن است در اولی مناقشه بشود که واجب بودن آن قبل از وجوب غیر، منافاتی با وجوب بالغیر ندارد اگر علم یا ظن داشته باشد که واجب خواهد شد و می تواند به صورت وجوب موسّع آن را به جا آورد که با مضیّق شدن واجب، آن نیز مضیق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زمانی اش تنگ می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نظر من این اختلاف فایده چندانی ندارد زیرا مورد فایده دوم خیلی کم پیش می آید و برای خروج از خلاف،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ایقاع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اول باید گفت که ائمه علیهم السلام و پیروانشان تأخیر طهارت تا وقت نماز را موجب نمی شدند بلکه بر آن مواظبت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سر شرعیت ایقاع آن قبل از وقت، نقل اتفاق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نیت، باید گفت وجوب نیة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واجب باشد یا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نشده است و به فرض این که ثابت شود این در صورتی است که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ایقاع آن به قصد قربت کافی است به ویژه اگر نیت رفع و استباحه برای نماز نیز به آن ملحق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این مشاجرات طولانی فایده ای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ظاهر این است که قائلین به وجوب نفسی همچنین بعد از دخول وقت عمل مشروط به طهارت، قائل به وجوب غیری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مشو</w:t>
      </w:r>
      <w:r>
        <w:rPr>
          <w:rFonts w:eastAsia="IRNazanin" w:cs="IRNazanin"/>
          <w:color w:val="111111"/>
          <w:sz w:val="28"/>
          <w:szCs w:val="28"/>
          <w:rtl w:val="true"/>
          <w:lang w:bidi="fa-IR"/>
        </w:rPr>
        <w:t>.</w:t>
      </w:r>
    </w:p>
    <w:p>
      <w:pPr>
        <w:pStyle w:val="Heading4"/>
        <w:numPr>
          <w:ilvl w:val="3"/>
          <w:numId w:val="1"/>
        </w:numPr>
        <w:rPr/>
      </w:pPr>
      <w:bookmarkStart w:id="362" w:name="__RefHeading___Toc605244_1934241801"/>
      <w:bookmarkStart w:id="363" w:name="_Toc166"/>
      <w:bookmarkEnd w:id="362"/>
      <w:r>
        <w:rPr>
          <w:rtl w:val="true"/>
        </w:rPr>
        <w:t>روایات</w:t>
      </w:r>
      <w:bookmarkEnd w:id="363"/>
    </w:p>
    <w:p>
      <w:pPr>
        <w:pStyle w:val="Heading5"/>
        <w:numPr>
          <w:ilvl w:val="4"/>
          <w:numId w:val="1"/>
        </w:numPr>
        <w:rPr/>
      </w:pPr>
      <w:bookmarkStart w:id="364" w:name="__RefHeading___Toc605246_1934241801"/>
      <w:bookmarkStart w:id="365" w:name="_Toc167"/>
      <w:bookmarkEnd w:id="364"/>
      <w:r>
        <w:rPr>
          <w:rtl w:val="true"/>
        </w:rPr>
        <w:t xml:space="preserve">روایت </w:t>
      </w:r>
      <w:r>
        <w:rPr/>
        <w:t>1</w:t>
      </w:r>
      <w:bookmarkEnd w:id="365"/>
    </w:p>
    <w:p>
      <w:pPr>
        <w:pStyle w:val="BookText"/>
        <w:rPr/>
      </w:pPr>
      <w:r>
        <w:rPr>
          <w:rFonts w:ascii="IRNazanin" w:hAnsi="IRNazanin" w:eastAsia="IRNazanin"/>
          <w:color w:val="111111"/>
          <w:sz w:val="28"/>
          <w:sz w:val="28"/>
          <w:szCs w:val="28"/>
          <w:rtl w:val="true"/>
          <w:lang w:bidi="fa-IR"/>
        </w:rPr>
        <w:t>جنّة الأمان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غسل کننده در طول انجام هر غسل آنچه را که شهید در کتاب نفلیّه خویش ذکر کرده  بر زبان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طَهِّرْ قَلْبِی وَ اشْرَحْ لِی صَدْرِی وَ أَجْرِ عَلَی لِسَانِی مِدْحَتَکَ وَ الثَّنَاءَ عَلَیْکَ اللَّهُمَّ اجْعَلْهُ لِی طَهُوراً وَ شِفَاءً وَ نُوراً إِنَّکَ عَلی کُلِّ شَیْ‌ءٍ 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قلبم را مطهّر گردان وسینه ام را گشاده ساز و مدح گویی و ستایش کردن ذات خود را بر زبانم جاری ساز؛ خدواندا، این غسل را برای من باعث پاکی، شفا، نور و روشنایی قرار داده، به راستی که تو بر هر چیزی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پایان غسل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طَهِّرْ قَلْبِی وَ زَکِّ عَمَلِی وَ تَقَبَّلْ سَعْیِی وَ اجْعَلْ مَا عِنْدَکَ خَیْراً لِی اللَّهُمَّ اجْعَلْنِی مِنَ التَّوَّابِینَ وَ اجْعَلْنِی مِنَ الْمُتَطَهِّرِینَ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قلبم را مطهّر و عملم را پاک و بی آلایش گردان و تلاشم را بپذیر، و آنچه را نزد خود داری برای من مایه خیر قرار ده؛ خداوندا، مرا در زمره توبه کنندگان و پاکان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غسل کننده هنگام غسل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طَهِّرْنِی وَ طَهِّرْ لِی قَلْبِی تا آخر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مرا مطهّر گردان و قلبم را برای من پاک و بی آلایش ساز، تا پایان</w:t>
      </w:r>
    </w:p>
    <w:p>
      <w:pPr>
        <w:pStyle w:val="BookText"/>
        <w:rPr/>
      </w:pPr>
      <w:r>
        <w:rPr>
          <w:rFonts w:ascii="Amiri" w:hAnsi="Amiri" w:eastAsia="Amiri" w:cs="Amiri"/>
          <w:color w:val="111111"/>
          <w:sz w:val="28"/>
          <w:sz w:val="28"/>
          <w:szCs w:val="28"/>
          <w:rtl w:val="true"/>
          <w:lang w:bidi="ar-SA"/>
        </w:rPr>
        <w:t>دعای اوّل</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605248_1934241801"/>
      <w:bookmarkStart w:id="367" w:name="_Toc168"/>
      <w:bookmarkEnd w:id="366"/>
      <w:r>
        <w:rPr>
          <w:rtl w:val="true"/>
        </w:rPr>
        <w:t>توضیح</w:t>
      </w:r>
      <w:bookmarkEnd w:id="367"/>
    </w:p>
    <w:p>
      <w:pPr>
        <w:pStyle w:val="BookText"/>
        <w:rPr/>
      </w:pPr>
      <w:r>
        <w:rPr>
          <w:rFonts w:ascii="IRNazanin" w:hAnsi="IRNazanin" w:eastAsia="IRNazanin"/>
          <w:color w:val="111111"/>
          <w:sz w:val="28"/>
          <w:sz w:val="28"/>
          <w:szCs w:val="28"/>
          <w:rtl w:val="true"/>
          <w:lang w:bidi="fa-IR"/>
        </w:rPr>
        <w:t>کلینی با استناد به حدیثی مرسل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غسل جنابت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طهر قلبی تا این عبارت خیرا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قلبم را مطهّر گردان و تلاشم را بپذیر و آنچه نزد خود داری را برای من مایه خیر قرار ده</w:t>
      </w:r>
      <w:r>
        <w:rPr>
          <w:rStyle w:val="FootnoteAnchor"/>
          <w:rtl w:val="true"/>
        </w:rPr>
        <w:footnoteReference w:id="21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در الموثّق از عمار السّاباطیّ روایت کرده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انجام غسل جنابت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طَهِّرْ </w:t>
      </w:r>
      <w:bookmarkStart w:id="368" w:name="pg13517_329072"/>
    </w:p>
    <w:p>
      <w:pPr>
        <w:pStyle w:val="BookText"/>
        <w:rPr/>
      </w:pPr>
      <w:bookmarkEnd w:id="368"/>
      <w:r>
        <w:rPr>
          <w:rFonts w:ascii="Amiri" w:hAnsi="Amiri" w:eastAsia="Amiri" w:cs="Amiri"/>
          <w:color w:val="111111"/>
          <w:sz w:val="28"/>
          <w:sz w:val="28"/>
          <w:szCs w:val="28"/>
          <w:rtl w:val="true"/>
          <w:lang w:bidi="ar-SA"/>
        </w:rPr>
        <w:t>قَلْبِي وَ تَقَبَّلْ سَعْيِي وَ اجْعَلْ مَا عِنْدَكَ خَيْراً لِي اللَّهُمَّ اجْعَلْنِي مِنَ التَّوَّابِينَ وَ اجْعَلْنِي مِنَ الْمُتَطَهِّرِينَ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اللهم طهر قلبي أي من الشبهات المضلة و العقائد الفاسدة و الأخلاق الردية أي كما طهرت ظاهري فطهر باطني و اشرح لي صدري أي وسعه لتحمل العلوم و المعارف و أعباء التكليف و زك عملي أي اجعله زاكيا ناميا بأن تضاعف أعمالي في الدنيا أو ثوابها في الآخرة أو اجعله طاهرا مما يدنسه من الرئاء و العجب و سائر ما يفسده أو ينقص ثوابه أو امدحه بأن تقبله و تثيبني عليه و اجعل ما عندك خيرا لي أي اجعل حالي في الآخرة خيرا من الدنيا و اجعلني بحيث أوثر الآخرة علي الدنيا</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605250_1934241801"/>
      <w:bookmarkStart w:id="370" w:name="_Toc169"/>
      <w:bookmarkEnd w:id="369"/>
      <w:r>
        <w:rPr>
          <w:rtl w:val="true"/>
        </w:rPr>
        <w:t>«</w:t>
      </w:r>
      <w:r>
        <w:rPr/>
        <w:t>2</w:t>
      </w:r>
      <w:r>
        <w:rPr>
          <w:rtl w:val="true"/>
        </w:rPr>
        <w:t>»</w:t>
      </w:r>
      <w:bookmarkEnd w:id="370"/>
    </w:p>
    <w:p>
      <w:pPr>
        <w:pStyle w:val="BookText"/>
        <w:rPr/>
      </w:pPr>
      <w:r>
        <w:rPr>
          <w:rFonts w:ascii="Amiri" w:hAnsi="Amiri" w:eastAsia="Amiri" w:cs="Amiri"/>
          <w:color w:val="111111"/>
          <w:sz w:val="28"/>
          <w:sz w:val="28"/>
          <w:szCs w:val="28"/>
          <w:rtl w:val="true"/>
          <w:lang w:bidi="ar-SA"/>
        </w:rPr>
        <w:t>الْعِلَلُ، لِمُحَمَّدِ بْنِ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الْغُسْلِ غَسْلُ الْيَدَيْنِ وَ مَا أَصَابَ الْيَدَيْنِ مِنَ الْقَذِرِ وَ غَسْلُ الْفَرْجِ بَعْدَ الْبَوْلِ وَ الْمَرَافِقِ وَ هُوَ مَا يَدُورُ عَلَيْهَا الذَّكَرُ وَ الْمَضْمَضَةُ وَ الِاسْتِنْشَاقُ وَ وَضْعُ ثَلَاثِ أَكُفٍّ عَلَي الرَّأْسِ ثُمَّ عَلَي سَائِرِ الْجَسَدِ فَمَا أَصَابَهُ الْمَاءُ فَقَدْ طَهُرَ</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1" w:name="__RefHeading___Toc605252_1934241801"/>
      <w:bookmarkStart w:id="372" w:name="_Toc170"/>
      <w:bookmarkEnd w:id="371"/>
      <w:r>
        <w:rPr>
          <w:rtl w:val="true"/>
        </w:rPr>
        <w:t>«</w:t>
      </w:r>
      <w:r>
        <w:rPr/>
        <w:t>3</w:t>
      </w:r>
      <w:r>
        <w:rPr>
          <w:rtl w:val="true"/>
        </w:rPr>
        <w:t>»</w:t>
      </w:r>
      <w:bookmarkEnd w:id="372"/>
    </w:p>
    <w:p>
      <w:pPr>
        <w:pStyle w:val="BookText"/>
        <w:rPr/>
      </w:pPr>
      <w:r>
        <w:rPr>
          <w:rFonts w:ascii="Amiri" w:hAnsi="Amiri" w:eastAsia="Amiri" w:cs="Amiri"/>
          <w:color w:val="111111"/>
          <w:sz w:val="28"/>
          <w:sz w:val="28"/>
          <w:szCs w:val="28"/>
          <w:rtl w:val="true"/>
          <w:lang w:bidi="ar-SA"/>
        </w:rPr>
        <w:t>كِتَابُ جَعْفَرِ بْنِ مُحَمَّدِ بْنِ شُرَيْحٍ عَنْ عَبْدِ اللَّهِ بْنِ طَلْحَةَ النَّهْدِيِّ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يَقْبَلُ اللَّهُ لَهُمْ صَلَاةً جَبَّارٌ كَفَّارٌ وَ جُنُبٌ نَامَ عَلَي غَيْرِ طَهَارَةٍ وَ مُتَضَمِّخٌ بِخَلُوقٍ‌</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3" w:name="__RefHeading___Toc605254_1934241801"/>
      <w:bookmarkStart w:id="374" w:name="_Toc171"/>
      <w:bookmarkEnd w:id="373"/>
      <w:r>
        <w:rPr>
          <w:rtl w:val="true"/>
        </w:rPr>
        <w:t>بيان</w:t>
      </w:r>
      <w:bookmarkEnd w:id="374"/>
    </w:p>
    <w:p>
      <w:pPr>
        <w:pStyle w:val="BookText"/>
        <w:rPr/>
      </w:pPr>
      <w:r>
        <w:rPr>
          <w:rFonts w:ascii="Amiri" w:hAnsi="Amiri" w:eastAsia="Amiri" w:cs="Amiri"/>
          <w:color w:val="111111"/>
          <w:sz w:val="28"/>
          <w:sz w:val="28"/>
          <w:szCs w:val="28"/>
          <w:rtl w:val="true"/>
          <w:lang w:bidi="ar-SA"/>
        </w:rPr>
        <w:t>التضمخ التلطخ بالطيب و غيره و الإكثار منه و لعله محمول علي ما إذا كان مانعا من وصول الماء إلي البشرة</w:t>
      </w:r>
      <w:r>
        <w:rPr>
          <w:rFonts w:eastAsia="Amiri" w:cs="Amiri" w:ascii="Amiri" w:hAnsi="Amiri"/>
          <w:color w:val="111111"/>
          <w:sz w:val="28"/>
          <w:szCs w:val="28"/>
          <w:rtl w:val="true"/>
          <w:lang w:bidi="ar-SA"/>
        </w:rPr>
        <w:t>.</w:t>
      </w:r>
    </w:p>
    <w:p>
      <w:pPr>
        <w:pStyle w:val="Heading5"/>
        <w:numPr>
          <w:ilvl w:val="4"/>
          <w:numId w:val="1"/>
        </w:numPr>
        <w:rPr/>
      </w:pPr>
      <w:bookmarkStart w:id="375" w:name="__RefHeading___Toc605256_1934241801"/>
      <w:bookmarkStart w:id="376" w:name="_Toc172"/>
      <w:bookmarkEnd w:id="375"/>
      <w:r>
        <w:rPr>
          <w:rtl w:val="true"/>
        </w:rPr>
        <w:t>«</w:t>
      </w:r>
      <w:r>
        <w:rPr/>
        <w:t>4</w:t>
      </w:r>
      <w:r>
        <w:rPr>
          <w:rtl w:val="true"/>
        </w:rPr>
        <w:t>»</w:t>
      </w:r>
      <w:bookmarkEnd w:id="376"/>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أَخِي عليه السلام عَنِ الرَّجُلِ يُصِيبُ الْمَاءَ فِي سَاقِيَةٍ مُسْتَنْقِعاً فَيَتَخَوَّفُ أَنْ تَكُونَ السِّبَاعُ قَدْ شَرِبَتْ مِنْهُ يَغْتَسِلُ مِنْهُ لِلْجَنَابَةِ وَ يَتَوَضَّأُ مِنْهُ لِلصَّلَاةِ إِذَا كَانَ لَا يَجِدُ غَيْرَهُ وَ الْمَاءُ لَا يَبْلُغُ صَاعاً لِلْجَنَابَةِ وَ لَا مُدّاً لِلْوُضُوءِ وَ هُوَ مُتَفَرِّقٌ وَ كَيْفَ يَصْنَعُ قَالَ إِذَا كَانَتْ كَفُّهُ نَظِيفَةً فَلْيَأْخُذْ كَفّاً مِنَ الْمَاءِ بِيَدٍ وَاحِدَةٍ وَ لْيَنْضَحْهُ</w:t>
      </w:r>
    </w:p>
    <w:p>
      <w:pPr>
        <w:pStyle w:val="BookText"/>
        <w:rPr/>
      </w:pPr>
      <w:r>
        <w:rPr>
          <w:rFonts w:ascii="IRNazanin" w:hAnsi="IRNazanin" w:eastAsia="IRNazanin"/>
          <w:color w:val="111111"/>
          <w:sz w:val="28"/>
          <w:sz w:val="28"/>
          <w:szCs w:val="28"/>
          <w:rtl w:val="true"/>
          <w:lang w:bidi="fa-IR"/>
        </w:rPr>
        <w:t>قَلْبِی وَ تَقَبَّلْ سَعْیِی وَ اجْعَلْ مَا عِنْدَکَ خَیْراً لِی اللَّهُمَّ اجْعَلْنِی مِنَ التَّوَّابِینَ وَ اجْعَلْنِی مِنَ الْمُتَطَهِّرِینَ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قلبم را مطهّر گردان و تلاشم را بپذیر و آنچه نزد خود داری را برای من مایه خیر قرار ده؛ خداوندا، مرا در زمره توبه کنندگان و پاکان قرار ده</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این فرموده 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طهّر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قلبم را از شبهات گمراه کننده، عقاید فاسد و اخلاق پست مطّهر گردان، یعنی آن گونه که ظاهرم را پاک و آراسته گرداندی، باطنم را نیز پاک وآراسته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اشرح لی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ام را برای پذیرش علوم و آگاهی و تحمل سنگینی بار تکلیف گشاده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عملم را پاک و بی آلایش و در حال رشد و افزایش قرار ده، به این ترتیب که اعمال نیکویم در دنیا و یا ثواب آن ها در آخرت مضاعف گردد، یا عملم را از ریا و خودپسندی که باعث آلودگی می شود و از سایر چیزهایی که باعث فساد و نقص ثواب می شوند پاک و مطهّر گردان، و یا عملم را با پذیرش آن و اعطای پاداش به خاطر انجامش، مدح و ستایش بفرما،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ما عندک خیراً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احوالم در آخرت را بهتر از حال و احوالم در دنیا قرار ده و احوال مرا به گونه ای قرار ده که آخرت را بر دنیا ترجیح دهم</w:t>
      </w:r>
      <w:r>
        <w:rPr>
          <w:rFonts w:eastAsia="IRNazanin" w:cs="IRNazanin"/>
          <w:color w:val="111111"/>
          <w:sz w:val="28"/>
          <w:szCs w:val="28"/>
          <w:rtl w:val="true"/>
          <w:lang w:bidi="fa-IR"/>
        </w:rPr>
        <w:t>.</w:t>
      </w:r>
    </w:p>
    <w:p>
      <w:pPr>
        <w:pStyle w:val="Heading5"/>
        <w:numPr>
          <w:ilvl w:val="4"/>
          <w:numId w:val="1"/>
        </w:numPr>
        <w:rPr/>
      </w:pPr>
      <w:bookmarkStart w:id="377" w:name="__RefHeading___Toc605258_1934241801"/>
      <w:bookmarkStart w:id="378" w:name="_Toc173"/>
      <w:bookmarkEnd w:id="377"/>
      <w:r>
        <w:rPr>
          <w:rtl w:val="true"/>
        </w:rPr>
        <w:t xml:space="preserve">روایت </w:t>
      </w:r>
      <w:r>
        <w:rPr/>
        <w:t>2</w:t>
      </w:r>
      <w:bookmarkEnd w:id="378"/>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علی بن ابراهیم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غسل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دست ها و آلودگی و نجاستی که به دست ها برخورد کرده است، شستن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 تناسلی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بول، شستن مرافق و آن اطراف آلت است، مضمضه و چرخاندن آب در دهان و چرخاندن آب در بینی، و ریختن سه مشت آب بر سر سپس بر سایر اعضای بدن، و هر جایی که آب به آن برخورد کند پاک شده است</w:t>
      </w:r>
      <w:r>
        <w:rPr>
          <w:rFonts w:eastAsia="IRNazanin" w:cs="IRNazanin"/>
          <w:color w:val="111111"/>
          <w:sz w:val="28"/>
          <w:szCs w:val="28"/>
          <w:rtl w:val="true"/>
          <w:lang w:bidi="fa-IR"/>
        </w:rPr>
        <w:t>.</w:t>
      </w:r>
      <w:r>
        <w:rPr>
          <w:rStyle w:val="FootnoteAnchor"/>
          <w:rtl w:val="true"/>
        </w:rPr>
        <w:footnoteReference w:id="215"/>
      </w:r>
    </w:p>
    <w:p>
      <w:pPr>
        <w:pStyle w:val="Heading5"/>
        <w:numPr>
          <w:ilvl w:val="4"/>
          <w:numId w:val="1"/>
        </w:numPr>
        <w:rPr/>
      </w:pPr>
      <w:bookmarkStart w:id="379" w:name="__RefHeading___Toc605260_1934241801"/>
      <w:bookmarkStart w:id="380" w:name="_Toc174"/>
      <w:bookmarkEnd w:id="379"/>
      <w:r>
        <w:rPr>
          <w:rtl w:val="true"/>
        </w:rPr>
        <w:t xml:space="preserve">روایت </w:t>
      </w:r>
      <w:r>
        <w:rPr/>
        <w:t>3</w:t>
      </w:r>
      <w:bookmarkEnd w:id="380"/>
    </w:p>
    <w:p>
      <w:pPr>
        <w:pStyle w:val="BookText"/>
        <w:rPr/>
      </w:pPr>
      <w:r>
        <w:rPr>
          <w:rFonts w:ascii="IRNazanin" w:hAnsi="IRNazanin" w:eastAsia="IRNazanin"/>
          <w:color w:val="111111"/>
          <w:sz w:val="28"/>
          <w:sz w:val="28"/>
          <w:szCs w:val="28"/>
          <w:rtl w:val="true"/>
          <w:lang w:bidi="fa-IR"/>
        </w:rPr>
        <w:t>در کتاب جعفر بن محمد بن شُریح از عبدالله بن طلحه النهدیّ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گزاردن را از سه نفر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بسیار ستمگر و بسیار بی ایمان، جُنبی که بدون پاک گرداندن خویش بخوابد، و کسی که خود را بسیار به 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عطر زعفرانی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آغشته سازد</w:t>
      </w:r>
      <w:r>
        <w:rPr>
          <w:rFonts w:eastAsia="IRNazanin" w:cs="IRNazanin"/>
          <w:color w:val="111111"/>
          <w:sz w:val="28"/>
          <w:szCs w:val="28"/>
          <w:rtl w:val="true"/>
          <w:lang w:bidi="fa-IR"/>
        </w:rPr>
        <w:t>.</w:t>
      </w:r>
      <w:r>
        <w:rPr>
          <w:rStyle w:val="FootnoteAnchor"/>
          <w:rtl w:val="true"/>
        </w:rPr>
        <w:footnoteReference w:id="216"/>
      </w:r>
    </w:p>
    <w:p>
      <w:pPr>
        <w:pStyle w:val="Heading5"/>
        <w:numPr>
          <w:ilvl w:val="4"/>
          <w:numId w:val="1"/>
        </w:numPr>
        <w:rPr/>
      </w:pPr>
      <w:bookmarkStart w:id="381" w:name="__RefHeading___Toc605262_1934241801"/>
      <w:bookmarkStart w:id="382" w:name="_Toc175"/>
      <w:bookmarkEnd w:id="381"/>
      <w:r>
        <w:rPr>
          <w:rtl w:val="true"/>
        </w:rPr>
        <w:t>توضیح</w:t>
      </w:r>
      <w:bookmarkEnd w:id="3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التضمّخ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آغشته شدن به عطر و غیره و استفاده بیش از حد از آن، شاید این کلام بر این نکته حمل شود که استفاده بیش از حدّ از عطر و غیر آن، مانع رسیدن آب به پوست باشد</w:t>
      </w:r>
      <w:r>
        <w:rPr>
          <w:rFonts w:eastAsia="IRNazanin" w:cs="IRNazanin"/>
          <w:color w:val="111111"/>
          <w:sz w:val="28"/>
          <w:szCs w:val="28"/>
          <w:rtl w:val="true"/>
          <w:lang w:bidi="fa-IR"/>
        </w:rPr>
        <w:t>.</w:t>
      </w:r>
    </w:p>
    <w:p>
      <w:pPr>
        <w:pStyle w:val="Heading5"/>
        <w:numPr>
          <w:ilvl w:val="4"/>
          <w:numId w:val="1"/>
        </w:numPr>
        <w:rPr/>
      </w:pPr>
      <w:bookmarkStart w:id="383" w:name="__RefHeading___Toc605264_1934241801"/>
      <w:bookmarkStart w:id="384" w:name="_Toc176"/>
      <w:bookmarkEnd w:id="383"/>
      <w:r>
        <w:rPr>
          <w:rtl w:val="true"/>
        </w:rPr>
        <w:t xml:space="preserve">روایت </w:t>
      </w:r>
      <w:r>
        <w:rPr/>
        <w:t>4</w:t>
      </w:r>
      <w:bookmarkEnd w:id="38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جعفر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برادرم امام موسی کاظم علیه السلام درباره مردی پرسیدم که مقداری آب را در رودخانه ای کوچک می یابد و ترس آن دارد که درّندگان از آبش نوشیده باشند، آیا می تواند در صورت نیافتن آبی غیر از آن از آب رودخانه برای غسل جنابت و گرفتن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ادای نماز استفاده کند؟ این در حالی است که اندازه این آب برای جنابت به یک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رسد و برای وضو به اندازه یک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پیمانه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پراکنده است، این مرد باید چگونه عمل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کف دستش تمیز باشد باید یک مشت آب را با یک دست برداشته و آن را بر </w:t>
      </w:r>
      <w:bookmarkStart w:id="385" w:name="pg13517_329073"/>
    </w:p>
    <w:p>
      <w:pPr>
        <w:pStyle w:val="BookText"/>
        <w:rPr/>
      </w:pPr>
      <w:bookmarkEnd w:id="385"/>
      <w:r>
        <w:rPr>
          <w:rFonts w:ascii="Amiri" w:hAnsi="Amiri" w:eastAsia="Amiri" w:cs="Amiri"/>
          <w:color w:val="111111"/>
          <w:sz w:val="28"/>
          <w:sz w:val="28"/>
          <w:szCs w:val="28"/>
          <w:rtl w:val="true"/>
          <w:lang w:bidi="ar-SA"/>
        </w:rPr>
        <w:t xml:space="preserve">خَلْفَهُ وَ كَفّاً أَمَامَهُ وَ كَفّاً عَنْ يَمِينِهِ وَ كَفّاً عَنْ يَسَارِهِ فَإِنْ خَشِيَ أَنْ لَا يَكْفِيَهُ غَسَلَ رَأْسَهُ ثَلَاثَ مَرَّاتٍ ثُمَّ مَسَحَ جِلْدَهُ بِهِ فَإِنَّ ذَلِكَ يُجْزِيهِ إِنْ شَاءَ اللَّهُ وَ إِنْ كَانَ لِلْوُضُوءِ غَسَلَ وَجْهَهُ وَ مَسَحَ يَدَهُ عَلَي ذِرَاعَيْهِ وَ رَأْسِهِ وَ رِجْلَيْهِ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الْمَاءُ مُتَفَرِّقاً يَقْدِرُ عَلَي أَنْ يَجْمَعَهُ جَمَعَهُ وَ إِلَّا اغْتَسَلَ مِنْ هَذَا وَ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فِي مَكَانٍ وَاحِدٍ وَ هُوَ قَلِيلٌ لَا يَكْفِيهِ لِغُسْلِهِ فَلَا عَلَيْهِ أَنْ يَغْتَسِلَ وَ يُرْجِعَ الْمَاءَ فِيهِ فَإِنَّ ذَلِكَ يُجْزِيهِ إِنْ شَاءَ اللَّهُ‌</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 سَأَلْتُهُ عَنْ رَجُلٍ يُجْنِبُ هَلْ يُجْزِيهِ مِنْ غُسْلِ الْجَنَابَةِ أَنْ يَقُومَ فِي الْمَطَرِ حَتَّي يَغْسِلَ رَأْسَهُ وَ جَسَدَهُ وَ هُوَ يَقْدِرُ عَلَي مَاءٍ سِوَي ذَلِكَ قَالَ إِنْ كَانَ يَغْسِلُهُ اغْتِسَالَهُ بِالْمَاءِ أَجْزَأَهُ‌</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6" w:name="__RefHeading___Toc605266_1934241801"/>
      <w:bookmarkStart w:id="387" w:name="_Toc177"/>
      <w:bookmarkEnd w:id="386"/>
      <w:r>
        <w:rPr>
          <w:rtl w:val="true"/>
        </w:rPr>
        <w:t>بيان</w:t>
      </w:r>
      <w:bookmarkEnd w:id="387"/>
    </w:p>
    <w:p>
      <w:pPr>
        <w:pStyle w:val="BookText"/>
        <w:rPr/>
      </w:pPr>
      <w:r>
        <w:rPr>
          <w:rFonts w:ascii="Amiri" w:hAnsi="Amiri" w:eastAsia="Amiri" w:cs="Amiri"/>
          <w:color w:val="111111"/>
          <w:sz w:val="28"/>
          <w:sz w:val="28"/>
          <w:szCs w:val="28"/>
          <w:rtl w:val="true"/>
          <w:lang w:bidi="ar-SA"/>
        </w:rPr>
        <w:t>الجواب عن السؤال الأول قد مر الكلام فيه‌</w:t>
      </w:r>
      <w:r>
        <w:rPr>
          <w:rStyle w:val="FootnoteAnchor"/>
          <w:rtl w:val="true"/>
        </w:rPr>
        <w:footnoteReference w:id="219"/>
      </w:r>
      <w:r>
        <w:rPr>
          <w:rFonts w:ascii="Amiri" w:hAnsi="Amiri" w:eastAsia="Amiri" w:cs="Amiri"/>
          <w:color w:val="111111"/>
          <w:sz w:val="28"/>
          <w:sz w:val="28"/>
          <w:szCs w:val="28"/>
          <w:rtl w:val="true"/>
          <w:lang w:bidi="ar-SA"/>
        </w:rPr>
        <w:t>مفصلا و أن المسح محمول علي حصول أقل الجريان و عمل ابن الجنيد بظاهره و أما الأخير فاعلم أنه قد أجري الشيخ في المبسوط القعود تحت المطر مجري الارتماس في سقوط الترتيب و إليه ذهب العلامة في جملة من كتبه و ذهب ابن إدريس إلي اختصاص الحكم بالارتماس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الأولون بالجواب الأخير و هو يحتمل وجوها أحدها أن يكون المراد بقوله عليه السلام اغتساله بالماء التشبيه في أصل الغسل بحصول الجريان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يكون التشبيه في حصول الترتيب كأن ينوي أولا غسل رأسه ثم الأيمن ثم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يكون التشبيه في حصول الارتماس بأن يكون مطرا غزيرا يشمله دفعة عرفية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پشتش ریخته و جاری سازد، همچنین یک مشت را بر جلو، یک مشت را بر قسمت راست و یک مشت را بر قسمت چپ بدن خویش جاری سازد، پس اگر ترس آن داشته باشد که این کار او را کفایت نمی کند سه بار سرش را بشوید،سپس با آن پوستش را مسح کند که ان شاءالله او را کفایت می کند و اگر برای وضو است صورتش را بشوید و سپس پوست دستش را تا ساعدهایش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نوک آرنج تا نوک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سر و پاهایش را مسح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آب متفرق و پراکنده باشد و شخص توانایی جمع کردنش را داشته باشد آن را جمع کند، در غیر این صورت از آب هایی که در این طرف و آن طرف است غسل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آب در مکان واحدی باشد ولی به اندازه ای کم باشد که برای غسل کفایت نکند، بر او واجب نیست که خود را به اندازه ای بشوید که آب مستعمل به داخل رودخانه برگردد، و إن شاء الله که همان آب اندک او را کفایت می کند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علی بن جعفر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علیه السلام در باره مردی جُنب پُرسیدم که آیا ایستادن او در مقابل باران به اندازه ای که سر و بدنش را بشوید او را از غسل بی نیاز می کند، حال آنکه توانایی یافتن آبی غیر از آب باران را نیز 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او را به اندازه آب بشوید کفایت می کند</w:t>
      </w:r>
      <w:r>
        <w:rPr>
          <w:rFonts w:eastAsia="IRNazanin" w:cs="IRNazanin"/>
          <w:color w:val="111111"/>
          <w:sz w:val="28"/>
          <w:szCs w:val="28"/>
          <w:rtl w:val="true"/>
          <w:lang w:bidi="fa-IR"/>
        </w:rPr>
        <w:t>.</w:t>
      </w:r>
      <w:r>
        <w:rPr>
          <w:rStyle w:val="FootnoteAnchor"/>
          <w:rtl w:val="true"/>
        </w:rPr>
        <w:footnoteReference w:id="221"/>
      </w:r>
    </w:p>
    <w:p>
      <w:pPr>
        <w:pStyle w:val="Heading5"/>
        <w:numPr>
          <w:ilvl w:val="4"/>
          <w:numId w:val="1"/>
        </w:numPr>
        <w:rPr/>
      </w:pPr>
      <w:bookmarkStart w:id="388" w:name="__RefHeading___Toc605268_1934241801"/>
      <w:bookmarkStart w:id="389" w:name="_Toc178"/>
      <w:bookmarkEnd w:id="388"/>
      <w:r>
        <w:rPr>
          <w:rtl w:val="true"/>
        </w:rPr>
        <w:t>توضیح</w:t>
      </w:r>
      <w:bookmarkEnd w:id="389"/>
    </w:p>
    <w:p>
      <w:pPr>
        <w:pStyle w:val="BookText"/>
        <w:rPr/>
      </w:pPr>
      <w:r>
        <w:rPr>
          <w:rFonts w:ascii="IRNazanin" w:hAnsi="IRNazanin" w:eastAsia="IRNazanin"/>
          <w:color w:val="111111"/>
          <w:sz w:val="28"/>
          <w:sz w:val="28"/>
          <w:szCs w:val="28"/>
          <w:rtl w:val="true"/>
          <w:lang w:bidi="fa-IR"/>
        </w:rPr>
        <w:t>جواب سؤال اوّل به صورت مفصل در مباحث پیشین بیان شد</w:t>
      </w:r>
      <w:r>
        <w:rPr>
          <w:rStyle w:val="FootnoteAnchor"/>
          <w:rtl w:val="true"/>
        </w:rPr>
        <w:footnoteReference w:id="222"/>
      </w:r>
      <w:r>
        <w:rPr>
          <w:rFonts w:ascii="IRNazanin" w:hAnsi="IRNazanin" w:eastAsia="IRNazanin"/>
          <w:color w:val="111111"/>
          <w:sz w:val="28"/>
          <w:sz w:val="28"/>
          <w:szCs w:val="28"/>
          <w:rtl w:val="true"/>
          <w:lang w:bidi="fa-IR"/>
        </w:rPr>
        <w:t>، و اینکه مسح کردن بر حداقل جریان آب حمل می شود، و ابن جنید به ظاهر آن عمل کرده است، امّا در مورد سؤال اخیر، آگاه باش که شیخ در کتاب المبسوط قرار گرفتن در زیر باران را به منزله غسل ارتماسی قلمداد کرده است، به این معنی که ترتیب در این غسل لازم نیست، علّامه نیز در برخی از کتاب های خویش این نظر را مطرح کرده است، و ابن ادریس نیز احکام غسل در زیر آب باران را به صورت اختصاصی با احکام غسل ارتماسی یکی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فقهای نخستین به جواب آخر استناد کرده اند که در بر دارنده چند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فرموده امام موسی کاظم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اغتساله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تشبیه اصل غسل در زیر باران و غسل با آب باشد به دلیل حاصل شدن جریان آب در هر دو مورد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شبه هر دو غسل، جریان یافتن آب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به خاطر حاصل شدن ترتیب در هر دو مورد باشد، به این صورت که در ابتدا نیت غسل سر و سپس نیت غسل قسمت راست و بعد از آن نیت غسل قسمت چپ را نماید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به خاطر حصول ارتماس باشد، به این ترتیب که آب باران به اندازه ای فراوان باشد که یکباره شخص را در بر گیرد</w:t>
      </w:r>
      <w:r>
        <w:rPr>
          <w:rFonts w:eastAsia="IRNazanin" w:cs="IRNazanin"/>
          <w:color w:val="111111"/>
          <w:sz w:val="28"/>
          <w:szCs w:val="28"/>
          <w:rtl w:val="true"/>
          <w:lang w:bidi="fa-IR"/>
        </w:rPr>
        <w:t xml:space="preserve">. </w:t>
      </w:r>
      <w:bookmarkStart w:id="390" w:name="pg13517_329074"/>
    </w:p>
    <w:p>
      <w:pPr>
        <w:pStyle w:val="BookText"/>
        <w:rPr/>
      </w:pPr>
      <w:bookmarkEnd w:id="390"/>
      <w:r>
        <w:rPr>
          <w:rFonts w:ascii="Amiri" w:hAnsi="Amiri" w:eastAsia="Amiri" w:cs="Amiri"/>
          <w:color w:val="111111"/>
          <w:sz w:val="28"/>
          <w:sz w:val="28"/>
          <w:szCs w:val="28"/>
          <w:rtl w:val="true"/>
          <w:lang w:bidi="ar-SA"/>
        </w:rPr>
        <w:t>الرابع أن يكون المراد أعم من الوجهين فالمراد التشبيه بنوعي الغسل أي إذا حصل أحدهما فقد أجزأ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الأولون بنوا استدلالهم علي الوجه الأول و لعله أظهر من الخبر فيدل علي أن في الارتماس لا يعتبر الدفعة العرفية التي فهمها القوم و بناء الوجوه الأخر علي أن ظاهر المساواة المطلقة التساوي في كل ما يمكن التساوي فيه و هو في محل المنع و علي الثاني و الرابع يدل علي عدم لزوم صب الماء باليد و نحوه بل يكفي مجرد وصول الماء فما ورد في كيفية الترتيب المشتملة علي الصب محمول علي التمثيل و علي المتعارف الغالب و يرد علي الثالث أن حصول الدفعة العرفية في المطر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البهائي قدس سره لفظة ما في هذا الخبر يجوز أن يجعل كسرها لفظيا و أن يكون محليا أي و هو يقدر علي ماء غير ماء المطر أو علي غسل سوي ذلك الغسل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في نسخ قرب الإسناد مضبوطة بالهمز و روي الخبر في كتاب المسائل‌</w:t>
      </w:r>
      <w:r>
        <w:rPr>
          <w:rStyle w:val="FootnoteAnchor"/>
          <w:rtl w:val="true"/>
        </w:rPr>
        <w:footnoteReference w:id="223"/>
      </w:r>
      <w:r>
        <w:rPr>
          <w:rFonts w:ascii="Amiri" w:hAnsi="Amiri" w:eastAsia="Amiri" w:cs="Amiri"/>
          <w:color w:val="111111"/>
          <w:sz w:val="28"/>
          <w:sz w:val="28"/>
          <w:szCs w:val="28"/>
          <w:rtl w:val="true"/>
          <w:lang w:bidi="ar-SA"/>
        </w:rPr>
        <w:t>و فيه تتمة لعلها تؤيد بعض الوجوه فإن فيه هكذا إن كان يغسله اغتساله بالماء أجزأه ذلك إلا أنه ينبغي له أن يتمضمض و يستنشق و يمر يده علي ما نالت من جسده</w:t>
      </w:r>
      <w:r>
        <w:rPr>
          <w:rFonts w:eastAsia="Amiri" w:cs="Amiri" w:ascii="Amiri" w:hAnsi="Amiri"/>
          <w:color w:val="111111"/>
          <w:sz w:val="28"/>
          <w:szCs w:val="28"/>
          <w:rtl w:val="true"/>
          <w:lang w:bidi="ar-SA"/>
        </w:rPr>
        <w:t>.</w:t>
      </w:r>
    </w:p>
    <w:p>
      <w:pPr>
        <w:pStyle w:val="Heading5"/>
        <w:numPr>
          <w:ilvl w:val="4"/>
          <w:numId w:val="1"/>
        </w:numPr>
        <w:rPr/>
      </w:pPr>
      <w:bookmarkStart w:id="391" w:name="__RefHeading___Toc605270_1934241801"/>
      <w:bookmarkStart w:id="392" w:name="_Toc179"/>
      <w:bookmarkEnd w:id="391"/>
      <w:r>
        <w:rPr>
          <w:rtl w:val="true"/>
        </w:rPr>
        <w:t>«</w:t>
      </w:r>
      <w:r>
        <w:rPr/>
        <w:t>5</w:t>
      </w:r>
      <w:r>
        <w:rPr>
          <w:rtl w:val="true"/>
        </w:rPr>
        <w:t>»</w:t>
      </w:r>
      <w:bookmarkEnd w:id="392"/>
    </w:p>
    <w:p>
      <w:pPr>
        <w:pStyle w:val="BookText"/>
        <w:rPr/>
      </w:pPr>
      <w:r>
        <w:rPr>
          <w:rFonts w:ascii="Amiri" w:hAnsi="Amiri" w:eastAsia="Amiri" w:cs="Amiri"/>
          <w:color w:val="111111"/>
          <w:sz w:val="28"/>
          <w:sz w:val="28"/>
          <w:szCs w:val="28"/>
          <w:rtl w:val="true"/>
          <w:lang w:bidi="ar-SA"/>
        </w:rPr>
        <w:t>قُرْبُ الْإِسْنَادِ، عَنْ أَحْمَدَ بْنِ مُحَمَّدِ بْنِ عِيسَي عَنِ الْبَزَنْطِيِّ قَالَ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غُسْلِ الْجَنَابَةِ تَغْسِلُ يَدَكَ الْيُمْنَي مِنَ الْمِرْفَقِ إِلَي أَصَابِعِكَ ثُمَّ تُدْخِلُهَا فِي الْإِنَاءِ ثُمَّ اغْسِلْ مَا أَصَابَ مِنْكَ ثُمَّ أَفِضْ عَلَي رَأْسِكَ وَ سَائِرِ جَسَدِكَ‌</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3" w:name="__RefHeading___Toc605272_1934241801"/>
      <w:bookmarkStart w:id="394" w:name="_Toc180"/>
      <w:bookmarkEnd w:id="393"/>
      <w:r>
        <w:rPr>
          <w:rtl w:val="true"/>
        </w:rPr>
        <w:t>بيان</w:t>
      </w:r>
      <w:bookmarkEnd w:id="394"/>
    </w:p>
    <w:p>
      <w:pPr>
        <w:pStyle w:val="BookText"/>
        <w:rPr/>
      </w:pPr>
      <w:r>
        <w:rPr>
          <w:rFonts w:ascii="Amiri" w:hAnsi="Amiri" w:eastAsia="Amiri" w:cs="Amiri"/>
          <w:color w:val="111111"/>
          <w:sz w:val="28"/>
          <w:sz w:val="28"/>
          <w:szCs w:val="28"/>
          <w:rtl w:val="true"/>
          <w:lang w:bidi="ar-SA"/>
        </w:rPr>
        <w:t>يحتمل أن يكون الغسل من المرفق محمولا علي الأفضلية و الأشهر أنه إلي الزند و قال الجعفي يغسلهما إلي المرفقين أو إلي نصفهما</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605274_1934241801"/>
      <w:bookmarkStart w:id="396" w:name="_Toc181"/>
      <w:bookmarkEnd w:id="395"/>
      <w:r>
        <w:rPr>
          <w:rtl w:val="true"/>
        </w:rPr>
        <w:t>«</w:t>
      </w:r>
      <w:r>
        <w:rPr/>
        <w:t>6</w:t>
      </w:r>
      <w:r>
        <w:rPr>
          <w:rtl w:val="true"/>
        </w:rPr>
        <w:t>»</w:t>
      </w:r>
      <w:bookmarkEnd w:id="396"/>
    </w:p>
    <w:p>
      <w:pPr>
        <w:pStyle w:val="BookText"/>
        <w:rPr/>
      </w:pPr>
      <w:r>
        <w:rPr>
          <w:rFonts w:ascii="Amiri" w:hAnsi="Amiri" w:eastAsia="Amiri" w:cs="Amiri"/>
          <w:color w:val="111111"/>
          <w:sz w:val="28"/>
          <w:sz w:val="28"/>
          <w:szCs w:val="28"/>
          <w:rtl w:val="true"/>
          <w:lang w:bidi="ar-SA"/>
        </w:rPr>
        <w:t>قُرْبُ الْإِسْنَادِ، عَنِ السِّنْدِيِّ بْنِ مُحَمَّدٍ عَنْ أَبِي الْبَخْتَرِيِّ عَنْ</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عمومی تر از این دو صورت باشد، یعنی منظور امام تشبیه نوعی دو غسل بوده باشد به این ترتیب که اگر یکی از دو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با باران، غسل با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شود کفایت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فقهای متقدم استدلال خود را بر پایه صورت اوّل بنیان نهاده اند و شاید این وجه از حدیث، آشکا ر تر باشد و بر این نکته دلالت می کند که در ارتماس آن گونه که همه فهمیده اند، ریزش یک باره عرفی آب مورد توجه و اعتبار نیست،و بنای وجوه دیگر بر این که ظاهر مساوات، تساوی مطلق در هر چیزی است که امکان تساوی در آن هست، که این استدلال در محل منع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اساس صورت دوّم و چهارم بر عدم لزوم ریختن آب با دست و مانند آن دلالت می شود، بلکه مجرّد رسیدن آب کافی است، پس آنچه در مورد کیفیت ترتیب ذکر شده که مشتمل بر ریختن است محمول بر تمثیل و امور متعارف غالب است، و به صورت سوّم این گونه پاسخ داده می شود که حصول ریزش یکباره عرفی در مورد آب باران خیلی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بهایی قدّس سرّه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و یا محلاً مکسور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یقدر علی ماءٍ غیر ماء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توانایی یافتن آبی غیر از آب باران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یقدر علی غسل سوی ذلک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توانایی انجام غسلی غیر از آن غسل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های قرب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همزه یعنی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 همچنین این حدیث در کتاب المسائل</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روایت شده و در آن تتمّه ای وجود دارد که ممکن است برخی از وجوه و صورت ها را تأیید کند، چه که در آن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یغسله اغتسال بالماء أجزءه ذلک إلا أنّه ینبغی له أن یتمضمض ویستنشق، ویمرُّ یده علی ما ثالث من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باران او را مانند آب غسل دهد کفایت می کند، جز اینکه ضروری است که آب باران را مضمضه کرده و در بینی بچرخاند و دستش را به قسمت هایی از بدنش که دست به آن ها می رسد بکشد</w:t>
      </w:r>
      <w:r>
        <w:rPr>
          <w:rFonts w:eastAsia="IRNazanin" w:cs="IRNazanin"/>
          <w:color w:val="111111"/>
          <w:sz w:val="28"/>
          <w:szCs w:val="28"/>
          <w:rtl w:val="true"/>
          <w:lang w:bidi="fa-IR"/>
        </w:rPr>
        <w:t>.)</w:t>
      </w:r>
    </w:p>
    <w:p>
      <w:pPr>
        <w:pStyle w:val="Heading5"/>
        <w:numPr>
          <w:ilvl w:val="4"/>
          <w:numId w:val="1"/>
        </w:numPr>
        <w:rPr/>
      </w:pPr>
      <w:bookmarkStart w:id="397" w:name="__RefHeading___Toc605276_1934241801"/>
      <w:bookmarkStart w:id="398" w:name="_Toc182"/>
      <w:bookmarkEnd w:id="397"/>
      <w:r>
        <w:rPr>
          <w:rtl w:val="true"/>
        </w:rPr>
        <w:t xml:space="preserve">روایت </w:t>
      </w:r>
      <w:r>
        <w:rPr/>
        <w:t>5</w:t>
      </w:r>
      <w:bookmarkEnd w:id="398"/>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البزنطیّ روایت شده که امام رضا علیه السلام در مورد غسل جنابت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راستت را از آرنج تا انگشتان می شویی، سپس آن را وارد ظرف آب می کنی، و قسمت های آلوده شده بدنت را می شویی،آن گاه آب را بر روی سر و سایر قسمت های بدنت جاری ساز</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9" w:name="__RefHeading___Toc605278_1934241801"/>
      <w:bookmarkStart w:id="400" w:name="_Toc183"/>
      <w:bookmarkEnd w:id="399"/>
      <w:r>
        <w:rPr>
          <w:rtl w:val="true"/>
        </w:rPr>
        <w:t>توضیح</w:t>
      </w:r>
      <w:bookmarkEnd w:id="400"/>
    </w:p>
    <w:p>
      <w:pPr>
        <w:pStyle w:val="BookText"/>
        <w:rPr/>
      </w:pPr>
      <w:r>
        <w:rPr>
          <w:rFonts w:ascii="IRNazanin" w:hAnsi="IRNazanin" w:eastAsia="IRNazanin"/>
          <w:color w:val="111111"/>
          <w:sz w:val="28"/>
          <w:sz w:val="28"/>
          <w:szCs w:val="28"/>
          <w:rtl w:val="true"/>
          <w:lang w:bidi="fa-IR"/>
        </w:rPr>
        <w:t>ممکن است که آغاز کردن شستن از آرنج، محمول بر افضلیّت باشد، و مشهورتر آن است که دست تا ساعد شسته می شود، و الجعفیّ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کننده دو دست راست و چپ خود را تا آرنج یا نصف آن ها می شوید</w:t>
      </w:r>
      <w:r>
        <w:rPr>
          <w:rFonts w:eastAsia="IRNazanin" w:cs="IRNazanin"/>
          <w:color w:val="111111"/>
          <w:sz w:val="28"/>
          <w:szCs w:val="28"/>
          <w:rtl w:val="true"/>
          <w:lang w:bidi="fa-IR"/>
        </w:rPr>
        <w:t>.</w:t>
      </w:r>
    </w:p>
    <w:p>
      <w:pPr>
        <w:pStyle w:val="Heading5"/>
        <w:numPr>
          <w:ilvl w:val="4"/>
          <w:numId w:val="1"/>
        </w:numPr>
        <w:rPr/>
      </w:pPr>
      <w:bookmarkStart w:id="401" w:name="__RefHeading___Toc605280_1934241801"/>
      <w:bookmarkStart w:id="402" w:name="_Toc184"/>
      <w:bookmarkEnd w:id="401"/>
      <w:r>
        <w:rPr>
          <w:rtl w:val="true"/>
        </w:rPr>
        <w:t xml:space="preserve">روایت </w:t>
      </w:r>
      <w:r>
        <w:rPr/>
        <w:t>6</w:t>
      </w:r>
      <w:bookmarkEnd w:id="40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bookmarkStart w:id="403" w:name="pg13517_329075"/>
    </w:p>
    <w:p>
      <w:pPr>
        <w:pStyle w:val="BookText"/>
        <w:rPr/>
      </w:pPr>
      <w:bookmarkEnd w:id="403"/>
      <w:r>
        <w:rPr>
          <w:rFonts w:ascii="Amiri" w:hAnsi="Amiri" w:eastAsia="Amiri" w:cs="Amiri"/>
          <w:color w:val="111111"/>
          <w:sz w:val="28"/>
          <w:sz w:val="28"/>
          <w:szCs w:val="28"/>
          <w:rtl w:val="true"/>
          <w:lang w:bidi="ar-SA"/>
        </w:rPr>
        <w:t>جَعْفَرٍ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يَغْتَسِلُ مِنْ جَنَابَتِهِ ثُمَّ يَسْتَدْفِئُ بِامْرَأَتِهِ وَ إِنَّهَا لَجُنُبٌ‌</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4" w:name="__RefHeading___Toc605282_1934241801"/>
      <w:bookmarkStart w:id="405" w:name="_Toc185"/>
      <w:bookmarkEnd w:id="404"/>
      <w:r>
        <w:rPr>
          <w:rtl w:val="true"/>
        </w:rPr>
        <w:t>بيان</w:t>
      </w:r>
      <w:bookmarkEnd w:id="405"/>
    </w:p>
    <w:p>
      <w:pPr>
        <w:pStyle w:val="BookText"/>
        <w:rPr/>
      </w:pPr>
      <w:r>
        <w:rPr>
          <w:rFonts w:ascii="Amiri" w:hAnsi="Amiri" w:eastAsia="Amiri" w:cs="Amiri"/>
          <w:color w:val="111111"/>
          <w:sz w:val="28"/>
          <w:sz w:val="28"/>
          <w:szCs w:val="28"/>
          <w:rtl w:val="true"/>
          <w:lang w:bidi="ar-SA"/>
        </w:rPr>
        <w:t>الاستدفاء طلب الدف‌ء و هو نقيض حدة البرد</w:t>
      </w:r>
      <w:r>
        <w:rPr>
          <w:rFonts w:eastAsia="Amiri" w:cs="Amiri" w:ascii="Amiri" w:hAnsi="Amiri"/>
          <w:color w:val="111111"/>
          <w:sz w:val="28"/>
          <w:szCs w:val="28"/>
          <w:rtl w:val="true"/>
          <w:lang w:bidi="ar-SA"/>
        </w:rPr>
        <w:t>.</w:t>
      </w:r>
    </w:p>
    <w:p>
      <w:pPr>
        <w:pStyle w:val="Heading5"/>
        <w:numPr>
          <w:ilvl w:val="4"/>
          <w:numId w:val="1"/>
        </w:numPr>
        <w:rPr/>
      </w:pPr>
      <w:bookmarkStart w:id="406" w:name="__RefHeading___Toc605284_1934241801"/>
      <w:bookmarkStart w:id="407" w:name="_Toc186"/>
      <w:bookmarkEnd w:id="406"/>
      <w:r>
        <w:rPr>
          <w:rtl w:val="true"/>
        </w:rPr>
        <w:t>«</w:t>
      </w:r>
      <w:r>
        <w:rPr/>
        <w:t>7</w:t>
      </w:r>
      <w:r>
        <w:rPr>
          <w:rtl w:val="true"/>
        </w:rPr>
        <w:t>»</w:t>
      </w:r>
      <w:bookmarkEnd w:id="407"/>
    </w:p>
    <w:p>
      <w:pPr>
        <w:pStyle w:val="BookText"/>
        <w:rPr/>
      </w:pPr>
      <w:r>
        <w:rPr>
          <w:rFonts w:ascii="Amiri" w:hAnsi="Amiri" w:eastAsia="Amiri" w:cs="Amiri"/>
          <w:color w:val="111111"/>
          <w:sz w:val="28"/>
          <w:sz w:val="28"/>
          <w:szCs w:val="28"/>
          <w:rtl w:val="true"/>
          <w:lang w:bidi="ar-SA"/>
        </w:rPr>
        <w:t>قُرْبُ الْإِسْنَادِ، عَنْ مُحَمَّدِ بْنِ عَبْدِ الْحَمِيدِ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 تَلْزَمُنِي الْمَرْأَةُ وَ الْجَارِيَةُ مِنْ خَلْفِي وَ أَنَا مُتَّكِئٌ عَلَي جَنْبٍ حَتَّي تَتَحَرَّكُ عَلَي ظَهْرِي فَتَأْتِيهَا الشَّهْوَةُ وَ يُنْزَلُ الْمَاءُ أَ فَعَلَيْهَا غُسْلٌ أَمْ لَا قَالَ نَعَمْ إِذَا جَاءَتِ الشَّهْوَةُ وَ أَنْزَلَتِ الْمَاءَ وَجَبَ عَلَيْهَا الْغُسْلُ‌</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8" w:name="__RefHeading___Toc605286_1934241801"/>
      <w:bookmarkStart w:id="409" w:name="_Toc187"/>
      <w:bookmarkEnd w:id="408"/>
      <w:r>
        <w:rPr>
          <w:rtl w:val="true"/>
        </w:rPr>
        <w:t>بيان</w:t>
      </w:r>
      <w:bookmarkEnd w:id="409"/>
    </w:p>
    <w:p>
      <w:pPr>
        <w:pStyle w:val="BookText"/>
        <w:rPr/>
      </w:pPr>
      <w:r>
        <w:rPr>
          <w:rFonts w:ascii="Amiri" w:hAnsi="Amiri" w:eastAsia="Amiri" w:cs="Amiri"/>
          <w:color w:val="111111"/>
          <w:sz w:val="28"/>
          <w:sz w:val="28"/>
          <w:szCs w:val="28"/>
          <w:rtl w:val="true"/>
          <w:lang w:bidi="ar-SA"/>
        </w:rPr>
        <w:t>يفهم منه جواز مثل هذا الاستمناء من المرأة و يدل علي وجوب الغسل عليها بالإنزال و لا خلاف بين المسلمين ظاهرا في أن إنزال المني سبب للجنابة الموجبة للغسل سواء كان في النوم أو في اليقظة و سواء كن للرجل أو للمرأة إلا أنه اشترط بعض الجمهور مقارنة الشهوة و الدفق</w:t>
      </w:r>
      <w:r>
        <w:rPr>
          <w:rFonts w:eastAsia="Amiri" w:cs="Amiri" w:ascii="Amiri" w:hAnsi="Amiri"/>
          <w:color w:val="111111"/>
          <w:sz w:val="28"/>
          <w:szCs w:val="28"/>
          <w:rtl w:val="true"/>
          <w:lang w:bidi="ar-SA"/>
        </w:rPr>
        <w:t>.</w:t>
      </w:r>
    </w:p>
    <w:p>
      <w:pPr>
        <w:pStyle w:val="Heading5"/>
        <w:numPr>
          <w:ilvl w:val="4"/>
          <w:numId w:val="1"/>
        </w:numPr>
        <w:rPr/>
      </w:pPr>
      <w:bookmarkStart w:id="410" w:name="__RefHeading___Toc605288_1934241801"/>
      <w:bookmarkStart w:id="411" w:name="_Toc188"/>
      <w:bookmarkEnd w:id="410"/>
      <w:r>
        <w:rPr>
          <w:rtl w:val="true"/>
        </w:rPr>
        <w:t>«</w:t>
      </w:r>
      <w:r>
        <w:rPr/>
        <w:t>8</w:t>
      </w:r>
      <w:r>
        <w:rPr>
          <w:rtl w:val="true"/>
        </w:rPr>
        <w:t>»</w:t>
      </w:r>
      <w:bookmarkEnd w:id="411"/>
    </w:p>
    <w:p>
      <w:pPr>
        <w:pStyle w:val="BookText"/>
        <w:rPr/>
      </w:pPr>
      <w:r>
        <w:rPr>
          <w:rFonts w:ascii="Amiri" w:hAnsi="Amiri" w:eastAsia="Amiri" w:cs="Amiri"/>
          <w:color w:val="111111"/>
          <w:sz w:val="28"/>
          <w:sz w:val="28"/>
          <w:szCs w:val="28"/>
          <w:rtl w:val="true"/>
          <w:lang w:bidi="ar-SA"/>
        </w:rPr>
        <w:t>عِلَلُ الشَّرَائِعِ، عَنْ أَبِيهِ رَحِمَهُ اللَّهُ عَنْ سَعْدِ بْنِ عَبْدِ اللَّهِ عَنْ أَحْمَدَ بْنِ مُحَمَّدِ بْنِ عِيسَي عَنْ أَبِي يَحْيَي الْوَاسِطِيِّ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الْجُنُبُ يَتَمَضْمَضُ فَقَالَ لَا إِنَّمَا يُجْنِبُ الظَّاهِرُ وَ لَا يُجْنِبُ الْبَاطِنُ وَ الْفَمُ مِنَ الْبَاطِنِ‌</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فِي حَدِيثٍ آخَرَ أَنَّ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غُسْلِ الْجَنَابَةِ إِنْ شِئْتَ أَنْ تَتَمَضْمَضَ وَ تَسْتَنْشِقَ فَافْعَلْ وَ لَيْسَ بِوَاجِبٍ لِأَنَّ الْغُسْلَ عَلَي مَا ظَهَرَ لَا عَلَي مَا بَطَنَ‌</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2" w:name="__RefHeading___Toc605290_1934241801"/>
      <w:bookmarkStart w:id="413" w:name="_Toc189"/>
      <w:bookmarkEnd w:id="412"/>
      <w:r>
        <w:rPr>
          <w:rtl w:val="true"/>
        </w:rPr>
        <w:t>بيان</w:t>
      </w:r>
      <w:bookmarkEnd w:id="413"/>
    </w:p>
    <w:p>
      <w:pPr>
        <w:pStyle w:val="BookText"/>
        <w:rPr/>
      </w:pPr>
      <w:r>
        <w:rPr>
          <w:rFonts w:ascii="Amiri" w:hAnsi="Amiri" w:eastAsia="Amiri" w:cs="Amiri"/>
          <w:color w:val="111111"/>
          <w:sz w:val="28"/>
          <w:sz w:val="28"/>
          <w:szCs w:val="28"/>
          <w:rtl w:val="true"/>
          <w:lang w:bidi="ar-SA"/>
        </w:rPr>
        <w:t>لا خلاف ظاهرا في استحباب المضمضة و الاستنشاق و لا في عدم وجوبهما</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605292_1934241801"/>
      <w:bookmarkStart w:id="415" w:name="_Toc190"/>
      <w:bookmarkEnd w:id="414"/>
      <w:r>
        <w:rPr>
          <w:rtl w:val="true"/>
        </w:rPr>
        <w:t>«</w:t>
      </w:r>
      <w:r>
        <w:rPr/>
        <w:t>9</w:t>
      </w:r>
      <w:r>
        <w:rPr>
          <w:rtl w:val="true"/>
        </w:rPr>
        <w:t>»</w:t>
      </w:r>
      <w:bookmarkEnd w:id="415"/>
    </w:p>
    <w:p>
      <w:pPr>
        <w:pStyle w:val="BookText"/>
        <w:rPr/>
      </w:pPr>
      <w:r>
        <w:rPr>
          <w:rFonts w:ascii="Amiri" w:hAnsi="Amiri" w:eastAsia="Amiri" w:cs="Amiri"/>
          <w:color w:val="111111"/>
          <w:sz w:val="28"/>
          <w:sz w:val="28"/>
          <w:szCs w:val="28"/>
          <w:rtl w:val="true"/>
          <w:lang w:bidi="ar-SA"/>
        </w:rPr>
        <w:t>الْعِلَلُ، عَنْ أَبِيهِ رَحِمَهُ اللَّهُ عَنْ سَعْدِ بْنِ عَبْدِ اللَّهِ عَنْ يَعْقُوبَ بْنِ يَزِيدَ</w:t>
      </w:r>
    </w:p>
    <w:p>
      <w:pPr>
        <w:pStyle w:val="BookText"/>
        <w:rPr/>
      </w:pPr>
      <w:r>
        <w:rPr>
          <w:rFonts w:ascii="IRNazanin" w:hAnsi="IRNazanin" w:eastAsia="IRNazanin"/>
          <w:color w:val="111111"/>
          <w:sz w:val="28"/>
          <w:sz w:val="28"/>
          <w:szCs w:val="28"/>
          <w:rtl w:val="true"/>
          <w:lang w:bidi="fa-IR"/>
        </w:rPr>
        <w:t>امام علی علیه السلام غسل جنابت را به جا می آورد سپس خود را با همسرش که هنوز جُنب بود گرم می کرد</w:t>
      </w:r>
      <w:r>
        <w:rPr>
          <w:rFonts w:eastAsia="IRNazanin" w:cs="IRNazanin"/>
          <w:color w:val="111111"/>
          <w:sz w:val="28"/>
          <w:szCs w:val="28"/>
          <w:rtl w:val="true"/>
          <w:lang w:bidi="fa-IR"/>
        </w:rPr>
        <w:t>.</w:t>
      </w:r>
      <w:r>
        <w:rPr>
          <w:rStyle w:val="FootnoteAnchor"/>
          <w:rtl w:val="true"/>
        </w:rPr>
        <w:footnoteReference w:id="231"/>
      </w:r>
    </w:p>
    <w:p>
      <w:pPr>
        <w:pStyle w:val="Heading5"/>
        <w:numPr>
          <w:ilvl w:val="4"/>
          <w:numId w:val="1"/>
        </w:numPr>
        <w:rPr/>
      </w:pPr>
      <w:bookmarkStart w:id="416" w:name="__RefHeading___Toc605294_1934241801"/>
      <w:bookmarkStart w:id="417" w:name="_Toc191"/>
      <w:bookmarkEnd w:id="416"/>
      <w:r>
        <w:rPr>
          <w:rtl w:val="true"/>
        </w:rPr>
        <w:t>توضیح</w:t>
      </w:r>
      <w:bookmarkEnd w:id="4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گرمی کردن، و آن ضّد شدّت سرما است</w:t>
      </w:r>
      <w:r>
        <w:rPr>
          <w:rFonts w:eastAsia="IRNazanin" w:cs="IRNazanin"/>
          <w:color w:val="111111"/>
          <w:sz w:val="28"/>
          <w:szCs w:val="28"/>
          <w:rtl w:val="true"/>
          <w:lang w:bidi="fa-IR"/>
        </w:rPr>
        <w:t>.</w:t>
      </w:r>
    </w:p>
    <w:p>
      <w:pPr>
        <w:pStyle w:val="Heading5"/>
        <w:numPr>
          <w:ilvl w:val="4"/>
          <w:numId w:val="1"/>
        </w:numPr>
        <w:rPr/>
      </w:pPr>
      <w:bookmarkStart w:id="418" w:name="__RefHeading___Toc605296_1934241801"/>
      <w:bookmarkStart w:id="419" w:name="_Toc192"/>
      <w:bookmarkEnd w:id="418"/>
      <w:r>
        <w:rPr>
          <w:rtl w:val="true"/>
        </w:rPr>
        <w:t xml:space="preserve">روایت </w:t>
      </w:r>
      <w:r>
        <w:rPr/>
        <w:t>7</w:t>
      </w:r>
      <w:bookmarkEnd w:id="419"/>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الحمید از محمّد بن فضیل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من است و کنیزی در پشتم قرار گرفته حال آنکه من بر یک طرف تکیه داده ام تا پشتم را مالش داده و به حرکت در آورد، پس شهوت سراغ او آمده و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آید، آیا واجب است غسل کند یا 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 اگر شهوت سراغ او بیاید و آب خارج شود غسل بر او واجب است</w:t>
      </w:r>
      <w:r>
        <w:rPr>
          <w:rFonts w:eastAsia="IRNazanin" w:cs="IRNazanin"/>
          <w:color w:val="111111"/>
          <w:sz w:val="28"/>
          <w:szCs w:val="28"/>
          <w:rtl w:val="true"/>
          <w:lang w:bidi="fa-IR"/>
        </w:rPr>
        <w:t>.</w:t>
      </w:r>
      <w:r>
        <w:rPr>
          <w:rStyle w:val="FootnoteAnchor"/>
          <w:rtl w:val="true"/>
        </w:rPr>
        <w:footnoteReference w:id="232"/>
      </w:r>
    </w:p>
    <w:p>
      <w:pPr>
        <w:pStyle w:val="Heading5"/>
        <w:numPr>
          <w:ilvl w:val="4"/>
          <w:numId w:val="1"/>
        </w:numPr>
        <w:rPr/>
      </w:pPr>
      <w:bookmarkStart w:id="420" w:name="__RefHeading___Toc605298_1934241801"/>
      <w:bookmarkStart w:id="421" w:name="_Toc193"/>
      <w:bookmarkEnd w:id="420"/>
      <w:r>
        <w:rPr>
          <w:rtl w:val="true"/>
        </w:rPr>
        <w:t>توضیح</w:t>
      </w:r>
      <w:bookmarkEnd w:id="421"/>
    </w:p>
    <w:p>
      <w:pPr>
        <w:pStyle w:val="BookText"/>
        <w:rPr/>
      </w:pPr>
      <w:r>
        <w:rPr>
          <w:rFonts w:ascii="IRNazanin" w:hAnsi="IRNazanin" w:eastAsia="IRNazanin"/>
          <w:color w:val="111111"/>
          <w:sz w:val="28"/>
          <w:sz w:val="28"/>
          <w:szCs w:val="28"/>
          <w:rtl w:val="true"/>
          <w:lang w:bidi="fa-IR"/>
        </w:rPr>
        <w:t xml:space="preserve">از حدیث مذکور جواز این نوع استمناء به وسیله زن برداشت می شود، همچنین بر وجوب غسل برای زن بعد از إنزال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کند، و ظاهراً هیچ گونه اختلاف نظری بین مسلمانان بر سر این نکته وجود ندارد که انزال منی سبب جنابتی است که غسل را واجب می گرداند و فرقی نمی کند که این انزال در خواب صورت گیرد یا بیداری و برای مرد اتفاق افتد یا زن، جز اینکه برخی از فقهای اهل سنت حاصل شدن دو شرط شهوت و بیرون جستن آب منی را لازم دانسته اند</w:t>
      </w:r>
      <w:r>
        <w:rPr>
          <w:rFonts w:eastAsia="IRNazanin" w:cs="IRNazanin"/>
          <w:color w:val="111111"/>
          <w:sz w:val="28"/>
          <w:szCs w:val="28"/>
          <w:rtl w:val="true"/>
          <w:lang w:bidi="fa-IR"/>
        </w:rPr>
        <w:t>.</w:t>
      </w:r>
    </w:p>
    <w:p>
      <w:pPr>
        <w:pStyle w:val="Heading5"/>
        <w:numPr>
          <w:ilvl w:val="4"/>
          <w:numId w:val="1"/>
        </w:numPr>
        <w:rPr/>
      </w:pPr>
      <w:bookmarkStart w:id="422" w:name="__RefHeading___Toc605300_1934241801"/>
      <w:bookmarkStart w:id="423" w:name="_Toc194"/>
      <w:bookmarkEnd w:id="422"/>
      <w:r>
        <w:rPr>
          <w:rtl w:val="true"/>
        </w:rPr>
        <w:t xml:space="preserve">روایت </w:t>
      </w:r>
      <w:r>
        <w:rPr/>
        <w:t>8</w:t>
      </w:r>
      <w:bookmarkEnd w:id="423"/>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یحیی الواسطیّ از کسی که برای او این حدیث را روایت کرده نقل کرده است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لازم است که جُنب هنگام غسل آب را در دهان مضمضه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فقط ظاهر بدن جُنُب می شود نه باطن و درون و دهان از جمله اعضای باطنی و درونی است</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چنین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جنابت اگر خواستی آب را مضمضه کرده و در بینی بچرخانی این کار را انجام ده، در حالی که واجب نیست، چرا که غسل برای پاک کردن اعضای ظاهری است نه درونی</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4" w:name="__RefHeading___Toc605302_1934241801"/>
      <w:bookmarkStart w:id="425" w:name="_Toc195"/>
      <w:bookmarkEnd w:id="424"/>
      <w:r>
        <w:rPr>
          <w:rtl w:val="true"/>
        </w:rPr>
        <w:t>توضیح</w:t>
      </w:r>
      <w:bookmarkEnd w:id="425"/>
    </w:p>
    <w:p>
      <w:pPr>
        <w:pStyle w:val="BookText"/>
        <w:rPr/>
      </w:pPr>
      <w:r>
        <w:rPr>
          <w:rFonts w:ascii="IRNazanin" w:hAnsi="IRNazanin" w:eastAsia="IRNazanin"/>
          <w:color w:val="111111"/>
          <w:sz w:val="28"/>
          <w:sz w:val="28"/>
          <w:szCs w:val="28"/>
          <w:rtl w:val="true"/>
          <w:lang w:bidi="fa-IR"/>
        </w:rPr>
        <w:t>ظاهراً اختلاف نظری بر سر استحباب و عدم وجوب مضمضه آب در دهان و چرخاندن آن در بینی وجود ندارد</w:t>
      </w:r>
      <w:r>
        <w:rPr>
          <w:rFonts w:eastAsia="IRNazanin" w:cs="IRNazanin"/>
          <w:color w:val="111111"/>
          <w:sz w:val="28"/>
          <w:szCs w:val="28"/>
          <w:rtl w:val="true"/>
          <w:lang w:bidi="fa-IR"/>
        </w:rPr>
        <w:t>.</w:t>
      </w:r>
    </w:p>
    <w:p>
      <w:pPr>
        <w:pStyle w:val="Heading5"/>
        <w:numPr>
          <w:ilvl w:val="4"/>
          <w:numId w:val="1"/>
        </w:numPr>
        <w:rPr/>
      </w:pPr>
      <w:bookmarkStart w:id="426" w:name="__RefHeading___Toc605304_1934241801"/>
      <w:bookmarkStart w:id="427" w:name="_Toc196"/>
      <w:bookmarkEnd w:id="426"/>
      <w:r>
        <w:rPr>
          <w:rtl w:val="true"/>
        </w:rPr>
        <w:t xml:space="preserve">روایت </w:t>
      </w:r>
      <w:r>
        <w:rPr/>
        <w:t>9</w:t>
      </w:r>
      <w:bookmarkEnd w:id="42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bookmarkStart w:id="428" w:name="pg13517_329076"/>
    </w:p>
    <w:p>
      <w:pPr>
        <w:pStyle w:val="BookText"/>
        <w:rPr/>
      </w:pPr>
      <w:bookmarkEnd w:id="428"/>
      <w:r>
        <w:rPr>
          <w:rFonts w:ascii="Amiri" w:hAnsi="Amiri" w:eastAsia="Amiri" w:cs="Amiri"/>
          <w:color w:val="111111"/>
          <w:sz w:val="28"/>
          <w:sz w:val="28"/>
          <w:szCs w:val="28"/>
          <w:rtl w:val="true"/>
          <w:lang w:bidi="ar-SA"/>
        </w:rPr>
        <w:t>عَنْ حَمَّادِ بْنِ عِيسَي عَنْ حَرِيزٍ عَنْ زُرَارَةَ وَ مُحَمَّدِ بْنِ مُسْلِمٍ عَنْ أَبِي جَعْفَرٍ عليه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 الْحَائِضُ وَ الْجُنُبُ يَدْخُلَانِ الْمَسْجِدَ أَمْ لَا قَالَ الْحَائِضُ وَ الْجُنُبُ لَا يَدْخُلَانِ الْمَسْجِدَ إِلَّا مُجْتَازَيْنِ إِنَّ اللَّهَ تَبَارَكَ وَ تَعَالَي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جُنُباً إِلَّا عابِرِي سَبِيلٍ حَتَّي تَغْتَسِلُوا وَ يَأْخُذَانِ مِنَ الْمَسْجِدِ وَ لَا يَضَعَانِ فِيهِ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 قُلْتُ لَهُ فَمَا بَالُهُمَا يَأْخُذَانِ مِنْهُ وَ لَا يَضَعَانِ فِيهِ قَالَ لِأَنَّهُمَا لَا يَقْدِرَانِ عَلَي أَخْذِ مَا فِيهِ إِلَّا مِنْهُ وَ يَقْدِرَانِ عَلَي وَضْعِ مَا بِيَدِهِمَا فِي غَيْرِهِ قُلْتُ فَهَلْ يَقْرَءَانِ مِنَ الْقُرْآنِ شَيْئاً قَالَ نَعَمْ مَا شَاءَا إِلَّا السَّجْدَةَ وَ يَذْكُرَانِ اللَّهَ عَلَي كُلِّ حَالٍ‌</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علي بن إبراهيم،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36"/>
      </w:r>
    </w:p>
    <w:p>
      <w:pPr>
        <w:pStyle w:val="Heading5"/>
        <w:numPr>
          <w:ilvl w:val="4"/>
          <w:numId w:val="1"/>
        </w:numPr>
        <w:rPr/>
      </w:pPr>
      <w:bookmarkStart w:id="429" w:name="__RefHeading___Toc605306_1934241801"/>
      <w:bookmarkStart w:id="430" w:name="_Toc197"/>
      <w:bookmarkEnd w:id="429"/>
      <w:r>
        <w:rPr>
          <w:rtl w:val="true"/>
        </w:rPr>
        <w:t>بيان</w:t>
      </w:r>
      <w:bookmarkEnd w:id="430"/>
    </w:p>
    <w:p>
      <w:pPr>
        <w:pStyle w:val="BookText"/>
        <w:rPr/>
      </w:pPr>
      <w:r>
        <w:rPr>
          <w:rFonts w:ascii="Amiri" w:hAnsi="Amiri" w:eastAsia="Amiri" w:cs="Amiri"/>
          <w:color w:val="111111"/>
          <w:sz w:val="28"/>
          <w:sz w:val="28"/>
          <w:szCs w:val="28"/>
          <w:rtl w:val="true"/>
          <w:lang w:bidi="ar-SA"/>
        </w:rPr>
        <w:t>يدل علي عدم جواز لبث الجنب و الحائض في المساجد و هو مذهب الأصحاب عدا سلار فإنه كرهه و يظهر من الصدوق أنه يجوز أن ينام الجنب في المسجد و كذا تحريم وضع الجنب و الحائض شيئا في المسجدين لم يخالف فيه ظاهرا غير سلار فإنه حكم بالكراهة و خص بعض المتأخرين التحريم الوضع المستلزم للبث و عموم الخبر يدفعه و لا فرق بين أن يكون الوضع من داخل أو خارج لعموم الرواية و قد يخص الحكم بالأول لكونه الفرد الشائع</w:t>
      </w:r>
      <w:r>
        <w:rPr>
          <w:rFonts w:eastAsia="Amiri" w:cs="Amiri" w:ascii="Amiri" w:hAnsi="Amiri"/>
          <w:color w:val="111111"/>
          <w:sz w:val="28"/>
          <w:szCs w:val="28"/>
          <w:rtl w:val="true"/>
          <w:lang w:bidi="ar-SA"/>
        </w:rPr>
        <w:t>.</w:t>
      </w:r>
    </w:p>
    <w:p>
      <w:pPr>
        <w:pStyle w:val="Heading5"/>
        <w:numPr>
          <w:ilvl w:val="4"/>
          <w:numId w:val="1"/>
        </w:numPr>
        <w:rPr/>
      </w:pPr>
      <w:bookmarkStart w:id="431" w:name="__RefHeading___Toc605308_1934241801"/>
      <w:bookmarkStart w:id="432" w:name="_Toc198"/>
      <w:bookmarkEnd w:id="431"/>
      <w:r>
        <w:rPr>
          <w:rtl w:val="true"/>
        </w:rPr>
        <w:t>«</w:t>
      </w:r>
      <w:r>
        <w:rPr/>
        <w:t>10</w:t>
      </w:r>
      <w:r>
        <w:rPr>
          <w:rtl w:val="true"/>
        </w:rPr>
        <w:t>»</w:t>
      </w:r>
      <w:bookmarkEnd w:id="432"/>
    </w:p>
    <w:p>
      <w:pPr>
        <w:pStyle w:val="BookText"/>
        <w:rPr/>
      </w:pPr>
      <w:r>
        <w:rPr>
          <w:rFonts w:ascii="Amiri" w:hAnsi="Amiri" w:eastAsia="Amiri" w:cs="Amiri"/>
          <w:color w:val="111111"/>
          <w:sz w:val="28"/>
          <w:sz w:val="28"/>
          <w:szCs w:val="28"/>
          <w:rtl w:val="true"/>
          <w:lang w:bidi="ar-SA"/>
        </w:rPr>
        <w:t>الْعِلَلُ، عَنْ أَبِيهِ رَحِمَهُ اللَّهُ عَنْ عَلِيِّ بْنِ إِبْرَاهِيمَ عَنْ أَبِيهِ عَنِ ابْنِ الْمُغِيرَةِ عَنْ حَرِيزٍ 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الرَّجُلُ يَرَي فِي الْمَنَامِ أَنَّهُ يُجَامِعُ وَ يَجِدُ الشَّهْوَةَ فَيَسْتَيْقِظُ وَ يَنْظُرُ فَلَا يَرَي شَيْئاً ثُمَّ يَمْكُثُ بَعْدُ فَيَخْرُجُ قَالَ إِنْ كَانَ مَرِيضاً فَلْيَغْتَسِلْ وَ إِنْ لَمْ يَكُنْ مَرِيضاً فَلَا شَيْ‌ءَ عَلَيْهِ قَالَ قُلْتُ فَمَا فَرْقُ مَا بَيْنَهُمَا قَالَ لِأَنَّ الرَّجُلَ إِذَا كَانَ صَحِيحاً</w:t>
      </w:r>
    </w:p>
    <w:p>
      <w:pPr>
        <w:pStyle w:val="BookText"/>
        <w:rPr/>
      </w:pPr>
      <w:r>
        <w:rPr>
          <w:rFonts w:ascii="IRNazanin" w:hAnsi="IRNazanin" w:eastAsia="IRNazanin"/>
          <w:color w:val="111111"/>
          <w:sz w:val="28"/>
          <w:sz w:val="28"/>
          <w:szCs w:val="28"/>
          <w:rtl w:val="true"/>
          <w:lang w:bidi="fa-IR"/>
        </w:rPr>
        <w:t>زراره و محمد بن مسلم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حائض و جنب می توانند وارد مسجد شوند یا خیر؟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حائض و جنب اجازه وارد شدن به مسجد را ندارند مگر به قصد گذر و عبور از آن، همانا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جنباً إلا عابری سبیل حتی تغتسلوا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جنابت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یا نماز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راهگذر باشید تا غسل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 توانند چیزی را از مسجد بردارند ولی چیزی را در آن نمی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چه شده که می توانند از مسجد چیزی بردارند حال آنکه چیزی در آن نمی گذارند؟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حائض و جُنب نمی توانند چیزی را جز آنچه در مسجد است از آن بردارند، ولی می توانند آنچه را در دست دارند در جایی غیر از مسجد بگذارند،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توانند قسمتی از قرآن را قرائت کنند؟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 چه و هر اندازه بخواهند جز سوره هایی که در آن ها سجده وجود دارد، و می توانند خداوند را در هر حالی ذکر و یاد کنند</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به صورت مرسل روایت شده است</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3" w:name="__RefHeading___Toc605310_1934241801"/>
      <w:bookmarkStart w:id="434" w:name="_Toc199"/>
      <w:bookmarkEnd w:id="433"/>
      <w:r>
        <w:rPr>
          <w:rtl w:val="true"/>
        </w:rPr>
        <w:t>توضیح</w:t>
      </w:r>
      <w:bookmarkEnd w:id="434"/>
    </w:p>
    <w:p>
      <w:pPr>
        <w:pStyle w:val="BookText"/>
        <w:rPr/>
      </w:pPr>
      <w:r>
        <w:rPr>
          <w:rFonts w:ascii="IRNazanin" w:hAnsi="IRNazanin" w:eastAsia="IRNazanin"/>
          <w:color w:val="111111"/>
          <w:sz w:val="28"/>
          <w:sz w:val="28"/>
          <w:szCs w:val="28"/>
          <w:rtl w:val="true"/>
          <w:lang w:bidi="fa-IR"/>
        </w:rPr>
        <w:t xml:space="preserve">این حدیث بر عدم جواز توقف جُنب و حائض در مساجد دلالت می کند، و این نظر تمام فقها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امر را مکروه دانسته است، و چنین پیداست که شیخ صدوق خوابیدن جنب در مسجد را جایز شمرده است، همچنین هیچ یک از فقها بر سر تحریمِ گذاشتن چیزی در مسجد توسط حائض و جُنب اختلاف نظر ندارند، جز سلّار که حکم به کراهت آن صادر کرده است، و برخی از فقهای متأخر تحریم را مخصوص گذاشتن چیزی می دانند که توقف در مسجد را لازم می گرداند، و حدیث به صورت عام این نظر را ردّ می کند، و به دلیل عموم روایت، فرقی ندارد که گذاردن از داخل یا خارج باشد، و ممکن است حکم به اولی اختصاص یابد چون فرد شایع است</w:t>
      </w:r>
      <w:r>
        <w:rPr>
          <w:rFonts w:eastAsia="IRNazanin" w:cs="IRNazanin"/>
          <w:color w:val="111111"/>
          <w:sz w:val="28"/>
          <w:szCs w:val="28"/>
          <w:rtl w:val="true"/>
          <w:lang w:bidi="fa-IR"/>
        </w:rPr>
        <w:t>.</w:t>
      </w:r>
    </w:p>
    <w:p>
      <w:pPr>
        <w:pStyle w:val="Heading5"/>
        <w:numPr>
          <w:ilvl w:val="4"/>
          <w:numId w:val="1"/>
        </w:numPr>
        <w:rPr/>
      </w:pPr>
      <w:bookmarkStart w:id="435" w:name="__RefHeading___Toc605312_1934241801"/>
      <w:bookmarkStart w:id="436" w:name="_Toc200"/>
      <w:bookmarkEnd w:id="435"/>
      <w:r>
        <w:rPr>
          <w:rtl w:val="true"/>
        </w:rPr>
        <w:t xml:space="preserve">روایت </w:t>
      </w:r>
      <w:r>
        <w:rPr/>
        <w:t>10</w:t>
      </w:r>
      <w:bookmarkEnd w:id="43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خواب می بیند که عمل جماع انجام داده است و در خود احساس شهوت می کند، پس از خواب بیدار می شود و به خود نگاه می کند و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بیند، پس از مدتی منی خارج می 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مرد مریض باشد باید غسل کند و اگر مریض نباشد چیزی بر او واجب 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آن دو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مرد اگر سالم باشد </w:t>
      </w:r>
      <w:bookmarkStart w:id="437" w:name="pg13517_329077"/>
    </w:p>
    <w:p>
      <w:pPr>
        <w:pStyle w:val="BookText"/>
        <w:rPr/>
      </w:pPr>
      <w:bookmarkEnd w:id="437"/>
      <w:r>
        <w:rPr>
          <w:rFonts w:ascii="Amiri" w:hAnsi="Amiri" w:eastAsia="Amiri" w:cs="Amiri"/>
          <w:color w:val="111111"/>
          <w:sz w:val="28"/>
          <w:sz w:val="28"/>
          <w:szCs w:val="28"/>
          <w:rtl w:val="true"/>
          <w:lang w:bidi="ar-SA"/>
        </w:rPr>
        <w:t>جَاءَ الْمَاءُ بِدُفْقَةٍ قَوِيَّةٍ وَ إِذَا كَانَ مَرِيضاً لَمْ يَجِئْ إِلَّا بِضَعْفٍ‌</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8" w:name="__RefHeading___Toc605314_1934241801"/>
      <w:bookmarkStart w:id="439" w:name="_Toc201"/>
      <w:bookmarkEnd w:id="438"/>
      <w:r>
        <w:rPr>
          <w:rtl w:val="true"/>
        </w:rPr>
        <w:t>«</w:t>
      </w:r>
      <w:r>
        <w:rPr/>
        <w:t>11</w:t>
      </w:r>
      <w:r>
        <w:rPr>
          <w:rtl w:val="true"/>
        </w:rPr>
        <w:t>»</w:t>
      </w:r>
      <w:bookmarkEnd w:id="439"/>
    </w:p>
    <w:p>
      <w:pPr>
        <w:pStyle w:val="BookText"/>
        <w:rPr/>
      </w:pPr>
      <w:r>
        <w:rPr>
          <w:rFonts w:ascii="Amiri" w:hAnsi="Amiri" w:eastAsia="Amiri" w:cs="Amiri"/>
          <w:color w:val="111111"/>
          <w:sz w:val="28"/>
          <w:sz w:val="28"/>
          <w:szCs w:val="28"/>
          <w:rtl w:val="true"/>
          <w:lang w:bidi="ar-SA"/>
        </w:rPr>
        <w:t>وَ مِنْهُ، عَنْ أَبِيهِ رَحِمَهُ اللَّهُ عَنْ عَلِيِّ بْنِ إِبْرَاهِيمَ عَنْ أَبِيهِ عَنْ حَمَّادٍ عَنْ حَرِيزٍ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مَرِيضاً فَأَصَابَتْكَ شَهْوَةٌ فَإِنَّهُ رُبَّمَا كَانَ هُوَ الدَّافِقَ لَكِنَّهُ يَجِي‌ءُ مَجِيئاً ضَعِيفاً لَيْسَتْ لَهُ قُوَّةٌ لِمَكَانِ مَرَضِكَ سَاعَةً بَعْدَ سَاعَةٍ قَلِيلًا قَلِيلًا فَاغْتَسِلْ مِنْهُ‌</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0" w:name="__RefHeading___Toc605316_1934241801"/>
      <w:bookmarkStart w:id="441" w:name="_Toc202"/>
      <w:bookmarkEnd w:id="440"/>
      <w:r>
        <w:rPr>
          <w:rtl w:val="true"/>
        </w:rPr>
        <w:t>بيان</w:t>
      </w:r>
      <w:bookmarkEnd w:id="441"/>
    </w:p>
    <w:p>
      <w:pPr>
        <w:pStyle w:val="BookText"/>
        <w:rPr/>
      </w:pPr>
      <w:r>
        <w:rPr>
          <w:rFonts w:ascii="Amiri" w:hAnsi="Amiri" w:eastAsia="Amiri" w:cs="Amiri"/>
          <w:color w:val="111111"/>
          <w:sz w:val="28"/>
          <w:sz w:val="28"/>
          <w:szCs w:val="28"/>
          <w:rtl w:val="true"/>
          <w:lang w:bidi="ar-SA"/>
        </w:rPr>
        <w:t>أجمع الأصحاب علي أنه إذا تيقن أن الخارج مني يجب عليه الغسل سواء كان مع الصفات المذكورة في كلامهم من الدفق و فتور الجسد و الشهوة أم لا و أما إذا اشتبه الخارج فقد ذكر جمع من الأصحاب كالمحقق و العلامة أنه يعتبر في حال الصحة باللذة و الدفق و فتور الجسد و في المرض باللذة و فتور البدن و لا عبرة فيه بالدفق لأن قوة المريض ربما عجزت عن دفقه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جماعة أخري كالشهيد في الذكري علامة أخري و هو قرب رائحته من رائحة الطلع و العجين إذا كان رطبا و بياض البيض إذا كان جافا</w:t>
      </w:r>
      <w:r>
        <w:rPr>
          <w:rFonts w:eastAsia="Amiri" w:cs="Amiri" w:ascii="Amiri" w:hAnsi="Amiri"/>
          <w:color w:val="111111"/>
          <w:sz w:val="28"/>
          <w:szCs w:val="28"/>
          <w:rtl w:val="true"/>
          <w:lang w:bidi="ar-SA"/>
        </w:rPr>
        <w:t>.</w:t>
      </w:r>
    </w:p>
    <w:p>
      <w:pPr>
        <w:pStyle w:val="Heading5"/>
        <w:numPr>
          <w:ilvl w:val="4"/>
          <w:numId w:val="1"/>
        </w:numPr>
        <w:rPr/>
      </w:pPr>
      <w:bookmarkStart w:id="442" w:name="__RefHeading___Toc605318_1934241801"/>
      <w:bookmarkStart w:id="443" w:name="_Toc203"/>
      <w:bookmarkEnd w:id="442"/>
      <w:r>
        <w:rPr>
          <w:rtl w:val="true"/>
        </w:rPr>
        <w:t>«</w:t>
      </w:r>
      <w:r>
        <w:rPr/>
        <w:t>12</w:t>
      </w:r>
      <w:r>
        <w:rPr>
          <w:rtl w:val="true"/>
        </w:rPr>
        <w:t>»</w:t>
      </w:r>
      <w:bookmarkEnd w:id="443"/>
    </w:p>
    <w:p>
      <w:pPr>
        <w:pStyle w:val="BookText"/>
        <w:rPr/>
      </w:pPr>
      <w:r>
        <w:rPr>
          <w:rFonts w:ascii="Amiri" w:hAnsi="Amiri" w:eastAsia="Amiri" w:cs="Amiri"/>
          <w:color w:val="111111"/>
          <w:sz w:val="28"/>
          <w:sz w:val="28"/>
          <w:szCs w:val="28"/>
          <w:rtl w:val="true"/>
          <w:lang w:bidi="ar-SA"/>
        </w:rPr>
        <w:t>الْعِلَلُ، عَنْ أَبِيهِ رَحِمَهُ اللَّهُ عَنْ سَعْدِ بْنِ عَبْدِ اللَّهِ عَنْ إِبْرَاهِيمَ بْنِ هَاشِمٍ عَنِ النَّوْفَلِيِّ عَنِ السَّكُونِيِّ عَنْ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نِسَاءُ النَّبِيِّ صلي الله عليه و آله إِذَا اغْتَسَلْنَ مِنَ الْجَنَابَةِ بَقَّيْنَ‌</w:t>
      </w:r>
      <w:r>
        <w:rPr>
          <w:rStyle w:val="FootnoteAnchor"/>
          <w:rtl w:val="true"/>
        </w:rPr>
        <w:footnoteReference w:id="241"/>
      </w:r>
      <w:r>
        <w:rPr>
          <w:rFonts w:ascii="Amiri" w:hAnsi="Amiri" w:eastAsia="Amiri" w:cs="Amiri"/>
          <w:color w:val="111111"/>
          <w:sz w:val="28"/>
          <w:sz w:val="28"/>
          <w:szCs w:val="28"/>
          <w:rtl w:val="true"/>
          <w:lang w:bidi="ar-SA"/>
        </w:rPr>
        <w:t>صُفْرَةَ الطِّيبِ عَلَي أَجْسَادِهِنَّ وَ ذَلِكَ أَنَّ النَّبِيَّ صلي الله عليه و آله أَمَرَهُنَّ أَنْ يَصْبُبْنَ الْمَاءَ صَبّاً عَلَي أَجْسَادِهِنَ‌</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4" w:name="__RefHeading___Toc605320_1934241801"/>
      <w:bookmarkStart w:id="445" w:name="_Toc204"/>
      <w:bookmarkEnd w:id="444"/>
      <w:r>
        <w:rPr>
          <w:rtl w:val="true"/>
        </w:rPr>
        <w:t>بيان</w:t>
      </w:r>
      <w:bookmarkEnd w:id="445"/>
    </w:p>
    <w:p>
      <w:pPr>
        <w:pStyle w:val="BookText"/>
        <w:rPr/>
      </w:pPr>
      <w:r>
        <w:rPr>
          <w:rFonts w:ascii="Amiri" w:hAnsi="Amiri" w:eastAsia="Amiri" w:cs="Amiri"/>
          <w:color w:val="111111"/>
          <w:sz w:val="28"/>
          <w:sz w:val="28"/>
          <w:szCs w:val="28"/>
          <w:rtl w:val="true"/>
          <w:lang w:bidi="ar-SA"/>
        </w:rPr>
        <w:t>حمل علي الأثر الذي لا يمنع الوصول و لا يصير الماء مضافا بالوصول إليه و قال بعض الأعلام لا يبعد القول بعدم الاعتداد ببقاء شي‌ء يسير لا يخل عرفا بغسل جميع البدن لو لم يكن إجماع علي خلافه</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605322_1934241801"/>
      <w:bookmarkStart w:id="447" w:name="_Toc205"/>
      <w:bookmarkEnd w:id="446"/>
      <w:r>
        <w:rPr>
          <w:rtl w:val="true"/>
        </w:rPr>
        <w:t>«</w:t>
      </w:r>
      <w:r>
        <w:rPr/>
        <w:t>13</w:t>
      </w:r>
      <w:r>
        <w:rPr>
          <w:rtl w:val="true"/>
        </w:rPr>
        <w:t>»</w:t>
      </w:r>
      <w:bookmarkEnd w:id="447"/>
    </w:p>
    <w:p>
      <w:pPr>
        <w:pStyle w:val="BookText"/>
        <w:rPr/>
      </w:pPr>
      <w:r>
        <w:rPr>
          <w:rFonts w:ascii="Amiri" w:hAnsi="Amiri" w:eastAsia="Amiri" w:cs="Amiri"/>
          <w:color w:val="111111"/>
          <w:sz w:val="28"/>
          <w:sz w:val="28"/>
          <w:szCs w:val="28"/>
          <w:rtl w:val="true"/>
          <w:lang w:bidi="ar-SA"/>
        </w:rPr>
        <w:t>الْعِلَلُ، عَنْ مُحَمَّدِ بْنِ الْحَسَنِ بْنِ الْوَلِيدِ عَنْ مُحَمَّدِ بْنِ الْحَسَنِ الصَّفَّارِ عَنْ إِبْرَاهِيمَ بْنِ هَاشِمٍ عَنِ النَّوْفَلِيِّ عَنِ السَّكُونِيِّ عَنْ جَعْفَرِ بْنِ مُحَمَّدٍ عَنْ أَبِيهِ عَنْ</w:t>
      </w:r>
    </w:p>
    <w:p>
      <w:pPr>
        <w:pStyle w:val="BookText"/>
        <w:rPr/>
      </w:pPr>
      <w:r>
        <w:rPr>
          <w:rFonts w:ascii="IRNazanin" w:hAnsi="IRNazanin" w:eastAsia="IRNazanin"/>
          <w:color w:val="111111"/>
          <w:sz w:val="28"/>
          <w:sz w:val="28"/>
          <w:szCs w:val="28"/>
          <w:rtl w:val="true"/>
          <w:lang w:bidi="fa-IR"/>
        </w:rPr>
        <w:t>انزال منی در او با جهشی قوی صورت می گیرد و اگر مریض باشد منی با ضعف و سستی خارج می شود</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8" w:name="__RefHeading___Toc605324_1934241801"/>
      <w:bookmarkStart w:id="449" w:name="_Toc206"/>
      <w:bookmarkEnd w:id="448"/>
      <w:r>
        <w:rPr>
          <w:rtl w:val="true"/>
        </w:rPr>
        <w:t xml:space="preserve">روایت </w:t>
      </w:r>
      <w:r>
        <w:rPr/>
        <w:t>11</w:t>
      </w:r>
      <w:bookmarkEnd w:id="449"/>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 بودی و دچار شهوت شدی، چه بسا این امر باعث انزال منی شود، ولی به خاطر بیماری منی به صورت ضعیف و در حالی که دارای هیچ گونه شدّت و قوّتی نیست خارج می شود، اندک اندک و ساعتی از پسِ ساعت دیگر، پس غسل را به جا آور</w:t>
      </w:r>
      <w:r>
        <w:rPr>
          <w:rFonts w:eastAsia="IRNazanin" w:cs="IRNazanin"/>
          <w:color w:val="111111"/>
          <w:sz w:val="28"/>
          <w:szCs w:val="28"/>
          <w:rtl w:val="true"/>
          <w:lang w:bidi="fa-IR"/>
        </w:rPr>
        <w:t>.</w:t>
      </w:r>
      <w:r>
        <w:rPr>
          <w:rStyle w:val="FootnoteAnchor"/>
          <w:rtl w:val="true"/>
        </w:rPr>
        <w:footnoteReference w:id="244"/>
      </w:r>
    </w:p>
    <w:p>
      <w:pPr>
        <w:pStyle w:val="Heading5"/>
        <w:numPr>
          <w:ilvl w:val="4"/>
          <w:numId w:val="1"/>
        </w:numPr>
        <w:rPr/>
      </w:pPr>
      <w:bookmarkStart w:id="450" w:name="__RefHeading___Toc605326_1934241801"/>
      <w:bookmarkStart w:id="451" w:name="_Toc207"/>
      <w:bookmarkEnd w:id="450"/>
      <w:r>
        <w:rPr>
          <w:rtl w:val="true"/>
        </w:rPr>
        <w:t>توضیح</w:t>
      </w:r>
      <w:bookmarkEnd w:id="451"/>
    </w:p>
    <w:p>
      <w:pPr>
        <w:pStyle w:val="BookText"/>
        <w:rPr/>
      </w:pPr>
      <w:r>
        <w:rPr>
          <w:rFonts w:ascii="IRNazanin" w:hAnsi="IRNazanin" w:eastAsia="IRNazanin"/>
          <w:color w:val="111111"/>
          <w:sz w:val="28"/>
          <w:sz w:val="28"/>
          <w:szCs w:val="28"/>
          <w:rtl w:val="true"/>
          <w:lang w:bidi="fa-IR"/>
        </w:rPr>
        <w:t>جمیع فقها بر این باورند که اگر شخص اطمینان حاصل کرد که مایع خارج شده منی است غسل بر او واجب می شود، چه این خارج شدن همراه با صفاتی باشد که در کلام شان ذکر کرده اند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جستن آب با شدت، سستی جسم و شهوت، و چه همراه با این صفات نباشد، امّا اگر ماهیّت مایع خارج شده بر شخص مشتبه گشت، عدّه ای از فقها مانند محقّق و علّامه نشانه هایی چون لذت بردن، جهش یا فشار منی و سستی جسم را برای شخص سالم، و لذت بردن و سستی جسم را برای شخص مریض برای تشخیص ذکر کرده اند، و برای شخص مریض جهش با فشار منی معتبر نیست، چرا که جسم مریض از خارج ساختن منی با فشار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دیگر از فقها مانند شهید در الذکری نشانه های دیگری را نیز برای تشخیص منی ذکر کرده اند، از جمله اینکه بوی آن هنگامی که خیس است به بوی غنچه درخت خرما و خمیر نزدیک است و هنگامی که خشک می شود بویی شبیه به بوی سفیده تخم مرغ از آن استشمام می شود</w:t>
      </w:r>
      <w:r>
        <w:rPr>
          <w:rFonts w:eastAsia="IRNazanin" w:cs="IRNazanin"/>
          <w:color w:val="111111"/>
          <w:sz w:val="28"/>
          <w:szCs w:val="28"/>
          <w:rtl w:val="true"/>
          <w:lang w:bidi="fa-IR"/>
        </w:rPr>
        <w:t>.</w:t>
      </w:r>
    </w:p>
    <w:p>
      <w:pPr>
        <w:pStyle w:val="Heading5"/>
        <w:numPr>
          <w:ilvl w:val="4"/>
          <w:numId w:val="1"/>
        </w:numPr>
        <w:rPr/>
      </w:pPr>
      <w:bookmarkStart w:id="452" w:name="__RefHeading___Toc605328_1934241801"/>
      <w:bookmarkStart w:id="453" w:name="_Toc208"/>
      <w:bookmarkEnd w:id="452"/>
      <w:r>
        <w:rPr>
          <w:rtl w:val="true"/>
        </w:rPr>
        <w:t xml:space="preserve">روایت </w:t>
      </w:r>
      <w:r>
        <w:rPr/>
        <w:t>12</w:t>
      </w:r>
      <w:bookmarkEnd w:id="453"/>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از پدرش و او نیز از پدرانش علیهم السلام روایت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پیامبر صلّی الله علیه و آله هنگامی که غسل جنابت را به جا می آوردند زردی عطر را بر بدن های خویش باقی می گذاشتند، و آن بدین خاطر بود که پیامبر صلّی الله و علیه و آله به آنان امر فرموده بود که آب را یک باره بر بدن خود جاری سازند</w:t>
      </w:r>
      <w:r>
        <w:rPr>
          <w:rFonts w:eastAsia="IRNazanin" w:cs="IRNazanin"/>
          <w:color w:val="111111"/>
          <w:sz w:val="28"/>
          <w:szCs w:val="28"/>
          <w:rtl w:val="true"/>
          <w:lang w:bidi="fa-IR"/>
        </w:rPr>
        <w:t>.</w:t>
      </w:r>
      <w:r>
        <w:rPr>
          <w:rStyle w:val="FootnoteAnchor"/>
          <w:rtl w:val="true"/>
        </w:rPr>
        <w:footnoteReference w:id="245"/>
      </w:r>
    </w:p>
    <w:p>
      <w:pPr>
        <w:pStyle w:val="Heading5"/>
        <w:numPr>
          <w:ilvl w:val="4"/>
          <w:numId w:val="1"/>
        </w:numPr>
        <w:rPr/>
      </w:pPr>
      <w:bookmarkStart w:id="454" w:name="__RefHeading___Toc605330_1934241801"/>
      <w:bookmarkStart w:id="455" w:name="_Toc209"/>
      <w:bookmarkEnd w:id="454"/>
      <w:r>
        <w:rPr>
          <w:rtl w:val="true"/>
        </w:rPr>
        <w:t>توضیح</w:t>
      </w:r>
      <w:bookmarkEnd w:id="455"/>
    </w:p>
    <w:p>
      <w:pPr>
        <w:pStyle w:val="BookText"/>
        <w:rPr/>
      </w:pPr>
      <w:r>
        <w:rPr>
          <w:rFonts w:ascii="IRNazanin" w:hAnsi="IRNazanin" w:eastAsia="IRNazanin"/>
          <w:color w:val="111111"/>
          <w:sz w:val="28"/>
          <w:sz w:val="28"/>
          <w:szCs w:val="28"/>
          <w:rtl w:val="true"/>
          <w:lang w:bidi="fa-IR"/>
        </w:rPr>
        <w:t xml:space="preserve">این حدیث بر حالتی حمل شده است که شیء باقی مانده بر بدن غسل کننده مانع رسیدن آب به بدن او نمی شود و با رسیدن آب به آن شیء، آب تبدیل به آب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و برخی از بزرگان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به بقای چیز خفیفی که عرفاً در غسل تمام بدن اخلال ایجاد نمی کند، نظر بعیدی نیست، البته اگر اجماعی بر خلاف آن وجود نداشته باشد</w:t>
      </w:r>
      <w:r>
        <w:rPr>
          <w:rFonts w:eastAsia="IRNazanin" w:cs="IRNazanin"/>
          <w:color w:val="111111"/>
          <w:sz w:val="28"/>
          <w:szCs w:val="28"/>
          <w:rtl w:val="true"/>
          <w:lang w:bidi="fa-IR"/>
        </w:rPr>
        <w:t>.</w:t>
      </w:r>
    </w:p>
    <w:p>
      <w:pPr>
        <w:pStyle w:val="Heading5"/>
        <w:numPr>
          <w:ilvl w:val="4"/>
          <w:numId w:val="1"/>
        </w:numPr>
        <w:rPr/>
      </w:pPr>
      <w:bookmarkStart w:id="456" w:name="__RefHeading___Toc605332_1934241801"/>
      <w:bookmarkStart w:id="457" w:name="_Toc210"/>
      <w:bookmarkEnd w:id="456"/>
      <w:r>
        <w:rPr>
          <w:rtl w:val="true"/>
        </w:rPr>
        <w:t xml:space="preserve">روایت </w:t>
      </w:r>
      <w:r>
        <w:rPr/>
        <w:t>13</w:t>
      </w:r>
      <w:bookmarkEnd w:id="45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از پدرش و وی نیز از </w:t>
      </w:r>
      <w:bookmarkStart w:id="458" w:name="pg13517_329078"/>
    </w:p>
    <w:p>
      <w:pPr>
        <w:pStyle w:val="BookText"/>
        <w:rPr/>
      </w:pPr>
      <w:bookmarkEnd w:id="458"/>
      <w:r>
        <w:rPr>
          <w:rFonts w:ascii="Amiri" w:hAnsi="Amiri" w:eastAsia="Amiri" w:cs="Amiri"/>
          <w:color w:val="111111"/>
          <w:sz w:val="28"/>
          <w:sz w:val="28"/>
          <w:szCs w:val="28"/>
          <w:rtl w:val="true"/>
          <w:lang w:bidi="ar-SA"/>
        </w:rPr>
        <w:t>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تُسَخِّنُهُ الشَّمْسُ لَا تَتَوَضَّئُوا بِهِ وَ لَا تَغْتَسِلُوا وَ لَا تَعْجِنُوا بِهِ فَإِنَّهُ يُورِثُ الْبَرَصَ‌</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أربعين الشهيد، بإسناده عن الصدوق عن حمزة بن محمد عن علي بن إبراهيم عن أبيه عن الحسين بن الحسن الفارسي عن سليمان بن جعفر عن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459" w:name="__RefHeading___Toc605334_1934241801"/>
      <w:bookmarkStart w:id="460" w:name="_Toc211"/>
      <w:bookmarkEnd w:id="459"/>
      <w:r>
        <w:rPr>
          <w:rtl w:val="true"/>
        </w:rPr>
        <w:t>«</w:t>
      </w:r>
      <w:r>
        <w:rPr/>
        <w:t>14</w:t>
      </w:r>
      <w:r>
        <w:rPr>
          <w:rtl w:val="true"/>
        </w:rPr>
        <w:t>»</w:t>
      </w:r>
      <w:bookmarkEnd w:id="460"/>
    </w:p>
    <w:p>
      <w:pPr>
        <w:pStyle w:val="BookText"/>
        <w:rPr/>
      </w:pPr>
      <w:r>
        <w:rPr>
          <w:rFonts w:ascii="Amiri" w:hAnsi="Amiri" w:eastAsia="Amiri" w:cs="Amiri"/>
          <w:color w:val="111111"/>
          <w:sz w:val="28"/>
          <w:sz w:val="28"/>
          <w:szCs w:val="28"/>
          <w:rtl w:val="true"/>
          <w:lang w:bidi="ar-SA"/>
        </w:rPr>
        <w:t>الْعِلَلُ، عَنْ مُحَمَّدِ بْنِ الْحَسَنِ عَنْ سَعْدِ بْنِ عَبْدِ اللَّهِ عَنْ أَحْمَدَ بْنِ الْحَسَنِ بْنِ عَلِيِّ بْنِ فَضَّالٍ عَنِ الْحَسَنِ بْنِ عَلِيٍّ عَنْ عَبْدِ اللَّهِ بْنِ بُكَيْرٍ عَنْ عَبْدِ اللَّهِ بْنِ أَبِي يَعْفُورٍ عَنْ أَبِي عَبْدِ اللَّهِ عليه السلام فِي خَبَرٍ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أَنْ تَغْتَسِلَ مِنْ غُسَالَةِ الْحَمَّامِ فَفِيهَا تَجْتَمِعُ غُسَالَةُ الْيَهُودِيِّ وَ النَّصْرَانِيِّ وَ الْمَجُوسِيِّ وَ النَّاصِبِ لَنَا أَهْلَ الْبَيْتِ وَ هُوَ شَرُّهُمْ فَإِنَّ اللَّهَ تَبَارَكَ وَ تَعَالَي لَمْ يَخْلُقْ خَلْقاً أَنْجَسَ مِنَ الْكَلْبِ وَ إِنَّ النَّاصِبَ لَنَا أَهْلَ الْبَيْتَ أَنْجَسُ مِنْهُ‌</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1" w:name="__RefHeading___Toc605336_1934241801"/>
      <w:bookmarkStart w:id="462" w:name="_Toc212"/>
      <w:bookmarkEnd w:id="461"/>
      <w:r>
        <w:rPr>
          <w:rtl w:val="true"/>
        </w:rPr>
        <w:t>«</w:t>
      </w:r>
      <w:r>
        <w:rPr/>
        <w:t>15</w:t>
      </w:r>
      <w:r>
        <w:rPr>
          <w:rtl w:val="true"/>
        </w:rPr>
        <w:t>»</w:t>
      </w:r>
      <w:bookmarkEnd w:id="462"/>
    </w:p>
    <w:p>
      <w:pPr>
        <w:pStyle w:val="BookText"/>
        <w:rPr/>
      </w:pPr>
      <w:r>
        <w:rPr>
          <w:rFonts w:ascii="Amiri" w:hAnsi="Amiri" w:eastAsia="Amiri" w:cs="Amiri"/>
          <w:color w:val="111111"/>
          <w:sz w:val="28"/>
          <w:sz w:val="28"/>
          <w:szCs w:val="28"/>
          <w:rtl w:val="true"/>
          <w:lang w:bidi="ar-SA"/>
        </w:rPr>
        <w:t>مَجَالِسُ الصَّدُوقِ‌</w:t>
      </w:r>
      <w:r>
        <w:rPr>
          <w:rStyle w:val="FootnoteAnchor"/>
          <w:rtl w:val="true"/>
        </w:rPr>
        <w:footnoteReference w:id="248"/>
      </w:r>
      <w:r>
        <w:rPr>
          <w:rFonts w:ascii="Amiri" w:hAnsi="Amiri" w:eastAsia="Amiri" w:cs="Amiri"/>
          <w:color w:val="111111"/>
          <w:sz w:val="28"/>
          <w:sz w:val="28"/>
          <w:szCs w:val="28"/>
          <w:rtl w:val="true"/>
          <w:lang w:bidi="ar-SA"/>
        </w:rPr>
        <w:t>، وَ الْخِصَالُ، عَنْ مُحَمَّدِ بْنِ مُوسَي بْنِ الْمُتَوَكِّلِ عَنْ سَعْدِ بْنِ عَبْدِ اللَّهِ عَنْ إِبْرَاهِيمَ بْنِ هَاشِمٍ عَنِ الْحُسَيْنِ بْنِ الْحَسَنِ الْقُرَشِيِّ عَنْ سُلَيْمَانَ بْنِ جَعْفَرٍ الْبَصْرِيِّ عَنْ عَبْدِ اللَّهِ بْنِ الْحُسَيْنِ بْنِ زَيْدٍ عَنْ أَبِيهِ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كَرِهَ لَكُمْ أَيَّتُهَا الْأُمَّةُ أَرْبَعاً وَ عِشْرِينَ خَصْلَةً وَ نَهَاكُمْ عَنْهَا وَ سَاقَ الْحَدِيثَ إِلَي قَوْلِهِ وَ كَرِهَ الْغُسْلَ تَحْتَ السَّمَاءِ بِغَيْرِ مِئْزَرٍ وَ كَرِهَ دُخُولَ الْأَنْهَارِ إِلَّا بِمِئْزَرٍ وَ قَالَ فِي الْأَنْهَارِ عُمَّارٌ وَ سُكَّانٌ مِنَ الْمَلَائِكَةِ وَ كَرِهَ أَنْ يَغْشَي الرَّجُلُ الْمَرْأَةَ وَ قَدِ احْتَلَمَ حَتَّي يَغْتَسِلَ مِنِ احْتِلَامِهِ الَّذِي رَأَي فَإِنْ فَعَلَ وَ خَرَجَ الْوَلَدُ مَجْنُوناً فَلَا يَلُومَنَّ إِلَّا نَفْسَهُ‌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3" w:name="__RefHeading___Toc605338_1934241801"/>
      <w:bookmarkStart w:id="464" w:name="_Toc213"/>
      <w:bookmarkEnd w:id="463"/>
      <w:r>
        <w:rPr>
          <w:rtl w:val="true"/>
        </w:rPr>
        <w:t>«</w:t>
      </w:r>
      <w:r>
        <w:rPr/>
        <w:t>16</w:t>
      </w:r>
      <w:r>
        <w:rPr>
          <w:rtl w:val="true"/>
        </w:rPr>
        <w:t>»</w:t>
      </w:r>
      <w:bookmarkEnd w:id="464"/>
    </w:p>
    <w:p>
      <w:pPr>
        <w:pStyle w:val="BookText"/>
        <w:rPr/>
      </w:pPr>
      <w:r>
        <w:rPr>
          <w:rFonts w:ascii="Amiri" w:hAnsi="Amiri" w:eastAsia="Amiri" w:cs="Amiri"/>
          <w:color w:val="111111"/>
          <w:sz w:val="28"/>
          <w:sz w:val="28"/>
          <w:szCs w:val="28"/>
          <w:rtl w:val="true"/>
          <w:lang w:bidi="ar-SA"/>
        </w:rPr>
        <w:t>وَ مِنْهُمَا، عَنْ حَمْزَةَ بْنِ مُحَمَّدٍ الْعَلَوِيِّ عَنْ عَبْدِ الْعَزِيزِ بْنِ مُحَمَّدٍ الْأَبْهَرِيِ</w:t>
      </w:r>
    </w:p>
    <w:p>
      <w:pPr>
        <w:pStyle w:val="BookText"/>
        <w:rPr/>
      </w:pPr>
      <w:r>
        <w:rPr>
          <w:rFonts w:ascii="IRNazanin" w:hAnsi="IRNazanin" w:eastAsia="IRNazanin"/>
          <w:color w:val="111111"/>
          <w:sz w:val="28"/>
          <w:sz w:val="28"/>
          <w:szCs w:val="28"/>
          <w:rtl w:val="true"/>
          <w:lang w:bidi="fa-IR"/>
        </w:rPr>
        <w:t>پدرانش علیهم السلام روایت کرده که 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آبی که به وسیله حرارت خورشید داغ شده است وضو نگیرید، غسل نکنید و خمیر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باعث بیماری پیسی می شود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أربعین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شیخ صدوق از السکونیّ نظیر این حدیث روایت شده است</w:t>
      </w:r>
      <w:r>
        <w:rPr>
          <w:rFonts w:eastAsia="IRNazanin" w:cs="IRNazanin"/>
          <w:color w:val="111111"/>
          <w:sz w:val="28"/>
          <w:szCs w:val="28"/>
          <w:rtl w:val="true"/>
          <w:lang w:bidi="fa-IR"/>
        </w:rPr>
        <w:t>.</w:t>
      </w:r>
    </w:p>
    <w:p>
      <w:pPr>
        <w:pStyle w:val="Heading5"/>
        <w:numPr>
          <w:ilvl w:val="4"/>
          <w:numId w:val="1"/>
        </w:numPr>
        <w:rPr/>
      </w:pPr>
      <w:bookmarkStart w:id="465" w:name="__RefHeading___Toc605340_1934241801"/>
      <w:bookmarkStart w:id="466" w:name="_Toc214"/>
      <w:bookmarkEnd w:id="465"/>
      <w:r>
        <w:rPr>
          <w:rtl w:val="true"/>
        </w:rPr>
        <w:t xml:space="preserve">روایت </w:t>
      </w:r>
      <w:r>
        <w:rPr/>
        <w:t>14</w:t>
      </w:r>
      <w:bookmarkEnd w:id="466"/>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أَبِی یَعْفُور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ضمن حدیثی طولانی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 از اینکه با آب خارج شده از حمّام غسل نمایی، چرا که آب مورد استفاده برای غسل یهودی، مسیحی، مجوسی و ناصب اهل بیت که از همه بدتر است در آن جمع شده است، همانا خداوند متعال موجودی نجس تر از سگ نیافریده است، و ناسزاگوی به ما اهل بیت، از سگ نجس تر است</w:t>
      </w:r>
      <w:r>
        <w:rPr>
          <w:rFonts w:eastAsia="IRNazanin" w:cs="IRNazanin"/>
          <w:color w:val="111111"/>
          <w:sz w:val="28"/>
          <w:szCs w:val="28"/>
          <w:rtl w:val="true"/>
          <w:lang w:bidi="fa-IR"/>
        </w:rPr>
        <w:t>.</w:t>
      </w:r>
      <w:r>
        <w:rPr>
          <w:rStyle w:val="FootnoteAnchor"/>
          <w:rtl w:val="true"/>
        </w:rPr>
        <w:footnoteReference w:id="251"/>
      </w:r>
    </w:p>
    <w:p>
      <w:pPr>
        <w:pStyle w:val="Heading5"/>
        <w:numPr>
          <w:ilvl w:val="4"/>
          <w:numId w:val="1"/>
        </w:numPr>
        <w:rPr/>
      </w:pPr>
      <w:bookmarkStart w:id="467" w:name="__RefHeading___Toc605342_1934241801"/>
      <w:bookmarkStart w:id="468" w:name="_Toc215"/>
      <w:bookmarkEnd w:id="467"/>
      <w:r>
        <w:rPr>
          <w:rtl w:val="true"/>
        </w:rPr>
        <w:t xml:space="preserve">روایت </w:t>
      </w:r>
      <w:r>
        <w:rPr/>
        <w:t>15</w:t>
      </w:r>
      <w:bookmarkEnd w:id="468"/>
    </w:p>
    <w:p>
      <w:pPr>
        <w:pStyle w:val="BookText"/>
        <w:rPr/>
      </w:pPr>
      <w:r>
        <w:rPr>
          <w:rFonts w:ascii="IRNazanin" w:hAnsi="IRNazanin" w:eastAsia="IRNazanin"/>
          <w:color w:val="111111"/>
          <w:sz w:val="28"/>
          <w:sz w:val="28"/>
          <w:szCs w:val="28"/>
          <w:rtl w:val="true"/>
          <w:lang w:bidi="fa-IR"/>
        </w:rPr>
        <w:t>مجالس الصدوق 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علیهم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به راستی که خداوند متعال بیست و چهار خصلت را برای شما ناپسند شمرده و شما را از انجام آن ها نهی فرموده است، و حدیث را پی گرفته تا جایی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نمودن در فضای باز و همچنین وارد شدن به رودخانه بدون پوشش و حجاب ناپسند و مکروه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رودخانه ها مؤمنان و ساکنانی از ملائکه قرار دارند، و ناپسند شمرده که مرد در حالی که محتلم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از او منی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همسر خویش جماع کند، مگر بعد از به جا آوردن غسل احتلام، و اگر چنین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حال احتلام و قبل از غسل با همسر خویش همبستر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فرزند دیوانه ای شد، جز خود کسی را سرزنش نکند</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9" w:name="__RefHeading___Toc605344_1934241801"/>
      <w:bookmarkStart w:id="470" w:name="_Toc216"/>
      <w:bookmarkEnd w:id="469"/>
      <w:r>
        <w:rPr>
          <w:rtl w:val="true"/>
        </w:rPr>
        <w:t xml:space="preserve">روایت </w:t>
      </w:r>
      <w:r>
        <w:rPr/>
        <w:t>16</w:t>
      </w:r>
      <w:bookmarkEnd w:id="47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الصدوق والخصال</w:t>
      </w:r>
      <w:r>
        <w:rPr>
          <w:rFonts w:eastAsia="IRNazanin" w:cs="IRNazanin"/>
          <w:color w:val="111111"/>
          <w:sz w:val="28"/>
          <w:szCs w:val="28"/>
          <w:rtl w:val="true"/>
          <w:lang w:bidi="fa-IR"/>
        </w:rPr>
        <w:t xml:space="preserve">: </w:t>
      </w:r>
      <w:bookmarkStart w:id="471" w:name="pg13517_329079"/>
    </w:p>
    <w:p>
      <w:pPr>
        <w:pStyle w:val="BookText"/>
        <w:rPr/>
      </w:pPr>
      <w:bookmarkEnd w:id="471"/>
      <w:r>
        <w:rPr>
          <w:rFonts w:ascii="Amiri" w:hAnsi="Amiri" w:eastAsia="Amiri" w:cs="Amiri"/>
          <w:color w:val="111111"/>
          <w:sz w:val="28"/>
          <w:sz w:val="28"/>
          <w:szCs w:val="28"/>
          <w:rtl w:val="true"/>
          <w:lang w:bidi="ar-SA"/>
        </w:rPr>
        <w:t>عَنْ مُحَمَّدِ بْنِ زَكَرِيَّا الْجَوْهَرِيِّ عَنْ شُعَيْبِ بْنِ وَاقِدٍ عَنِ الصَّادِقِ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رَسُولُ اللَّهِ صلي الله عليه و آله عَنِ الْأَكْلِ عَلَي الْجَنَابَةِ وَ قَالَ إِنَّهُ يُورِثُ الْفَقْرَ وَ قَالَ إِذَا اغْتَسَلَ أَحَدُكُمْ فِي فَضَاءِ الْأَرْضِ فَلْيُحَاذِرْ عَلَي عَوْرَتِهِ وَ نَهَي أَنْ يَقْعُدَ الرَّجُلُ فِي الْمَسْجِدِ وَ هُوَ جُنُبٌ‌</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2" w:name="__RefHeading___Toc605346_1934241801"/>
      <w:bookmarkStart w:id="473" w:name="_Toc217"/>
      <w:bookmarkEnd w:id="472"/>
      <w:r>
        <w:rPr>
          <w:rtl w:val="true"/>
        </w:rPr>
        <w:t>«</w:t>
      </w:r>
      <w:r>
        <w:rPr/>
        <w:t>17</w:t>
      </w:r>
      <w:r>
        <w:rPr>
          <w:rtl w:val="true"/>
        </w:rPr>
        <w:t>»</w:t>
      </w:r>
      <w:bookmarkEnd w:id="473"/>
    </w:p>
    <w:p>
      <w:pPr>
        <w:pStyle w:val="BookText"/>
        <w:rPr/>
      </w:pPr>
      <w:r>
        <w:rPr>
          <w:rFonts w:ascii="Amiri" w:hAnsi="Amiri" w:eastAsia="Amiri" w:cs="Amiri"/>
          <w:color w:val="111111"/>
          <w:sz w:val="28"/>
          <w:sz w:val="28"/>
          <w:szCs w:val="28"/>
          <w:rtl w:val="true"/>
          <w:lang w:bidi="ar-SA"/>
        </w:rPr>
        <w:t>وَ مِنَ الْمَجَالِسِ، عَنْ أَبِيهِ عَنْ سَعْدِ بْنِ عَبْدِ اللَّهِ عَنْ مُحَمَّدِ بْنِ الْحُسَيْنِ عَنْ جَعْفَرِ بْنِ بَشِيرٍ عَنْ حُجْرِ بْنِ زَائِدَةَ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شَعْرَةً مِنَ الْجَنَابَةِ مُتَعَمِّداً فَهُوَ فِي النَّارِ</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4" w:name="__RefHeading___Toc605348_1934241801"/>
      <w:bookmarkStart w:id="475" w:name="_Toc218"/>
      <w:bookmarkEnd w:id="474"/>
      <w:r>
        <w:rPr>
          <w:rtl w:val="true"/>
        </w:rPr>
        <w:t>بيان</w:t>
      </w:r>
      <w:bookmarkEnd w:id="475"/>
    </w:p>
    <w:p>
      <w:pPr>
        <w:pStyle w:val="BookText"/>
        <w:rPr/>
      </w:pPr>
      <w:r>
        <w:rPr>
          <w:rFonts w:ascii="Amiri" w:hAnsi="Amiri" w:eastAsia="Amiri" w:cs="Amiri"/>
          <w:color w:val="111111"/>
          <w:sz w:val="28"/>
          <w:sz w:val="28"/>
          <w:szCs w:val="28"/>
          <w:rtl w:val="true"/>
          <w:lang w:bidi="ar-SA"/>
        </w:rPr>
        <w:t>لعل المراد بالشعرة قدرها أو تحتها</w:t>
      </w:r>
      <w:r>
        <w:rPr>
          <w:rFonts w:eastAsia="Amiri" w:cs="Amiri" w:ascii="Amiri" w:hAnsi="Amiri"/>
          <w:color w:val="111111"/>
          <w:sz w:val="28"/>
          <w:szCs w:val="28"/>
          <w:rtl w:val="true"/>
          <w:lang w:bidi="ar-SA"/>
        </w:rPr>
        <w:t>.</w:t>
      </w:r>
    </w:p>
    <w:p>
      <w:pPr>
        <w:pStyle w:val="Heading5"/>
        <w:numPr>
          <w:ilvl w:val="4"/>
          <w:numId w:val="1"/>
        </w:numPr>
        <w:rPr/>
      </w:pPr>
      <w:bookmarkStart w:id="476" w:name="__RefHeading___Toc605350_1934241801"/>
      <w:bookmarkStart w:id="477" w:name="_Toc219"/>
      <w:bookmarkEnd w:id="476"/>
      <w:r>
        <w:rPr>
          <w:rtl w:val="true"/>
        </w:rPr>
        <w:t>«</w:t>
      </w:r>
      <w:r>
        <w:rPr/>
        <w:t>18</w:t>
      </w:r>
      <w:r>
        <w:rPr>
          <w:rtl w:val="true"/>
        </w:rPr>
        <w:t>»</w:t>
      </w:r>
      <w:bookmarkEnd w:id="477"/>
    </w:p>
    <w:p>
      <w:pPr>
        <w:pStyle w:val="BookText"/>
        <w:rPr/>
      </w:pPr>
      <w:r>
        <w:rPr>
          <w:rFonts w:ascii="Amiri" w:hAnsi="Amiri" w:eastAsia="Amiri" w:cs="Amiri"/>
          <w:color w:val="111111"/>
          <w:sz w:val="28"/>
          <w:sz w:val="28"/>
          <w:szCs w:val="28"/>
          <w:rtl w:val="true"/>
          <w:lang w:bidi="ar-SA"/>
        </w:rPr>
        <w:t>وَ مِنَ الْمَجَالِسِ، عَنْ مُحَمَّدِ بْنِ عُمَرَ الْبَغْدَادِيِّ عَنِ الْحَسَنِ بْنِ عَبْدِ اللَّهِ بْنِ مُحَمَّدٍ التَّيْمِيِّ عَنْ أَبِيهِ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لِأَحَدٍ أَنْ يُجْنِبَ فِي هَذَا الْمَسْجِدِ إِلَّا أَنَا وَ عَلِيٌّ وَ فَاطِمَةُ وَ الْحَسَنُ وَ الْحُسَيْنُ وَ مَنْ كَانَ مِنْ أَهْلِي فَإِنَّهُ مِنِّي‌</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8" w:name="__RefHeading___Toc605352_1934241801"/>
      <w:bookmarkStart w:id="479" w:name="_Toc220"/>
      <w:bookmarkEnd w:id="478"/>
      <w:r>
        <w:rPr>
          <w:rtl w:val="true"/>
        </w:rPr>
        <w:t>«</w:t>
      </w:r>
      <w:r>
        <w:rPr/>
        <w:t>19</w:t>
      </w:r>
      <w:r>
        <w:rPr>
          <w:rtl w:val="true"/>
        </w:rPr>
        <w:t>»</w:t>
      </w:r>
      <w:bookmarkEnd w:id="479"/>
    </w:p>
    <w:p>
      <w:pPr>
        <w:pStyle w:val="BookText"/>
        <w:rPr/>
      </w:pPr>
      <w:r>
        <w:rPr>
          <w:rFonts w:ascii="Amiri" w:hAnsi="Amiri" w:eastAsia="Amiri" w:cs="Amiri"/>
          <w:color w:val="111111"/>
          <w:sz w:val="28"/>
          <w:sz w:val="28"/>
          <w:szCs w:val="28"/>
          <w:rtl w:val="true"/>
          <w:lang w:bidi="ar-SA"/>
        </w:rPr>
        <w:t>وَ مِنْهُ‌</w:t>
      </w:r>
      <w:r>
        <w:rPr>
          <w:rStyle w:val="FootnoteAnchor"/>
          <w:rtl w:val="true"/>
        </w:rPr>
        <w:footnoteReference w:id="256"/>
      </w:r>
      <w:r>
        <w:rPr>
          <w:rFonts w:ascii="Amiri" w:hAnsi="Amiri" w:eastAsia="Amiri" w:cs="Amiri"/>
          <w:color w:val="111111"/>
          <w:sz w:val="28"/>
          <w:sz w:val="28"/>
          <w:szCs w:val="28"/>
          <w:rtl w:val="true"/>
          <w:lang w:bidi="ar-SA"/>
        </w:rPr>
        <w:t>، وَ مِنَ الْعُيُونِ، عَنْ عَلِيِّ بْنِ الْحُسَيْنِ بْنِ شَاذَوَيْهِ وَ جَعْفَرِ بْنِ مُحَمَّدِ بْنِ مَسْرُورٍ عَنْ مُحَمَّدِ بْنِ عَبْدِ اللَّهِ الْحِمْيَرِيِّ عَنْ أَبِيهِ عَنِ الرَّيَّانِ بْنِ الصَّلْتِ عَنِ الرِّضَا عليه السلام فِي حَدِيثٍ طَوِيلٍ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هَذَا الْمَسْجِدَ لَا يَحِلُّ لِجُنُبٍ إِلَّا لِمُحَمَّدٍ وَ آلِهِ‌</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0" w:name="__RefHeading___Toc605354_1934241801"/>
      <w:bookmarkStart w:id="481" w:name="_Toc221"/>
      <w:bookmarkEnd w:id="480"/>
      <w:r>
        <w:rPr>
          <w:rtl w:val="true"/>
        </w:rPr>
        <w:t>بيان</w:t>
      </w:r>
      <w:bookmarkEnd w:id="481"/>
    </w:p>
    <w:p>
      <w:pPr>
        <w:pStyle w:val="BookText"/>
        <w:rPr/>
      </w:pPr>
      <w:r>
        <w:rPr>
          <w:rFonts w:ascii="Amiri" w:hAnsi="Amiri" w:eastAsia="Amiri" w:cs="Amiri"/>
          <w:color w:val="111111"/>
          <w:sz w:val="28"/>
          <w:sz w:val="28"/>
          <w:szCs w:val="28"/>
          <w:rtl w:val="true"/>
          <w:lang w:bidi="ar-SA"/>
        </w:rPr>
        <w:t>نقل ابن زهرة الإجماع علي عدم جواز دخول الجنب و الحائض المسجد الحرام و مسجد الرسول صلي الله عليه و آله مطلقا و قال في التذكرة إليه ذهب علماؤنا و الصدوق و المفيد أطلقا المنع من دخول المسجد إلا مجتازا من غير ذكر الفرق</w:t>
      </w:r>
    </w:p>
    <w:p>
      <w:pPr>
        <w:pStyle w:val="BookText"/>
        <w:rPr/>
      </w:pPr>
      <w:r>
        <w:rPr>
          <w:rFonts w:ascii="IRNazanin" w:hAnsi="IRNazanin" w:eastAsia="IRNazanin"/>
          <w:color w:val="111111"/>
          <w:sz w:val="28"/>
          <w:sz w:val="28"/>
          <w:szCs w:val="28"/>
          <w:rtl w:val="true"/>
          <w:lang w:bidi="fa-IR"/>
        </w:rPr>
        <w:t>امام صادق علیه السلام از پدرانش علیهم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غذا خوردن در حال جنابت را منع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فقر می شود، سپس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در فضای آزاد غسل نمودید عورت خود را پوشیده دارید؛ همچنین پیامبر از نشستن مرد جنب در مسجد نهی فرموده است</w:t>
      </w:r>
      <w:r>
        <w:rPr>
          <w:rFonts w:eastAsia="IRNazanin" w:cs="IRNazanin"/>
          <w:color w:val="111111"/>
          <w:sz w:val="28"/>
          <w:szCs w:val="28"/>
          <w:rtl w:val="true"/>
          <w:lang w:bidi="fa-IR"/>
        </w:rPr>
        <w:t>.</w:t>
      </w:r>
      <w:r>
        <w:rPr>
          <w:rStyle w:val="FootnoteAnchor"/>
          <w:rtl w:val="true"/>
        </w:rPr>
        <w:footnoteReference w:id="258"/>
      </w:r>
    </w:p>
    <w:p>
      <w:pPr>
        <w:pStyle w:val="Heading5"/>
        <w:numPr>
          <w:ilvl w:val="4"/>
          <w:numId w:val="1"/>
        </w:numPr>
        <w:rPr/>
      </w:pPr>
      <w:bookmarkStart w:id="482" w:name="__RefHeading___Toc605356_1934241801"/>
      <w:bookmarkStart w:id="483" w:name="_Toc222"/>
      <w:bookmarkEnd w:id="482"/>
      <w:r>
        <w:rPr>
          <w:rtl w:val="true"/>
        </w:rPr>
        <w:t xml:space="preserve">روایت </w:t>
      </w:r>
      <w:r>
        <w:rPr/>
        <w:t>17</w:t>
      </w:r>
      <w:bookmarkEnd w:id="483"/>
    </w:p>
    <w:p>
      <w:pPr>
        <w:pStyle w:val="BookText"/>
        <w:rPr/>
      </w:pP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هنگام غسل جنابت تار مویی را از روی عمد نشوید، جایگاهش در آتش است</w:t>
      </w:r>
      <w:r>
        <w:rPr>
          <w:rFonts w:eastAsia="IRNazanin" w:cs="IRNazanin"/>
          <w:color w:val="111111"/>
          <w:sz w:val="28"/>
          <w:szCs w:val="28"/>
          <w:rtl w:val="true"/>
          <w:lang w:bidi="fa-IR"/>
        </w:rPr>
        <w:t>.</w:t>
      </w:r>
      <w:r>
        <w:rPr>
          <w:rStyle w:val="FootnoteAnchor"/>
          <w:rtl w:val="true"/>
        </w:rPr>
        <w:footnoteReference w:id="259"/>
      </w:r>
    </w:p>
    <w:p>
      <w:pPr>
        <w:pStyle w:val="Heading5"/>
        <w:numPr>
          <w:ilvl w:val="4"/>
          <w:numId w:val="1"/>
        </w:numPr>
        <w:rPr/>
      </w:pPr>
      <w:bookmarkStart w:id="484" w:name="__RefHeading___Toc605358_1934241801"/>
      <w:bookmarkStart w:id="485" w:name="_Toc223"/>
      <w:bookmarkEnd w:id="484"/>
      <w:r>
        <w:rPr>
          <w:rtl w:val="true"/>
        </w:rPr>
        <w:t>توضیح</w:t>
      </w:r>
      <w:bookmarkEnd w:id="485"/>
    </w:p>
    <w:p>
      <w:pPr>
        <w:pStyle w:val="BookText"/>
        <w:rPr/>
      </w:pPr>
      <w:r>
        <w:rPr>
          <w:rFonts w:ascii="IRNazanin" w:hAnsi="IRNazanin" w:eastAsia="IRNazanin"/>
          <w:color w:val="111111"/>
          <w:sz w:val="28"/>
          <w:sz w:val="28"/>
          <w:szCs w:val="28"/>
          <w:rtl w:val="true"/>
          <w:lang w:bidi="fa-IR"/>
        </w:rPr>
        <w:t>مراد از تار مو اندازه آن یا پوست زیر آن است</w:t>
      </w:r>
    </w:p>
    <w:p>
      <w:pPr>
        <w:pStyle w:val="Heading5"/>
        <w:numPr>
          <w:ilvl w:val="4"/>
          <w:numId w:val="1"/>
        </w:numPr>
        <w:rPr/>
      </w:pPr>
      <w:bookmarkStart w:id="486" w:name="__RefHeading___Toc605360_1934241801"/>
      <w:bookmarkStart w:id="487" w:name="_Toc224"/>
      <w:bookmarkEnd w:id="486"/>
      <w:r>
        <w:rPr>
          <w:rtl w:val="true"/>
        </w:rPr>
        <w:t xml:space="preserve">روایت </w:t>
      </w:r>
      <w:r>
        <w:rPr/>
        <w:t>18</w:t>
      </w:r>
      <w:bookmarkEnd w:id="487"/>
    </w:p>
    <w:p>
      <w:pPr>
        <w:pStyle w:val="BookText"/>
        <w:rPr/>
      </w:pP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علیهم السلام نقل کرده که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هیچ کسی جایز نیست که در این مسجد جنب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جنابت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علی، فاطمه، حسن و حسین، و هر که از خانواده من باشد از من است</w:t>
      </w:r>
      <w:r>
        <w:rPr>
          <w:rFonts w:eastAsia="IRNazanin" w:cs="IRNazanin"/>
          <w:color w:val="111111"/>
          <w:sz w:val="28"/>
          <w:szCs w:val="28"/>
          <w:rtl w:val="true"/>
          <w:lang w:bidi="fa-IR"/>
        </w:rPr>
        <w:t>.</w:t>
      </w:r>
      <w:r>
        <w:rPr>
          <w:rStyle w:val="FootnoteAnchor"/>
          <w:rtl w:val="true"/>
        </w:rPr>
        <w:footnoteReference w:id="260"/>
      </w:r>
    </w:p>
    <w:p>
      <w:pPr>
        <w:pStyle w:val="Heading5"/>
        <w:numPr>
          <w:ilvl w:val="4"/>
          <w:numId w:val="1"/>
        </w:numPr>
        <w:rPr/>
      </w:pPr>
      <w:bookmarkStart w:id="488" w:name="__RefHeading___Toc605362_1934241801"/>
      <w:bookmarkStart w:id="489" w:name="_Toc225"/>
      <w:bookmarkEnd w:id="488"/>
      <w:r>
        <w:rPr>
          <w:rtl w:val="true"/>
        </w:rPr>
        <w:t xml:space="preserve">روایت </w:t>
      </w:r>
      <w:r>
        <w:rPr/>
        <w:t>19</w:t>
      </w:r>
      <w:bookmarkEnd w:id="489"/>
    </w:p>
    <w:p>
      <w:pPr>
        <w:pStyle w:val="BookText"/>
        <w:rPr/>
      </w:pPr>
      <w:r>
        <w:rPr>
          <w:rFonts w:ascii="IRNazanin" w:hAnsi="IRNazanin" w:eastAsia="IRNazanin"/>
          <w:color w:val="111111"/>
          <w:sz w:val="28"/>
          <w:sz w:val="28"/>
          <w:szCs w:val="28"/>
          <w:rtl w:val="true"/>
          <w:lang w:bidi="fa-IR"/>
        </w:rPr>
        <w:t>المجالس و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طولانی از امام رضا علیه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توقف در این مسجد برای هیچ جنبی جز محمّد و آل او جایز نیست</w:t>
      </w:r>
      <w:r>
        <w:rPr>
          <w:rFonts w:eastAsia="IRNazanin" w:cs="IRNazanin"/>
          <w:color w:val="111111"/>
          <w:sz w:val="28"/>
          <w:szCs w:val="28"/>
          <w:rtl w:val="true"/>
          <w:lang w:bidi="fa-IR"/>
        </w:rPr>
        <w:t>.</w:t>
      </w:r>
      <w:r>
        <w:rPr>
          <w:rStyle w:val="FootnoteAnchor"/>
          <w:rtl w:val="true"/>
        </w:rPr>
        <w:footnoteReference w:id="261"/>
      </w:r>
    </w:p>
    <w:p>
      <w:pPr>
        <w:pStyle w:val="Heading5"/>
        <w:numPr>
          <w:ilvl w:val="4"/>
          <w:numId w:val="1"/>
        </w:numPr>
        <w:rPr/>
      </w:pPr>
      <w:bookmarkStart w:id="490" w:name="__RefHeading___Toc605364_1934241801"/>
      <w:bookmarkStart w:id="491" w:name="_Toc226"/>
      <w:bookmarkEnd w:id="490"/>
      <w:r>
        <w:rPr>
          <w:rtl w:val="true"/>
        </w:rPr>
        <w:t>توضیح</w:t>
      </w:r>
      <w:bookmarkEnd w:id="49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زهره اجماع نظر فقها مبنی بر عدم جواز وارد شدن جنب وحائض به مسجدالحرام و مسجدالنبی را به صورت مطلق ذکر کرده و در التذکره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ما بر این باور بوده اند؛ و شیخ صدوق و مفید حُکم به منع مطلق وارد شدن جنب وحائض به مسجد داده اند جز اینکه در حال گذر باشد، و فرقی بین </w:t>
      </w:r>
      <w:bookmarkStart w:id="492" w:name="pg13517_329080"/>
    </w:p>
    <w:p>
      <w:pPr>
        <w:pStyle w:val="BookText"/>
        <w:rPr/>
      </w:pPr>
      <w:bookmarkEnd w:id="492"/>
      <w:r>
        <w:rPr>
          <w:rFonts w:ascii="Amiri" w:hAnsi="Amiri" w:eastAsia="Amiri" w:cs="Amiri"/>
          <w:color w:val="111111"/>
          <w:sz w:val="28"/>
          <w:sz w:val="28"/>
          <w:szCs w:val="28"/>
          <w:rtl w:val="true"/>
          <w:lang w:bidi="ar-SA"/>
        </w:rPr>
        <w:t>بين المسجدين و غيرهما ثم إن هذين الخبرين و غيرهما من الأخبار المتواترة دلت علي استثناء المعصومين عليهم السلام من هذا الحكم و لم يتعرض له الأصحاب</w:t>
      </w:r>
      <w:r>
        <w:rPr>
          <w:rFonts w:eastAsia="Amiri" w:cs="Amiri" w:ascii="Amiri" w:hAnsi="Amiri"/>
          <w:color w:val="111111"/>
          <w:sz w:val="28"/>
          <w:szCs w:val="28"/>
          <w:rtl w:val="true"/>
          <w:lang w:bidi="ar-SA"/>
        </w:rPr>
        <w:t>.</w:t>
      </w:r>
    </w:p>
    <w:p>
      <w:pPr>
        <w:pStyle w:val="Heading5"/>
        <w:numPr>
          <w:ilvl w:val="4"/>
          <w:numId w:val="1"/>
        </w:numPr>
        <w:rPr/>
      </w:pPr>
      <w:bookmarkStart w:id="493" w:name="__RefHeading___Toc605366_1934241801"/>
      <w:bookmarkStart w:id="494" w:name="_Toc227"/>
      <w:bookmarkEnd w:id="493"/>
      <w:r>
        <w:rPr>
          <w:rtl w:val="true"/>
        </w:rPr>
        <w:t>«</w:t>
      </w:r>
      <w:r>
        <w:rPr/>
        <w:t>20</w:t>
      </w:r>
      <w:r>
        <w:rPr>
          <w:rtl w:val="true"/>
        </w:rPr>
        <w:t>»</w:t>
      </w:r>
      <w:bookmarkEnd w:id="494"/>
    </w:p>
    <w:p>
      <w:pPr>
        <w:pStyle w:val="BookText"/>
        <w:rPr/>
      </w:pPr>
      <w:r>
        <w:rPr>
          <w:rFonts w:ascii="Amiri" w:hAnsi="Amiri" w:eastAsia="Amiri" w:cs="Amiri"/>
          <w:color w:val="111111"/>
          <w:sz w:val="28"/>
          <w:sz w:val="28"/>
          <w:szCs w:val="28"/>
          <w:rtl w:val="true"/>
          <w:lang w:bidi="ar-SA"/>
        </w:rPr>
        <w:t>الْخِصَالُ، عَنْ جَعْفَرِ بْنِ مُحَمَّدِ بْنِ مَسْرُورٍ عَنِ الْحُسَيْنِ بْنِ مُحَمَّدِ بْنِ عَامِرٍ عَنْ عَمِّهِ عَبْدِ اللَّهِ عَنْ أَبِي أَحْمَدَ مُحَمَّدِ بْنِ زِيَادٍ الْأَزْدِيِّ عَنْ أَبَانِ بْنِ عُثْمَانَ عَنْ أَبَانِ بْنِ تَغْلِبَ عَنْ عِكْرِمَةَ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خِصَالٍ تُورِثُ الْبَرَصَ النُّورَةُ يَوْمَ الْجُمُعَةِ وَ يَوْمَ الْأَرْبِعَاءِ وَ التَّوَضِّي وَ الِاغْتِسَالُ بِالْمَاءِ الَّذِي تُسَخِّنُهُ الشَّمْسُ وَ الْأَكْلُ عَلَي الْجَنَابَةِ وَ غِشْيَانُ الْمَرْأَةِ فِي أَيَّامِ حَيْضِهَا وَ الْأَكْلُ عَلَي الشِّبَعِ‌</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5" w:name="__RefHeading___Toc605368_1934241801"/>
      <w:bookmarkStart w:id="496" w:name="_Toc228"/>
      <w:bookmarkEnd w:id="495"/>
      <w:r>
        <w:rPr>
          <w:rtl w:val="true"/>
        </w:rPr>
        <w:t>تبيين</w:t>
      </w:r>
      <w:bookmarkEnd w:id="496"/>
    </w:p>
    <w:p>
      <w:pPr>
        <w:pStyle w:val="BookText"/>
        <w:rPr/>
      </w:pPr>
      <w:r>
        <w:rPr>
          <w:rFonts w:ascii="Amiri" w:hAnsi="Amiri" w:eastAsia="Amiri" w:cs="Amiri"/>
          <w:color w:val="111111"/>
          <w:sz w:val="28"/>
          <w:sz w:val="28"/>
          <w:szCs w:val="28"/>
          <w:rtl w:val="true"/>
          <w:lang w:bidi="ar-SA"/>
        </w:rPr>
        <w:t>المشهور بين الأصحاب كراهة الأكل و الشرب للجنب قبل المضمضة و الاستنشاق و ذهب المحقق في المعتبر إلي أنه يكفيه غسل يده و المضمضة و ذهب العلامة في المنتهي و النهاية إلي كراهتهما قبل المضمضة و الاستنشاق أو الوضوء و ظاهر الصدوق في الفقيه التحريم حيث قال إذا أراد أن يأكل أو يشرب قبل الغسل لم يجز له إلا أن يغسل يديه و يتمضمض و يستنشق و لا يبعد حمله علي الكراهة و الذي يظهر من بعض الأخبار استحباب غسل اليد و أن الوضوء أفضل و من بعضها استحباب غسل اليد و المضمضة و غسل الوجه و من بعضها غسل اليدين مع المضمضة و كراهة الأكل و الشرب بدونهما و من بعضها كراهة الأكل و الشرب قبل الوضوء و الجمع بالتخيير متجه و أما الاستنشاق فلم أره إلا في الفقه الرضوي‌</w:t>
      </w:r>
      <w:r>
        <w:rPr>
          <w:rStyle w:val="FootnoteAnchor"/>
          <w:rtl w:val="true"/>
        </w:rPr>
        <w:footnoteReference w:id="263"/>
      </w:r>
      <w:r>
        <w:rPr>
          <w:rFonts w:ascii="Amiri" w:hAnsi="Amiri" w:eastAsia="Amiri" w:cs="Amiri"/>
          <w:color w:val="111111"/>
          <w:sz w:val="28"/>
          <w:sz w:val="28"/>
          <w:szCs w:val="28"/>
          <w:rtl w:val="true"/>
          <w:lang w:bidi="ar-SA"/>
        </w:rPr>
        <w:t>و كأنه أخذ الصدوق منه و تبعه الأصحاب ثم اختلفوا في أنه مع الإتيان بتلك الأمور ترتفع الكراهة أو تخف و لعل الأول أظهر</w:t>
      </w:r>
      <w:r>
        <w:rPr>
          <w:rFonts w:eastAsia="Amiri" w:cs="Amiri" w:ascii="Amiri" w:hAnsi="Amiri"/>
          <w:color w:val="111111"/>
          <w:sz w:val="28"/>
          <w:szCs w:val="28"/>
          <w:rtl w:val="true"/>
          <w:lang w:bidi="ar-SA"/>
        </w:rPr>
        <w:t>.</w:t>
      </w:r>
    </w:p>
    <w:p>
      <w:pPr>
        <w:pStyle w:val="Heading5"/>
        <w:numPr>
          <w:ilvl w:val="4"/>
          <w:numId w:val="1"/>
        </w:numPr>
        <w:rPr/>
      </w:pPr>
      <w:bookmarkStart w:id="497" w:name="__RefHeading___Toc605370_1934241801"/>
      <w:bookmarkStart w:id="498" w:name="_Toc229"/>
      <w:bookmarkEnd w:id="497"/>
      <w:r>
        <w:rPr>
          <w:rtl w:val="true"/>
        </w:rPr>
        <w:t>«</w:t>
      </w:r>
      <w:r>
        <w:rPr/>
        <w:t>21</w:t>
      </w:r>
      <w:r>
        <w:rPr>
          <w:rtl w:val="true"/>
        </w:rPr>
        <w:t>»</w:t>
      </w:r>
      <w:bookmarkEnd w:id="498"/>
    </w:p>
    <w:p>
      <w:pPr>
        <w:pStyle w:val="BookText"/>
        <w:rPr/>
      </w:pPr>
      <w:r>
        <w:rPr>
          <w:rFonts w:ascii="Amiri" w:hAnsi="Amiri" w:eastAsia="Amiri" w:cs="Amiri"/>
          <w:color w:val="111111"/>
          <w:sz w:val="28"/>
          <w:sz w:val="28"/>
          <w:szCs w:val="28"/>
          <w:rtl w:val="true"/>
          <w:lang w:bidi="ar-SA"/>
        </w:rPr>
        <w:t>الْخِصَالُ، عَنْ مُحَمَّدِ بْنِ عَلِيٍّ مَاجِيلَوَيْهِ عَنْ عَمِّهِ مُحَمَّدِ بْنِ أَبِي الْقَاسِمِ عَنْ مُحَمَّدِ بْنِ عَلِيٍّ الْقُرَشِيِّ عَنْ مُحَمَّدِ بْنِ زِيَادٍ الْبَصْرِيِّ عَنْ عَبْدِ اللَّهِ بْنِ عَبْدِ الرَّحْمَنِ الْمَدَائِنِيِّ عَنْ أَبِي حَمْزَةَ الثُّمَالِيِّ عَنْ ثَوْرِ بْنِ سَعِيدِ بْنِ عِلَاقَةَ عَنْ أَبِيهِ عَنْ أَمِيرِ</w:t>
      </w:r>
    </w:p>
    <w:p>
      <w:pPr>
        <w:pStyle w:val="BookText"/>
        <w:rPr/>
      </w:pPr>
      <w:r>
        <w:rPr>
          <w:rFonts w:ascii="IRNazanin" w:hAnsi="IRNazanin" w:eastAsia="IRNazanin"/>
          <w:color w:val="111111"/>
          <w:sz w:val="28"/>
          <w:sz w:val="28"/>
          <w:szCs w:val="28"/>
          <w:rtl w:val="true"/>
          <w:lang w:bidi="fa-IR"/>
        </w:rPr>
        <w:t>مسجدالحرام و مسجدالنبی با مسجد های دیگر قائل نشده اند، سپس این دو حدیث و سایر احادیث متواتر بر مستثنی بودن معصومین علیهم السلام از این حُکم دلالت دارند، و هیچ یک از فقها معترض این استثناء نشده اند</w:t>
      </w:r>
      <w:r>
        <w:rPr>
          <w:rFonts w:eastAsia="IRNazanin" w:cs="IRNazanin"/>
          <w:color w:val="111111"/>
          <w:sz w:val="28"/>
          <w:szCs w:val="28"/>
          <w:rtl w:val="true"/>
          <w:lang w:bidi="fa-IR"/>
        </w:rPr>
        <w:t>.</w:t>
      </w:r>
    </w:p>
    <w:p>
      <w:pPr>
        <w:pStyle w:val="Heading5"/>
        <w:numPr>
          <w:ilvl w:val="4"/>
          <w:numId w:val="1"/>
        </w:numPr>
        <w:rPr/>
      </w:pPr>
      <w:bookmarkStart w:id="499" w:name="__RefHeading___Toc605372_1934241801"/>
      <w:bookmarkStart w:id="500" w:name="_Toc230"/>
      <w:bookmarkEnd w:id="499"/>
      <w:r>
        <w:rPr>
          <w:rtl w:val="true"/>
        </w:rPr>
        <w:t xml:space="preserve">روایت </w:t>
      </w:r>
      <w:r>
        <w:rPr/>
        <w:t>20</w:t>
      </w:r>
      <w:bookmarkEnd w:id="500"/>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خصلت باعث بیماری پیسی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موهای اضافی بدن در روز چهارشنبه و جمعه، وضو گرفتن و غسل نمودن با آبی که با حرارت خورشید گرم شده است، غذا خوردن در حال جنابت، همبستر شدن با زن در هنگام حیض، غذا خوردن هنگام سیری</w:t>
      </w:r>
      <w:r>
        <w:rPr>
          <w:rFonts w:eastAsia="IRNazanin" w:cs="IRNazanin"/>
          <w:color w:val="111111"/>
          <w:sz w:val="28"/>
          <w:szCs w:val="28"/>
          <w:rtl w:val="true"/>
          <w:lang w:bidi="fa-IR"/>
        </w:rPr>
        <w:t>.</w:t>
      </w:r>
      <w:r>
        <w:rPr>
          <w:rStyle w:val="FootnoteAnchor"/>
          <w:rtl w:val="true"/>
        </w:rPr>
        <w:footnoteReference w:id="264"/>
      </w:r>
    </w:p>
    <w:p>
      <w:pPr>
        <w:pStyle w:val="Heading5"/>
        <w:numPr>
          <w:ilvl w:val="4"/>
          <w:numId w:val="1"/>
        </w:numPr>
        <w:rPr/>
      </w:pPr>
      <w:bookmarkStart w:id="501" w:name="__RefHeading___Toc605374_1934241801"/>
      <w:bookmarkStart w:id="502" w:name="_Toc231"/>
      <w:bookmarkEnd w:id="501"/>
      <w:r>
        <w:rPr>
          <w:rtl w:val="true"/>
        </w:rPr>
        <w:t>تبیین</w:t>
      </w:r>
      <w:bookmarkEnd w:id="502"/>
    </w:p>
    <w:p>
      <w:pPr>
        <w:pStyle w:val="BookText"/>
        <w:rPr/>
      </w:pPr>
      <w:r>
        <w:rPr>
          <w:rFonts w:ascii="IRNazanin" w:hAnsi="IRNazanin" w:eastAsia="IRNazanin"/>
          <w:color w:val="111111"/>
          <w:sz w:val="28"/>
          <w:sz w:val="28"/>
          <w:szCs w:val="28"/>
          <w:rtl w:val="true"/>
          <w:lang w:bidi="fa-IR"/>
        </w:rPr>
        <w:t xml:space="preserve">نظر مشهور در بین فقهاء، کراهت خوردن و نوشیدن قبل از مضمضه واستنشاق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چرخاندن آب در دهان وبینی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محقّق بر این باور است که شستن دست و مضمضه کردن آب، جنب را برای خوردن و نوشیدن کفایت می کند ، ولی علّامه در المنتهی و النهایه به کراهت خوردن و نوشیدن قبل از مضمضه،استنشاق یا وضو اعتقاد دارد، امّا شیخ صدوق در الفقیه و النهایه حکم به تحریم داده است، آنجا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جُنب جایز نیست که قبل از غسل چیزی را خورده یا بنوشد، مگر آنکه دست هایش را شسته و آب را در دهان و بینی اش بچرخاند؛ و حمل این امر بر کراهت بعید نیست، و آنچه از برخی احادیث آشکار می شود مستحبّ بودن شستن دست است و اینکه وضو گرفتن برتر است و از برخی دیگر مستحبّ بودن شستن دست ها و مضمضه آب و شستن صورت، و از بعضی نیز شستن دست ها همراه با مضمضه آب و کراهت خوردن و نوشیدن بدون انجام این دو کار استنباط می شود، و بعضی از احادیث بر کراهت خوردن و نوشیدن قبل از وضو گرفتن دلالت دارند، و جمع کردن آنها با 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انتخاب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لزوم استنشاق را فقط در کتاب فقه الرضوی</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مشاهده نمودم و گویا که شیخ صدوق نظر خود را از آن گرفته و فقها از او پیروی کرده اند، سپس فقها بر سر این نکته دچار اختلاف نظر شدند که آیا با انجام کارهای مذکور کراهت خوردن و آشامیدن برطرف می شود یا اینکه فقط این کراهت کاهش می یابد، و شاید مورد نخست صحیح تر باشد</w:t>
      </w:r>
      <w:r>
        <w:rPr>
          <w:rFonts w:eastAsia="IRNazanin" w:cs="IRNazanin"/>
          <w:color w:val="111111"/>
          <w:sz w:val="28"/>
          <w:szCs w:val="28"/>
          <w:rtl w:val="true"/>
          <w:lang w:bidi="fa-IR"/>
        </w:rPr>
        <w:t>.</w:t>
      </w:r>
    </w:p>
    <w:p>
      <w:pPr>
        <w:pStyle w:val="Heading5"/>
        <w:numPr>
          <w:ilvl w:val="4"/>
          <w:numId w:val="1"/>
        </w:numPr>
        <w:rPr/>
      </w:pPr>
      <w:bookmarkStart w:id="503" w:name="__RefHeading___Toc605376_1934241801"/>
      <w:bookmarkStart w:id="504" w:name="_Toc232"/>
      <w:bookmarkEnd w:id="503"/>
      <w:r>
        <w:rPr>
          <w:rtl w:val="true"/>
        </w:rPr>
        <w:t xml:space="preserve">روایت </w:t>
      </w:r>
      <w:r>
        <w:rPr/>
        <w:t>21</w:t>
      </w:r>
      <w:bookmarkEnd w:id="50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 </w:t>
      </w:r>
      <w:bookmarkStart w:id="505" w:name="pg13517_329081"/>
    </w:p>
    <w:p>
      <w:pPr>
        <w:pStyle w:val="BookText"/>
        <w:rPr/>
      </w:pPr>
      <w:bookmarkEnd w:id="505"/>
      <w:r>
        <w:rPr>
          <w:rFonts w:ascii="Amiri" w:hAnsi="Amiri" w:eastAsia="Amiri" w:cs="Amiri"/>
          <w:color w:val="111111"/>
          <w:sz w:val="28"/>
          <w:sz w:val="28"/>
          <w:szCs w:val="28"/>
          <w:rtl w:val="true"/>
          <w:lang w:bidi="ar-SA"/>
        </w:rPr>
        <w:t>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عَلَي الْجَنَابَةِ يُورِثُ الْفَقْرَ</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6" w:name="__RefHeading___Toc605378_1934241801"/>
      <w:bookmarkStart w:id="507" w:name="_Toc233"/>
      <w:bookmarkEnd w:id="506"/>
      <w:r>
        <w:rPr>
          <w:rtl w:val="true"/>
        </w:rPr>
        <w:t>«</w:t>
      </w:r>
      <w:r>
        <w:rPr/>
        <w:t>22</w:t>
      </w:r>
      <w:r>
        <w:rPr>
          <w:rtl w:val="true"/>
        </w:rPr>
        <w:t>»</w:t>
      </w:r>
      <w:bookmarkEnd w:id="507"/>
    </w:p>
    <w:p>
      <w:pPr>
        <w:pStyle w:val="BookText"/>
        <w:rPr/>
      </w:pPr>
      <w:r>
        <w:rPr>
          <w:rFonts w:ascii="Amiri" w:hAnsi="Amiri" w:eastAsia="Amiri" w:cs="Amiri"/>
          <w:color w:val="111111"/>
          <w:sz w:val="28"/>
          <w:sz w:val="28"/>
          <w:szCs w:val="28"/>
          <w:rtl w:val="true"/>
          <w:lang w:bidi="ar-SA"/>
        </w:rPr>
        <w:t>وَ مِنْهُ، عَنْ حَمْزَةَ بْنِ مُحَمَّدٍ الْعَلَوِيِّ عَنْ عَلِيِّ بْنِ إِبْرَاهِيمَ عَنْ أَبِيهِ عَنْ عَبْدِ اللَّهِ بْنِ الْمُغِيرَةِ عَنِ السَّكُونِيِّ عَنِ الصَّادِقِ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لَا يَقْرَءُونَ الْقُرْآنَ الرَّاكِعُ وَ السَّاجِدُ وَ فِي الْكَنِيفِ وَ فِي الْحَمَّامِ وَ الْجُنُبُ وَ النُّفَسَاءُ وَ الْحَائِضُ‌</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قال الصدوق ره هذا علي الكراهة لا علي النهي و ذلك أن الجنب و الحائض مطلق لهما قراءة القرآن إلا العزائم الأربع‌</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8" w:name="__RefHeading___Toc605380_1934241801"/>
      <w:bookmarkStart w:id="509" w:name="_Toc234"/>
      <w:bookmarkEnd w:id="508"/>
      <w:r>
        <w:rPr>
          <w:rtl w:val="true"/>
        </w:rPr>
        <w:t>توضيح</w:t>
      </w:r>
      <w:bookmarkEnd w:id="509"/>
    </w:p>
    <w:p>
      <w:pPr>
        <w:pStyle w:val="BookText"/>
        <w:rPr/>
      </w:pPr>
      <w:r>
        <w:rPr>
          <w:rFonts w:ascii="Amiri" w:hAnsi="Amiri" w:eastAsia="Amiri" w:cs="Amiri"/>
          <w:color w:val="111111"/>
          <w:sz w:val="28"/>
          <w:sz w:val="28"/>
          <w:szCs w:val="28"/>
          <w:rtl w:val="true"/>
          <w:lang w:bidi="ar-SA"/>
        </w:rPr>
        <w:t>اختلف الأصحاب في جواز قراءة ما عدا العزائم فالمشهور جواز ذلك حتي نقل المرتضي و الشيخ و المحقق الإجماع عليه و المنقول عن سلار في أحد قوليه تحريم القراءة مطلقا و عن ابن البراج تحريم ما زاد علي سبع آيات و نسبه في المختلف إلي الشيخ في كتابي الحديث و إن لم تكن عبارته في الإستبصار صريحة في ذلك و نقل في المنتهي و السرائر عن بعض الأصحاب تحريم ما زاد علي سبعين و قال في المبسوط الأحوط أن لا يزيد علي سبع أو سبعين و الأقرب عدم الكراهة مطلقا لورود الأخبار الصحيحة الصريحة الكثيرة بالجواز و أخبار المنع أكثرها ضعيفة عامية و الحكم مشهور بين العامة فلا يبعد حملها علي التقية</w:t>
      </w:r>
      <w:r>
        <w:rPr>
          <w:rFonts w:eastAsia="Amiri" w:cs="Amiri" w:ascii="Amiri" w:hAnsi="Amiri"/>
          <w:color w:val="111111"/>
          <w:sz w:val="28"/>
          <w:szCs w:val="28"/>
          <w:rtl w:val="true"/>
          <w:lang w:bidi="ar-SA"/>
        </w:rPr>
        <w:t>.</w:t>
      </w:r>
    </w:p>
    <w:p>
      <w:pPr>
        <w:pStyle w:val="Heading5"/>
        <w:numPr>
          <w:ilvl w:val="4"/>
          <w:numId w:val="1"/>
        </w:numPr>
        <w:rPr/>
      </w:pPr>
      <w:bookmarkStart w:id="510" w:name="__RefHeading___Toc605382_1934241801"/>
      <w:bookmarkStart w:id="511" w:name="_Toc235"/>
      <w:bookmarkEnd w:id="510"/>
      <w:r>
        <w:rPr>
          <w:rtl w:val="true"/>
        </w:rPr>
        <w:t>«</w:t>
      </w:r>
      <w:r>
        <w:rPr/>
        <w:t>23</w:t>
      </w:r>
      <w:r>
        <w:rPr>
          <w:rtl w:val="true"/>
        </w:rPr>
        <w:t>»</w:t>
      </w:r>
      <w:bookmarkEnd w:id="511"/>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الْغُسْلَ مِنَ الْجَنَابَةِ فَاجْتَهِدْ أَنْ تَبُولَ حَتَّي يَخْرُجَ فَضْلَةُ الْمَنِيِّ فِي إِحْلِيلِكَ وَ إِنْ جَهَدْتَ وَ لَمْ تَقْدِرْ عَلَي الْبَوْلِ فَلَا شَيْ‌ءَ عَلَيْكَ وَ تُنَظِّفَ مَوْضِعَ الْأَذَي مِنْكَ وَ تَغْسِلَ يَدَيْكَ إِلَي الْمَفْصِلِ ثَلَاثاً قَبْلَ أَنْ تُدْخِلَهُمَا الْإِنَاءَ وَ تُسَمِّيَ بِذِكْرِ اللَّهِ قَبْلَ إِدْخَالِ يَدِكَ إِلَي الْإِنَاءِ وَ تَصُبَّ عَلَي رَأْسِكَ</w:t>
      </w:r>
    </w:p>
    <w:p>
      <w:pPr>
        <w:pStyle w:val="BookText"/>
        <w:rPr/>
      </w:pPr>
      <w:r>
        <w:rPr>
          <w:rFonts w:ascii="IRNazanin" w:hAnsi="IRNazanin" w:eastAsia="IRNazanin"/>
          <w:color w:val="111111"/>
          <w:sz w:val="28"/>
          <w:sz w:val="28"/>
          <w:szCs w:val="28"/>
          <w:rtl w:val="true"/>
          <w:lang w:bidi="fa-IR"/>
        </w:rPr>
        <w:t>مؤمنان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خورردن هنگام جنابت باعث فقر می شود</w:t>
      </w:r>
      <w:r>
        <w:rPr>
          <w:rFonts w:eastAsia="IRNazanin" w:cs="IRNazanin"/>
          <w:color w:val="111111"/>
          <w:sz w:val="28"/>
          <w:szCs w:val="28"/>
          <w:rtl w:val="true"/>
          <w:lang w:bidi="fa-IR"/>
        </w:rPr>
        <w:t>.</w:t>
      </w:r>
      <w:r>
        <w:rPr>
          <w:rStyle w:val="FootnoteAnchor"/>
          <w:rtl w:val="true"/>
        </w:rPr>
        <w:footnoteReference w:id="270"/>
      </w:r>
    </w:p>
    <w:p>
      <w:pPr>
        <w:pStyle w:val="Heading5"/>
        <w:numPr>
          <w:ilvl w:val="4"/>
          <w:numId w:val="1"/>
        </w:numPr>
        <w:rPr/>
      </w:pPr>
      <w:bookmarkStart w:id="512" w:name="__RefHeading___Toc605384_1934241801"/>
      <w:bookmarkStart w:id="513" w:name="_Toc236"/>
      <w:bookmarkEnd w:id="512"/>
      <w:r>
        <w:rPr>
          <w:rtl w:val="true"/>
        </w:rPr>
        <w:t xml:space="preserve">روایت </w:t>
      </w:r>
      <w:r>
        <w:rPr/>
        <w:t>22</w:t>
      </w:r>
      <w:bookmarkEnd w:id="513"/>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علیهم السلام روایت کرده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نمی توانند قرآن را قرائت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در رکوع است، شخصی که در سجده است، کسی در دستشویی یا حمام است، شخص جنب، زن زائو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حائض</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به صورت مرسل روایت شده 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شیخ صدوق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موارد به منظور بیان کراهت و نه نهی کردن است، از آن جهت که خواندن قرآن برای جُنب و حائض جایز است، جز چهار سوره ای که در آن ها آیه سجده وجود دارد</w:t>
      </w:r>
      <w:r>
        <w:rPr>
          <w:rFonts w:eastAsia="IRNazanin" w:cs="IRNazanin"/>
          <w:color w:val="111111"/>
          <w:sz w:val="28"/>
          <w:szCs w:val="28"/>
          <w:rtl w:val="true"/>
          <w:lang w:bidi="fa-IR"/>
        </w:rPr>
        <w:t>.</w:t>
      </w:r>
    </w:p>
    <w:p>
      <w:pPr>
        <w:pStyle w:val="Heading5"/>
        <w:numPr>
          <w:ilvl w:val="4"/>
          <w:numId w:val="1"/>
        </w:numPr>
        <w:rPr/>
      </w:pPr>
      <w:bookmarkStart w:id="514" w:name="__RefHeading___Toc605386_1934241801"/>
      <w:bookmarkStart w:id="515" w:name="_Toc237"/>
      <w:bookmarkEnd w:id="514"/>
      <w:r>
        <w:rPr>
          <w:rtl w:val="true"/>
        </w:rPr>
        <w:t>توضیح</w:t>
      </w:r>
      <w:bookmarkEnd w:id="515"/>
    </w:p>
    <w:p>
      <w:pPr>
        <w:pStyle w:val="BookText"/>
        <w:rPr/>
      </w:pPr>
      <w:r>
        <w:rPr>
          <w:rFonts w:ascii="IRNazanin" w:hAnsi="IRNazanin" w:eastAsia="IRNazanin"/>
          <w:color w:val="111111"/>
          <w:sz w:val="28"/>
          <w:sz w:val="28"/>
          <w:szCs w:val="28"/>
          <w:rtl w:val="true"/>
          <w:lang w:bidi="fa-IR"/>
        </w:rPr>
        <w:t>فقها بر سر جواز قرائت قرآن از سوی جنب و حائض جز چهار سوره ای که دارای سجده واجب هستند اختلاف نظر دارند، ولی نظر مشهور، جواز این امر است، تا جایی که مرتضی، شیخ و محقّق اجماع فقها را بر این نظر نقل کرده اند، ولی از سلّار در یکی از نظراتش تحریم مطلق قرائت قرآن نقل شده است، و از ابن البراج تحریم قرائت بیش از هفت آیه نقل شده است و در کتاب المختلف این نظر را به شیخ در دو کتاب حدیثش نسبت داده است، اگر چه شیوه بیان او در کتاب استبصار در این باره صریح نیست، همچنین در المنتهی و السّرائر از بعضی از فقها تحریم قرائت بیش از هفت آیه نقل شده است، و در المبسوط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که تعداد آیات از هفت یا هفتاد افزون نگردد، و نظر نزدیک تر به صحّت عدم کراهت قرائت قرآن به صورت مطلق است، چرا که احادیثِ صحیح و صریح بسیاری در زمینه جواز این امر روایت شده است، و بیشتر احادیثی که در منع این امر روایت شده اند ضعیف و عامّی هستند، و حملِ حُکم مشهور در بین عامّه بر تقیّه بعید به نظر نمی رسد</w:t>
      </w:r>
      <w:r>
        <w:rPr>
          <w:rFonts w:eastAsia="IRNazanin" w:cs="IRNazanin"/>
          <w:color w:val="111111"/>
          <w:sz w:val="28"/>
          <w:szCs w:val="28"/>
          <w:rtl w:val="true"/>
          <w:lang w:bidi="fa-IR"/>
        </w:rPr>
        <w:t>.</w:t>
      </w:r>
    </w:p>
    <w:p>
      <w:pPr>
        <w:pStyle w:val="Heading5"/>
        <w:numPr>
          <w:ilvl w:val="4"/>
          <w:numId w:val="1"/>
        </w:numPr>
        <w:rPr/>
      </w:pPr>
      <w:bookmarkStart w:id="516" w:name="__RefHeading___Toc605388_1934241801"/>
      <w:bookmarkStart w:id="517" w:name="_Toc238"/>
      <w:bookmarkEnd w:id="516"/>
      <w:r>
        <w:rPr>
          <w:rtl w:val="true"/>
        </w:rPr>
        <w:t xml:space="preserve">روایت </w:t>
      </w:r>
      <w:r>
        <w:rPr/>
        <w:t>23</w:t>
      </w:r>
      <w:bookmarkEnd w:id="51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قصد غسل جنابت نمودی، سعی کن که ادرار کنی تا باقیمانده منی از مجرا و مخرج ادرار خارج شود، و اگر تلاش کردی و نتوانستی ادرار کنی حرجی بر تو نیست، و مکان آلوده به منی را پاک می گردانی، و دست هایت را قبل از وارد کردن به داخل ظرف آب سه بار تا مفصل می شویی، آن گاه قبل از وارد کردن دستت در ظرف آب به یاد و اسم خدا آغاز می کنی </w:t>
      </w:r>
    </w:p>
    <w:p>
      <w:pPr>
        <w:pStyle w:val="BookText"/>
        <w:rPr/>
      </w:pPr>
      <w:r>
        <w:rPr>
          <w:rFonts w:ascii="Amiri" w:hAnsi="Amiri" w:eastAsia="Amiri" w:cs="Amiri"/>
          <w:color w:val="111111"/>
          <w:sz w:val="28"/>
          <w:sz w:val="28"/>
          <w:szCs w:val="28"/>
          <w:rtl w:val="true"/>
          <w:lang w:bidi="ar-SA"/>
        </w:rPr>
        <w:t xml:space="preserve">ثَلَاثَ أَكُفٍّ وَ عَلَي جَانِبِكَ الْأَيْمَنِ مِثْلَ ذَلِكَ وَ عَلَي جَانِبِكَ الْأَيْسَرِ مِثْلَ ذَلِكَ وَ عَلَي صَدْرِكَ ثَلَاثَ أَكُفٍّ وَ عَلَي الظَّهْرِ مِثْلَ ذَلِكَ وَ إِنْ كَانَ الصَّبُّ بِالْإِنَاءِ جَازَ الِاكْتِفَاءُ بِهَذَا الْمِقْدَارِ وَ الِاسْتِظْهَارُ فِيهِ إِذَا أَمْكَنَ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نَرْوِي تَصُبُّ عَلَي الصَّدْرِ مِنْ حَدِّ الْعُنُقِ ثُمَّ تَمْسَحُ سَائِرَ بَدَنِكَ بِيَدَيْكَ وَ تَذْكُرُ اللَّهَ فَإِنَّهُ مَنْ ذَكَرَ اللَّهَ عَلَي غُسْلِهِ وَ عِنْدَ وُضُوئِهِ طَهُرَ جَسَدُهُ كُلُّهُ وَ مَنْ لَمْ يَذْكُرِ اللَّهَ طَهُرَ مِنْ جَسَدِهِ مَا أَصَابَ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نَرْوِي أَنْ يَتَمَضْمَضَ وَ يَسْتَنْشِقَ ثَلَاثاً وَ رُوِيَ مَرَّةً مَرَّةً يُجْزِيهِ وَ قَالَ الْأَفْضَلُ الثَّلَاثَةُ وَ إِنْ لَمْ يَفْعَلْ فَغُسْلُهُ تَامٌّ وَ يُجْزِي مِنَ الْغُسْلِ عِنْدَ عَوْزِ الْمَاءِ الْكَثِيرِ مَا يَجْرِي‌</w:t>
      </w:r>
      <w:r>
        <w:rPr>
          <w:rStyle w:val="FootnoteAnchor"/>
          <w:rtl w:val="true"/>
        </w:rPr>
        <w:footnoteReference w:id="273"/>
      </w:r>
      <w:r>
        <w:rPr>
          <w:rFonts w:ascii="Amiri" w:hAnsi="Amiri" w:eastAsia="Amiri" w:cs="Amiri"/>
          <w:color w:val="111111"/>
          <w:sz w:val="28"/>
          <w:sz w:val="28"/>
          <w:szCs w:val="28"/>
          <w:rtl w:val="true"/>
          <w:lang w:bidi="ar-SA"/>
        </w:rPr>
        <w:t xml:space="preserve">مِنَ الدُّهْنِ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فِي غُسْلِ الْجَنَابَةِ وُضُوءٌ وَ الْوُضُوءُ فِي كُلِّ غُسْلٍ مَا خَلَا غُسْلَ الْجَنَابَةِ لِأَنَّ غُسْلَ الْجَنَابَةِ فَرِيضَةٌ تُجْزِيهِ عَنِ الْفَرْضِ الثَّانِي وَ لَا يُجْزِيهِ سَائِرُ الْغُسْلِ عَنِ الْوُضُوءِ لِأَنَّ الْغُسْلَ سُنَّةٌ وَ الْوُضُوءَ فَرِيضَةٌ وَ لَا يُجْزِي سُنَّةٌ عَنْ فَرْضٍ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غُسْلُ الْجَنَابَةِ وَ الْوُضُوءُ فَرِيضَتَانِ فَإِذَا اجْتَمَعَا فَأَكْبَرُهُمَا يُجْزِي عَنْ أَصْغَرِهِمَا</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 أَدْنَي مَا يَكْفِيكَ وَ يُجْزِيكَ مِنَ الْمَاءِ مَا تَبُلُّ بِهِ جَسَدَكَ مِثْلَ الدُّهْنِ وَ قَدِ اغْتَسَلَ رَسُولُ اللَّهِ صلي الله عليه و آله وَ بَعْضُ نِسَائِهِ بِصَاعٍ مِنْ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مَيِّزْ شَعْرَكَ بِأَنَامِلِكَ عِنْدَ غُسْلِ الْجَنَابَةِ فَإِنَّهُ نَرْوِي عَنْ رَسُولِ اللَّهِ صلي الله عليه و آله أَنَّ تَحْتَ كُلِّ شَعْرَةٍ جَنَابَةً فَبَلِّغِ الْمَاءَ تَحْتَهَا فِي أُصُولِ الشَّعْرِ كُلِّهَا وَ خَلِّلِ أُذُنَيْكَ بِإِصْبَعِكَ وَ انْظُرْ أَنْ لَا تَبْقَي شَعْرَةٌ مِنْ رَأْسِكَ وَ لِحْيَتِكَ إِلَّا وَ تُدْخِلُ تَحْتَهَا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عَلَيْكَ نَعْلٌ وَ عَلِمْتَ أَنَّ الْمَاءَ قَدْ جَرَي تَحْتَ رِجْلَيْكَ فَلَا تَغْسِلْهُمَا وَ إِنْ لَمْ يَجْرِ الْمَاءُ تَحْتَهُمَا فَاغْسِلْهُمَا وَ إِنِ اغْتَسَلْتَ فِي حَفِيرَةٍ وَ جَرَي الْمَاءُ تَحْتَ رِجْلَيْكَ فَلَا تَغْسِلْهُمَا وَ إِنْ كَانَتْ رِجْلَاكَ مُسْتَنْقِعَتَيْنِ فِي الْمَاءِ فَاغْسِلْهُمَا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عَرِقْتَ فِي ثَوْبِكَ وَ أَنْتَ جُنُبٌ وَ كَانَتِ الْجَنَابَةُ مِنَ الْحَلَالِ فَتَجُوزُ</w:t>
      </w:r>
    </w:p>
    <w:p>
      <w:pPr>
        <w:pStyle w:val="BookText"/>
        <w:rPr/>
      </w:pPr>
      <w:r>
        <w:rPr>
          <w:rFonts w:ascii="IRNazanin" w:hAnsi="IRNazanin" w:eastAsia="IRNazanin"/>
          <w:color w:val="111111"/>
          <w:sz w:val="28"/>
          <w:sz w:val="28"/>
          <w:szCs w:val="28"/>
          <w:rtl w:val="true"/>
          <w:lang w:bidi="fa-IR"/>
        </w:rPr>
        <w:t>و سه مُشت آب بر روی سرت جاری می سازی و همین کار را نخست برای طرف راست و سپس طرف چپ انجام می دهی، سپس سه مُشت آب بر روی سینه و آن گاه پشتت جاری می سازی، و اگر ریختن آب با ظرف صورت گیرد جایز است به همین مقدار اکتفا شود، و اگر ممکن باشد در آن احتیاط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زیر گردن بر روی سینه ریخته می شود، سپس با دست سایر اعضای بدنت را می شویی در حالی که ذکر خداوند بر زبانت جاری است، چرا که هر کسی هنگام غسل و وضو ذکر خداوند بگوید تمام جسمش پاک و مطهّر می گردد، و هر کسی که ذکر خداوند نگوید فقط قسمت هایی از بدنش که با آب در تماس است پاک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می کنیم که غسل کننده سه بار آب را مضمضه و استنشاق کند، و روایت کرده که انجام یک باره هر یک کفایت می کند وگفته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آن است که این عمل سه بار انجام شود و اگر چنین نکند، غسل او تامّ است و اگر آب فراوان وجود نداشت می تواند مانند روغن مالی، غسل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بر بدنش بمالد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غسل جنابت، وضو گرفتن لازم نیست، ولی در هر غسلی غیر از غسل جنابت وضو لازم است، چرا که غسل جنابت فریضه ای است که شخص را از انجام فریضه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می کند، ولی سایر غسل ها وی را از وضو بی نیاز نمی کند، به خاطر اینکه غسل سنّت است و وضو فریضه، و هیچ سنّتی انسان را از انجام هیچ فرضی کفایت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جنابت و وضو هر دو فریضه هستند، پس آن گاه که با هم جمع گردند، انجام فریضه بزرگ تر انسان را از انجام فریضه کوچک تر بی نیاز می کند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کم ترین مقدار آبی که برای غسل کردن تو را کفایت می کند، آن مقداری است که مانند روغن بدنت با آن خیس شود، همانا رسول خدا صلّی الله علیه و آله و بعضی از همسران ایشان با یک پیمانه آب غسل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غسل جنابت موهایت را با سر انگشتانت باز و از هم جدا کن، چرا که از رسول خدا صلّی الله علیه و آله روایت کردیم که در زیر هر تار مویی جنابتی وجود دارد، پس آب را به زیر ریشه تمام موهایت برسان، و انگشتت را در سوراخ گوش هایت بچرخان، و نگاه کن که یک تار مو از سر و محاسنت باقی نمانده باشد مگر آنکه آب به زیر آن نفوذ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دمپایی به پا داری و می دانی که آب در زیر پاهایت به جریان در می آید، آن ها را نشوی و اگر آب در زیر پاهایت جریان نمی یابد آن ها را بشوی، همچنین اگر در یک برکه غسل می کنی و آب زیر پاهایت جاری می شود پس آن ها را نشوی، و اگر پاهایت در آب ماندگار است آن ها را بشوی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از طریق حلال دچار جنابت شوی و لباس هایت بر اثر عرق خیس شود، جایز است که با </w:t>
      </w:r>
    </w:p>
    <w:p>
      <w:pPr>
        <w:pStyle w:val="BookText"/>
        <w:rPr/>
      </w:pPr>
      <w:r>
        <w:rPr>
          <w:rFonts w:ascii="Amiri" w:hAnsi="Amiri" w:eastAsia="Amiri" w:cs="Amiri"/>
          <w:color w:val="111111"/>
          <w:sz w:val="28"/>
          <w:sz w:val="28"/>
          <w:szCs w:val="28"/>
          <w:rtl w:val="true"/>
          <w:lang w:bidi="ar-SA"/>
        </w:rPr>
        <w:t xml:space="preserve">الصَّلَاةُ فِيهِ وَ إِنْ كَانَتْ حَرَاماً فَلَا تَجُوزُ الصَّلَاةُ فِيهِ حَتَّي تَغْسِلَ وَ إِذَا أَرَدْتَ أَنْ تَأْكُلَ عَلَي جَنَابَتِكَ فَاغْسِلْ يَدَيْكَ وَ تَمَضْمَضْ وَ اسْتَنْشِقْ ثُمَّ كُلْ وَ اشْرَبْ إِلَي أَنْ تَغْتَسِلَ فَإِنْ أَكَلْتَ أَوْ شَرِبْتَ قَبْلَ ذَلِكَ أَخَافُ عَلَيْكَ الْبَرَصَ وَ لَا تَعُدْ إِلَي ذَلِكَ وَ إِنْ كَانَ عَلَيْكَ خَاتَمٌ فَحَوِّلْ عِنْدَ الْغُسْلِ وَ إِنْ كَانَ عَلَيْكَ دُمْلُجٌ وَ عَلِمْتَ أَنَّ الْمَاءَ لَا يَدْخُلُ تَحْتَهُ فَانْزَعْهُ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بَأْسَ أَنْ تَنَامَ عَلَي جَنَابَتِكَ بَعْدَ أَنْ تَتَوَضَّأَ وُضُوءَ الصَّلَاةِ وَ إِنْ أَجْنَبْتَ فِي يَوْمٍ أَوْ لَيْلَةٍ مِرَاراً أَجْزَأَكَ غُسْلٌ وَاحِدٌ إِلَّا أَنْ تَكُونَ أَجْنَبْتَ بَعْدَ الْغُسْلِ أَوْ احْتَلَمْتَ وَ إِنِ احْتَلَمْتَ فَلَا تُجَامِعْ حَتَّي تَغْتَسِلَ مِنَ الِاحْتِلَامِ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بَأْسَ بِذِكْرِ اللَّهِ وَ قِرَاءَةِ الْقُرْآنِ وَ أَنْتَ جُنُبٌ إِلَّا الْعَزَائِمَ الَّتِي تُسْجَدُ فِيهَا وَ هِيَ الم تَنْزِيلُ وَ حم السَّجْدَةُ وَ النَّجْمُ وَ سُورَةُ اقْرَأْ بِاسْمِ 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تَمَسَّ الْقُرْآنَ إِذَا كُنْتَ جُنُباً أَوْ عَلَي غَيْرِ وُضُوءٍ وَ مَسِّ الْأَوْرَاقَ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خَرَجَ مِنْ إِحْلِيلِكَ شَيْ‌ءٌ بَعْدَ الْغُسْلِ وَ قَدْ كُنْتَ بُلْتَ قَبْلَ أَنْ تَغْتَسِلَ فَلَا تُعِدِ الْغُسْلَ وَ إِنْ لَمْ تَكُنْ بُلْتَ فَأَعِدِ الْغُسْلَ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بَأْسَ بِتَبْعِيضِ الْغُسْلِ تَغْسِلُ يَدَيْكَ وَ فَرْجَكَ وَ رَأْسَكَ وَ تُؤَخِّرُ غَسْلَ جَسَدِكَ إِلَي وَقْتِ الصَّلَاةِ ثُمَّ تَغْسِلُ إِنْ أَرَدْتَ ذَاكَ فَإِنْ أَحْدَثْتَ حَدَثاً مِنْ بَوْلٍ أَوْ غَائِطٍ أَوْ رِيحٍ بَعْدَ مَا غَسَلْتَ رَأْسَكَ مِنْ قَبْلِ أَنْ تَغْسِلَ جَسَدَكَ فَأَعِدِ الْغُسْلَ مِنْ أَوَّلِهِ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بَدَأْتَ بِغَسْلِ جَسَدِكَ قَبْلَ الرَّأْسِ فَأَعِدِ الْغَسْلَ عَلَي جَسَدِكَ بَعْدَ غَسْلِ الرَّأْسِ وَ لَا تَدْخُلِ الْمَسْجِدَ وَ أَنْتَ جُنُبٌ وَ لَا الْحَائِضُ إِلَّا مُجْتَازَيْنِ وَ لَهُمَا أَنْ يَأْخُذَا مِنْهُ وَ لَيْسَ لَهُمَا أَنْ يَضَعَا فِيهِ شَيْئاً لِأَنَّ مَا فِيهِ لَا يَقْدِرَانِ عَلَي أَخْذِهِ مِنْ غَيْرِهِ وَ هُمَا قَادِرَانِ عَلَي وَضْعِ مَا مَعَهُمَا فِي غَيْرِهِ وَ إِذَا احْتَلَمْتَ فِي مَسْجِدٍ مِنَ الْمَسَاجِدِ فَاخْرُجْ مِنْهُ وَ اغْتَسِلْ إِلَّا أَنْ تَكُونَ احْتَلَمْتَ فِي الْمَسْجِدِ الْحَرَامِ أَوْ فِي مَسْجِدِ رَسُولِ اللَّهِ فَإِنَّكَ إِذَا احْتَلَمْتَ فِي أَحَدِ هَذَيْنِ الْمَسْجِدَيْنِ فَتَيَمَّمْ ثُمَّ اخْرُجْ وَ لَا تَمُرَّ بِهِمَا مُجْتَازاً إِلَّا وَ أَنْتَ مُتَيَمِّمٌ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اغْتَسَلْتَ فِي مَاءٍ فِي وَهْدَةٍ وَ خَشِيتَ أَنْ يَرْجِعَ مَا تَصُبُّ عَلَيْكَ أَخَذْتَ كَفّاً فَصَبَبْتَ عَلَي رَأْسِكَ وَ عَلَي جَانِبَيْكَ كَفّاً كَفّاً ثُمَّ امْسَحْ بِيَدِكَ وَ تَدْلُكُ بَدَنَكَ وَ إِنِ اغْتَسَلْتَ مِنْ مَاءِ الْحَمَّامِ وَ لَمْ يَكُنْ مَعَكَ مَا تَغْرِفُ بِهِ وَ يَدَاكَ قَذِرَتَانِ فَاضْرِبْ يَدَكَ فِي الْمَاءِ</w:t>
      </w:r>
    </w:p>
    <w:p>
      <w:pPr>
        <w:pStyle w:val="BookText"/>
        <w:rPr/>
      </w:pPr>
      <w:r>
        <w:rPr>
          <w:rFonts w:ascii="IRNazanin" w:hAnsi="IRNazanin" w:eastAsia="IRNazanin"/>
          <w:color w:val="111111"/>
          <w:sz w:val="28"/>
          <w:sz w:val="28"/>
          <w:szCs w:val="28"/>
          <w:rtl w:val="true"/>
          <w:lang w:bidi="fa-IR"/>
        </w:rPr>
        <w:t xml:space="preserve">آن ها نماز بخوانی، و اگر از طریق حرام دچار جنابت شده باشی نماز خواندن با آن ها جایز نیست تا غسل می نمایی، همچنین اگر خواستی در حال جنابت غذا بخوری دست هایت را بشوی و آب را در دهانت مضمضه کرده و در بینی ات بچرخان، سپس بخور و بیاشام تا زمانی که غسل می کنی، پس اگر قبل از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انجام کارهای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خوردی و یا آشامیدنی نوشیدی، بیم آن دارم که به مرض پیسی مبتلا گردی، و چنین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و آشامیدن قبل از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دوباره تکرار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انگشتری به دست داشتی هنگام غسل آن را بردار، و اگر النگو یا دستبندی در دست داشتی و دانستی که آب در زیرش نفوذ نمی کند آن را از دست برکن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اشکالی ندارد که بعد از گرفتن وضویی شبیه وضوی نماز در حال جنابت بخوابی، و اگر در طول روز یا شب چند بار دچار جنابت شدی، یک غسل تو را کفایت می کند مگر آنکه بعد از غسل دوباره جُنب و یا محتلم شوی، همچنین اگر محتلم گشتی جماع نکن تا غسل احتلام به جای می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خداوند و قرائت قرآن در حال جنابت اشکالی ندارد، غیر از قرائت سوره هایی که در آن ها سجده وجود دارد 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نجم وسوره إقرأ بِاسم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هنگام جنابت و یا بدون وضو قرآن را لمس نکن، ولی اوراق را لمس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بعد از غسل مایعی از مجرا و مخرج ادرار خارج شد و تو قبل از غسل ادرار کرده بودی، لازم نیست که غسل را تکرار کنی، ولی اگر ادرار نکرده باشی باید غسل را تکرار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انجام دادن غسل در چند مرحله اشکالی ندارد، دست ها و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 تناسلی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سرت را می شویی، و شستن و غسل بدنت را تا هنگام نماز به تأخیر می اندازی، سپس اگر خواستی بدنت را نیز می شویی، پس اگر بول، مدفوع و یا بادی بعد از شستن سر و قبل از شستن بدنت از تو خارج شد، غسل را از ابتدا تکرار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قبل از شستن سر شروع به شستن بدنت کردی، بعد از شستن سر، شستن بدنت را تکرار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جُنب یا حائض هستی وارد مسجد نشو مگر آنکه قصد گذر داشته باشی، و جایز است که جُنب و حائض چیزی را از مسجد بردارند ولی جایز نیست که چیزی را در آن بگذارند، چرا که نمی توانند آنچه را در آن است از غیرِ آن بردارند ولی می توانند آنچه را با آنان است در جایی غیر آن بگذارند، و اگر در یکی از مساجد محتلم شدی از آن خارج شو و غسل کن، مگر آنکه در مسجدالحرام یا مسجد رسول خدا محتلم شده باشی، پس اگر در یکی از این دو مسجد محتلم گشتی تیمّم کن، سپس خارج شو و به قصد عبور بر آن ها گذر نکن مگر آنکه تیمّم کرده باشی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چاله یا برکه ای غسل نمودی و بیم آن داشتی که آبی را که بر خود جاری می سازی به داخل برکه باز گردد، یک مشت آب برمی گیری و آن را بر روی سرت می ریزی و آن گاه مشت مشت آب برطرف راست و چپ خود می ریزی، سپس دستت را بر بدنت کشیده و آن را شستشو می دهی تا تمیز شود، و اگر از آب حمّام غسل نمودی وچیزی به همراه نداشتی تا آب را به وسیله آن بر خود بریزی و دستانت نیز آلوده بودند، دستت را بر آب بزن </w:t>
      </w:r>
      <w:bookmarkStart w:id="518" w:name="pg13517_329084"/>
    </w:p>
    <w:p>
      <w:pPr>
        <w:pStyle w:val="BookText"/>
        <w:rPr/>
      </w:pPr>
      <w:bookmarkEnd w:id="518"/>
      <w:r>
        <w:rPr>
          <w:rFonts w:ascii="Amiri" w:hAnsi="Amiri" w:eastAsia="Amiri" w:cs="Amiri"/>
          <w:color w:val="111111"/>
          <w:sz w:val="28"/>
          <w:sz w:val="28"/>
          <w:szCs w:val="28"/>
          <w:rtl w:val="true"/>
          <w:lang w:bidi="ar-SA"/>
        </w:rPr>
        <w:t>وَ قُلْ بِسْمِ اللَّهِ وَ هَذَا مِمَّا قَالَ اللَّهُ تَبَارَكَ وَ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اجْتَمَعَ مُسْلِمٌ مَعَ ذِمِّيٍّ فِي الْحَمَّامِ اغْتَسَلَ الْمُسْلِمُ مِنَ الْحَوْضِ قَبْلَ الذِّمِّيِ‌</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9" w:name="__RefHeading___Toc605390_1934241801"/>
      <w:bookmarkStart w:id="520" w:name="_Toc239"/>
      <w:bookmarkEnd w:id="519"/>
      <w:r>
        <w:rPr>
          <w:rtl w:val="true"/>
        </w:rPr>
        <w:t>إيضاح</w:t>
      </w:r>
      <w:bookmarkEnd w:id="520"/>
    </w:p>
    <w:p>
      <w:pPr>
        <w:pStyle w:val="BookText"/>
        <w:rPr/>
      </w:pPr>
      <w:r>
        <w:rPr>
          <w:rFonts w:ascii="Amiri" w:hAnsi="Amiri" w:eastAsia="Amiri" w:cs="Amiri"/>
          <w:color w:val="111111"/>
          <w:sz w:val="28"/>
          <w:sz w:val="28"/>
          <w:szCs w:val="28"/>
          <w:rtl w:val="true"/>
          <w:lang w:bidi="ar-SA"/>
        </w:rPr>
        <w:t>اعلم أنه ادعي الشيخ الإجماع علي وجوب غسل الرأس ابتداء ثم الميامن ثم المياسر</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و أمّا الابتداء بالاشرف فالاشرف و الابتداء بالميامن ثمّ المياسر، فهو السنة من رسول اللّه صلّي اللّه عليه و آله كما عرفت في الوضوء ج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فِي رَسُولِ اللَّهِ أُسْوَةٌ حَسَنَةٌ لِمَنْ كانَ يَرْجُوا اللَّهَ وَ الْيَوْمَ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غير مخل بحقيقة الغسل، حتي في الوضوء، حيث جمع اللّه عزّ و جلّ بين غسل اليدين و مسح الرجلين بلفظ واحد و لم يقدم أحدهما علي الآخر، خصوصا إذا جمع المتوضي بين غسل يديه معا في وقت واحد كما إذا كان مفلوجا فوضأه 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يمينه و الآخر يساره في وقت واحد أو مسحا رجليه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بنفسه من دون تقديم و تأخير، أو بتقديم الميامن علي المياسر آنا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قلنا بجواز الوضوء الارتماسي كما إذا كان الماء سائلا من فوق الي أسفل بقوة فوضا الرجل وجهه ثمّ مد يديه تحت الماء فسال الماء بقوة من اعلي مرفقيه الي أصابعه دفعة واحدة، بحيث صدق الغسل من دون مسح و ذلك بمعني أنّه اكتفي بالسيلان القوي من المسح اللازم الذي كان من لوازم الغسل عرفا، ففي هاتين الصورتين لا يجب عليه أن يبدأ بالميامن لانه قد خرج عن مورد السنة راسا كما ورد مثل ذلك في مسح الرجلين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الغسل فالامر فيه أسهل فان القرآن الكريم أوجب التطهر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الاغتسال من دون ترتيب بين الأعضاء، فما وقع في أوامر أهل البيت عليهم السلام و إرشاداتهم من تقديم الأعلي فالاعلي فهو اللازم الواجب بدليل الفطرة كما عرفت، و أمّا تقديم الميامن علي المياسر كما في بعضها أو تقديم الصدر علي الظهر كما في بعضها الآخر، فهو السنة من باب تقديم الأشرف فالاشرف، حيث كان صلّي اللّه عليه و آله لا يقدم المفضول علي الفاضل في شي‌ء من الموارد، و من كان يرجو ثواب اللّه و ما اعد للمؤمنين في اليوم الآخر، يقتدي بسنته و من 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الغسل الارتماسي كالوضوء الارتماسي علي ما مر و هكذا ما أشبه الارتماس كما في الحمامات المعمولة اليوم تحت الرشاشات التي تستوعب البدن مجتمعا مع جريان الماء من الاعالي الي الاسافل، فالمغتسل هكذا فقد أخذ بالفطرة، و خرج عن مورد السنة و موضوعها، و لا ضير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غسل الميت أو المفلوج الحي، فلما كان المتعارف غسله مضطجعا و لعلّ غسله بالارتماس في الحياض أو تحت الميزاب و المسيل اهانة له و عبث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غسل ميامنه قبل مياسره، لاجتماع الفطرة و السنة في مورده، فاللازم أن يضطجعه الغاسل علي الايسر فيبدأ بصب الماء من طرف الرأس و يختتم الي رجليه، بحيث ينفصل الغسالة من مياسره كذلك ثمّ يقلبه و يضطجعه علي الايمن ليغسل من مياسره ما كان موضوعا علي المغتسل و لم يصل إليه الماء، فيصب الماء كما صب في المرة الأولي، فقياس الحي بالميت قياس في غير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في الذكري بعد إثبات وجوب تقديم الرأس</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این عمل مصداق فرموده خداوند متعال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سختی و تنگنایی برشما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مسلمانی با کافری ذمّی در حمام گرد آیند، مسلمان قبل از کافر از حوض غسل می نماید</w:t>
      </w:r>
      <w:r>
        <w:rPr>
          <w:rFonts w:eastAsia="IRNazanin" w:cs="IRNazanin"/>
          <w:color w:val="111111"/>
          <w:sz w:val="28"/>
          <w:szCs w:val="28"/>
          <w:rtl w:val="true"/>
          <w:lang w:bidi="fa-IR"/>
        </w:rPr>
        <w:t>.</w:t>
      </w:r>
      <w:r>
        <w:rPr>
          <w:rStyle w:val="FootnoteAnchor"/>
          <w:rtl w:val="true"/>
        </w:rPr>
        <w:footnoteReference w:id="279"/>
      </w:r>
    </w:p>
    <w:p>
      <w:pPr>
        <w:pStyle w:val="Heading5"/>
        <w:numPr>
          <w:ilvl w:val="4"/>
          <w:numId w:val="1"/>
        </w:numPr>
        <w:rPr/>
      </w:pPr>
      <w:bookmarkStart w:id="521" w:name="__RefHeading___Toc605392_1934241801"/>
      <w:bookmarkStart w:id="522" w:name="_Toc240"/>
      <w:bookmarkEnd w:id="521"/>
      <w:r>
        <w:rPr>
          <w:rtl w:val="true"/>
        </w:rPr>
        <w:t>توضیح</w:t>
      </w:r>
      <w:bookmarkEnd w:id="52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 که شیخ مدّعی شده است که اجماع فقها به وجوب غسل سر در ابتدا و سپس غسل طرف راست و آن گاه طرف چپ اعتقاد دارند، و در الذکری بعد از اثبات وجوب تقدیم غسل سر </w:t>
      </w:r>
    </w:p>
    <w:p>
      <w:pPr>
        <w:pStyle w:val="BookText"/>
        <w:rPr/>
      </w:pPr>
      <w:r>
        <w:rPr>
          <w:rFonts w:ascii="Amiri" w:hAnsi="Amiri" w:eastAsia="Amiri" w:cs="Amiri"/>
          <w:color w:val="111111"/>
          <w:sz w:val="28"/>
          <w:sz w:val="28"/>
          <w:szCs w:val="28"/>
          <w:rtl w:val="true"/>
          <w:lang w:bidi="ar-SA"/>
        </w:rPr>
        <w:t>علي الجسد بالروايات بالإجماع المركب علي وجوب الترتيب بين اليمين و الشمال و الصدوقان لم يصرحا بالترتيب بين الجانبين و لا بنفيه و ظاهرهما العدم كابن الجنيد و هذه الرواية إنما تدل علي الترتيب في الصب إن دل الترتيب الذكري عليه و إلا فالواو لا يدل علي الترتيب و سائر الروايات أيضا غير 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الترتيب في غسل الميت بين الجانبين و التشبيه بالجنابة و الاستدلال به أيضا مشكل للفرق الظاهر بين الميت و الحي فلا يبعد القول بعدم وجوب الترتيب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بدن با استناد به روایات و احادیث، به اجماع مرکّب بر وجوب رعایت ترتیب بین طرف راست و چپ استدلال کرده است، در حالی که صدوقان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شیخ صدوق و پدرش 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وجوب یا عدم وجوب رعایت ترتیب بین دو طرف راست و چپ تصریح نکرده اند، و ظاهر سخن آن ها مانند نظر ابن جنید عدم وجوب رعایت را نشان می دهد، اگر الذکری در وجوب رعایت ترتیب، به این روایت استدلال می کند، این روایت فقط بر رعایت ترتیب در ریختن آب دلالت می کند، و 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وجود ترتیب دلالت نمی کند، و روایت و احادیث دیگر نیز بر این امر دلالت نمی کنند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غسل میّت وجوب رعایت ترتیب بین دو طرف مورد توجه قرار می گیرد، ولی تشبیه غسل جنابت به غسل میّت و استدلال به آن نیز مشکل است، چرا که اختلاف آشکاری بین میّت و انسان زنده وجود دارد، بنابراین عدم وجوب رعایت ترتیب بین دو طرف راست وچپ نظر بعیدی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المشهور أن العنق يغسل مع الرأس و فيه أيضا إشكال و إن كان الظاهر من الأخبار ذلك و الأحوط الغسل مع الرأس و مع البدن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إن كان عليك موافق لما رواه الصَّدُوقُ فِي الصَّحِيحِ‌</w:t>
      </w:r>
      <w:r>
        <w:rPr>
          <w:rStyle w:val="FootnoteAnchor"/>
          <w:rtl w:val="true"/>
        </w:rPr>
        <w:footnoteReference w:id="280"/>
      </w:r>
      <w:r>
        <w:rPr>
          <w:rFonts w:ascii="Amiri" w:hAnsi="Amiri" w:eastAsia="Amiri" w:cs="Amiri"/>
          <w:color w:val="111111"/>
          <w:sz w:val="28"/>
          <w:sz w:val="28"/>
          <w:szCs w:val="28"/>
          <w:rtl w:val="true"/>
          <w:lang w:bidi="ar-SA"/>
        </w:rPr>
        <w:t>وَ الشَّيْخُ فِي الْحَسَنِ‌</w:t>
      </w:r>
      <w:r>
        <w:rPr>
          <w:rStyle w:val="FootnoteAnchor"/>
          <w:rtl w:val="true"/>
        </w:rPr>
        <w:footnoteReference w:id="281"/>
      </w:r>
      <w:r>
        <w:rPr>
          <w:rFonts w:ascii="Amiri" w:hAnsi="Amiri" w:eastAsia="Amiri" w:cs="Amiri"/>
          <w:color w:val="111111"/>
          <w:sz w:val="28"/>
          <w:sz w:val="28"/>
          <w:szCs w:val="28"/>
          <w:rtl w:val="true"/>
          <w:lang w:bidi="ar-SA"/>
        </w:rPr>
        <w:t>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فِدَاكَ أَغْتَسِلُ فِي الْكَنِيفِ الَّذِي يُبَالُ فِيهِ وَ عَلَيَّ نَعْلٌ سِنْدِيَّةٌ فَأَغْتَسِلُ وَ عَلَيَّ النَّعْلُ كَمَا هِيَ فَقَالَ إِنْ كَانَ الْمَاءُ الَّذِي يَسِيلُ مِنْ جَسَدِكَ يُصِيبُ أَسْفَلَ قَدَمَيْكَ فَلَا تَغْسِلْ قَدَمَيْكَ و يدل علي أن ذكر الكنيف في الرواية لبيان ضرورة لبس النعل و إنما المقصود وصول ماء الغسل لا تطهير الرجل من نجاسة الكنيف كما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و إن اغتسلت في حفيرة موافق لما رواه الْكُلَيْنِيُ‌</w:t>
      </w:r>
      <w:r>
        <w:rPr>
          <w:rStyle w:val="FootnoteAnchor"/>
          <w:rtl w:val="true"/>
        </w:rPr>
        <w:footnoteReference w:id="282"/>
      </w:r>
      <w:r>
        <w:rPr>
          <w:rFonts w:ascii="Amiri" w:hAnsi="Amiri" w:eastAsia="Amiri" w:cs="Amiri"/>
          <w:color w:val="111111"/>
          <w:sz w:val="28"/>
          <w:sz w:val="28"/>
          <w:szCs w:val="28"/>
          <w:rtl w:val="true"/>
          <w:lang w:bidi="ar-SA"/>
        </w:rPr>
        <w:t>وَ الشَّيْخُ فِي الْمَجْهُولِ‌</w:t>
      </w:r>
      <w:r>
        <w:rPr>
          <w:rStyle w:val="FootnoteAnchor"/>
          <w:rtl w:val="true"/>
        </w:rPr>
        <w:footnoteReference w:id="283"/>
      </w:r>
      <w:r>
        <w:rPr>
          <w:rFonts w:ascii="Amiri" w:hAnsi="Amiri" w:eastAsia="Amiri" w:cs="Amiri"/>
          <w:color w:val="111111"/>
          <w:sz w:val="28"/>
          <w:sz w:val="28"/>
          <w:szCs w:val="28"/>
          <w:rtl w:val="true"/>
          <w:lang w:bidi="ar-SA"/>
        </w:rPr>
        <w:t>عَنْ بَكْرِ بْنِ كَرِبٍ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يَغْتَسِلُ مِنَ الْجَنَابَةِ أَ يَغْسِلُ رِجْلَيْهِ بَعْدَ الْغُسْلِ فَقَالَ إِنْ كَانَ يَغْتَسِلُ فِي مَكَانٍ يَسِيلُ الْمَاءُ عَلَي رِجْلَيْهِ فَلَا عَلَيْهِ إِنْ لَمْ يَغْسِلْهُمَا وَ إِنْ كَانَ يَغْتَسِلُ فِي مَكَانٍ يَسْتَنْقِعُ رِجْلَاهُ فِي الْمَاءِ فَلْيَغْسِلْهُمَا</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و أمّا إذا اغتسل في وهدة أو حفيرة أو قائما في طشت بحيث يجتمع فيها الماء الذي انفصل من جسده بعد تمام الغسل فقد تلطخ قدماه بالغسالة فيجب عليه غسلهما، و انما قلنا بعد تمام الغسل؛ فان متن السؤال تضمن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يغسل رجليه بعد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يرفع قدميه واحدة بعد اخري فيغسلهما غسل الجنابة أو الحيض ثمّ يضعهما في ذلك المحل الذي كان استنقع فيه قدماه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نظر مشهور آن است که گردن همراه سر شسته شود، در این امر نیز ایرادی وجود دارد، اگر چه ظاهر احادیث و روایات بر آن دلالت می کند، و احوط آن است که گردن همراه سر و بدن شسته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فرموده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موافق با حدیثی است که صدوق در الصحیح</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و شیخ در الحسن</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روایت کرده اند آن گاه که هشام بن سالم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در برکه ای غسل می کنم که در آن بول می کنند و لازم است که دمپایی سندی به پا داشته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غسل می کنم در حالی که همچنان دمپایی را به پا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آبی که بر بدنت جاری می شود به کف پاهایت برسد لازم نیست که کف پاهایت را بشویی؛ فرموده امام بر این نکته دلالت می کند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برکه یا چاله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برای بیان ضرورت پوشیدن دمپایی است، و همانا مقصود فقط رسیدن آب غسل است نه پاک کردن شخص از نجاست برکه، آن گونه که عدّه ای چنین پنداشته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اغتسلت فی حفیره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با روایتی است که کلینی</w:t>
      </w:r>
      <w:r>
        <w:rPr>
          <w:rStyle w:val="FootnoteAnchor"/>
          <w:rtl w:val="true"/>
        </w:rPr>
        <w:footnoteReference w:id="287"/>
      </w:r>
      <w:r>
        <w:rPr>
          <w:rFonts w:ascii="IRNazanin" w:hAnsi="IRNazanin" w:eastAsia="IRNazanin"/>
          <w:color w:val="111111"/>
          <w:sz w:val="28"/>
          <w:sz w:val="28"/>
          <w:szCs w:val="28"/>
          <w:rtl w:val="true"/>
          <w:lang w:bidi="fa-IR"/>
        </w:rPr>
        <w:t>و شیخ در المجهول</w:t>
      </w:r>
      <w:r>
        <w:rPr>
          <w:rStyle w:val="FootnoteAnchor"/>
          <w:rtl w:val="true"/>
        </w:rPr>
        <w:footnoteReference w:id="28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بکر بن کَرِب روایت کرده اند آن گاه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پرسیدم که غسل جنابت را به جا می آورد و اینکه آیا لازم است پاهایش را بعد از غسل بشوید؟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مکانی غسل می کند که آب بر پاهایش جاری می شود، بر او واجب نیست که آن ها را بشوید و اگر در مکانی غسل می کند که پاهایش در آب ساکن می ماند باید آن ها را بشوید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الخبر يحتمل وجوها الأول أن يكون المراد بالماء الطين مجازا و الأمر بالغسل لكون الطين مانعا من وصول الماء إلي البشرة و إن لم يكن كذلك بل يسيل الماء الذي يجري علي بدنه علي رجليه فلا يجب الغسل بعد الغسل بالضم أو بعد الغسل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أنه يشترط في صحة الغسل عدم كون رجلين في الماء لعدم كفاية الغسل الاستمراري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المراد إن كان يغتسل في مكان يجري ماء الغسل علي رجليه و يذهب و لا يتجمع فلا يحتاج إلي غسل الرجلين بعد الغسل و إن كان يتجمع ماء الغسالة تحت رجليه فلا يكتفي في غسل الرجلين بذلك بناء علي عدم جواز التطهر بالغسالة بل يغسلهما بماء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المراد إن كان يغتسل في الماء الجاري و الماء يسيل علي قدميه فلا يجب غسلهما و إن كان في الماء القليل الراكد فإنه يصير في حكم الغسالة و لا يكفي لغسل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الثالث أقرب الوجوه كما أن الرابع أبعدها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كراهة النوم للجنب و زوالها بعد الوضوء فقد نقل المحقق و غيره الإجماع عليهما و يظهر من رواية</w:t>
      </w:r>
      <w:r>
        <w:rPr>
          <w:rStyle w:val="FootnoteAnchor"/>
          <w:rtl w:val="true"/>
        </w:rPr>
        <w:footnoteReference w:id="289"/>
      </w:r>
      <w:r>
        <w:rPr>
          <w:rFonts w:ascii="Amiri" w:hAnsi="Amiri" w:eastAsia="Amiri" w:cs="Amiri"/>
          <w:color w:val="111111"/>
          <w:sz w:val="28"/>
          <w:sz w:val="28"/>
          <w:szCs w:val="28"/>
          <w:rtl w:val="true"/>
          <w:lang w:bidi="ar-SA"/>
        </w:rPr>
        <w:t>عدم الكراهة مع إرادة العود و لا خلاف في عدم التحريم مطلقا و النهي عن جماع المحتلم محمول علي الكراهة و تخف أو تزول بالوضوء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العزائم في اللغة الفرائض و تسميتها بالعزائم باعتبار إيجاب السجدة عند قراءتها و تحريم قراءتها علي الجنب إجماعي كما نص عليه في المعتبر و المنتهي و الظاهر أنه لا خلاف في حرمة قراءة أبعاضها حتي البسملة بقصد أحدها لكن</w:t>
      </w:r>
    </w:p>
    <w:p>
      <w:pPr>
        <w:pStyle w:val="BookText"/>
        <w:rPr/>
      </w:pPr>
      <w:r>
        <w:rPr>
          <w:rFonts w:ascii="IRNazanin" w:hAnsi="IRNazanin" w:eastAsia="IRNazanin"/>
          <w:color w:val="111111"/>
          <w:sz w:val="28"/>
          <w:sz w:val="28"/>
          <w:szCs w:val="28"/>
          <w:rtl w:val="true"/>
          <w:lang w:bidi="fa-IR"/>
        </w:rPr>
        <w:t>و حدیث در بر دارنده چند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 مقصود از آب، گِل باشد و امر به غسل به خاطر این باشد که گِل مانع از رسیدن آب به پوست بدن می شود، و اگر چنین نباشد بلکه آبی که بر بدن غسل کننده جاری می شود بر پاهایش نیز جاری  شود، شستن پاها بعد از غسل، با ضمّ 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پاها در آب به عنوان شرط صحّت غسل مطرح  شود، به خاطر اینکه چنان که گفته شد غسل استمراریّ کفایت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غسل کننده در مکانی غسل کند که آب مستعمل برای غسل بر پاهایش جاری شود و باقی نماند و جمع نگردد، شستن پاها بعد از غسل واجب نیست، و اگر آب مستعمل برای غسل در زیر پاهایش جمع شود، بنا بر اصلِ عدم جواز پاک شدن با آبِ غسل در شستن پاها به آن آب کفایت نمی شود، بلکه غسل کننده باید پاهایش را با آب دیگری بشوید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آب جاری غسل کند و آب بر پاهایش جاری شود، شستن آن ها واجب نیست، ولی اگر در آب اندک و راکد غسل کند، این آب در حُکم آبِ مستعمل بعد از غسل است و برای شستن پاها کفایت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گویا وجه سوّم نزدیک ترین وجه به جواب صحیح است، آن گونه که وجه چهارم دورترین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محقّق و کسانی غیر از او اجماع نظر فقها را در مورد مکروه بودن خواب بر جنب و از بین رفتن این کراهت بعد از وضو، نقل کرده اند، و از روایتی دیگر</w:t>
      </w:r>
      <w:r>
        <w:rPr>
          <w:rStyle w:val="FootnoteAnchor"/>
          <w:rtl w:val="true"/>
        </w:rPr>
        <w:footnoteReference w:id="290"/>
      </w:r>
      <w:r>
        <w:rPr>
          <w:rFonts w:ascii="IRNazanin" w:hAnsi="IRNazanin" w:eastAsia="IRNazanin"/>
          <w:color w:val="111111"/>
          <w:sz w:val="28"/>
          <w:sz w:val="28"/>
          <w:szCs w:val="28"/>
          <w:rtl w:val="true"/>
          <w:lang w:bidi="fa-IR"/>
        </w:rPr>
        <w:t>عدم کراهت در صورت وجود اراده بازگشت نقل شده است، و مطلقا در عدم تحریم خواب بر جنب اختلافی وجود ندارد، و نهی کردن محتلم از جماع و همبستری بر کراهت آن حمل می شود و این کراهت با وضو یا کاهش می یابد یا از بین می رود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نامگذاری چهار سوره مذکور به این نام به اعتبار وجوب سجده هنگام قرائت آن هاست، و تحریم قرائت این چهار سوره بر جنب نظر اجماع فقهاست آن گونه که در المعتبر و المنتهی بر این امر تأکید شده است، و ظاهراً هیچ گونه اختلاف نظری در بین فقها بر سر تحریم قرائت قسمتی از این سوره ها حتی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نیز وجود ندارد، ولی </w:t>
      </w:r>
    </w:p>
    <w:p>
      <w:pPr>
        <w:pStyle w:val="BookText"/>
        <w:rPr/>
      </w:pPr>
      <w:r>
        <w:rPr>
          <w:rFonts w:ascii="Amiri" w:hAnsi="Amiri" w:eastAsia="Amiri" w:cs="Amiri"/>
          <w:color w:val="111111"/>
          <w:sz w:val="28"/>
          <w:sz w:val="28"/>
          <w:szCs w:val="28"/>
          <w:rtl w:val="true"/>
          <w:lang w:bidi="ar-SA"/>
        </w:rPr>
        <w:t>غاية ما تدل عليه الروايات حرمة نفس السجدة أما غيرها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تحريم مس كتابة القرآن علي الجنب نقل عليه الإجماع جماعة كثيرة من الفقهاء و نقل في الذكري عن ابن الجنيد القول بالكراهة و ذكر أنه كثيرا ما يطلق الكراهة و يريد التحريم فينبغي أن يحمل كلامه عليه و المراد بكتابة القرآن الذي ذكره الأصحاب صور الحروف و منه التشديد علي الظاهر و في الإعراب إشكال و يعرف كون المكتوب قرآنا بعدم احتمال غيره أو بالنية و المراد بالمس الملاقاة بجزء من البشرة و الظاهر أنه لا يحصل بالشعر و لا بالظفر و في الأخير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و لا بأس بتبعيض الغسل إلي قوله بعد غسل الرأس موافق في العبارة رسالة والد الصدوق و ذكر الشهيد الثاني و سبطه صاحب المدارك أن الصدوق روي هذه العبارة بعينها في كتاب عرض المجالس عن الصادق عليه السلام و لم نجده في النسخ التي عندنا و قال في الذكري و قد قيل إنه مروي عن الصادق عليه السلام في كتاب عرض المجالس و لعلهم أرادوا كتابا آخر غير الأمالي أو كان في نسخهم و أسقط من نسخنا و هو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وجوب الموالاة في الغسل هو المشهور بين الأصحاب بل الظاهر أنه إجماعي و عبارة التهذيب مشعرة بالإجماع لكن قالوا باستحبابها و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إعادة الغسل بتخلل الحدث الأصغر بينه فاختاره الشيخ في النهاية و المبسوط و نقله الصدوق عن أبيه و به قال العلامة في جملة من كتبه و الشهيد الثاني من المتأخرين و ذهب ابن البراج إلي أنه يتم الغسل و لا وضوء عليه و اختاره ابن إدريس و من المتأخرين الشيخ علي ره و حكم السيد ره بالإتمام و الوضوء و اختاره المحقق في المعتبر و من المتأخرين الفاضل الأردبيلي و صاحب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المسألة في غاية الإشكال و إن كان هذا الخبر و الخبر الذي نسبه الشهيدان و السيد رحمهم الله إلي الصدوق مع تأيدهما بكلام رسالة علي بن بابويه الذي يعد</w:t>
      </w:r>
    </w:p>
    <w:p>
      <w:pPr>
        <w:pStyle w:val="BookText"/>
        <w:rPr/>
      </w:pPr>
      <w:r>
        <w:rPr>
          <w:rFonts w:ascii="IRNazanin" w:hAnsi="IRNazanin" w:eastAsia="IRNazanin"/>
          <w:color w:val="111111"/>
          <w:sz w:val="28"/>
          <w:sz w:val="28"/>
          <w:szCs w:val="28"/>
          <w:rtl w:val="true"/>
          <w:lang w:bidi="fa-IR"/>
        </w:rPr>
        <w:t>غایت آنچه روایات بر آن دلالت می کنند تحریم خود آیه سجده بر جنب است و غیر آن منعی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اجماع گروه کثیری از فقها بر سر تحریم مسّ کتابت قرآن نیز نقل شده است، ولی در الذکری نقل شده که ابن جنید نظر به کراهت این امر داشته است، امّا ذکر شده که وی در بسیاری از مواقع سخن از کراهت می گوید در حالی که مقصودش تحریم بوده است، پس لازم است که کلام ابن جنید حمل بر تحریم شود؛ و منظور از کتابت قرآن که فقها ذکر کرده اند، صورتِ حروف است و ظاهراً تشدید نیز از جمله حروف است، و در مورد اعراب گذاری قرآن اشکال وجود دارد، و شناخت اینکه نوشته ای قرآن است یا خیر از روی عدم احتمال غیر آن یا از روی نیّت ممکن است، و منظور از مسّ، تماس یافتن قسمتی از پوست با کتابت قرآن است، و پیداست که این تماس با مو و ناخن حاصل نمی شود، ولی در مورد ناخن اشکالی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بأس بتبعیض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غسل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الفاظ با رساله پدر صدوق موافق است، و شهید ثانی و نوه وی که مؤلف المدارک است ذکر کرده اند که صدوق عین این عبارات را در کتاب عرض المجالس از امام صادق علبه السلام نقل کرده است و ما آن را در نسخه هایی که نزد ماست نیافتیم، شهید ثانی 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این حدیث در کتاب عرض المجالس از امام صادق علیه السلام روایت شده است، و شاید مقصود آنان کتابی غیر از الأمالی بوده است، یا این حدیث در نسخه های آنان موجود بوده و از نسخه های ما افتاده است که خیلی بعید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وجوب رعایت موالات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هم انجام دادن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غسل در بین فقها مشهور است، بلکه ظاهراً نظر اجماع بر آن است و عبارتی که در التهذیب ذکر شده است خبر از وجود اجماع بر این نظر می دهد، ولی عدّه ای از فقها نیز باور به استحباب رعایت موالات دارند که ایرادی ندارد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نظر تکرار غسل به سبب وقوع حدث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بول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آن را شیخ در النهایه و المبسوط برگزیده است، و صدوق آن را از پدرش نقل کرده است و علّامه نیز در تعدادی از کتاب هایش این نظر را بیان کرده است، در میان متأخرین نیز شهید ثانی چنین نظری دارد، ولی ابن البرّاج بر این باور است که با وجود وقوع حدث اصغر غسل به اتمام می رسد و نیازی به وضو گرفتن نیست، ابن ادریس و در میان فقهای معاصر نیز شیخ علی رحمه الله این نظر را بر گزیده اند، ولی سیّد رحمه الله حُکم به اتمام غسل وگرفتن وضو داده است، ومحقّق در المعتبر و در میان فقهای معاصر نیز مؤلف المدارک و فاضل اردبیلی نظر سیّد را بر گزیده اند و مسأله در غایت دشواری و پیچیدگی است، اگر چه این حدیث و حدیثی که شهیدان و سیّد رحمهم الله به صدوق نسبت داده و در تأیید آن، کلام رساله علی بن بابویه را ذکر کرده اند که </w:t>
      </w:r>
      <w:bookmarkStart w:id="523" w:name="pg13517_329089"/>
    </w:p>
    <w:p>
      <w:pPr>
        <w:pStyle w:val="BookText"/>
        <w:rPr/>
      </w:pPr>
      <w:bookmarkEnd w:id="523"/>
      <w:r>
        <w:rPr>
          <w:rFonts w:ascii="Amiri" w:hAnsi="Amiri" w:eastAsia="Amiri" w:cs="Amiri"/>
          <w:color w:val="111111"/>
          <w:sz w:val="28"/>
          <w:sz w:val="28"/>
          <w:szCs w:val="28"/>
          <w:rtl w:val="true"/>
          <w:lang w:bidi="ar-SA"/>
        </w:rPr>
        <w:t>القوم كلامه في عداد الأخبار لا يقصر عن خبر صحيح و الاحتياط في الإتمام و الوضوء ثم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و إن اغتسلت من ماء يؤيد بعض المعاني التي ذكرناها في شرح حديث علي بن جعفر سابقا فلا تغفل و قد مر الكلام في سائر أجزاء الخبر</w:t>
      </w:r>
      <w:r>
        <w:rPr>
          <w:rFonts w:eastAsia="Amiri" w:cs="Amiri" w:ascii="Amiri" w:hAnsi="Amiri"/>
          <w:color w:val="111111"/>
          <w:sz w:val="28"/>
          <w:szCs w:val="28"/>
          <w:rtl w:val="true"/>
          <w:lang w:bidi="ar-SA"/>
        </w:rPr>
        <w:t>.</w:t>
      </w:r>
    </w:p>
    <w:p>
      <w:pPr>
        <w:pStyle w:val="Heading5"/>
        <w:numPr>
          <w:ilvl w:val="4"/>
          <w:numId w:val="1"/>
        </w:numPr>
        <w:rPr/>
      </w:pPr>
      <w:bookmarkStart w:id="524" w:name="__RefHeading___Toc605394_1934241801"/>
      <w:bookmarkStart w:id="525" w:name="_Toc241"/>
      <w:bookmarkEnd w:id="524"/>
      <w:r>
        <w:rPr>
          <w:rtl w:val="true"/>
        </w:rPr>
        <w:t>«</w:t>
      </w:r>
      <w:r>
        <w:rPr/>
        <w:t>24</w:t>
      </w:r>
      <w:r>
        <w:rPr>
          <w:rtl w:val="true"/>
        </w:rPr>
        <w:t>»</w:t>
      </w:r>
      <w:bookmarkEnd w:id="525"/>
    </w:p>
    <w:p>
      <w:pPr>
        <w:pStyle w:val="BookText"/>
        <w:rPr/>
      </w:pPr>
      <w:r>
        <w:rPr>
          <w:rFonts w:ascii="Amiri" w:hAnsi="Amiri" w:eastAsia="Amiri" w:cs="Amiri"/>
          <w:color w:val="111111"/>
          <w:sz w:val="28"/>
          <w:sz w:val="28"/>
          <w:szCs w:val="28"/>
          <w:rtl w:val="true"/>
          <w:lang w:bidi="ar-SA"/>
        </w:rPr>
        <w:t>الْمُقْنِعُ،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 أَنَّهُ مَنْ تَرَكَ شَعْرَةً مِنَ الْجَنَابَةِ مُتَعَمِّداً لَمْ يَغْسِلْهَا فَهُوَ فِي النَّارِ</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6" w:name="__RefHeading___Toc605396_1934241801"/>
      <w:bookmarkStart w:id="527" w:name="_Toc242"/>
      <w:bookmarkEnd w:id="526"/>
      <w:r>
        <w:rPr>
          <w:rtl w:val="true"/>
        </w:rPr>
        <w:t>«</w:t>
      </w:r>
      <w:r>
        <w:rPr/>
        <w:t>25</w:t>
      </w:r>
      <w:r>
        <w:rPr>
          <w:rtl w:val="true"/>
        </w:rPr>
        <w:t>»</w:t>
      </w:r>
      <w:bookmarkEnd w:id="527"/>
    </w:p>
    <w:p>
      <w:pPr>
        <w:pStyle w:val="BookText"/>
        <w:rPr/>
      </w:pPr>
      <w:r>
        <w:rPr>
          <w:rFonts w:ascii="Amiri" w:hAnsi="Amiri" w:eastAsia="Amiri" w:cs="Amiri"/>
          <w:color w:val="111111"/>
          <w:sz w:val="28"/>
          <w:sz w:val="28"/>
          <w:szCs w:val="28"/>
          <w:rtl w:val="true"/>
          <w:lang w:bidi="ar-SA"/>
        </w:rPr>
        <w:t>السَّرَائِرُ، مِنْ كِتَابِ النَّوَادِرِ لِأَحْمَدَ بْنِ مُحَمَّدِ 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مَا يُوجِبُ الْغُسْلَ عَلَي الرَّجُلِ وَ الْمَرْأَةِ فَقَالَ إِذَا أَوْلَجَهُ أَوْجَبَ الْغُسْلَ وَ الْمَهْرَ وَ الرَّجْمَ‌</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8" w:name="__RefHeading___Toc605398_1934241801"/>
      <w:bookmarkStart w:id="529" w:name="_Toc243"/>
      <w:bookmarkEnd w:id="528"/>
      <w:r>
        <w:rPr>
          <w:rtl w:val="true"/>
        </w:rPr>
        <w:t>«</w:t>
      </w:r>
      <w:r>
        <w:rPr/>
        <w:t>26</w:t>
      </w:r>
      <w:r>
        <w:rPr>
          <w:rtl w:val="true"/>
        </w:rPr>
        <w:t>»</w:t>
      </w:r>
      <w:bookmarkEnd w:id="529"/>
    </w:p>
    <w:p>
      <w:pPr>
        <w:pStyle w:val="BookText"/>
        <w:rPr/>
      </w:pPr>
      <w:r>
        <w:rPr>
          <w:rFonts w:ascii="Amiri" w:hAnsi="Amiri" w:eastAsia="Amiri" w:cs="Amiri"/>
          <w:color w:val="111111"/>
          <w:sz w:val="28"/>
          <w:sz w:val="28"/>
          <w:szCs w:val="28"/>
          <w:rtl w:val="true"/>
          <w:lang w:bidi="ar-SA"/>
        </w:rPr>
        <w:t>وَ مِنْهُ، مِنْ كِتَابِ النَّوَادِرِ لِمُحَمَّدِ بْنِ عَلِيِّ بْنِ مَحْبُوبٍ عَنْ مُحَمَّدِ بْنِ عَبْدِ الْحَمِيدِ عَنْ مُحَمَّدِ بْنِ عُمَرَ بْنِ يَزِيدَ عَنْ مُحَمَّدِ بْنِ عُذَافِرٍ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مَتَي يَجِبُ عَلَي الرَّجُلِ وَ الْمَرْأَةِ الْغُسْلُ فَقَالَ يَجِبُ عَلَيْهِمَا الْغُسْلُ حِينَ يُدْخِلُهُ وَ إِذَا الْتَقَي الْخِتَانَانِ فَيَغْسِلَانِ فَرْجَهُمَا</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0" w:name="__RefHeading___Toc605400_1934241801"/>
      <w:bookmarkStart w:id="531" w:name="_Toc244"/>
      <w:bookmarkEnd w:id="530"/>
      <w:r>
        <w:rPr>
          <w:rtl w:val="true"/>
        </w:rPr>
        <w:t>بيان</w:t>
      </w:r>
      <w:bookmarkEnd w:id="531"/>
    </w:p>
    <w:p>
      <w:pPr>
        <w:pStyle w:val="BookText"/>
        <w:rPr/>
      </w:pPr>
      <w:r>
        <w:rPr>
          <w:rFonts w:ascii="Amiri" w:hAnsi="Amiri" w:eastAsia="Amiri" w:cs="Amiri"/>
          <w:color w:val="111111"/>
          <w:sz w:val="28"/>
          <w:sz w:val="28"/>
          <w:szCs w:val="28"/>
          <w:rtl w:val="true"/>
          <w:lang w:bidi="ar-SA"/>
        </w:rPr>
        <w:t>ظاهره أن التقاء الختانين لا يوجب الغسل و هو خلاف الروايات الكثيرة و الإجماع المنقول و يمكن عطف قوله و إذا التقي علي قوله حين يدخله أي يجب عليهما الغسل إذا التقي الختانان و قوله فيغسلان حكم آخر و علي التقديرين الغسل محمول علي الاستحباب و لا خلاف في وجوب الغسل عند مواراة الحشفة مطلقا سواء حصل التقاء الختانين أم لا و إن كان في الصورة الأخيرة بالنظر إلي الروايات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فسر الأصحاب التقاءهما بمحاذاتهما لأن الملاقاة حقيقة غير متصورة فإن مدخل الذكر أسفل الفرج و هو مخرج الولد و الحيض و موضع الختان</w:t>
      </w:r>
    </w:p>
    <w:p>
      <w:pPr>
        <w:pStyle w:val="BookText"/>
        <w:rPr/>
      </w:pPr>
      <w:r>
        <w:rPr>
          <w:rFonts w:ascii="IRNazanin" w:hAnsi="IRNazanin" w:eastAsia="IRNazanin"/>
          <w:color w:val="111111"/>
          <w:sz w:val="28"/>
          <w:sz w:val="28"/>
          <w:szCs w:val="28"/>
          <w:rtl w:val="true"/>
          <w:lang w:bidi="fa-IR"/>
        </w:rPr>
        <w:t>مردم کلامش را در حدّ احادیث می پندارند، ولی از حدیث صحیح ناقص نیست،آورده اند و احتیاط آن است که غسل به اتمام رسیده و وضو گرفته شود، سپس غسل دوباره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اغتسلت من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معانی که سابقاً در شرح حدیث علی بن جعفر ذکر کردیم را تأیید می کند، پس غافل مباش و قبلاً در باره سایر اجزای حدیث سخن گفته شد</w:t>
      </w:r>
      <w:r>
        <w:rPr>
          <w:rFonts w:eastAsia="IRNazanin" w:cs="IRNazanin"/>
          <w:color w:val="111111"/>
          <w:sz w:val="28"/>
          <w:szCs w:val="28"/>
          <w:rtl w:val="true"/>
          <w:lang w:bidi="fa-IR"/>
        </w:rPr>
        <w:t>.</w:t>
      </w:r>
    </w:p>
    <w:p>
      <w:pPr>
        <w:pStyle w:val="Heading5"/>
        <w:numPr>
          <w:ilvl w:val="4"/>
          <w:numId w:val="1"/>
        </w:numPr>
        <w:rPr/>
      </w:pPr>
      <w:bookmarkStart w:id="532" w:name="__RefHeading___Toc605402_1934241801"/>
      <w:bookmarkStart w:id="533" w:name="_Toc245"/>
      <w:bookmarkEnd w:id="532"/>
      <w:r>
        <w:rPr>
          <w:rtl w:val="true"/>
        </w:rPr>
        <w:t xml:space="preserve">روایت </w:t>
      </w:r>
      <w:r>
        <w:rPr/>
        <w:t>24</w:t>
      </w:r>
      <w:bookmarkEnd w:id="533"/>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کنم هر کسی هنگام غسل تار مویی را به صورت عمدی ترک کند و آن را نشوید، جایگاهش در آتش است</w:t>
      </w:r>
      <w:r>
        <w:rPr>
          <w:rFonts w:eastAsia="IRNazanin" w:cs="IRNazanin"/>
          <w:color w:val="111111"/>
          <w:sz w:val="28"/>
          <w:szCs w:val="28"/>
          <w:rtl w:val="true"/>
          <w:lang w:bidi="fa-IR"/>
        </w:rPr>
        <w:t>.</w:t>
      </w:r>
      <w:r>
        <w:rPr>
          <w:rStyle w:val="FootnoteAnchor"/>
          <w:rtl w:val="true"/>
        </w:rPr>
        <w:footnoteReference w:id="294"/>
      </w:r>
    </w:p>
    <w:p>
      <w:pPr>
        <w:pStyle w:val="Heading5"/>
        <w:numPr>
          <w:ilvl w:val="4"/>
          <w:numId w:val="1"/>
        </w:numPr>
        <w:rPr/>
      </w:pPr>
      <w:bookmarkStart w:id="534" w:name="__RefHeading___Toc605404_1934241801"/>
      <w:bookmarkStart w:id="535" w:name="_Toc246"/>
      <w:bookmarkEnd w:id="534"/>
      <w:r>
        <w:rPr>
          <w:rtl w:val="true"/>
        </w:rPr>
        <w:t xml:space="preserve">روایت </w:t>
      </w:r>
      <w:r>
        <w:rPr/>
        <w:t>25</w:t>
      </w:r>
      <w:bookmarkEnd w:id="535"/>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النوادر احمد بن محمد بن أبی نصر البزنطّی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غسل را بر مرد و زن واجب می گرداند؟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مرد عمل دخول را انجام دهد، غسل، پرداخت مهریه و سنگسار واجب می گردد</w:t>
      </w:r>
      <w:r>
        <w:rPr>
          <w:rFonts w:eastAsia="IRNazanin" w:cs="IRNazanin"/>
          <w:color w:val="111111"/>
          <w:sz w:val="28"/>
          <w:szCs w:val="28"/>
          <w:rtl w:val="true"/>
          <w:lang w:bidi="fa-IR"/>
        </w:rPr>
        <w:t>.</w:t>
      </w:r>
      <w:r>
        <w:rPr>
          <w:rStyle w:val="FootnoteAnchor"/>
          <w:rtl w:val="true"/>
        </w:rPr>
        <w:footnoteReference w:id="295"/>
      </w:r>
    </w:p>
    <w:p>
      <w:pPr>
        <w:pStyle w:val="Heading5"/>
        <w:numPr>
          <w:ilvl w:val="4"/>
          <w:numId w:val="1"/>
        </w:numPr>
        <w:rPr/>
      </w:pPr>
      <w:bookmarkStart w:id="536" w:name="__RefHeading___Toc605406_1934241801"/>
      <w:bookmarkStart w:id="537" w:name="_Toc247"/>
      <w:bookmarkEnd w:id="536"/>
      <w:r>
        <w:rPr>
          <w:rtl w:val="true"/>
        </w:rPr>
        <w:t xml:space="preserve">روایت </w:t>
      </w:r>
      <w:r>
        <w:rPr/>
        <w:t>26</w:t>
      </w:r>
      <w:bookmarkEnd w:id="537"/>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النوادر محمد علی بن محبوب از محمّد بن عُذافر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غسل بر مرد و زن واجب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عمل دخول را انجام دهند، غسل بر آن ها واجب می شود و هنگامی که ختنه گاه مرد و زن به هم برسد، فقط آلت تناسلی خود را می شویند</w:t>
      </w:r>
      <w:r>
        <w:rPr>
          <w:rFonts w:eastAsia="IRNazanin" w:cs="IRNazanin"/>
          <w:color w:val="111111"/>
          <w:sz w:val="28"/>
          <w:szCs w:val="28"/>
          <w:rtl w:val="true"/>
          <w:lang w:bidi="fa-IR"/>
        </w:rPr>
        <w:t>.</w:t>
      </w:r>
      <w:r>
        <w:rPr>
          <w:rStyle w:val="FootnoteAnchor"/>
          <w:rtl w:val="true"/>
        </w:rPr>
        <w:footnoteReference w:id="296"/>
      </w:r>
    </w:p>
    <w:p>
      <w:pPr>
        <w:pStyle w:val="Heading5"/>
        <w:numPr>
          <w:ilvl w:val="4"/>
          <w:numId w:val="1"/>
        </w:numPr>
        <w:rPr/>
      </w:pPr>
      <w:bookmarkStart w:id="538" w:name="__RefHeading___Toc605408_1934241801"/>
      <w:bookmarkStart w:id="539" w:name="_Toc248"/>
      <w:bookmarkEnd w:id="538"/>
      <w:r>
        <w:rPr>
          <w:rtl w:val="true"/>
        </w:rPr>
        <w:t>توضیح</w:t>
      </w:r>
      <w:bookmarkEnd w:id="539"/>
    </w:p>
    <w:p>
      <w:pPr>
        <w:pStyle w:val="BookText"/>
        <w:rPr/>
      </w:pPr>
      <w:r>
        <w:rPr>
          <w:rFonts w:ascii="IRNazanin" w:hAnsi="IRNazanin" w:eastAsia="IRNazanin"/>
          <w:color w:val="111111"/>
          <w:sz w:val="28"/>
          <w:sz w:val="28"/>
          <w:szCs w:val="28"/>
          <w:rtl w:val="true"/>
          <w:lang w:bidi="fa-IR"/>
        </w:rPr>
        <w:t xml:space="preserve">ظاهر حدیث بیان گر این مطلب است که به هم رسیدن ختنه گاه مرد و زن باعث وجوب غسل نمی شود، و این بر خلاف بسیاری از احادیث و روایات و اجماع منقول است، همچنین ممکن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دهیم،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ختنه گاه مرد و زن به هم می رسد نیز غسل واجب می گردد،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فیغسلان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دیگری است، و بر اساس هر دو تقدیر غسل حمل بر استحباب می شود؛ و هنگام پنهان شدن سر آلت تناسلی مرد در فرج زن مطلقا در مورد وجوب غسل هیچ اختلاف نظری وجود ندارد، چه ختنه گاه دو طرف به هم برسد چه نرسد، اگر چه با توجه به روایات صورت اخیر خالی از اشکال نیست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فقها رسیدن ختنه گاه مرد و زن به یکدیگر را به در مقابل هم قرار گرفتن آن ها تقسیر کرده اند، چرا که به هم رسیدن ختنه گاه مرد و زن امری است که تصوّر آن امکان پذیر نیست، چه که مکان دخول آلت مرد پایین  فرج است که مکان خروج نوزاد و خون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ختنه گاه </w:t>
      </w:r>
      <w:bookmarkStart w:id="540" w:name="pg13517_329090"/>
    </w:p>
    <w:p>
      <w:pPr>
        <w:pStyle w:val="BookText"/>
        <w:rPr/>
      </w:pPr>
      <w:bookmarkEnd w:id="540"/>
      <w:r>
        <w:rPr>
          <w:rFonts w:ascii="Amiri" w:hAnsi="Amiri" w:eastAsia="Amiri" w:cs="Amiri"/>
          <w:color w:val="111111"/>
          <w:sz w:val="28"/>
          <w:sz w:val="28"/>
          <w:szCs w:val="28"/>
          <w:rtl w:val="true"/>
          <w:lang w:bidi="ar-SA"/>
        </w:rPr>
        <w:t>أعلاه و بينهما ثقبة البول فعلي هذا يمكن حمل التقاء الختانين علي حقيقته بأن يضع ذكره علي موضع الختان فلا يدخل الذكر الفرج بقرينة أنه جعله مقابلا للإدخال</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605410_1934241801"/>
      <w:bookmarkStart w:id="542" w:name="_Toc249"/>
      <w:bookmarkEnd w:id="541"/>
      <w:r>
        <w:rPr>
          <w:rtl w:val="true"/>
        </w:rPr>
        <w:t>«</w:t>
      </w:r>
      <w:r>
        <w:rPr/>
        <w:t>27</w:t>
      </w:r>
      <w:r>
        <w:rPr>
          <w:rtl w:val="true"/>
        </w:rPr>
        <w:t>»</w:t>
      </w:r>
      <w:bookmarkEnd w:id="542"/>
    </w:p>
    <w:p>
      <w:pPr>
        <w:pStyle w:val="BookText"/>
        <w:rPr/>
      </w:pPr>
      <w:r>
        <w:rPr>
          <w:rFonts w:ascii="Amiri" w:hAnsi="Amiri" w:eastAsia="Amiri" w:cs="Amiri"/>
          <w:color w:val="111111"/>
          <w:sz w:val="28"/>
          <w:sz w:val="28"/>
          <w:szCs w:val="28"/>
          <w:rtl w:val="true"/>
          <w:lang w:bidi="ar-SA"/>
        </w:rPr>
        <w:t>الْمُقْنِعُ، قَالَ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إِذَا احْتَلَمَتْ فَعَلَيْهَا الْغُسْلُ إِذَا أَنْزَلَتْ فَإِنْ لَمْ تُنْزِلْ فَلَيْسَ عَلَيْهَا شَيْ‌ءٌ</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3" w:name="__RefHeading___Toc605412_1934241801"/>
      <w:bookmarkStart w:id="544" w:name="_Toc250"/>
      <w:bookmarkEnd w:id="543"/>
      <w:r>
        <w:rPr>
          <w:rtl w:val="true"/>
        </w:rPr>
        <w:t>«</w:t>
      </w:r>
      <w:r>
        <w:rPr/>
        <w:t>28</w:t>
      </w:r>
      <w:r>
        <w:rPr>
          <w:rtl w:val="true"/>
        </w:rPr>
        <w:t>»</w:t>
      </w:r>
      <w:bookmarkEnd w:id="544"/>
    </w:p>
    <w:p>
      <w:pPr>
        <w:pStyle w:val="BookText"/>
        <w:rPr/>
      </w:pP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سَأَلَتْ رَسُولَ اللَّهِ صلي الله عليه و آله عَنِ الْمَرْأَةِ تَرَي فِي الْمَنَامِ مِثْلَ مَا يَرَي الرَّجُلُ فَقَالَ صلي الله عليه و آله أَ تَجِدُ لَذَّةً فَقَالَتْ نَعَمْ فَقَالَ عَلَيْهَا مِثْلُ مَا عَلَي الرَّجُلِ‌</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5" w:name="__RefHeading___Toc605414_1934241801"/>
      <w:bookmarkStart w:id="546" w:name="_Toc251"/>
      <w:bookmarkEnd w:id="545"/>
      <w:r>
        <w:rPr>
          <w:rtl w:val="true"/>
        </w:rPr>
        <w:t>«</w:t>
      </w:r>
      <w:r>
        <w:rPr/>
        <w:t>29</w:t>
      </w:r>
      <w:r>
        <w:rPr>
          <w:rtl w:val="true"/>
        </w:rPr>
        <w:t>»</w:t>
      </w:r>
      <w:bookmarkEnd w:id="546"/>
    </w:p>
    <w:p>
      <w:pPr>
        <w:pStyle w:val="BookText"/>
        <w:rPr/>
      </w:pPr>
      <w:r>
        <w:rPr>
          <w:rFonts w:ascii="Amiri" w:hAnsi="Amiri" w:eastAsia="Amiri" w:cs="Amiri"/>
          <w:color w:val="111111"/>
          <w:sz w:val="28"/>
          <w:sz w:val="28"/>
          <w:szCs w:val="28"/>
          <w:rtl w:val="true"/>
          <w:lang w:bidi="ar-SA"/>
        </w:rPr>
        <w:t>الْخَرَائِجُ لِلرَّاوَنْدِيِّ، عَنْ جَابِرٍ الْجُعْفِيِّ عَنْ زَيْنِ الْعَابِدِينَ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أَعْرَابِيٌّ إِلَي الْمَدِينَةِ فَلَمَّا كَانَ قُرْبَ الْمَدِينَةِ خَضْخَضَ وَ دَخَلَ عَلَي الْحُسَيْنِ عليه السلام فَقَالَ لَهُ يَا أَعْرَابِيُّ أَ مَا تَسْتَحْيِي أَ تَدْخُلُ إِلَي إِمَامِكَ وَ أَنْتَ جُنُبٌ ثُمَّ قَالَ أَنْتُمْ مَعَاشِرَ الْعَرَبِ إِذَا خَلَوْتُمْ خَضْخَضْتُمْ فَقَالَ الْأَعْرَابِيُّ قَدْ بَلَغْتُ حَاجَتِي فِيمَا جِئْتُ لَهُ فَخَرَجَ مِنْ عِنْدِهِ وَ اغْتَسَلَ وَ رَجَعَ إِلَيْهِ فَسَأَلَهُ عَمَّا كَانَ فِي قَلْبِهِ‌</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7" w:name="__RefHeading___Toc605416_1934241801"/>
      <w:bookmarkStart w:id="548" w:name="_Toc252"/>
      <w:bookmarkEnd w:id="547"/>
      <w:r>
        <w:rPr>
          <w:rtl w:val="true"/>
        </w:rPr>
        <w:t>بيان</w:t>
      </w:r>
      <w:bookmarkEnd w:id="548"/>
    </w:p>
    <w:p>
      <w:pPr>
        <w:pStyle w:val="BookText"/>
        <w:rPr/>
      </w:pPr>
      <w:r>
        <w:rPr>
          <w:rFonts w:ascii="Amiri" w:hAnsi="Amiri" w:eastAsia="Amiri" w:cs="Amiri"/>
          <w:color w:val="111111"/>
          <w:sz w:val="28"/>
          <w:sz w:val="28"/>
          <w:szCs w:val="28"/>
          <w:rtl w:val="true"/>
          <w:lang w:bidi="ar-SA"/>
        </w:rPr>
        <w:t>قال في النهاية في حديث ابن عباس سئل عن الخضخضة فقال هو خير من الزنا و نكاح الأمة خير منه الخضخضة الاستمناء و هو استنزال المني في غير الفرج و أصل الخضخضة التحريك</w:t>
      </w:r>
      <w:r>
        <w:rPr>
          <w:rFonts w:eastAsia="Amiri" w:cs="Amiri" w:ascii="Amiri" w:hAnsi="Amiri"/>
          <w:color w:val="111111"/>
          <w:sz w:val="28"/>
          <w:szCs w:val="28"/>
          <w:rtl w:val="true"/>
          <w:lang w:bidi="ar-SA"/>
        </w:rPr>
        <w:t>.</w:t>
      </w:r>
    </w:p>
    <w:p>
      <w:pPr>
        <w:pStyle w:val="Heading5"/>
        <w:numPr>
          <w:ilvl w:val="4"/>
          <w:numId w:val="1"/>
        </w:numPr>
        <w:rPr/>
      </w:pPr>
      <w:bookmarkStart w:id="549" w:name="__RefHeading___Toc605418_1934241801"/>
      <w:bookmarkStart w:id="550" w:name="_Toc253"/>
      <w:bookmarkEnd w:id="549"/>
      <w:r>
        <w:rPr>
          <w:rtl w:val="true"/>
        </w:rPr>
        <w:t>«</w:t>
      </w:r>
      <w:r>
        <w:rPr/>
        <w:t>30</w:t>
      </w:r>
      <w:r>
        <w:rPr>
          <w:rtl w:val="true"/>
        </w:rPr>
        <w:t>»</w:t>
      </w:r>
      <w:bookmarkEnd w:id="550"/>
    </w:p>
    <w:p>
      <w:pPr>
        <w:pStyle w:val="BookText"/>
        <w:rPr/>
      </w:pPr>
      <w:r>
        <w:rPr>
          <w:rFonts w:ascii="Amiri" w:hAnsi="Amiri" w:eastAsia="Amiri" w:cs="Amiri"/>
          <w:color w:val="111111"/>
          <w:sz w:val="28"/>
          <w:sz w:val="28"/>
          <w:szCs w:val="28"/>
          <w:rtl w:val="true"/>
          <w:lang w:bidi="ar-SA"/>
        </w:rPr>
        <w:t>السَّرَائِرُ، مِنْ نَوَادِرِ أَحْمَدَ بْنِ مُحَمَّدِ بْنِ أَبِي نَصْرٍ الْبَزَنْطِيِّ عَنْ 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لَمْ يَرَ فِي مَنَامِهِ شَيْئاً فَاسْتَيْقَظَ فَإِذَا هُوَ بِبَلَلٍ قَالَ لَيْسَ عَلَيْهِ غُسْلٌ‌</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1" w:name="__RefHeading___Toc605420_1934241801"/>
      <w:bookmarkStart w:id="552" w:name="_Toc254"/>
      <w:bookmarkEnd w:id="551"/>
      <w:r>
        <w:rPr>
          <w:rtl w:val="true"/>
        </w:rPr>
        <w:t>بيان</w:t>
      </w:r>
      <w:bookmarkEnd w:id="552"/>
    </w:p>
    <w:p>
      <w:pPr>
        <w:pStyle w:val="BookText"/>
        <w:rPr/>
      </w:pPr>
      <w:r>
        <w:rPr>
          <w:rFonts w:ascii="Amiri" w:hAnsi="Amiri" w:eastAsia="Amiri" w:cs="Amiri"/>
          <w:color w:val="111111"/>
          <w:sz w:val="28"/>
          <w:sz w:val="28"/>
          <w:szCs w:val="28"/>
          <w:rtl w:val="true"/>
          <w:lang w:bidi="ar-SA"/>
        </w:rPr>
        <w:t>محمول علي ما إذا علم أنه ليس بمني أو اشتبه كما ستعرف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بالاتر از آن قرار دارد، و در بین این دو قسمت سوراخ بول وجود دارد، بر این اساس ممکن است که به هم رسیدن ختنه گاه دو طرف حمل بر این نکته شود که مرد آلت خود را بر روی ختنه گاه زن بگذارد، پس آلت مرد در فرج زن وارد نمی شود به قرینه اینکه مرد آلت خود را به قصد دخول در مقابل فرج زن قرار می دهد</w:t>
      </w:r>
      <w:r>
        <w:rPr>
          <w:rFonts w:eastAsia="IRNazanin" w:cs="IRNazanin"/>
          <w:color w:val="111111"/>
          <w:sz w:val="28"/>
          <w:szCs w:val="28"/>
          <w:rtl w:val="true"/>
          <w:lang w:bidi="fa-IR"/>
        </w:rPr>
        <w:t>.</w:t>
      </w:r>
    </w:p>
    <w:p>
      <w:pPr>
        <w:pStyle w:val="Heading5"/>
        <w:numPr>
          <w:ilvl w:val="4"/>
          <w:numId w:val="1"/>
        </w:numPr>
        <w:rPr/>
      </w:pPr>
      <w:bookmarkStart w:id="553" w:name="__RefHeading___Toc605422_1934241801"/>
      <w:bookmarkStart w:id="554" w:name="_Toc255"/>
      <w:bookmarkEnd w:id="553"/>
      <w:r>
        <w:rPr>
          <w:rtl w:val="true"/>
        </w:rPr>
        <w:t xml:space="preserve">روایت </w:t>
      </w:r>
      <w:r>
        <w:rPr/>
        <w:t>27</w:t>
      </w:r>
      <w:bookmarkEnd w:id="554"/>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اگر زن محتلم شد وآب از فرج او خارج شد باید غسل کند، ولی اگر آب خارج نشد چیزی بر او واجب نیست</w:t>
      </w:r>
      <w:r>
        <w:rPr>
          <w:rFonts w:eastAsia="IRNazanin" w:cs="IRNazanin"/>
          <w:color w:val="111111"/>
          <w:sz w:val="28"/>
          <w:szCs w:val="28"/>
          <w:rtl w:val="true"/>
          <w:lang w:bidi="fa-IR"/>
        </w:rPr>
        <w:t>.</w:t>
      </w:r>
      <w:r>
        <w:rPr>
          <w:rStyle w:val="FootnoteAnchor"/>
          <w:rtl w:val="true"/>
        </w:rPr>
        <w:footnoteReference w:id="301"/>
      </w:r>
    </w:p>
    <w:p>
      <w:pPr>
        <w:pStyle w:val="Heading5"/>
        <w:numPr>
          <w:ilvl w:val="4"/>
          <w:numId w:val="1"/>
        </w:numPr>
        <w:rPr/>
      </w:pPr>
      <w:bookmarkStart w:id="555" w:name="__RefHeading___Toc605424_1934241801"/>
      <w:bookmarkStart w:id="556" w:name="_Toc256"/>
      <w:bookmarkEnd w:id="555"/>
      <w:r>
        <w:rPr>
          <w:rtl w:val="true"/>
        </w:rPr>
        <w:t xml:space="preserve">روایت </w:t>
      </w:r>
      <w:r>
        <w:rPr/>
        <w:t>28</w:t>
      </w:r>
      <w:bookmarkEnd w:id="556"/>
    </w:p>
    <w:p>
      <w:p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رسول خدا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زنی که در خواب مانند آنچه مردان در خواب می بینند را می بیند چیست؟ 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لذّتی احساس می کند؟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مردان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غسل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نیز واجب است</w:t>
      </w:r>
      <w:r>
        <w:rPr>
          <w:rFonts w:eastAsia="IRNazanin" w:cs="IRNazanin"/>
          <w:color w:val="111111"/>
          <w:sz w:val="28"/>
          <w:szCs w:val="28"/>
          <w:rtl w:val="true"/>
          <w:lang w:bidi="fa-IR"/>
        </w:rPr>
        <w:t>.</w:t>
      </w:r>
      <w:r>
        <w:rPr>
          <w:rStyle w:val="FootnoteAnchor"/>
          <w:rtl w:val="true"/>
        </w:rPr>
        <w:footnoteReference w:id="302"/>
      </w:r>
    </w:p>
    <w:p>
      <w:pPr>
        <w:pStyle w:val="Heading5"/>
        <w:numPr>
          <w:ilvl w:val="4"/>
          <w:numId w:val="1"/>
        </w:numPr>
        <w:rPr/>
      </w:pPr>
      <w:bookmarkStart w:id="557" w:name="__RefHeading___Toc605426_1934241801"/>
      <w:bookmarkStart w:id="558" w:name="_Toc257"/>
      <w:bookmarkEnd w:id="557"/>
      <w:r>
        <w:rPr>
          <w:rtl w:val="true"/>
        </w:rPr>
        <w:t xml:space="preserve">روایت </w:t>
      </w:r>
      <w:r>
        <w:rPr/>
        <w:t>29</w:t>
      </w:r>
      <w:bookmarkEnd w:id="558"/>
    </w:p>
    <w:p>
      <w:pPr>
        <w:pStyle w:val="BookText"/>
        <w:rPr/>
      </w:pPr>
      <w:r>
        <w:rPr>
          <w:rFonts w:ascii="IRNazanin" w:hAnsi="IRNazanin" w:eastAsia="IRNazanin"/>
          <w:color w:val="111111"/>
          <w:sz w:val="28"/>
          <w:sz w:val="28"/>
          <w:szCs w:val="28"/>
          <w:rtl w:val="true"/>
          <w:lang w:bidi="fa-IR"/>
        </w:rPr>
        <w:t>الخرائج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از امام زین العابدین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بادیه نشین به سوی مدینه آمد و هنگامی که به نزدیکی مدینه رسید مرتکب استمناء شد و آن گاه نزد امام حسین علیه السلام رفت، پس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بادیه نشین، آیا شرم نمی کنی؟ آیا نزد امام و پیشوایت می آیی در حالی که جُنب هستی؟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عرب، شما هنگامی که با خود خلوت می کنید مرتکب استمناء می شوید، پس مرد بادیه 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حاجت من به حدّی بود که برای رفع آن مجبور شدم نزد شما بیایم، بنابراین از نزد امام حسین خارج شد و غسل نمود، پس از غسل بازگشت و آنچه را در نظر داشت از امام سوال نمود</w:t>
      </w:r>
      <w:r>
        <w:rPr>
          <w:rFonts w:eastAsia="IRNazanin" w:cs="IRNazanin"/>
          <w:color w:val="111111"/>
          <w:sz w:val="28"/>
          <w:szCs w:val="28"/>
          <w:rtl w:val="true"/>
          <w:lang w:bidi="fa-IR"/>
        </w:rPr>
        <w:t>.</w:t>
      </w:r>
      <w:r>
        <w:rPr>
          <w:rStyle w:val="FootnoteAnchor"/>
          <w:rtl w:val="true"/>
        </w:rPr>
        <w:footnoteReference w:id="303"/>
      </w:r>
    </w:p>
    <w:p>
      <w:pPr>
        <w:pStyle w:val="Heading5"/>
        <w:numPr>
          <w:ilvl w:val="4"/>
          <w:numId w:val="1"/>
        </w:numPr>
        <w:rPr/>
      </w:pPr>
      <w:bookmarkStart w:id="559" w:name="__RefHeading___Toc605428_1934241801"/>
      <w:bookmarkStart w:id="560" w:name="_Toc258"/>
      <w:bookmarkEnd w:id="559"/>
      <w:r>
        <w:rPr>
          <w:rtl w:val="true"/>
        </w:rPr>
        <w:t>توضیح</w:t>
      </w:r>
      <w:bookmarkEnd w:id="560"/>
    </w:p>
    <w:p>
      <w:pPr>
        <w:pStyle w:val="BookText"/>
        <w:rPr/>
      </w:pPr>
      <w:r>
        <w:rPr>
          <w:rFonts w:ascii="IRNazanin" w:hAnsi="IRNazanin" w:eastAsia="IRNazanin"/>
          <w:color w:val="111111"/>
          <w:sz w:val="28"/>
          <w:sz w:val="28"/>
          <w:szCs w:val="28"/>
          <w:rtl w:val="true"/>
          <w:lang w:bidi="fa-IR"/>
        </w:rPr>
        <w:t>شیخ در النهایه در تفسیر حدیث 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خضخضه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است که از زنا بهتر است، ولی نکاح کنیز از آن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الخضخضه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استمناء و آن طلب انزال منی در غیر فرج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الخضخضه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تحریک است</w:t>
      </w:r>
      <w:r>
        <w:rPr>
          <w:rFonts w:eastAsia="IRNazanin" w:cs="IRNazanin"/>
          <w:color w:val="111111"/>
          <w:sz w:val="28"/>
          <w:szCs w:val="28"/>
          <w:rtl w:val="true"/>
          <w:lang w:bidi="fa-IR"/>
        </w:rPr>
        <w:t>.</w:t>
      </w:r>
    </w:p>
    <w:p>
      <w:pPr>
        <w:pStyle w:val="Heading5"/>
        <w:numPr>
          <w:ilvl w:val="4"/>
          <w:numId w:val="1"/>
        </w:numPr>
        <w:rPr/>
      </w:pPr>
      <w:bookmarkStart w:id="561" w:name="__RefHeading___Toc605430_1934241801"/>
      <w:bookmarkStart w:id="562" w:name="_Toc259"/>
      <w:bookmarkEnd w:id="561"/>
      <w:r>
        <w:rPr>
          <w:rtl w:val="true"/>
        </w:rPr>
        <w:t xml:space="preserve">روایت </w:t>
      </w:r>
      <w:r>
        <w:rPr/>
        <w:t>30</w:t>
      </w:r>
      <w:bookmarkEnd w:id="562"/>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پرسیدم که در خواب چیزی ندیده است ولی بیدار می شود و مایعی را بر لباس خود مشاهده 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بر او واجب نیست</w:t>
      </w:r>
      <w:r>
        <w:rPr>
          <w:rFonts w:eastAsia="IRNazanin" w:cs="IRNazanin"/>
          <w:color w:val="111111"/>
          <w:sz w:val="28"/>
          <w:szCs w:val="28"/>
          <w:rtl w:val="true"/>
          <w:lang w:bidi="fa-IR"/>
        </w:rPr>
        <w:t>.</w:t>
      </w:r>
      <w:r>
        <w:rPr>
          <w:rStyle w:val="FootnoteAnchor"/>
          <w:rtl w:val="true"/>
        </w:rPr>
        <w:footnoteReference w:id="304"/>
      </w:r>
    </w:p>
    <w:p>
      <w:pPr>
        <w:pStyle w:val="Heading5"/>
        <w:numPr>
          <w:ilvl w:val="4"/>
          <w:numId w:val="1"/>
        </w:numPr>
        <w:rPr/>
      </w:pPr>
      <w:bookmarkStart w:id="563" w:name="__RefHeading___Toc605432_1934241801"/>
      <w:bookmarkStart w:id="564" w:name="_Toc260"/>
      <w:bookmarkEnd w:id="563"/>
      <w:r>
        <w:rPr>
          <w:rtl w:val="true"/>
        </w:rPr>
        <w:t>توضیح</w:t>
      </w:r>
      <w:bookmarkEnd w:id="56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محمول است بر اینکه مرد بداند که آن مایع منی نیست یا امر بر او مشتبه شده باشد آن گونه که آگاه خواهی شد</w:t>
      </w:r>
      <w:r>
        <w:rPr>
          <w:rFonts w:eastAsia="IRNazanin" w:cs="IRNazanin"/>
          <w:color w:val="111111"/>
          <w:sz w:val="28"/>
          <w:szCs w:val="28"/>
          <w:rtl w:val="true"/>
          <w:lang w:bidi="fa-IR"/>
        </w:rPr>
        <w:t xml:space="preserve">. </w:t>
      </w:r>
      <w:bookmarkStart w:id="565" w:name="pg13517_329091"/>
    </w:p>
    <w:p>
      <w:pPr>
        <w:pStyle w:val="Heading5"/>
        <w:numPr>
          <w:ilvl w:val="4"/>
          <w:numId w:val="1"/>
        </w:numPr>
        <w:rPr/>
      </w:pPr>
      <w:bookmarkStart w:id="566" w:name="__RefHeading___Toc605434_1934241801"/>
      <w:bookmarkStart w:id="567" w:name="_Toc261"/>
      <w:bookmarkEnd w:id="565"/>
      <w:bookmarkEnd w:id="566"/>
      <w:r>
        <w:rPr>
          <w:rtl w:val="true"/>
        </w:rPr>
        <w:t>«</w:t>
      </w:r>
      <w:r>
        <w:rPr/>
        <w:t>31</w:t>
      </w:r>
      <w:r>
        <w:rPr>
          <w:rtl w:val="true"/>
        </w:rPr>
        <w:t>»</w:t>
      </w:r>
      <w:bookmarkEnd w:id="567"/>
    </w:p>
    <w:p>
      <w:pPr>
        <w:pStyle w:val="BookText"/>
        <w:rPr/>
      </w:pPr>
      <w:r>
        <w:rPr>
          <w:rFonts w:ascii="Amiri" w:hAnsi="Amiri" w:eastAsia="Amiri" w:cs="Amiri"/>
          <w:color w:val="111111"/>
          <w:sz w:val="28"/>
          <w:sz w:val="28"/>
          <w:szCs w:val="28"/>
          <w:rtl w:val="true"/>
          <w:lang w:bidi="ar-SA"/>
        </w:rPr>
        <w:t>السَّرَائِرُ، مِنْ كِتَابِ مُحَمَّدِ بْنِ عَلِيِّ بْنِ مَحْبُوبٍ عَنْ أَحْمَدَ بْنِ مُحَمَّدٍ عَنْ بَعْضِ الْكُوفِيِّينَ يَرْفَعُهُ إِلَي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يَأْتِي الْمَرْأَةَ فِي دُبُرِهَا وَ هِيَ صَائِمَةٌ قَالَ لَا يَنْقُضُ صَوْمَهَا وَ لَيْسَ عَلَيْهَا غُسْلٌ‌</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8" w:name="__RefHeading___Toc605436_1934241801"/>
      <w:bookmarkStart w:id="569" w:name="_Toc262"/>
      <w:bookmarkEnd w:id="568"/>
      <w:r>
        <w:rPr>
          <w:rtl w:val="true"/>
        </w:rPr>
        <w:t>بيان</w:t>
      </w:r>
      <w:bookmarkEnd w:id="569"/>
    </w:p>
    <w:p>
      <w:pPr>
        <w:pStyle w:val="BookText"/>
        <w:rPr/>
      </w:pPr>
      <w:r>
        <w:rPr>
          <w:rFonts w:ascii="Amiri" w:hAnsi="Amiri" w:eastAsia="Amiri" w:cs="Amiri"/>
          <w:color w:val="111111"/>
          <w:sz w:val="28"/>
          <w:sz w:val="28"/>
          <w:szCs w:val="28"/>
          <w:rtl w:val="true"/>
          <w:lang w:bidi="ar-SA"/>
        </w:rPr>
        <w:t>المشهور بين الأصحاب وجوب الغسل بالجماع في دبر المرأة و ادعي عليه المرتضي الإجماع و اختار الشيخ في النهاية و الإستبصار عدم الوجوب و هو المحكي عن ظاهر سلار و كلام الشيخ في المبسوط مختلف و حمل هذا الخبر و أمثاله في المشهور علي التقية أو علي عدم غيبوبة الحشفة و المسألة محل إشكال إذ يمكن حمل أخبار الغسل علي الاستحباب و كذا اختلفوا في وجوب الغسل بوطي الغلام و الأكثر علي الوجوب و كذا في وطء البهيمة و الأشهر فيه عدم الوجوب و الاحتياط في الجميع أولي</w:t>
      </w:r>
      <w:r>
        <w:rPr>
          <w:rFonts w:eastAsia="Amiri" w:cs="Amiri" w:ascii="Amiri" w:hAnsi="Amiri"/>
          <w:color w:val="111111"/>
          <w:sz w:val="28"/>
          <w:szCs w:val="28"/>
          <w:rtl w:val="true"/>
          <w:lang w:bidi="ar-SA"/>
        </w:rPr>
        <w:t>.</w:t>
      </w:r>
    </w:p>
    <w:p>
      <w:pPr>
        <w:pStyle w:val="Heading5"/>
        <w:numPr>
          <w:ilvl w:val="4"/>
          <w:numId w:val="1"/>
        </w:numPr>
        <w:rPr/>
      </w:pPr>
      <w:bookmarkStart w:id="570" w:name="__RefHeading___Toc605438_1934241801"/>
      <w:bookmarkStart w:id="571" w:name="_Toc263"/>
      <w:bookmarkEnd w:id="570"/>
      <w:r>
        <w:rPr>
          <w:rtl w:val="true"/>
        </w:rPr>
        <w:t>«</w:t>
      </w:r>
      <w:r>
        <w:rPr/>
        <w:t>32</w:t>
      </w:r>
      <w:r>
        <w:rPr>
          <w:rtl w:val="true"/>
        </w:rPr>
        <w:t>»</w:t>
      </w:r>
      <w:bookmarkEnd w:id="571"/>
    </w:p>
    <w:p>
      <w:pPr>
        <w:pStyle w:val="BookText"/>
        <w:rPr/>
      </w:pPr>
      <w:r>
        <w:rPr>
          <w:rFonts w:ascii="Amiri" w:hAnsi="Amiri" w:eastAsia="Amiri" w:cs="Amiri"/>
          <w:color w:val="111111"/>
          <w:sz w:val="28"/>
          <w:sz w:val="28"/>
          <w:szCs w:val="28"/>
          <w:rtl w:val="true"/>
          <w:lang w:bidi="ar-SA"/>
        </w:rPr>
        <w:t>السَّرَائِرُ، نَقْلًا مِنْ كِتَابِ مُحَمَّدِ بْنِ عَلِيِّ بْنِ مَحْبُوبٍ عَنْ أَحْمَدَ بْنِ مُحَمَّدِ بْنِ عِيسَي عَنْ عَلِيِّ بْنِ الْحَكَمِ عَنْ عَبْدِ اللَّهِ بْنِ يَحْيَي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الْمَرْأَةِ يُجَامِعُهَا الرَّجُلُ فَتَحِيضُ وَ هِيَ فِي الْمُغْتَسَلِ فَتَغْتَسِلُ أَمْ لَا قَالَ قَدْ جَاءَهَا مَا يُفْسِدُ الصَّلَاةَ فَلَا تَغْتَسِلُ‌</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2" w:name="__RefHeading___Toc605440_1934241801"/>
      <w:bookmarkStart w:id="573" w:name="_Toc264"/>
      <w:bookmarkEnd w:id="572"/>
      <w:r>
        <w:rPr>
          <w:rtl w:val="true"/>
        </w:rPr>
        <w:t>بيان</w:t>
      </w:r>
      <w:bookmarkEnd w:id="573"/>
    </w:p>
    <w:p>
      <w:pPr>
        <w:pStyle w:val="BookText"/>
        <w:rPr/>
      </w:pPr>
      <w:r>
        <w:rPr>
          <w:rFonts w:ascii="Amiri" w:hAnsi="Amiri" w:eastAsia="Amiri" w:cs="Amiri"/>
          <w:color w:val="111111"/>
          <w:sz w:val="28"/>
          <w:sz w:val="28"/>
          <w:szCs w:val="28"/>
          <w:rtl w:val="true"/>
          <w:lang w:bidi="ar-SA"/>
        </w:rPr>
        <w:t>النهي عن الاغتسال إما لأن الغسل للصلاة و قد جاءها ما يفسدها فلا فائدة في الغسل لوجوبه لغيره كما فهمه القائلون به أو لأن الحدث الطاري مانع من رفع الحدث السابق فلا يجوز الغسل و الاحتمالان متكافئان فلا يمكن الاستدلال به علي وجوب الغسل لغيره بل الثاني أرجح لإبقاء النهي علي ظاهره بخلاف الأول</w:t>
      </w:r>
      <w:r>
        <w:rPr>
          <w:rFonts w:eastAsia="Amiri" w:cs="Amiri" w:ascii="Amiri" w:hAnsi="Amiri"/>
          <w:color w:val="111111"/>
          <w:sz w:val="28"/>
          <w:szCs w:val="28"/>
          <w:rtl w:val="true"/>
          <w:lang w:bidi="ar-SA"/>
        </w:rPr>
        <w:t>.</w:t>
      </w:r>
    </w:p>
    <w:p>
      <w:pPr>
        <w:pStyle w:val="Heading5"/>
        <w:numPr>
          <w:ilvl w:val="4"/>
          <w:numId w:val="1"/>
        </w:numPr>
        <w:rPr/>
      </w:pPr>
      <w:bookmarkStart w:id="574" w:name="__RefHeading___Toc605442_1934241801"/>
      <w:bookmarkStart w:id="575" w:name="_Toc265"/>
      <w:bookmarkEnd w:id="574"/>
      <w:r>
        <w:rPr>
          <w:rtl w:val="true"/>
        </w:rPr>
        <w:t>«</w:t>
      </w:r>
      <w:r>
        <w:rPr/>
        <w:t>33</w:t>
      </w:r>
      <w:r>
        <w:rPr>
          <w:rtl w:val="true"/>
        </w:rPr>
        <w:t>»</w:t>
      </w:r>
      <w:bookmarkEnd w:id="575"/>
    </w:p>
    <w:p>
      <w:pPr>
        <w:pStyle w:val="BookText"/>
        <w:rPr/>
      </w:pPr>
      <w:r>
        <w:rPr>
          <w:rFonts w:ascii="Amiri" w:hAnsi="Amiri" w:eastAsia="Amiri" w:cs="Amiri"/>
          <w:color w:val="111111"/>
          <w:sz w:val="28"/>
          <w:sz w:val="28"/>
          <w:szCs w:val="28"/>
          <w:rtl w:val="true"/>
          <w:lang w:bidi="ar-SA"/>
        </w:rPr>
        <w:t>الْعِلَلُ، عَنِ الْمُظَفَّرِ بْنِ جَعْفَرٍ الْعَلَوِيِّ عَنْ جَعْفَرِ بْنِ مُحَمَّدِ بْنِ مَسْعُودٍ عَنْ أَبِيهِ عَنْ نَصْرِ بْنِ أَحْمَدَ الْبَغْدَادِيِّ عَنْ عِيسَي بْنِ مِهْرَانَ عَنْ مُخَوَّلٍ عَنْ عَبْدِ الرَّحْمَنِ بْنِ الْأَسْوَدِ عَنْ مُحَمَّدِ بْنِ عَبْدِ اللَّهِ بْنِ أَبِي رَافِعٍ عَنْ أَبِيهِ وَ عَمِّهِ عَنْ أَبِيهِمَا أَبِي رَافِعٍ قَالَ إِنَّ رَسُولَ اللَّهِ صلي الله عليه و آله 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أَمَرَ مُوسَي وَ هَارُونَ</w:t>
      </w:r>
    </w:p>
    <w:p>
      <w:pPr>
        <w:pStyle w:val="Heading5"/>
        <w:numPr>
          <w:ilvl w:val="4"/>
          <w:numId w:val="1"/>
        </w:numPr>
        <w:rPr/>
      </w:pPr>
      <w:bookmarkStart w:id="576" w:name="__RefHeading___Toc605444_1934241801"/>
      <w:bookmarkStart w:id="577" w:name="_Toc266"/>
      <w:bookmarkEnd w:id="576"/>
      <w:r>
        <w:rPr>
          <w:rtl w:val="true"/>
        </w:rPr>
        <w:t xml:space="preserve">روایت </w:t>
      </w:r>
      <w:r>
        <w:rPr/>
        <w:t>31</w:t>
      </w:r>
      <w:bookmarkEnd w:id="577"/>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کوفیان از امام صادق علیه السلام درباره مردی پرسیدند که از پشت با همسر خویش که روزه دار است نزدیکی می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روزه اش باطل نمی شود و غسل بر او واجب نیست</w:t>
      </w:r>
      <w:r>
        <w:rPr>
          <w:rFonts w:eastAsia="IRNazanin" w:cs="IRNazanin"/>
          <w:color w:val="111111"/>
          <w:sz w:val="28"/>
          <w:szCs w:val="28"/>
          <w:rtl w:val="true"/>
          <w:lang w:bidi="fa-IR"/>
        </w:rPr>
        <w:t>.</w:t>
      </w:r>
      <w:r>
        <w:rPr>
          <w:rStyle w:val="FootnoteAnchor"/>
          <w:rtl w:val="true"/>
        </w:rPr>
        <w:footnoteReference w:id="307"/>
      </w:r>
    </w:p>
    <w:p>
      <w:pPr>
        <w:pStyle w:val="Heading5"/>
        <w:numPr>
          <w:ilvl w:val="4"/>
          <w:numId w:val="1"/>
        </w:numPr>
        <w:rPr/>
      </w:pPr>
      <w:bookmarkStart w:id="578" w:name="__RefHeading___Toc605446_1934241801"/>
      <w:bookmarkStart w:id="579" w:name="_Toc267"/>
      <w:bookmarkEnd w:id="578"/>
      <w:r>
        <w:rPr>
          <w:rtl w:val="true"/>
        </w:rPr>
        <w:t>توضیح</w:t>
      </w:r>
      <w:bookmarkEnd w:id="579"/>
    </w:p>
    <w:p>
      <w:pPr>
        <w:pStyle w:val="BookText"/>
        <w:rPr/>
      </w:pPr>
      <w:r>
        <w:rPr>
          <w:rFonts w:ascii="IRNazanin" w:hAnsi="IRNazanin" w:eastAsia="IRNazanin"/>
          <w:color w:val="111111"/>
          <w:sz w:val="28"/>
          <w:sz w:val="28"/>
          <w:szCs w:val="28"/>
          <w:rtl w:val="true"/>
          <w:lang w:bidi="fa-IR"/>
        </w:rPr>
        <w:t xml:space="preserve">نظر مشهور در بین فقها وجوب غسل به هنگام جماع با زن از پشت است، و مرتضی مدّعی شده که نظر اجماع فقها چنین است، ولی شیخ در النهایه و الاستبصار عدم وجوب غسل در این حالت را بر گزیده است، و این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کلام سلّار نیز حکایت شده است، امّا نظر شیخ در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نظر وی در النهایه و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متفاوت است؛ و این حدیث و امثال آن در نزد مشهور بر تقیّه یا در صورت عدم پنهان شدن آلت مرد در فرج زن حمل شده اند، و موضوع محلّ اشکال و ابهام است، چه که می توان احادیث روایت شده در مورد غسل را بر استحباب حمل نمود، و به همین ترتیب فقها در مورد وجوب غسل هنگام نزدیکی با غلام دچار اختلاف شده اند، ولی بیشتر آنان نظر به وجوب غسل دادند، و شرایط نزدیکی با چهارپایان نیز همین گونه است، و نظر مشهور تر در این زمینه عدم وجوب غسل است، در تمام موارد ذکر شده رعایت احتیاط اولی است </w:t>
      </w:r>
      <w:r>
        <w:rPr>
          <w:rFonts w:eastAsia="IRNazanin" w:cs="IRNazanin"/>
          <w:color w:val="111111"/>
          <w:sz w:val="28"/>
          <w:szCs w:val="28"/>
          <w:rtl w:val="true"/>
          <w:lang w:bidi="fa-IR"/>
        </w:rPr>
        <w:t>.</w:t>
      </w:r>
    </w:p>
    <w:p>
      <w:pPr>
        <w:pStyle w:val="Heading5"/>
        <w:numPr>
          <w:ilvl w:val="4"/>
          <w:numId w:val="1"/>
        </w:numPr>
        <w:rPr/>
      </w:pPr>
      <w:bookmarkStart w:id="580" w:name="__RefHeading___Toc605448_1934241801"/>
      <w:bookmarkStart w:id="581" w:name="_Toc268"/>
      <w:bookmarkEnd w:id="580"/>
      <w:r>
        <w:rPr>
          <w:rtl w:val="true"/>
        </w:rPr>
        <w:t xml:space="preserve">روایت </w:t>
      </w:r>
      <w:r>
        <w:rPr/>
        <w:t>32</w:t>
      </w:r>
      <w:bookmarkEnd w:id="581"/>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یحیی الکاهلیّ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زنی پرسیدم که مرد با او نزدیکی می کند، پس دچار حیض می شود حال آنکه در 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شستشوخانه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باید غسل کند یا خیر؟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بر او حادث شده که نماز را باطل می گرداند پس نیازی به غسل نیست</w:t>
      </w:r>
      <w:r>
        <w:rPr>
          <w:rFonts w:eastAsia="IRNazanin" w:cs="IRNazanin"/>
          <w:color w:val="111111"/>
          <w:sz w:val="28"/>
          <w:szCs w:val="28"/>
          <w:rtl w:val="true"/>
          <w:lang w:bidi="fa-IR"/>
        </w:rPr>
        <w:t>.</w:t>
      </w:r>
    </w:p>
    <w:p>
      <w:pPr>
        <w:pStyle w:val="Heading5"/>
        <w:numPr>
          <w:ilvl w:val="4"/>
          <w:numId w:val="1"/>
        </w:numPr>
        <w:rPr/>
      </w:pPr>
      <w:bookmarkStart w:id="582" w:name="__RefHeading___Toc605450_1934241801"/>
      <w:bookmarkStart w:id="583" w:name="_Toc269"/>
      <w:bookmarkEnd w:id="582"/>
      <w:r>
        <w:rPr>
          <w:rtl w:val="true"/>
        </w:rPr>
        <w:t>توضیح</w:t>
      </w:r>
      <w:bookmarkEnd w:id="583"/>
    </w:p>
    <w:p>
      <w:pPr>
        <w:pStyle w:val="BookText"/>
        <w:rPr/>
      </w:pPr>
      <w:r>
        <w:rPr>
          <w:rFonts w:ascii="IRNazanin" w:hAnsi="IRNazanin" w:eastAsia="IRNazanin"/>
          <w:color w:val="111111"/>
          <w:sz w:val="28"/>
          <w:sz w:val="28"/>
          <w:szCs w:val="28"/>
          <w:rtl w:val="true"/>
          <w:lang w:bidi="fa-IR"/>
        </w:rPr>
        <w:t xml:space="preserve">نهی از غسل کردن یا به خاطر این است که غسل به منظور اقامه نماز انجام می گیرد و اکنون امری حادث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نماز را باطل می گرداند، پس سودی در غسل کردن وجود ندارد، آن گونه که کسانی که قائل به وجوب غیری غسل هستند چنین برداشت کرده اند، یا به خاطر اینکه حادثه پیش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از رفع حَدَث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غسل جایز نمی باشد، و هر دو احتمال یکسان هستند، بنابراین امکان استدلال به این روایت به منظور اثبات وجوب غیری غسل وجود ندارد، بلکه دلیل دوم، برخلاف دلیل نخست، به خاطر ابقاء نهی بر ظاهر خودش از ارجحیّت بیشتری برخوردار است</w:t>
      </w:r>
      <w:r>
        <w:rPr>
          <w:rFonts w:eastAsia="IRNazanin" w:cs="IRNazanin"/>
          <w:color w:val="111111"/>
          <w:sz w:val="28"/>
          <w:szCs w:val="28"/>
          <w:rtl w:val="true"/>
          <w:lang w:bidi="fa-IR"/>
        </w:rPr>
        <w:t>.</w:t>
      </w:r>
    </w:p>
    <w:p>
      <w:pPr>
        <w:pStyle w:val="Heading5"/>
        <w:numPr>
          <w:ilvl w:val="4"/>
          <w:numId w:val="1"/>
        </w:numPr>
        <w:rPr/>
      </w:pPr>
      <w:bookmarkStart w:id="584" w:name="__RefHeading___Toc605452_1934241801"/>
      <w:bookmarkStart w:id="585" w:name="_Toc270"/>
      <w:bookmarkEnd w:id="584"/>
      <w:r>
        <w:rPr>
          <w:rtl w:val="true"/>
        </w:rPr>
        <w:t xml:space="preserve">روایت </w:t>
      </w:r>
      <w:r>
        <w:rPr/>
        <w:t>33</w:t>
      </w:r>
      <w:bookmarkEnd w:id="58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مردم را خطاب قرار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همانا خداوند به موسی و هارون امر فرمود </w:t>
      </w:r>
      <w:bookmarkStart w:id="586" w:name="pg13517_329092"/>
    </w:p>
    <w:p>
      <w:pPr>
        <w:pStyle w:val="BookText"/>
        <w:rPr/>
      </w:pPr>
      <w:bookmarkEnd w:id="586"/>
      <w:r>
        <w:rPr>
          <w:rFonts w:ascii="Amiri" w:hAnsi="Amiri" w:eastAsia="Amiri" w:cs="Amiri"/>
          <w:color w:val="111111"/>
          <w:sz w:val="28"/>
          <w:sz w:val="28"/>
          <w:szCs w:val="28"/>
          <w:rtl w:val="true"/>
          <w:lang w:bidi="ar-SA"/>
        </w:rPr>
        <w:t>أَنْ يَبْنِيَا لِقَوْمِهِمَا بِمِصْرَ بُيُوتاً وَ أَمَرَهُمَا أَنْ لَا يَبِيتَ فِي مَسْجِدِهِمَا جُنُبٌ وَ لَا يَقْرَبَ فِيهِ النِّسَاءَ إِلَّا هَارُونُ وَ ذُرِّيَّتُهُ وَ إِنَّ عَلِيّاً مِنِّي بِمَنْزِلَةِ هَارُونَ مِنْ مُوسَي فَلَا يَحِلُّ لِأَحَدٍ أَنْ يَقْرَبَ النِّسَاءَ فِي مَسْجِدِي وَ لَا يَبِيتَ فِيهِ جُنُبٌ إِلَّا عَلِيٌّ وَ ذُرِّيَّتُهُ فَمَنْ شَاءَهُ‌</w:t>
      </w:r>
      <w:r>
        <w:rPr>
          <w:rStyle w:val="FootnoteAnchor"/>
          <w:rtl w:val="true"/>
        </w:rPr>
        <w:footnoteReference w:id="308"/>
      </w:r>
      <w:r>
        <w:rPr>
          <w:rFonts w:ascii="Amiri" w:hAnsi="Amiri" w:eastAsia="Amiri" w:cs="Amiri"/>
          <w:color w:val="111111"/>
          <w:sz w:val="28"/>
          <w:sz w:val="28"/>
          <w:szCs w:val="28"/>
          <w:rtl w:val="true"/>
          <w:lang w:bidi="ar-SA"/>
        </w:rPr>
        <w:t>فَهَاهُنَا وَ ضَرَبَ بِيَدِهِ نَحْوَ الشَّامِ‌</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7" w:name="__RefHeading___Toc605454_1934241801"/>
      <w:bookmarkStart w:id="588" w:name="_Toc271"/>
      <w:bookmarkEnd w:id="587"/>
      <w:r>
        <w:rPr>
          <w:rtl w:val="true"/>
        </w:rPr>
        <w:t>«</w:t>
      </w:r>
      <w:r>
        <w:rPr/>
        <w:t>34</w:t>
      </w:r>
      <w:r>
        <w:rPr>
          <w:rtl w:val="true"/>
        </w:rPr>
        <w:t>»</w:t>
      </w:r>
      <w:bookmarkEnd w:id="588"/>
    </w:p>
    <w:p>
      <w:pPr>
        <w:pStyle w:val="BookText"/>
        <w:rPr/>
      </w:pPr>
      <w:r>
        <w:rPr>
          <w:rFonts w:ascii="Amiri" w:hAnsi="Amiri" w:eastAsia="Amiri" w:cs="Amiri"/>
          <w:color w:val="111111"/>
          <w:sz w:val="28"/>
          <w:sz w:val="28"/>
          <w:szCs w:val="28"/>
          <w:rtl w:val="true"/>
          <w:lang w:bidi="ar-SA"/>
        </w:rPr>
        <w:t>وَ مِنْهُ، بِالْإِسْنَادِ الْمُتَقَدِّمِ عَنْ نَصْرِ بْنِ أَحْمَدَ عَنْ مُحَمَّدِ بْنِ عُبَيْدِ بْنِ عُتْبَةَ عَنْ إِسْمَاعِيلَ بْنِ أَبَانٍ عَنْ سَلَّامِ بْنِ أَبِي عَمِيرَةَ عَنْ مَعْرُوفِ بْنِ خَرَّبُوذَ عَنْ أَبِي الطُّفَيْلِ عَنْ حُذَيْفَةَ بْنِ أَسِيدٍ الْغِفَارِيِّ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 ثُمَّ أُمِرَ مُوسَي أَنْ لَا يَسْكُنَ مَسْجِدَهُ وَ لَا يَنْكِحَ فِيهِ وَ لَا يَدْخُلَهُ جُنُبٌ إِلَّا هَارُونُ وَ ذُرِّيَّتُهُ وَ إِنَّ عَلِيّاً مِنِّي بِمَنْزِلَةِ هَارُونَ مِنْ مُوسَي وَ هُوَ أَخِي دُونَ أَهْلِي وَ لَا يَحِلُّ لِأَحَدٍ أَنْ يَنْكِحَ فِيهِ النِّسَاءَ إِلَّا عَلِيٌّ وَ ذُرِّيَّتُهُ فَمَنْ شَاءَ فَهَاهُنَا وَ أَشَارَ بِيَدِهِ نَحْوَ الشَّامِ‌</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9" w:name="__RefHeading___Toc605456_1934241801"/>
      <w:bookmarkStart w:id="590" w:name="_Toc272"/>
      <w:bookmarkEnd w:id="589"/>
      <w:r>
        <w:rPr>
          <w:rtl w:val="true"/>
        </w:rPr>
        <w:t>بيان</w:t>
      </w:r>
      <w:bookmarkEnd w:id="590"/>
    </w:p>
    <w:p>
      <w:pPr>
        <w:pStyle w:val="BookText"/>
        <w:rPr/>
      </w:pPr>
      <w:r>
        <w:rPr>
          <w:rFonts w:ascii="Amiri" w:hAnsi="Amiri" w:eastAsia="Amiri" w:cs="Amiri"/>
          <w:color w:val="111111"/>
          <w:sz w:val="28"/>
          <w:sz w:val="28"/>
          <w:szCs w:val="28"/>
          <w:rtl w:val="true"/>
          <w:lang w:bidi="ar-SA"/>
        </w:rPr>
        <w:t>أي من شاء أن يعلم حقية ما قلت فليذهب إلي الشام و لينظر إلي علامة بيت هارون و اتصاله بالمسجد فإنها موجودة هاهنا و يدل علي عدم جواز الجماع في مسجده صلي الله عليه و آله و لا دخوله جنبا لغيرهم عليهم السلام</w:t>
      </w:r>
      <w:r>
        <w:rPr>
          <w:rFonts w:eastAsia="Amiri" w:cs="Amiri" w:ascii="Amiri" w:hAnsi="Amiri"/>
          <w:color w:val="111111"/>
          <w:sz w:val="28"/>
          <w:szCs w:val="28"/>
          <w:rtl w:val="true"/>
          <w:lang w:bidi="ar-SA"/>
        </w:rPr>
        <w:t>.</w:t>
      </w:r>
    </w:p>
    <w:p>
      <w:pPr>
        <w:pStyle w:val="Heading5"/>
        <w:numPr>
          <w:ilvl w:val="4"/>
          <w:numId w:val="1"/>
        </w:numPr>
        <w:rPr/>
      </w:pPr>
      <w:bookmarkStart w:id="591" w:name="__RefHeading___Toc605458_1934241801"/>
      <w:bookmarkStart w:id="592" w:name="_Toc273"/>
      <w:bookmarkEnd w:id="591"/>
      <w:r>
        <w:rPr>
          <w:rtl w:val="true"/>
        </w:rPr>
        <w:t>«</w:t>
      </w:r>
      <w:r>
        <w:rPr/>
        <w:t>35</w:t>
      </w:r>
      <w:r>
        <w:rPr>
          <w:rtl w:val="true"/>
        </w:rPr>
        <w:t>»</w:t>
      </w:r>
      <w:bookmarkEnd w:id="592"/>
    </w:p>
    <w:p>
      <w:pPr>
        <w:pStyle w:val="BookText"/>
        <w:rPr/>
      </w:pPr>
      <w:r>
        <w:rPr>
          <w:rFonts w:ascii="Amiri" w:hAnsi="Amiri" w:eastAsia="Amiri" w:cs="Amiri"/>
          <w:color w:val="111111"/>
          <w:sz w:val="28"/>
          <w:sz w:val="28"/>
          <w:szCs w:val="28"/>
          <w:rtl w:val="true"/>
          <w:lang w:bidi="ar-SA"/>
        </w:rPr>
        <w:t>مَجَالِسُ الصَّدُوقِ، عَنْ مُحَمَّدِ بْنِ الْحَسَنِ بْنِ الْوَلِيدِ عَنْ مُحَمَّدِ بْنِ الْحَسَنِ الصَّفَّارِ عَنْ أَحْمَدَ بْنِ مُحَمَّدٍ عَنِ الْحُسَيْنِ بْنِ مُوسَي عَنْ غِيَاثِ بْنِ إِبْرَاهِيمَ عَنِ الصَّادِقِ عليه السلام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كَرِهَ لِي سِتَّ خِصَالٍ وَ كَرِهْتُهُنَّ لِلْأَوْصِيَاءِ مِنْ وُلْدِي وَ أَتْبَاعِهِمْ مِنْ بَعْدِي الْعَبَثَ فِي الصَّلَاةِ وَ الرَّفَثَ فِي الصَّوْمِ وَ الْمَنَّ بَعْدَ الصَّدَقَةِ وَ إِتْيَانَ الْمَسَاجِدِ جُنُباً وَ التَّطَلُّعَ فِي الدُّورِ وَ الضَّحِكَ بَيْنَ الْقُبُورِ</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3" w:name="__RefHeading___Toc605460_1934241801"/>
      <w:bookmarkStart w:id="594" w:name="_Toc274"/>
      <w:bookmarkEnd w:id="593"/>
      <w:r>
        <w:rPr>
          <w:rtl w:val="true"/>
        </w:rPr>
        <w:t>«</w:t>
      </w:r>
      <w:r>
        <w:rPr/>
        <w:t>36</w:t>
      </w:r>
      <w:r>
        <w:rPr>
          <w:rtl w:val="true"/>
        </w:rPr>
        <w:t>»</w:t>
      </w:r>
      <w:bookmarkEnd w:id="594"/>
    </w:p>
    <w:p>
      <w:pPr>
        <w:pStyle w:val="BookText"/>
        <w:rPr/>
      </w:pPr>
      <w:r>
        <w:rPr>
          <w:rFonts w:ascii="Amiri" w:hAnsi="Amiri" w:eastAsia="Amiri" w:cs="Amiri"/>
          <w:color w:val="111111"/>
          <w:sz w:val="28"/>
          <w:sz w:val="28"/>
          <w:szCs w:val="28"/>
          <w:rtl w:val="true"/>
          <w:lang w:bidi="ar-SA"/>
        </w:rPr>
        <w:t>الْمَحَاسِنُ، عَنْ أَبِيهِ عَنْ مُحَمَّدِ بْنِ سُلَيْمَانَ الدَّيْلَمِيِّ عَنْ أَبِيهِ عَنْ</w:t>
      </w:r>
    </w:p>
    <w:p>
      <w:pPr>
        <w:pStyle w:val="BookText"/>
        <w:rPr/>
      </w:pPr>
      <w:r>
        <w:rPr>
          <w:rFonts w:ascii="IRNazanin" w:hAnsi="IRNazanin" w:eastAsia="IRNazanin"/>
          <w:color w:val="111111"/>
          <w:sz w:val="28"/>
          <w:sz w:val="28"/>
          <w:szCs w:val="28"/>
          <w:rtl w:val="true"/>
          <w:lang w:bidi="fa-IR"/>
        </w:rPr>
        <w:t>که در مصر خانه هایی را برای قومشان بنا سازند و به آن دو امر فرمود که هیچ شخص جُنبی در مسجد شان بیتوته نکند، و هیچ کسی در آن با زنان نزدیکی نکند مگر هارون و فرزندان او، و به راستی که جایگاه علی نسبت به من مانند جایگاه هارون نسبت به موسی است، پس برای هیچ کس جایز نیست که در مسجدِ من با زنان نزدیکی کند، و در حالی که جنب است در آن بیتوته کند مگر علی و فرزندان او، و هر کسی که می خواهد حقیقت گفته مرا دریابد، آنجاست، و با دست به سرزمین شام اشاره فرمود</w:t>
      </w:r>
      <w:r>
        <w:rPr>
          <w:rFonts w:eastAsia="IRNazanin" w:cs="IRNazanin"/>
          <w:color w:val="111111"/>
          <w:sz w:val="28"/>
          <w:szCs w:val="28"/>
          <w:rtl w:val="true"/>
          <w:lang w:bidi="fa-IR"/>
        </w:rPr>
        <w:t>.</w:t>
      </w:r>
      <w:r>
        <w:rPr>
          <w:rStyle w:val="FootnoteAnchor"/>
          <w:rtl w:val="true"/>
        </w:rPr>
        <w:footnoteReference w:id="312"/>
      </w:r>
    </w:p>
    <w:p>
      <w:pPr>
        <w:pStyle w:val="Heading5"/>
        <w:numPr>
          <w:ilvl w:val="4"/>
          <w:numId w:val="1"/>
        </w:numPr>
        <w:rPr/>
      </w:pPr>
      <w:bookmarkStart w:id="595" w:name="__RefHeading___Toc605462_1934241801"/>
      <w:bookmarkStart w:id="596" w:name="_Toc275"/>
      <w:bookmarkEnd w:id="595"/>
      <w:r>
        <w:rPr>
          <w:rtl w:val="true"/>
        </w:rPr>
        <w:t xml:space="preserve">روایت </w:t>
      </w:r>
      <w:r>
        <w:rPr/>
        <w:t>34</w:t>
      </w:r>
      <w:bookmarkEnd w:id="596"/>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بن أُسید غِفاریّ نظیر حدیث قبل را از پیامبر صلّی الله علیه و آله روایت کرده تا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موسی امر فرمود که کسی در مسجد او ساکن نشود و در آن زنی را به نکاح خود در نیاورد و هیچ شخص جُنبی وارد مسجدش نشود مگر هارون و فرزندان او، و به راستی که جایگاه علی نسبت به من مانند جایگاه هارون نسبت به موسی است، و او به جای خاندانم برادر من است و برای هیچ کسی جایز نیست که در مسجد من زنان را به نکاح خویش در آورد مگر علی و فرزندان او، هر کسی که می خواهد حقیقت گفته مرا دریابد آنجاست، و با دست به سرزمین شام اشاره فرمود</w:t>
      </w:r>
      <w:r>
        <w:rPr>
          <w:rFonts w:eastAsia="IRNazanin" w:cs="IRNazanin"/>
          <w:color w:val="111111"/>
          <w:sz w:val="28"/>
          <w:szCs w:val="28"/>
          <w:rtl w:val="true"/>
          <w:lang w:bidi="fa-IR"/>
        </w:rPr>
        <w:t>.</w:t>
      </w:r>
      <w:r>
        <w:rPr>
          <w:rStyle w:val="FootnoteAnchor"/>
          <w:rtl w:val="true"/>
        </w:rPr>
        <w:footnoteReference w:id="313"/>
      </w:r>
    </w:p>
    <w:p>
      <w:pPr>
        <w:pStyle w:val="Heading5"/>
        <w:numPr>
          <w:ilvl w:val="4"/>
          <w:numId w:val="1"/>
        </w:numPr>
        <w:rPr/>
      </w:pPr>
      <w:bookmarkStart w:id="597" w:name="__RefHeading___Toc605464_1934241801"/>
      <w:bookmarkStart w:id="598" w:name="_Toc276"/>
      <w:bookmarkEnd w:id="597"/>
      <w:r>
        <w:rPr>
          <w:rtl w:val="true"/>
        </w:rPr>
        <w:t>توضیح</w:t>
      </w:r>
      <w:bookmarkEnd w:id="5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شاءه فههنا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می خواهد حقیقت آنچه را گفتم دریابد، به سرزمین شام برود و به خانه هارون و اتصال آن به مسجد بنگرد که در آنجا موجود است؛ و این حدیث بر عدم جواز جماع در مسجد پیامبر صلّی الله علیه و آله و عدم جواز وارد شدن شخص جُنب به آن به جز امام علی و فرزندان او علیهم السلام دلالت می کند</w:t>
      </w:r>
      <w:r>
        <w:rPr>
          <w:rFonts w:eastAsia="IRNazanin" w:cs="IRNazanin"/>
          <w:color w:val="111111"/>
          <w:sz w:val="28"/>
          <w:szCs w:val="28"/>
          <w:rtl w:val="true"/>
          <w:lang w:bidi="fa-IR"/>
        </w:rPr>
        <w:t>.</w:t>
      </w:r>
    </w:p>
    <w:p>
      <w:pPr>
        <w:pStyle w:val="Heading5"/>
        <w:numPr>
          <w:ilvl w:val="4"/>
          <w:numId w:val="1"/>
        </w:numPr>
        <w:rPr/>
      </w:pPr>
      <w:bookmarkStart w:id="599" w:name="__RefHeading___Toc605466_1934241801"/>
      <w:bookmarkStart w:id="600" w:name="_Toc277"/>
      <w:bookmarkEnd w:id="599"/>
      <w:r>
        <w:rPr>
          <w:rtl w:val="true"/>
        </w:rPr>
        <w:t xml:space="preserve">روایت </w:t>
      </w:r>
      <w:r>
        <w:rPr/>
        <w:t>35</w:t>
      </w:r>
      <w:bookmarkEnd w:id="600"/>
    </w:p>
    <w:p>
      <w:p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علیهم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شش خصلت را برای من ناپسند شمرده است و من نیز این خصلت ها را برای اوصیای خویش از فرزندانم و همچنین پیروان آن ها که بعد از من می آیند ناپسند می شمارم، این شش خصلت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کارهای عبث و بیهوده در نماز، نزدیکی با زنان به هنگام روزه داری، منّت گذاردن بعد از صدقه دادن، رفتن به مساجد در حال جنابت، نگاه انداختن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 خانه ها و خندیدن در بین قبور</w:t>
      </w:r>
      <w:r>
        <w:rPr>
          <w:rFonts w:eastAsia="IRNazanin" w:cs="IRNazanin"/>
          <w:color w:val="111111"/>
          <w:sz w:val="28"/>
          <w:szCs w:val="28"/>
          <w:rtl w:val="true"/>
          <w:lang w:bidi="fa-IR"/>
        </w:rPr>
        <w:t>.</w:t>
      </w:r>
      <w:r>
        <w:rPr>
          <w:rStyle w:val="FootnoteAnchor"/>
          <w:rtl w:val="true"/>
        </w:rPr>
        <w:footnoteReference w:id="314"/>
      </w:r>
    </w:p>
    <w:p>
      <w:pPr>
        <w:pStyle w:val="Heading5"/>
        <w:numPr>
          <w:ilvl w:val="4"/>
          <w:numId w:val="1"/>
        </w:numPr>
        <w:rPr/>
      </w:pPr>
      <w:bookmarkStart w:id="601" w:name="__RefHeading___Toc605468_1934241801"/>
      <w:bookmarkStart w:id="602" w:name="_Toc278"/>
      <w:bookmarkEnd w:id="601"/>
      <w:r>
        <w:rPr>
          <w:rtl w:val="true"/>
        </w:rPr>
        <w:t xml:space="preserve">روایت </w:t>
      </w:r>
      <w:r>
        <w:rPr/>
        <w:t>36</w:t>
      </w:r>
      <w:bookmarkEnd w:id="60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bookmarkStart w:id="603" w:name="pg13517_329093"/>
    </w:p>
    <w:p>
      <w:pPr>
        <w:pStyle w:val="BookText"/>
        <w:rPr/>
      </w:pPr>
      <w:bookmarkEnd w:id="603"/>
      <w:r>
        <w:rPr>
          <w:rFonts w:ascii="Amiri" w:hAnsi="Amiri" w:eastAsia="Amiri" w:cs="Amiri"/>
          <w:color w:val="111111"/>
          <w:sz w:val="28"/>
          <w:sz w:val="28"/>
          <w:szCs w:val="28"/>
          <w:rtl w:val="true"/>
          <w:lang w:bidi="ar-SA"/>
        </w:rPr>
        <w:t>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كَرِهَهَا اللَّهُ تَعَالَي لِي فَكَرِهْتُهَا لِلْأَئِمَّةِ مِنْ ذُرِّيَّتِي وَ لْتَكْرَهْهَا الْأَئِمَّةُ لِأَتْبَاعِهِمْ وَ ذَكَرَ نَحْوَهُ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4" w:name="__RefHeading___Toc605470_1934241801"/>
      <w:bookmarkStart w:id="605" w:name="_Toc279"/>
      <w:bookmarkEnd w:id="604"/>
      <w:r>
        <w:rPr>
          <w:rtl w:val="true"/>
        </w:rPr>
        <w:t>بيان</w:t>
      </w:r>
      <w:bookmarkEnd w:id="605"/>
    </w:p>
    <w:p>
      <w:pPr>
        <w:pStyle w:val="BookText"/>
        <w:rPr/>
      </w:pPr>
      <w:r>
        <w:rPr>
          <w:rFonts w:ascii="Amiri" w:hAnsi="Amiri" w:eastAsia="Amiri" w:cs="Amiri"/>
          <w:color w:val="111111"/>
          <w:sz w:val="28"/>
          <w:sz w:val="28"/>
          <w:szCs w:val="28"/>
          <w:rtl w:val="true"/>
          <w:lang w:bidi="ar-SA"/>
        </w:rPr>
        <w:t>الكراهة هنا أعم منها بالمعني المصطلح و من الحرمة فالعبث ما لم ينته إلي إبطال الصلاة مكروه و الرفث يكون بمعني الجماع و بمعني الفحش من القول و علي الأول في الواجب حرام مبطل و علي الثاني مكروه أو حرام مبطل لكماله و المشهور في المن الكراهة و يحتمل الحرمة و علي التقديرين مبطل لثوابها أو لكماله و إتيان المساجد في المسجدين مطلقا و في غيرهما مع اللبث حرام و في غيرهما لا معه مكروه و التطلع بغير الإذن حرام علي المشهور و الضحك بين القبور مكروه كراهة مغلظة</w:t>
      </w:r>
      <w:r>
        <w:rPr>
          <w:rFonts w:eastAsia="Amiri" w:cs="Amiri" w:ascii="Amiri" w:hAnsi="Amiri"/>
          <w:color w:val="111111"/>
          <w:sz w:val="28"/>
          <w:szCs w:val="28"/>
          <w:rtl w:val="true"/>
          <w:lang w:bidi="ar-SA"/>
        </w:rPr>
        <w:t>.</w:t>
      </w:r>
    </w:p>
    <w:p>
      <w:pPr>
        <w:pStyle w:val="Heading5"/>
        <w:numPr>
          <w:ilvl w:val="4"/>
          <w:numId w:val="1"/>
        </w:numPr>
        <w:rPr/>
      </w:pPr>
      <w:bookmarkStart w:id="606" w:name="__RefHeading___Toc605472_1934241801"/>
      <w:bookmarkStart w:id="607" w:name="_Toc280"/>
      <w:bookmarkEnd w:id="606"/>
      <w:r>
        <w:rPr>
          <w:rtl w:val="true"/>
        </w:rPr>
        <w:t>«</w:t>
      </w:r>
      <w:r>
        <w:rPr/>
        <w:t>37</w:t>
      </w:r>
      <w:r>
        <w:rPr>
          <w:rtl w:val="true"/>
        </w:rPr>
        <w:t>»</w:t>
      </w:r>
      <w:bookmarkEnd w:id="607"/>
    </w:p>
    <w:p>
      <w:pPr>
        <w:pStyle w:val="BookText"/>
        <w:rPr/>
      </w:pPr>
      <w:r>
        <w:rPr>
          <w:rFonts w:ascii="Amiri" w:hAnsi="Amiri" w:eastAsia="Amiri" w:cs="Amiri"/>
          <w:color w:val="111111"/>
          <w:sz w:val="28"/>
          <w:sz w:val="28"/>
          <w:szCs w:val="28"/>
          <w:rtl w:val="true"/>
          <w:lang w:bidi="ar-SA"/>
        </w:rPr>
        <w:t>تَفْسِيرُ الْإِمَامِ، رَوَي عليه السلام عَنْ آبَائِهِ عَنِ النَّبِيِّ صلي الله عليه و آله فِي حَدِيثِ سَدِّ الْأَبْوَابِ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لِأَحَدٍ يُؤْمِنُ بِاللَّهِ وَ الْيَوْمِ الْآخِرِ يَبِيتُ فِي هَذَا الْمَسْجِدِ جُنُباً إِلَّا مُحَمَّدٌ وَ عَلِيٌّ وَ فَاطِمَةُ وَ الْحَسَنُ وَ الْحُسَيْنُ عليهم السلام وَ الْمُنْتَجَبُونَ مِنْ آلِهِمُ الطَّيِّبُونَ مِنْ أَوْلَادِهِمْ‌</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8" w:name="__RefHeading___Toc605474_1934241801"/>
      <w:bookmarkStart w:id="609" w:name="_Toc281"/>
      <w:bookmarkEnd w:id="608"/>
      <w:r>
        <w:rPr>
          <w:rtl w:val="true"/>
        </w:rPr>
        <w:t>«</w:t>
      </w:r>
      <w:r>
        <w:rPr/>
        <w:t>38</w:t>
      </w:r>
      <w:r>
        <w:rPr>
          <w:rtl w:val="true"/>
        </w:rPr>
        <w:t>»</w:t>
      </w:r>
      <w:bookmarkEnd w:id="609"/>
    </w:p>
    <w:p>
      <w:pPr>
        <w:pStyle w:val="BookText"/>
        <w:rPr/>
      </w:pPr>
      <w:r>
        <w:rPr>
          <w:rFonts w:ascii="Amiri" w:hAnsi="Amiri" w:eastAsia="Amiri" w:cs="Amiri"/>
          <w:color w:val="111111"/>
          <w:sz w:val="28"/>
          <w:sz w:val="28"/>
          <w:szCs w:val="28"/>
          <w:rtl w:val="true"/>
          <w:lang w:bidi="ar-SA"/>
        </w:rPr>
        <w:t>الْبَصَائِرُ، لِلصَّفَّارِ عَنْ أَبِي طَالِبٍ عَبْدِ اللَّهِ بْنِ الصَّلْتِ عَنْ بَكْرِ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مِنَ الْمَدِينَةِ نُرِيدُ مَنْزِلَ أَبِي عَبْدِ اللَّهِ عليه السلام فَلَحِقَنَا أَبُو بَصِيرٍ خَارِجاً مِنْ زُقَاقٍ وَ هُوَ جُنُبٌ وَ نَحْنُ لَا نَعْلَمُ حَتَّي دَخَلْنَا عَلَي أَبِي عَبْدِ اللَّهِ عليه السلام فَرَفَعَ رَأْسَهُ إِلَي أَبِي بَصِيرٍ فَقَالَ يَا أَبَا مُحَمَّدٍ أَ مَا تَعْلَمُ أَنَّهُ لَا يَنْبَغِي لِجُنُبٍ أَنْ يَدْخُلَ بُيُوتَ الْأَنْبِيَاءِ قَالَ فَرَجَعَ أَبُو بَصِيرٍ وَ دَخَلْنَا</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 عن أحمد بن إسحاق عن بكر بن محمد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0" w:name="__RefHeading___Toc605476_1934241801"/>
      <w:bookmarkStart w:id="611" w:name="_Toc282"/>
      <w:bookmarkEnd w:id="610"/>
      <w:r>
        <w:rPr>
          <w:rtl w:val="true"/>
        </w:rPr>
        <w:t>«</w:t>
      </w:r>
      <w:r>
        <w:rPr/>
        <w:t>39</w:t>
      </w:r>
      <w:r>
        <w:rPr>
          <w:rtl w:val="true"/>
        </w:rPr>
        <w:t>»</w:t>
      </w:r>
      <w:bookmarkEnd w:id="611"/>
    </w:p>
    <w:p>
      <w:pPr>
        <w:pStyle w:val="BookText"/>
        <w:rPr/>
      </w:pPr>
      <w:r>
        <w:rPr>
          <w:rFonts w:ascii="Amiri" w:hAnsi="Amiri" w:eastAsia="Amiri" w:cs="Amiri"/>
          <w:color w:val="111111"/>
          <w:sz w:val="28"/>
          <w:sz w:val="28"/>
          <w:szCs w:val="28"/>
          <w:rtl w:val="true"/>
          <w:lang w:bidi="ar-SA"/>
        </w:rPr>
        <w:t>إِرْشَادُ الْمُفِيدِ،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الْمَدِينَةَ وَ كَانَتْ مَعِي</w:t>
      </w:r>
    </w:p>
    <w:p>
      <w:pPr>
        <w:pStyle w:val="BookText"/>
        <w:rPr/>
      </w:pPr>
      <w:r>
        <w:rPr>
          <w:rFonts w:ascii="IRNazanin" w:hAnsi="IRNazanin" w:eastAsia="IRNazanin"/>
          <w:color w:val="111111"/>
          <w:sz w:val="28"/>
          <w:sz w:val="28"/>
          <w:szCs w:val="28"/>
          <w:rtl w:val="true"/>
          <w:lang w:bidi="fa-IR"/>
        </w:rPr>
        <w:t>از امام صادق علیه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خصلت است که خداوند متعال آن ها را برای من ناپسند شمرده است، پس من نیز آن خصلت ها را برای امامانی که در میان فرزندانم هستند ناپسند می دانم و آن امامان نیز باید برای پیروان شان ناپسند بشمارند؛ و در ادامه مانند حدیث قبل ذکر شده است</w:t>
      </w:r>
      <w:r>
        <w:rPr>
          <w:rFonts w:eastAsia="IRNazanin" w:cs="IRNazanin"/>
          <w:color w:val="111111"/>
          <w:sz w:val="28"/>
          <w:szCs w:val="28"/>
          <w:rtl w:val="true"/>
          <w:lang w:bidi="fa-IR"/>
        </w:rPr>
        <w:t>.</w:t>
      </w:r>
      <w:r>
        <w:rPr>
          <w:rStyle w:val="FootnoteAnchor"/>
          <w:rtl w:val="true"/>
        </w:rPr>
        <w:footnoteReference w:id="319"/>
      </w:r>
    </w:p>
    <w:p>
      <w:pPr>
        <w:pStyle w:val="Heading5"/>
        <w:numPr>
          <w:ilvl w:val="4"/>
          <w:numId w:val="1"/>
        </w:numPr>
        <w:rPr/>
      </w:pPr>
      <w:bookmarkStart w:id="612" w:name="__RefHeading___Toc605478_1934241801"/>
      <w:bookmarkStart w:id="613" w:name="_Toc283"/>
      <w:bookmarkEnd w:id="612"/>
      <w:r>
        <w:rPr>
          <w:rtl w:val="true"/>
        </w:rPr>
        <w:t>توضیح</w:t>
      </w:r>
      <w:bookmarkEnd w:id="613"/>
    </w:p>
    <w:p>
      <w:pPr>
        <w:pStyle w:val="BookText"/>
        <w:rPr/>
      </w:pPr>
      <w:r>
        <w:rPr>
          <w:rFonts w:ascii="IRNazanin" w:hAnsi="IRNazanin" w:eastAsia="IRNazanin"/>
          <w:color w:val="111111"/>
          <w:sz w:val="28"/>
          <w:sz w:val="28"/>
          <w:szCs w:val="28"/>
          <w:rtl w:val="true"/>
          <w:lang w:bidi="fa-IR"/>
        </w:rPr>
        <w:t xml:space="preserve">معنای کراهت در این حدیث از معنای مصطلح آن و از معنای حرام بودن عمومی تر است، پس انجام کارهای عبث و بیهوده اگر به باطل شدن نماز منجر نشود مکروه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جماع و نزدیکی کردن با زنان و همچنین فحش و ناسزاگویی است،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نخست در نظر بگیریم حرام است و باعث باطل شدن روزه و اگر به معنای دوّم باشد مکروه است و یا حرام و باطل کننده کمال آن، و نظر مشهور در مورد منّت گذاردن بعد از صدقه، کراهت آن است هر چند که احتمال حرام بودن نیز وجود دارد، و بر اساس هر دو تقدیر باطل کننده ثواب صدقه یا کمال آن است، امّا رفتن شخص جُنب به مسجدالحرام و مسجدالنبی به صورت مطلق حرام است و وارد شدن جنب به غیر این دو مسجد اگر به قصد توقف باشد حرام است و اگر به قصد توقف نباشد مکروه است؛ امّا نگاه کردن و سرک کشیدن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بنا به نظر مشهور فقها حرام است، و خندیدن در بین قبور نیز شدیداً مکروه می باشد</w:t>
      </w:r>
      <w:r>
        <w:rPr>
          <w:rFonts w:eastAsia="IRNazanin" w:cs="IRNazanin"/>
          <w:color w:val="111111"/>
          <w:sz w:val="28"/>
          <w:szCs w:val="28"/>
          <w:rtl w:val="true"/>
          <w:lang w:bidi="fa-IR"/>
        </w:rPr>
        <w:t>.</w:t>
      </w:r>
    </w:p>
    <w:p>
      <w:pPr>
        <w:pStyle w:val="Heading5"/>
        <w:numPr>
          <w:ilvl w:val="4"/>
          <w:numId w:val="1"/>
        </w:numPr>
        <w:rPr/>
      </w:pPr>
      <w:bookmarkStart w:id="614" w:name="__RefHeading___Toc605480_1934241801"/>
      <w:bookmarkStart w:id="615" w:name="_Toc284"/>
      <w:bookmarkEnd w:id="614"/>
      <w:r>
        <w:rPr>
          <w:rtl w:val="true"/>
        </w:rPr>
        <w:t xml:space="preserve">روایت </w:t>
      </w:r>
      <w:r>
        <w:rPr/>
        <w:t>37</w:t>
      </w:r>
      <w:bookmarkEnd w:id="615"/>
    </w:p>
    <w:p>
      <w:pPr>
        <w:pStyle w:val="BookText"/>
        <w:rPr/>
      </w:pPr>
      <w:r>
        <w:rPr>
          <w:rFonts w:ascii="IRNazanin" w:hAnsi="IRNazanin" w:eastAsia="IRNazanin"/>
          <w:color w:val="111111"/>
          <w:sz w:val="28"/>
          <w:sz w:val="28"/>
          <w:szCs w:val="28"/>
          <w:rtl w:val="true"/>
          <w:lang w:bidi="fa-IR"/>
        </w:rPr>
        <w:t>تفسیرالإمام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از پدرانش روایت کرده که پیامبر صلّی الله علیه و آله در حدیث سدّ ابواب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آنکه به خدا و روز آخرت ایمان دارد در حال جنابت در این مسجد بیتوته کند، مگر محمّد، علی، فاطمه، حسن، و حسین علیهم السلام و خاندان برگزیده و فرزندان پاک ایشان</w:t>
      </w:r>
      <w:r>
        <w:rPr>
          <w:rFonts w:eastAsia="IRNazanin" w:cs="IRNazanin"/>
          <w:color w:val="111111"/>
          <w:sz w:val="28"/>
          <w:szCs w:val="28"/>
          <w:rtl w:val="true"/>
          <w:lang w:bidi="fa-IR"/>
        </w:rPr>
        <w:t>.</w:t>
      </w:r>
      <w:r>
        <w:rPr>
          <w:rStyle w:val="FootnoteAnchor"/>
          <w:rtl w:val="true"/>
        </w:rPr>
        <w:footnoteReference w:id="320"/>
      </w:r>
    </w:p>
    <w:p>
      <w:pPr>
        <w:pStyle w:val="Heading5"/>
        <w:numPr>
          <w:ilvl w:val="4"/>
          <w:numId w:val="1"/>
        </w:numPr>
        <w:rPr/>
      </w:pPr>
      <w:bookmarkStart w:id="616" w:name="__RefHeading___Toc605482_1934241801"/>
      <w:bookmarkStart w:id="617" w:name="_Toc285"/>
      <w:bookmarkEnd w:id="616"/>
      <w:r>
        <w:rPr>
          <w:rtl w:val="true"/>
        </w:rPr>
        <w:t xml:space="preserve">روایت </w:t>
      </w:r>
      <w:r>
        <w:rPr/>
        <w:t>38</w:t>
      </w:r>
      <w:bookmarkEnd w:id="617"/>
    </w:p>
    <w:p>
      <w:pPr>
        <w:pStyle w:val="BookText"/>
        <w:rPr/>
      </w:pP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آهنگ منزل امام صادق علیه السلام نموده بودیم از مدینه خارج شدیم، پس ابو بصیر در حالی که جنب بود در خارج از کوچه ای به ما ملحق شد و ما از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بودن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اطّلاع بودیم، تا اینکه بر امام صادق علیه السلام داخل گشتیم، پس امام سرش را به سوی ابو بصیر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 آیا نمی دانی که شخص جنب اجازه ندارد وارد منزل پیامبران شود؟ سپس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بازگشت و ما وارد شدیم</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از بکر بن محمد أزدیّ روایت شده است</w:t>
      </w:r>
      <w:r>
        <w:rPr>
          <w:rFonts w:eastAsia="IRNazanin" w:cs="IRNazanin"/>
          <w:color w:val="111111"/>
          <w:sz w:val="28"/>
          <w:szCs w:val="28"/>
          <w:rtl w:val="true"/>
          <w:lang w:bidi="fa-IR"/>
        </w:rPr>
        <w:t>.</w:t>
      </w:r>
      <w:r>
        <w:rPr>
          <w:rStyle w:val="FootnoteAnchor"/>
          <w:rtl w:val="true"/>
        </w:rPr>
        <w:footnoteReference w:id="322"/>
      </w:r>
    </w:p>
    <w:p>
      <w:pPr>
        <w:pStyle w:val="Heading5"/>
        <w:numPr>
          <w:ilvl w:val="4"/>
          <w:numId w:val="1"/>
        </w:numPr>
        <w:rPr/>
      </w:pPr>
      <w:bookmarkStart w:id="618" w:name="__RefHeading___Toc605484_1934241801"/>
      <w:bookmarkStart w:id="619" w:name="_Toc286"/>
      <w:bookmarkEnd w:id="618"/>
      <w:r>
        <w:rPr>
          <w:rtl w:val="true"/>
        </w:rPr>
        <w:t xml:space="preserve">روایت </w:t>
      </w:r>
      <w:r>
        <w:rPr/>
        <w:t>39</w:t>
      </w:r>
      <w:bookmarkEnd w:id="61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إرشاد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کنیزکی همراه من بود وارد مدینه شدم، </w:t>
      </w:r>
      <w:bookmarkStart w:id="620" w:name="pg13517_329094"/>
    </w:p>
    <w:p>
      <w:pPr>
        <w:pStyle w:val="BookText"/>
        <w:rPr/>
      </w:pPr>
      <w:bookmarkEnd w:id="620"/>
      <w:r>
        <w:rPr>
          <w:rFonts w:ascii="Amiri" w:hAnsi="Amiri" w:eastAsia="Amiri" w:cs="Amiri"/>
          <w:color w:val="111111"/>
          <w:sz w:val="28"/>
          <w:sz w:val="28"/>
          <w:szCs w:val="28"/>
          <w:rtl w:val="true"/>
          <w:lang w:bidi="ar-SA"/>
        </w:rPr>
        <w:t>جُوَيْرِيَةٌ لِي فَأَصَبْتُ مِنْهَا ثُمَّ خَرَجْتُ إِلَي الْحَمَّامِ فَلَقِيتُ أَصْحَابَنَا الشِّيعَةَ وَ هُمْ مُتَوَجِّهُونَ إِلَي أَبِي عَبْدِ اللَّهِ عليه السلام فَخَشِيتُ أَنْ يَفُوتَنِي الدُّخُولُ عَلَيْهِ فَمَشَيْتُ مَعَهُمْ حَتَّي دَخَلْتُ الدَّارَ فَلَمَّا مَثُلْتُ بَيْنَ يَدَيْهِ نَظَرَ إِلَيَّ ثُمَّ قَالَ يَا أَبَا بَصِيرٍ أَ مَا عَلِمْتَ أَنَّ بُيُوتَ الْأَنْبِيَاءِ وَ أَوْلَادَ الْأَنْبِيَاءِ لَا يَدْخُلُهَا الْجُنُبُ فَاسْتَحْيَيْتُ فَقُلْتُ إِنِّي لَقِيتُ أَصْحَابَنَا وَ خَشِيتُ أَنْ يَفُوتَنِي الدُّخُولُ مَعَهُمْ وَ لَنْ أَعُودَ إِلَي مِثْلِهَا وَ خَرَجْتُ‌</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نقلا من كتاب الدلائل للحميري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نحوا مما مر</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1" w:name="__RefHeading___Toc605486_1934241801"/>
      <w:bookmarkStart w:id="622" w:name="_Toc287"/>
      <w:bookmarkEnd w:id="621"/>
      <w:r>
        <w:rPr>
          <w:rtl w:val="true"/>
        </w:rPr>
        <w:t>«</w:t>
      </w:r>
      <w:r>
        <w:rPr/>
        <w:t>40</w:t>
      </w:r>
      <w:r>
        <w:rPr>
          <w:rtl w:val="true"/>
        </w:rPr>
        <w:t>»</w:t>
      </w:r>
      <w:bookmarkEnd w:id="622"/>
    </w:p>
    <w:p>
      <w:pPr>
        <w:pStyle w:val="BookText"/>
        <w:rPr/>
      </w:pPr>
      <w:r>
        <w:rPr>
          <w:rFonts w:ascii="Amiri" w:hAnsi="Amiri" w:eastAsia="Amiri" w:cs="Amiri"/>
          <w:color w:val="111111"/>
          <w:sz w:val="28"/>
          <w:sz w:val="28"/>
          <w:szCs w:val="28"/>
          <w:rtl w:val="true"/>
          <w:lang w:bidi="ar-SA"/>
        </w:rPr>
        <w:t>مَعْرِفَةُ الرِّجَالِ لِلْكَشِّيِّ، عَنْ حَمْدَوَيْهِ عَنْ مُحَمَّدِ بْنِ عِيسَي عَنْ يُونُسَ عَنْ أَبِي الْحَسَنِ الْمَكْفُوفِ عَنْ رَجُلٍ عَنْ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أَبَا بَصِيرٍ الْمُرَادِيَّ فَقَالَ أَيْنَ تُرِيدُ قُلْتُ أُرِيدُ مَوْلَاكَ قَالَ أَنَا أَتْبَعُكَ فَمَضَي فَدَخَلْنَا عَلَيْهِ وَ أَحَدَّ النَّظَرَ إِلَيْهِ وَ قَالَ هَكَذَا تَدْخُلُ بُيُوتَ الْأَنْبِيَاءِ وَ أَنْتَ جُنُبٌ فَقَالَ أَعُوذُ بِاللَّهِ مِنْ غَضَبِ اللَّهِ وَ غَضَبِكَ وَ قَالَ أَسْتَغْفِرُ اللَّهَ وَ لَا أَعُودُ قال و روي ذلك أبو عبد الله البرقي عن بكير</w:t>
      </w:r>
      <w:r>
        <w:rPr>
          <w:rStyle w:val="FootnoteAnchor"/>
          <w:rtl w:val="true"/>
        </w:rPr>
        <w:footnoteReference w:id="325"/>
      </w:r>
    </w:p>
    <w:p>
      <w:pPr>
        <w:pStyle w:val="Heading5"/>
        <w:numPr>
          <w:ilvl w:val="4"/>
          <w:numId w:val="1"/>
        </w:numPr>
        <w:rPr/>
      </w:pPr>
      <w:bookmarkStart w:id="623" w:name="__RefHeading___Toc605488_1934241801"/>
      <w:bookmarkStart w:id="624" w:name="_Toc288"/>
      <w:bookmarkEnd w:id="623"/>
      <w:r>
        <w:rPr>
          <w:rtl w:val="true"/>
        </w:rPr>
        <w:t>بيان</w:t>
      </w:r>
      <w:bookmarkEnd w:id="624"/>
    </w:p>
    <w:p>
      <w:pPr>
        <w:pStyle w:val="BookText"/>
        <w:rPr/>
      </w:pPr>
      <w:r>
        <w:rPr>
          <w:rFonts w:ascii="Amiri" w:hAnsi="Amiri" w:eastAsia="Amiri" w:cs="Amiri"/>
          <w:color w:val="111111"/>
          <w:sz w:val="28"/>
          <w:sz w:val="28"/>
          <w:szCs w:val="28"/>
          <w:rtl w:val="true"/>
          <w:lang w:bidi="ar-SA"/>
        </w:rPr>
        <w:t>تدل هذه الأخبار علي عدم جواز دخول بيوتهم عليهم السلام جنبا و كذا ضرائحهم المقدسة لما ورد أن حرمتهم أمواتا كحرمتهم أحياء</w:t>
      </w:r>
      <w:r>
        <w:rPr>
          <w:rFonts w:eastAsia="Amiri" w:cs="Amiri" w:ascii="Amiri" w:hAnsi="Amiri"/>
          <w:color w:val="111111"/>
          <w:sz w:val="28"/>
          <w:szCs w:val="28"/>
          <w:rtl w:val="true"/>
          <w:lang w:bidi="ar-SA"/>
        </w:rPr>
        <w:t>.</w:t>
      </w:r>
    </w:p>
    <w:p>
      <w:pPr>
        <w:pStyle w:val="Heading5"/>
        <w:numPr>
          <w:ilvl w:val="4"/>
          <w:numId w:val="1"/>
        </w:numPr>
        <w:rPr/>
      </w:pPr>
      <w:bookmarkStart w:id="625" w:name="__RefHeading___Toc605490_1934241801"/>
      <w:bookmarkStart w:id="626" w:name="_Toc289"/>
      <w:bookmarkEnd w:id="625"/>
      <w:r>
        <w:rPr>
          <w:rtl w:val="true"/>
        </w:rPr>
        <w:t>«</w:t>
      </w:r>
      <w:r>
        <w:rPr/>
        <w:t>41</w:t>
      </w:r>
      <w:r>
        <w:rPr>
          <w:rtl w:val="true"/>
        </w:rPr>
        <w:t>»</w:t>
      </w:r>
      <w:bookmarkEnd w:id="626"/>
    </w:p>
    <w:p>
      <w:pPr>
        <w:pStyle w:val="BookText"/>
        <w:rPr/>
      </w:pPr>
      <w:r>
        <w:rPr>
          <w:rFonts w:ascii="Amiri" w:hAnsi="Amiri" w:eastAsia="Amiri" w:cs="Amiri"/>
          <w:color w:val="111111"/>
          <w:sz w:val="28"/>
          <w:sz w:val="28"/>
          <w:szCs w:val="28"/>
          <w:rtl w:val="true"/>
          <w:lang w:bidi="ar-SA"/>
        </w:rPr>
        <w:t>الْمُعْتَبَرُ، مِنْ جَامِعِ الْبَزَنْطِيِّ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هَلْ يَمَسُّ الرَّجُلُ الدِّرْهَمَ الْأَبْيَضَ وَ هُوَ جُنُبٌ فَقَالَ إِي وَ اللَّهِ إِنِّي لَأَرَي الدِّرْهَمَ فَآخُذُهُ وَ أَنَا 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فِي كِتَابِ الْحَسَنِ بْنِ مَحْبُوبٍ عَنْ خَالِدٍ عَنْ أَبِي الرَّبِيعِ عَنْ أَبِي عَبْدِ اللَّهِ عليه السلام فِي الْجُنُبِ يَمَسُّ الدَّرَاهِمَ وَ فِيهَا اسْمُ اللَّهِ وَ اسْمُ رَسُولِهِ قَالَ عليه السلام</w:t>
      </w:r>
    </w:p>
    <w:p>
      <w:pPr>
        <w:pStyle w:val="BookText"/>
        <w:rPr/>
      </w:pPr>
      <w:r>
        <w:rPr>
          <w:rFonts w:ascii="IRNazanin" w:hAnsi="IRNazanin" w:eastAsia="IRNazanin"/>
          <w:color w:val="111111"/>
          <w:sz w:val="28"/>
          <w:sz w:val="28"/>
          <w:szCs w:val="28"/>
          <w:rtl w:val="true"/>
          <w:lang w:bidi="fa-IR"/>
        </w:rPr>
        <w:t>پس با او نزدیکی کردم و به سوی حمام خارج شدم، آن گاه یاران خویش را مشاهده کردم که نزد امام صادق علیه السلام می روند، بنابراین به خاطر ترسِ از دست دادن ملاقات امام با آنان همراه گشتم تا وارد خانه شدم، هنگامی که در مقابل امام حاضر شدم به من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 آیا ندانسته ای که شخص جُنب وارد خانه های پیامبران نمی شود؟ آن گاه شرم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یارانم را مشاهده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 شما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ترسیدم که همراهی با آنان در وارد شدن بر شما را از دست بدهم، و هرگز چنین کاری را تکرار نخواهم کرد و خارج شدم</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الدّلایل حمیریّ از ابو بصیر حدیثی مانند آنچه ذکر شد روایت شده است</w:t>
      </w:r>
      <w:r>
        <w:rPr>
          <w:rFonts w:eastAsia="IRNazanin" w:cs="IRNazanin"/>
          <w:color w:val="111111"/>
          <w:sz w:val="28"/>
          <w:szCs w:val="28"/>
          <w:rtl w:val="true"/>
          <w:lang w:bidi="fa-IR"/>
        </w:rPr>
        <w:t>.</w:t>
      </w:r>
      <w:r>
        <w:rPr>
          <w:rStyle w:val="FootnoteAnchor"/>
          <w:rtl w:val="true"/>
        </w:rPr>
        <w:footnoteReference w:id="327"/>
      </w:r>
    </w:p>
    <w:p>
      <w:pPr>
        <w:pStyle w:val="Heading5"/>
        <w:numPr>
          <w:ilvl w:val="4"/>
          <w:numId w:val="1"/>
        </w:numPr>
        <w:rPr/>
      </w:pPr>
      <w:bookmarkStart w:id="627" w:name="__RefHeading___Toc605492_1934241801"/>
      <w:bookmarkStart w:id="628" w:name="_Toc290"/>
      <w:bookmarkEnd w:id="627"/>
      <w:r>
        <w:rPr>
          <w:rtl w:val="true"/>
        </w:rPr>
        <w:t xml:space="preserve">روایت </w:t>
      </w:r>
      <w:r>
        <w:rPr/>
        <w:t>40</w:t>
      </w:r>
      <w:bookmarkEnd w:id="628"/>
    </w:p>
    <w:p>
      <w:pPr>
        <w:pStyle w:val="BookText"/>
        <w:rPr/>
      </w:pPr>
      <w:r>
        <w:rPr>
          <w:rFonts w:ascii="IRNazanin" w:hAnsi="IRNazanin" w:eastAsia="IRNazanin"/>
          <w:color w:val="111111"/>
          <w:sz w:val="28"/>
          <w:sz w:val="28"/>
          <w:szCs w:val="28"/>
          <w:rtl w:val="true"/>
          <w:lang w:bidi="fa-IR"/>
        </w:rPr>
        <w:t>معرفه الرجال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مرادیّ را ملاقات نمودم،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کجا بروی؟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نزد مولایت بروم،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همراهت می آیم، پس به راه افتاد و با هم بر امام صادق علیه السلام وارد گشتیم، امام به او چشم دوخت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و در حالی که جُنب هستی وارد خانه پیامبران می شوی؟ آن گاه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غضب خدا و شما به خدا پناه می برم، از خدا طلب غفران کرده و دیگر چنین کاری را تکرار نمی کنم؛</w:t>
      </w:r>
    </w:p>
    <w:p>
      <w:pPr>
        <w:pStyle w:val="BookText"/>
        <w:rPr/>
      </w:pPr>
      <w:r>
        <w:rPr>
          <w:rFonts w:ascii="IRNazanin" w:hAnsi="IRNazanin" w:eastAsia="IRNazanin"/>
          <w:color w:val="111111"/>
          <w:sz w:val="28"/>
          <w:sz w:val="28"/>
          <w:szCs w:val="28"/>
          <w:rtl w:val="true"/>
          <w:lang w:bidi="fa-IR"/>
        </w:rPr>
        <w:t>ابوعبدالله برقّی نیز از بکیر این حدیث را روایت کرده است</w:t>
      </w:r>
      <w:r>
        <w:rPr>
          <w:rFonts w:eastAsia="IRNazanin" w:cs="IRNazanin"/>
          <w:color w:val="111111"/>
          <w:sz w:val="28"/>
          <w:szCs w:val="28"/>
          <w:rtl w:val="true"/>
          <w:lang w:bidi="fa-IR"/>
        </w:rPr>
        <w:t>.</w:t>
      </w:r>
      <w:r>
        <w:rPr>
          <w:rStyle w:val="FootnoteAnchor"/>
          <w:rtl w:val="true"/>
        </w:rPr>
        <w:footnoteReference w:id="328"/>
      </w:r>
    </w:p>
    <w:p>
      <w:pPr>
        <w:pStyle w:val="Heading5"/>
        <w:numPr>
          <w:ilvl w:val="4"/>
          <w:numId w:val="1"/>
        </w:numPr>
        <w:rPr/>
      </w:pPr>
      <w:bookmarkStart w:id="629" w:name="__RefHeading___Toc605494_1934241801"/>
      <w:bookmarkStart w:id="630" w:name="_Toc291"/>
      <w:bookmarkEnd w:id="629"/>
      <w:r>
        <w:rPr>
          <w:rtl w:val="true"/>
        </w:rPr>
        <w:t>توضیح</w:t>
      </w:r>
      <w:bookmarkEnd w:id="630"/>
    </w:p>
    <w:p>
      <w:pPr>
        <w:pStyle w:val="BookText"/>
        <w:rPr/>
      </w:pPr>
      <w:r>
        <w:rPr>
          <w:rFonts w:ascii="IRNazanin" w:hAnsi="IRNazanin" w:eastAsia="IRNazanin"/>
          <w:color w:val="111111"/>
          <w:sz w:val="28"/>
          <w:sz w:val="28"/>
          <w:szCs w:val="28"/>
          <w:rtl w:val="true"/>
          <w:lang w:bidi="fa-IR"/>
        </w:rPr>
        <w:t>این احادیث بر عدم جواز وارد شدن جنب به خانه های امامان علیهم السلام و همچنین مزار ایشان دلالت می کنند، چرا که نقل شده است که احترام امامان در حالی که وفات نموده اند به اندازه احترام آنان در حال حیات است</w:t>
      </w:r>
      <w:r>
        <w:rPr>
          <w:rFonts w:eastAsia="IRNazanin" w:cs="IRNazanin"/>
          <w:color w:val="111111"/>
          <w:sz w:val="28"/>
          <w:szCs w:val="28"/>
          <w:rtl w:val="true"/>
          <w:lang w:bidi="fa-IR"/>
        </w:rPr>
        <w:t>.</w:t>
      </w:r>
    </w:p>
    <w:p>
      <w:pPr>
        <w:pStyle w:val="Heading5"/>
        <w:numPr>
          <w:ilvl w:val="4"/>
          <w:numId w:val="1"/>
        </w:numPr>
        <w:rPr/>
      </w:pPr>
      <w:bookmarkStart w:id="631" w:name="__RefHeading___Toc605496_1934241801"/>
      <w:bookmarkStart w:id="632" w:name="_Toc292"/>
      <w:bookmarkEnd w:id="631"/>
      <w:r>
        <w:rPr>
          <w:rtl w:val="true"/>
        </w:rPr>
        <w:t xml:space="preserve">روایت </w:t>
      </w:r>
      <w:r>
        <w:rPr/>
        <w:t>41</w:t>
      </w:r>
      <w:bookmarkEnd w:id="632"/>
    </w:p>
    <w:p>
      <w:p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جامع بزنطیّ از محمّد بن مسلم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درهم سفید را در حالی که جنب است لمس می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سوگند که من درهم را می بینم و آن را بر می دارم حال آنکه جنب هستم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ابو ربیع روایت شده که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شخص جُنب می تواند درهم هایی که اسم خدا و رسولش بر آن ها نقش بسته است را لمس کند؟ امام علیه السلام </w:t>
      </w:r>
      <w:bookmarkStart w:id="633" w:name="pg13517_329095"/>
    </w:p>
    <w:p>
      <w:pPr>
        <w:pStyle w:val="BookText"/>
        <w:rPr/>
      </w:pPr>
      <w:bookmarkEnd w:id="633"/>
      <w:r>
        <w:rPr>
          <w:rFonts w:ascii="Amiri" w:hAnsi="Amiri" w:eastAsia="Amiri" w:cs="Amiri"/>
          <w:color w:val="111111"/>
          <w:sz w:val="28"/>
          <w:sz w:val="28"/>
          <w:szCs w:val="28"/>
          <w:rtl w:val="true"/>
          <w:lang w:bidi="ar-SA"/>
        </w:rPr>
        <w:t>لَا بَأْسَ رُبَّمَا فَعَلْتُ ذَلِكَ‌</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4" w:name="__RefHeading___Toc605498_1934241801"/>
      <w:bookmarkStart w:id="635" w:name="_Toc293"/>
      <w:bookmarkEnd w:id="634"/>
      <w:r>
        <w:rPr>
          <w:rtl w:val="true"/>
        </w:rPr>
        <w:t>بيان</w:t>
      </w:r>
      <w:bookmarkEnd w:id="635"/>
    </w:p>
    <w:p>
      <w:pPr>
        <w:pStyle w:val="BookText"/>
        <w:rPr/>
      </w:pPr>
      <w:r>
        <w:rPr>
          <w:rFonts w:ascii="Amiri" w:hAnsi="Amiri" w:eastAsia="Amiri" w:cs="Amiri"/>
          <w:color w:val="111111"/>
          <w:sz w:val="28"/>
          <w:sz w:val="28"/>
          <w:szCs w:val="28"/>
          <w:rtl w:val="true"/>
          <w:lang w:bidi="ar-SA"/>
        </w:rPr>
        <w:t>المشهور بين الأصحاب أنه يحرم علي الجنب مس شي‌ء كتب فيه اسم الله تعالي و نقل العلامة و ابن زهرة عليه الإجماع و استندوا إلي رِوَايَةِ عَمَّارٍ</w:t>
      </w:r>
      <w:r>
        <w:rPr>
          <w:rStyle w:val="FootnoteAnchor"/>
          <w:rtl w:val="true"/>
        </w:rPr>
        <w:footnoteReference w:id="330"/>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 الْجُنُبُ دِرْهَماً وَ لَا دِينَاراً عَلَيْهِ اسْمُ اللَّهِ تَعَالَي و لو لا الإجماع المنقول و الشهرة التامة بين الأصحاب لكان حمل الرواية علي الكراهة متعينا لصحة رواية البزنطي و تأيدها برواية أبي الربيع و قلة الاعتماد علي رواية عمار و كونها مخالفة للأصل و حمل الخبرين علي عدم مس الاسم بعيد جدا لكن الأحوط العمل بالمشهور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في مس أسماء الأنبياء و الأئمة عليهم السلام و الأشهر التحريم و لا مستند لهم ظاهرا سوي التعظيم و الكراهة أظهر كما اختاره في المعتبر</w:t>
      </w:r>
      <w:r>
        <w:rPr>
          <w:rFonts w:eastAsia="Amiri" w:cs="Amiri" w:ascii="Amiri" w:hAnsi="Amiri"/>
          <w:color w:val="111111"/>
          <w:sz w:val="28"/>
          <w:szCs w:val="28"/>
          <w:rtl w:val="true"/>
          <w:lang w:bidi="ar-SA"/>
        </w:rPr>
        <w:t>.</w:t>
      </w:r>
    </w:p>
    <w:p>
      <w:pPr>
        <w:pStyle w:val="Heading5"/>
        <w:numPr>
          <w:ilvl w:val="4"/>
          <w:numId w:val="1"/>
        </w:numPr>
        <w:rPr/>
      </w:pPr>
      <w:bookmarkStart w:id="636" w:name="__RefHeading___Toc605500_1934241801"/>
      <w:bookmarkStart w:id="637" w:name="_Toc294"/>
      <w:bookmarkEnd w:id="636"/>
      <w:r>
        <w:rPr>
          <w:rtl w:val="true"/>
        </w:rPr>
        <w:t>«</w:t>
      </w:r>
      <w:r>
        <w:rPr/>
        <w:t>42</w:t>
      </w:r>
      <w:r>
        <w:rPr>
          <w:rtl w:val="true"/>
        </w:rPr>
        <w:t>»</w:t>
      </w:r>
      <w:bookmarkEnd w:id="637"/>
    </w:p>
    <w:p>
      <w:pPr>
        <w:pStyle w:val="BookText"/>
        <w:rPr/>
      </w:pPr>
      <w:r>
        <w:rPr>
          <w:rFonts w:ascii="Amiri" w:hAnsi="Amiri" w:eastAsia="Amiri" w:cs="Amiri"/>
          <w:color w:val="111111"/>
          <w:sz w:val="28"/>
          <w:sz w:val="28"/>
          <w:szCs w:val="28"/>
          <w:rtl w:val="true"/>
          <w:lang w:bidi="ar-SA"/>
        </w:rPr>
        <w:t>الْمُعْتَبَرُ،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لِلْجُنُبِ وَ الْحَائِضِ أَنْ يَقْرَءَا مَا شَاءَا مِنَ الْقُرْآنِ إِلَّا سُوَرَ الْعَزَائِمِ الْأَرْبَعِ وَ هِيَ اقْرَأْ بِاسْمِ رَبِّكَ وَ النَّجْمُ وَ تَنْزِيلُ السَّجْدَةِ وَ حم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ذلك البزنطي في جامعه عن المثني عن الحسن الصيقل عن أبي عبد الله عليه السلام‌</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8" w:name="__RefHeading___Toc605502_1934241801"/>
      <w:bookmarkStart w:id="639" w:name="_Toc295"/>
      <w:bookmarkEnd w:id="638"/>
      <w:r>
        <w:rPr>
          <w:rtl w:val="true"/>
        </w:rPr>
        <w:t>«</w:t>
      </w:r>
      <w:r>
        <w:rPr/>
        <w:t>43</w:t>
      </w:r>
      <w:r>
        <w:rPr>
          <w:rtl w:val="true"/>
        </w:rPr>
        <w:t>»</w:t>
      </w:r>
      <w:bookmarkEnd w:id="639"/>
    </w:p>
    <w:p>
      <w:pPr>
        <w:pStyle w:val="BookText"/>
        <w:rPr/>
      </w:pPr>
      <w:r>
        <w:rPr>
          <w:rFonts w:ascii="Amiri" w:hAnsi="Amiri" w:eastAsia="Amiri" w:cs="Amiri"/>
          <w:color w:val="111111"/>
          <w:sz w:val="28"/>
          <w:sz w:val="28"/>
          <w:szCs w:val="28"/>
          <w:rtl w:val="true"/>
          <w:lang w:bidi="ar-SA"/>
        </w:rPr>
        <w:t>مَكَارِمُ الْأَخْلَاقِ، مِنْ كِتَابِ اللِّبَاسِ لِلْعَيَّاشِيِّ عَنْ عَلِيِّ بْنِ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يَخْتَضِبَ الرَّجُلُ وَ هُوَ جُنُبٌ وَ قَالَ مَنِ اخْتَضَبَ وَ هُوَ جُنُبٌ أَوْ أَجْنَبَ فِي خِضَابِهِ لَمْ يُؤْمَنْ عَلَيْهِ أَنْ يُصِيبَهُ الشَّيْطَانُ بِسُوءٍ</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تَخْتَضِبْ وَ أَنْتَ جُنُبٌ وَ لَا تُجْنِبْ وَ أَنْتَ مُخْتَضِبٌ وَ لَا الطَّامِثُ فَإِنَّ الشَّيْطَانَ يَحْضُرُهَا عِنْدَ ذَلِكَ وَ لَا بَأْسَ بِهِ لِلنُّفَسَاءِ</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0" w:name="__RefHeading___Toc605504_1934241801"/>
      <w:bookmarkStart w:id="641" w:name="_Toc296"/>
      <w:bookmarkEnd w:id="640"/>
      <w:r>
        <w:rPr>
          <w:rtl w:val="true"/>
        </w:rPr>
        <w:t>بيان</w:t>
      </w:r>
      <w:bookmarkEnd w:id="641"/>
    </w:p>
    <w:p>
      <w:pPr>
        <w:pStyle w:val="BookText"/>
        <w:rPr/>
      </w:pPr>
      <w:r>
        <w:rPr>
          <w:rFonts w:ascii="Amiri" w:hAnsi="Amiri" w:eastAsia="Amiri" w:cs="Amiri"/>
          <w:color w:val="111111"/>
          <w:sz w:val="28"/>
          <w:sz w:val="28"/>
          <w:szCs w:val="28"/>
          <w:rtl w:val="true"/>
          <w:lang w:bidi="ar-SA"/>
        </w:rPr>
        <w:t>يحتمل أن يكون حضور الشيطان، عندها ليوسوس زوجها لجماعها ثم إن كراهة الخضاب للجنب و الحائض و النفساء هو المشهور بين الأصحاب بل</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چه بسا من چنان کرده ام</w:t>
      </w:r>
      <w:r>
        <w:rPr>
          <w:rFonts w:eastAsia="IRNazanin" w:cs="IRNazanin"/>
          <w:color w:val="111111"/>
          <w:sz w:val="28"/>
          <w:szCs w:val="28"/>
          <w:rtl w:val="true"/>
          <w:lang w:bidi="fa-IR"/>
        </w:rPr>
        <w:t>.</w:t>
      </w:r>
      <w:r>
        <w:rPr>
          <w:rStyle w:val="FootnoteAnchor"/>
          <w:rtl w:val="true"/>
        </w:rPr>
        <w:footnoteReference w:id="334"/>
      </w:r>
    </w:p>
    <w:p>
      <w:pPr>
        <w:pStyle w:val="Heading5"/>
        <w:numPr>
          <w:ilvl w:val="4"/>
          <w:numId w:val="1"/>
        </w:numPr>
        <w:rPr/>
      </w:pPr>
      <w:bookmarkStart w:id="642" w:name="__RefHeading___Toc605506_1934241801"/>
      <w:bookmarkStart w:id="643" w:name="_Toc297"/>
      <w:bookmarkEnd w:id="642"/>
      <w:r>
        <w:rPr>
          <w:rtl w:val="true"/>
        </w:rPr>
        <w:t>توضیح</w:t>
      </w:r>
      <w:bookmarkEnd w:id="643"/>
    </w:p>
    <w:p>
      <w:pPr>
        <w:pStyle w:val="BookText"/>
        <w:rPr/>
      </w:pPr>
      <w:r>
        <w:rPr>
          <w:rFonts w:ascii="IRNazanin" w:hAnsi="IRNazanin" w:eastAsia="IRNazanin"/>
          <w:color w:val="111111"/>
          <w:sz w:val="28"/>
          <w:sz w:val="28"/>
          <w:szCs w:val="28"/>
          <w:rtl w:val="true"/>
          <w:lang w:bidi="fa-IR"/>
        </w:rPr>
        <w:t>نظر مشهور در بین فقها تحریم لمس کردن چیزی است که اسم خداوند متعال بر آن نوشته شده باشد، و علّامه و ابن زهره اجماع فقها را بر این نظر نقل کرده اند و به روایت عمّار</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از امام صادق علیه السلام استناد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جُنب درهم و دیناری که اسم خداوند متعال بر آن نقش بسته باشد را لمس نمی کند؛ و اگر به دلیل اجماع منقول و شهرت تام این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مسّ چیزی که اسم خداوند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فقها نبود، حمل این روایت بر کراهت این موضوع آشکارتر بود، آن هم به خاطر صحّت روایت البزنطیّ و تأیید شدن آن با روایت ابو ربیع و از سوی دیگر به خاطر قلّت اعتماد بر روایت عمار و اینکه آن مخالفت با اصل است؛ و حمل هر دو روایت بر عدم مسّ اسم جلاله خیلی بعید است ولی احوط عمل به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بین فقها بر سر مسّ اسماء پیامبران و امامان علیهم السلام توسط جنب اختلاف نظر وجود دارد، و نظر مشهورتر تحریم این امر است، ولی این نظر آنان به چیزی مستند نیست جز تعظیم و بزرگداشت پیامبران و امامان؛ و کراهت این امر، آن گونه که صاحب المعتبر نیز برگزیده است، آشکارتر به نظر می رسد</w:t>
      </w:r>
      <w:r>
        <w:rPr>
          <w:rFonts w:eastAsia="IRNazanin" w:cs="IRNazanin"/>
          <w:color w:val="111111"/>
          <w:sz w:val="28"/>
          <w:szCs w:val="28"/>
          <w:rtl w:val="true"/>
          <w:lang w:bidi="fa-IR"/>
        </w:rPr>
        <w:t>.</w:t>
      </w:r>
    </w:p>
    <w:p>
      <w:pPr>
        <w:pStyle w:val="Heading5"/>
        <w:numPr>
          <w:ilvl w:val="4"/>
          <w:numId w:val="1"/>
        </w:numPr>
        <w:rPr/>
      </w:pPr>
      <w:bookmarkStart w:id="644" w:name="__RefHeading___Toc605508_1934241801"/>
      <w:bookmarkStart w:id="645" w:name="_Toc298"/>
      <w:bookmarkEnd w:id="644"/>
      <w:r>
        <w:rPr>
          <w:rtl w:val="true"/>
        </w:rPr>
        <w:t xml:space="preserve">روایت </w:t>
      </w:r>
      <w:r>
        <w:rPr/>
        <w:t>42</w:t>
      </w:r>
      <w:bookmarkEnd w:id="645"/>
    </w:p>
    <w:p>
      <w:p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جنب و حائض هر اندازه از قرآن را می خواهند بخوانند، به جز چهار سوره ای که سجده در آن ها وجود دارد 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اقرأباسم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النجم، تنزیل السجدة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 السجدة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البزنطیّ در جامع خویش به روایت از امام صادق علیه السلام نقل کرده است</w:t>
      </w:r>
      <w:r>
        <w:rPr>
          <w:rFonts w:eastAsia="IRNazanin" w:cs="IRNazanin"/>
          <w:color w:val="111111"/>
          <w:sz w:val="28"/>
          <w:szCs w:val="28"/>
          <w:rtl w:val="true"/>
          <w:lang w:bidi="fa-IR"/>
        </w:rPr>
        <w:t>.</w:t>
      </w:r>
      <w:r>
        <w:rPr>
          <w:rStyle w:val="FootnoteAnchor"/>
          <w:rtl w:val="true"/>
        </w:rPr>
        <w:footnoteReference w:id="336"/>
      </w:r>
    </w:p>
    <w:p>
      <w:pPr>
        <w:pStyle w:val="Heading5"/>
        <w:numPr>
          <w:ilvl w:val="4"/>
          <w:numId w:val="1"/>
        </w:numPr>
        <w:rPr/>
      </w:pPr>
      <w:bookmarkStart w:id="646" w:name="__RefHeading___Toc605510_1934241801"/>
      <w:bookmarkStart w:id="647" w:name="_Toc299"/>
      <w:bookmarkEnd w:id="646"/>
      <w:r>
        <w:rPr>
          <w:rtl w:val="true"/>
        </w:rPr>
        <w:t xml:space="preserve">روایت </w:t>
      </w:r>
      <w:r>
        <w:rPr/>
        <w:t>43</w:t>
      </w:r>
      <w:bookmarkEnd w:id="647"/>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اللّباس عیاشی نقل شده که علی بن موسی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مکروه است که شخص در حالی که جنب است خضاب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در حال جنابت خضاب بگیرد یا در حین خضاب گرفتن جُنب شود در امان نیست از اینکه شیطان او را دچار بدی کند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و از جعفر بن محمد علیهما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جُنب هستی خضاب نگیر، و در حالی که خضاب گرفته ای جُنب نشو، همچنین زنی که دچار حیض شده است خضاب نگیرد، چرا که شیطان در آن حالت نزد او حاضر می شود، ولی برای زن زائو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r>
        <w:rPr>
          <w:rStyle w:val="FootnoteAnchor"/>
          <w:rtl w:val="true"/>
        </w:rPr>
        <w:footnoteReference w:id="338"/>
      </w:r>
    </w:p>
    <w:p>
      <w:pPr>
        <w:pStyle w:val="Heading5"/>
        <w:numPr>
          <w:ilvl w:val="4"/>
          <w:numId w:val="1"/>
        </w:numPr>
        <w:rPr/>
      </w:pPr>
      <w:bookmarkStart w:id="648" w:name="__RefHeading___Toc605512_1934241801"/>
      <w:bookmarkStart w:id="649" w:name="_Toc300"/>
      <w:bookmarkEnd w:id="648"/>
      <w:r>
        <w:rPr>
          <w:rtl w:val="true"/>
        </w:rPr>
        <w:t>توضیح</w:t>
      </w:r>
      <w:bookmarkEnd w:id="64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که حضور شیطان نزد حائض به خاطر وسوسه شوهرش برای جماع با او باشد، سپس کراهت گرفتن خضاب برای جُنب، حائض و نفساء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زائو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فقها مشهور است، </w:t>
      </w:r>
      <w:bookmarkStart w:id="650" w:name="pg13517_329096"/>
    </w:p>
    <w:p>
      <w:pPr>
        <w:pStyle w:val="BookText"/>
        <w:rPr/>
      </w:pPr>
      <w:bookmarkEnd w:id="650"/>
      <w:r>
        <w:rPr>
          <w:rFonts w:ascii="Amiri" w:hAnsi="Amiri" w:eastAsia="Amiri" w:cs="Amiri"/>
          <w:color w:val="111111"/>
          <w:sz w:val="28"/>
          <w:sz w:val="28"/>
          <w:szCs w:val="28"/>
          <w:rtl w:val="true"/>
          <w:lang w:bidi="ar-SA"/>
        </w:rPr>
        <w:t>ادعي ابن زهرة علي الجنب الإجماع و يظهر من الصدوق نفي الكراهة و كذا المشهور كراهة جماع المختضب و ظاهر الصدوق و المفيد عدمها و يظهر من رواية أنه إذا أخذ الحناء مأخذه فلا بأس و ما دل عليه الخبر من كراهته للحائض و عدمها للنفساء مخالف للمشهور إذ لم يفرقوا بينهما في تلك الأحكام</w:t>
      </w:r>
      <w:r>
        <w:rPr>
          <w:rFonts w:eastAsia="Amiri" w:cs="Amiri" w:ascii="Amiri" w:hAnsi="Amiri"/>
          <w:color w:val="111111"/>
          <w:sz w:val="28"/>
          <w:szCs w:val="28"/>
          <w:rtl w:val="true"/>
          <w:lang w:bidi="ar-SA"/>
        </w:rPr>
        <w:t>.</w:t>
      </w:r>
    </w:p>
    <w:p>
      <w:pPr>
        <w:pStyle w:val="Heading5"/>
        <w:numPr>
          <w:ilvl w:val="4"/>
          <w:numId w:val="1"/>
        </w:numPr>
        <w:rPr/>
      </w:pPr>
      <w:bookmarkStart w:id="651" w:name="__RefHeading___Toc605514_1934241801"/>
      <w:bookmarkStart w:id="652" w:name="_Toc301"/>
      <w:bookmarkEnd w:id="651"/>
      <w:r>
        <w:rPr>
          <w:rtl w:val="true"/>
        </w:rPr>
        <w:t>«</w:t>
      </w:r>
      <w:r>
        <w:rPr/>
        <w:t>44</w:t>
      </w:r>
      <w:r>
        <w:rPr>
          <w:rtl w:val="true"/>
        </w:rPr>
        <w:t>»</w:t>
      </w:r>
      <w:bookmarkEnd w:id="652"/>
    </w:p>
    <w:p>
      <w:pPr>
        <w:pStyle w:val="BookText"/>
        <w:rPr/>
      </w:pPr>
      <w:r>
        <w:rPr>
          <w:rFonts w:ascii="Amiri" w:hAnsi="Amiri" w:eastAsia="Amiri" w:cs="Amiri"/>
          <w:color w:val="111111"/>
          <w:sz w:val="28"/>
          <w:sz w:val="28"/>
          <w:szCs w:val="28"/>
          <w:rtl w:val="true"/>
          <w:lang w:bidi="ar-SA"/>
        </w:rPr>
        <w:t>الْعِلَلُ‌</w:t>
      </w:r>
      <w:r>
        <w:rPr>
          <w:rStyle w:val="FootnoteAnchor"/>
          <w:rtl w:val="true"/>
        </w:rPr>
        <w:footnoteReference w:id="339"/>
      </w:r>
      <w:r>
        <w:rPr>
          <w:rFonts w:ascii="Amiri" w:hAnsi="Amiri" w:eastAsia="Amiri" w:cs="Amiri"/>
          <w:color w:val="111111"/>
          <w:sz w:val="28"/>
          <w:sz w:val="28"/>
          <w:szCs w:val="28"/>
          <w:rtl w:val="true"/>
          <w:lang w:bidi="ar-SA"/>
        </w:rPr>
        <w:t>، وَ الْخِصَالُ، عَنْ أَبِيهِ عَنْ سَعْدِ بْنِ عَبْدِ اللَّهِ عَنْ مُحَمَّدِ بْنِ عِيسَي عَنِ الْقَاسِمِ بْنِ يَحْيَي عَنْ جَدِّهِ الْحَسَنِ بْنِ رَاشِدٍ عَنْ أَبِي بَصِيرٍ عَنْ أَبِي عَبْدِ اللَّهِ عليه السلام عَنْ أَبِيهِ عَنْ آبَائِهِ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يَنَامُ الْمُسْلِمُ وَ هُوَ جُنُبٌ وَ لَا يَنَامُ إِلَّا عَلَي طَهُورٍ فَإِنْ لَمْ يَجِدِ الْمَاءَ فَلْيَتَيَمَّمْ بِالصَّعِيدِ</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3" w:name="__RefHeading___Toc605516_1934241801"/>
      <w:bookmarkStart w:id="654" w:name="_Toc302"/>
      <w:bookmarkEnd w:id="653"/>
      <w:r>
        <w:rPr>
          <w:rtl w:val="true"/>
        </w:rPr>
        <w:t>«</w:t>
      </w:r>
      <w:r>
        <w:rPr/>
        <w:t>45</w:t>
      </w:r>
      <w:r>
        <w:rPr>
          <w:rtl w:val="true"/>
        </w:rPr>
        <w:t>»</w:t>
      </w:r>
      <w:bookmarkEnd w:id="654"/>
    </w:p>
    <w:p>
      <w:pPr>
        <w:pStyle w:val="BookText"/>
        <w:rPr/>
      </w:pPr>
      <w:r>
        <w:rPr>
          <w:rFonts w:ascii="Amiri" w:hAnsi="Amiri" w:eastAsia="Amiri" w:cs="Amiri"/>
          <w:color w:val="111111"/>
          <w:sz w:val="28"/>
          <w:sz w:val="28"/>
          <w:szCs w:val="28"/>
          <w:rtl w:val="true"/>
          <w:lang w:bidi="ar-SA"/>
        </w:rPr>
        <w:t>أَرْبَعِينُ الشَّهِيدِ، بِإِسْنَادِهِ عَنِ الْمُفِيدِ رَضِيَ اللَّهُ عَنْهُ عَنِ ابْنِ قُولَوَيْهِ عَنْ أَبِيهِ عَنْ سَعْدِ بْنِ عَبْدِ اللَّهِ عَنِ أَبِي الْجَوْزَاءِ عَنِ ابْنِ عُلْوَانَ عَنْ عَمْرِو بْنِ خَالِدٍ عَنْ زَيْدِ بْنِ عَلِيٍّ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صلي الله عليه و آله عَنِ الْجُنُبِ وَ الْحَائِضِ يَعْرَقَانِ فِي الثَّوْبِ حَتَّي يَلْصَقَ عَلَيْهِمَا فَقَالَ إِنَّ الْحَيْضَ وَ الْجَنَابَةَ حَيْثُ جَعَلَهُمَا اللَّهُ عَزَّ وَ جَلَّ لَيْسَ فِي الْعَرَقِ فَلَا يَغْسِلَانِ ثَوْبَهُمَا</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5" w:name="__RefHeading___Toc605518_1934241801"/>
      <w:bookmarkStart w:id="656" w:name="_Toc303"/>
      <w:bookmarkEnd w:id="655"/>
      <w:r>
        <w:rPr>
          <w:rtl w:val="true"/>
        </w:rPr>
        <w:t>«</w:t>
      </w:r>
      <w:r>
        <w:rPr/>
        <w:t>46</w:t>
      </w:r>
      <w:r>
        <w:rPr>
          <w:rtl w:val="true"/>
        </w:rPr>
        <w:t>»</w:t>
      </w:r>
      <w:bookmarkEnd w:id="656"/>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اغْتَسَلْتَ مِنَ الْجَنَابَةِ وَ وَجَدْتَ بَلَلًا فَإِنْ كُنْتَ بُلْتَ قَبْلَ الْغُسْلِ فَلَا تُعِدِ الْغُسْلَ وَ إِنْ كُنْتَ لَمْ تَبُلْ قَبْلَ الْغُسْلِ فَأَعِدِ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بُلْتَ فَتَوَضَّأْ وَ لَا تَغْتَسِلْ إِنَّمَا ذَلِكَ مِنَ الْحَبَائِلِ‌</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7" w:name="__RefHeading___Toc605520_1934241801"/>
      <w:bookmarkStart w:id="658" w:name="_Toc304"/>
      <w:bookmarkEnd w:id="657"/>
      <w:r>
        <w:rPr>
          <w:rtl w:val="true"/>
        </w:rPr>
        <w:t>«</w:t>
      </w:r>
      <w:r>
        <w:rPr/>
        <w:t>47</w:t>
      </w:r>
      <w:r>
        <w:rPr>
          <w:rtl w:val="true"/>
        </w:rPr>
        <w:t>»</w:t>
      </w:r>
      <w:bookmarkEnd w:id="658"/>
    </w:p>
    <w:p>
      <w:pPr>
        <w:pStyle w:val="BookText"/>
        <w:rPr/>
      </w:pPr>
      <w:r>
        <w:rPr>
          <w:rFonts w:ascii="Amiri" w:hAnsi="Amiri" w:eastAsia="Amiri" w:cs="Amiri"/>
          <w:color w:val="111111"/>
          <w:sz w:val="28"/>
          <w:sz w:val="28"/>
          <w:szCs w:val="28"/>
          <w:rtl w:val="true"/>
          <w:lang w:bidi="ar-SA"/>
        </w:rPr>
        <w:t>الْخِصَالُ، عَنْ أَبِيهِ عَنْ سَعْدِ بْنِ عَبْدِ اللَّهِ عَنْ مُحَمَّدِ بْنِ عِيسَي الْيَقْطِينِيِّ عَنِ الْقَاسِمِ بْنِ يَحْيَي عَنْ جَدِّهِ الْحَسَنِ عَنْ أَبِي بَصِيرٍ وَ مُحَمَّدِ بْنِ مُسْلِمٍ عَنْ أَبِي</w:t>
      </w:r>
    </w:p>
    <w:p>
      <w:pPr>
        <w:pStyle w:val="BookText"/>
        <w:rPr/>
      </w:pPr>
      <w:r>
        <w:rPr>
          <w:rFonts w:ascii="IRNazanin" w:hAnsi="IRNazanin" w:eastAsia="IRNazanin"/>
          <w:color w:val="111111"/>
          <w:sz w:val="28"/>
          <w:sz w:val="28"/>
          <w:szCs w:val="28"/>
          <w:rtl w:val="true"/>
          <w:lang w:bidi="fa-IR"/>
        </w:rPr>
        <w:t>بلکه ابن زهره مدّعی اجماع فقها برکراهت خضاب گرفتن برای شخص جنب شده، و چنین پیداست که شیخ صدوق این کراهت را نفی می کند، همچنین نظر مشهور کراهت جماع با مرد یا زنی است که خضاب گرفته است، ولی ظاهراً شیخ صدوق و مفید به عدم کراهت در این زمینه اعتقاد دارند، و از روایت دیگری چنین برمی آید که جماع هنگامی که خضاب جاگیر شود ایرادی ندارد؛ امّا آنچه که حدیث در مورد کراهت خضاب گرفتن برای حائض و عدم کراهت آن برای نفساء بیان می دارد مخالف نظر مشهور فقهاست، چرا که آنان در این گونه احکام بین حائض و نفساء اختلافی قائل نشده اند</w:t>
      </w:r>
      <w:r>
        <w:rPr>
          <w:rFonts w:eastAsia="IRNazanin" w:cs="IRNazanin"/>
          <w:color w:val="111111"/>
          <w:sz w:val="28"/>
          <w:szCs w:val="28"/>
          <w:rtl w:val="true"/>
          <w:lang w:bidi="fa-IR"/>
        </w:rPr>
        <w:t>.</w:t>
      </w:r>
    </w:p>
    <w:p>
      <w:pPr>
        <w:pStyle w:val="Heading5"/>
        <w:numPr>
          <w:ilvl w:val="4"/>
          <w:numId w:val="1"/>
        </w:numPr>
        <w:rPr/>
      </w:pPr>
      <w:bookmarkStart w:id="659" w:name="__RefHeading___Toc605522_1934241801"/>
      <w:bookmarkStart w:id="660" w:name="_Toc305"/>
      <w:bookmarkEnd w:id="659"/>
      <w:r>
        <w:rPr>
          <w:rtl w:val="true"/>
        </w:rPr>
        <w:t xml:space="preserve">روایت </w:t>
      </w:r>
      <w:r>
        <w:rPr/>
        <w:t>44</w:t>
      </w:r>
      <w:bookmarkEnd w:id="660"/>
    </w:p>
    <w:p>
      <w:pPr>
        <w:pStyle w:val="BookText"/>
        <w:rPr/>
      </w:pPr>
      <w:r>
        <w:rPr>
          <w:rFonts w:ascii="IRNazanin" w:hAnsi="IRNazanin" w:eastAsia="IRNazanin"/>
          <w:color w:val="111111"/>
          <w:sz w:val="28"/>
          <w:sz w:val="28"/>
          <w:szCs w:val="28"/>
          <w:rtl w:val="true"/>
          <w:lang w:bidi="fa-IR"/>
        </w:rPr>
        <w:t>علل الشرایع 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روایت کرده که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مسلمان در حالی که جنب است نمی خوابد، و نمی خوابد مگر آنکه پاک شده باشد، پس اگر به آب دسترسی نداشته باشد با خاک تیمّم می کند</w:t>
      </w:r>
      <w:r>
        <w:rPr>
          <w:rFonts w:eastAsia="IRNazanin" w:cs="IRNazanin"/>
          <w:color w:val="111111"/>
          <w:sz w:val="28"/>
          <w:szCs w:val="28"/>
          <w:rtl w:val="true"/>
          <w:lang w:bidi="fa-IR"/>
        </w:rPr>
        <w:t>.</w:t>
      </w:r>
      <w:r>
        <w:rPr>
          <w:rStyle w:val="FootnoteAnchor"/>
          <w:rtl w:val="true"/>
        </w:rPr>
        <w:footnoteReference w:id="343"/>
      </w:r>
    </w:p>
    <w:p>
      <w:pPr>
        <w:pStyle w:val="Heading5"/>
        <w:numPr>
          <w:ilvl w:val="4"/>
          <w:numId w:val="1"/>
        </w:numPr>
        <w:rPr/>
      </w:pPr>
      <w:bookmarkStart w:id="661" w:name="__RefHeading___Toc605524_1934241801"/>
      <w:bookmarkStart w:id="662" w:name="_Toc306"/>
      <w:bookmarkEnd w:id="661"/>
      <w:r>
        <w:rPr>
          <w:rtl w:val="true"/>
        </w:rPr>
        <w:t xml:space="preserve">روایت </w:t>
      </w:r>
      <w:r>
        <w:rPr/>
        <w:t>45</w:t>
      </w:r>
      <w:bookmarkEnd w:id="662"/>
    </w:p>
    <w:p>
      <w:pPr>
        <w:pStyle w:val="BookText"/>
        <w:rPr/>
      </w:pPr>
      <w:r>
        <w:rPr>
          <w:rFonts w:ascii="IRNazanin" w:hAnsi="IRNazanin" w:eastAsia="IRNazanin"/>
          <w:color w:val="111111"/>
          <w:sz w:val="28"/>
          <w:sz w:val="28"/>
          <w:szCs w:val="28"/>
          <w:rtl w:val="true"/>
          <w:lang w:bidi="fa-IR"/>
        </w:rPr>
        <w:t>أربعین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إسناد شیخ مفید رَضِیَ اللَّهُ عَنْه، زید بن علی از پدرانش نقل کرده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درباره جنب و حائض پرسیدم که در لباس عرق می کنند تا جایی که لباس به بدن آن ها می چسبد، 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حیض و جنابت در همان جایی هستند که خداوند متعال قرارشان داده است و در عرق نیستند، بنابراین نیازی نیست که لباسشان را بشویند</w:t>
      </w:r>
      <w:r>
        <w:rPr>
          <w:rFonts w:eastAsia="IRNazanin" w:cs="IRNazanin"/>
          <w:color w:val="111111"/>
          <w:sz w:val="28"/>
          <w:szCs w:val="28"/>
          <w:rtl w:val="true"/>
          <w:lang w:bidi="fa-IR"/>
        </w:rPr>
        <w:t>.</w:t>
      </w:r>
      <w:r>
        <w:rPr>
          <w:rStyle w:val="FootnoteAnchor"/>
          <w:rtl w:val="true"/>
        </w:rPr>
        <w:footnoteReference w:id="344"/>
      </w:r>
    </w:p>
    <w:p>
      <w:pPr>
        <w:pStyle w:val="Heading5"/>
        <w:numPr>
          <w:ilvl w:val="4"/>
          <w:numId w:val="1"/>
        </w:numPr>
        <w:rPr/>
      </w:pPr>
      <w:bookmarkStart w:id="663" w:name="__RefHeading___Toc605526_1934241801"/>
      <w:bookmarkStart w:id="664" w:name="_Toc307"/>
      <w:bookmarkEnd w:id="663"/>
      <w:r>
        <w:rPr>
          <w:rtl w:val="true"/>
        </w:rPr>
        <w:t xml:space="preserve">روایت </w:t>
      </w:r>
      <w:r>
        <w:rPr/>
        <w:t>46</w:t>
      </w:r>
      <w:bookmarkEnd w:id="664"/>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غسل جنابت را به جا آوردی و سپس نمناکی احساس کردی، اگر قبل از غسل بول کرده باشی نیازی نیست غسل را دوباره تکرار کنی، ولی اگر قبل از غسل بول نکرده باشی باید غسل را دوباره تکرار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غسل بول نکرده باشی وضو بگیر و غسل را تکرار نکن، به راستی که آن از دام های شیطان است</w:t>
      </w:r>
      <w:r>
        <w:rPr>
          <w:rFonts w:eastAsia="IRNazanin" w:cs="IRNazanin"/>
          <w:color w:val="111111"/>
          <w:sz w:val="28"/>
          <w:szCs w:val="28"/>
          <w:rtl w:val="true"/>
          <w:lang w:bidi="fa-IR"/>
        </w:rPr>
        <w:t>.</w:t>
      </w:r>
      <w:r>
        <w:rPr>
          <w:rStyle w:val="FootnoteAnchor"/>
          <w:rtl w:val="true"/>
        </w:rPr>
        <w:footnoteReference w:id="345"/>
      </w:r>
    </w:p>
    <w:p>
      <w:pPr>
        <w:pStyle w:val="Heading5"/>
        <w:numPr>
          <w:ilvl w:val="4"/>
          <w:numId w:val="1"/>
        </w:numPr>
        <w:rPr/>
      </w:pPr>
      <w:bookmarkStart w:id="665" w:name="__RefHeading___Toc605528_1934241801"/>
      <w:bookmarkStart w:id="666" w:name="_Toc308"/>
      <w:bookmarkEnd w:id="665"/>
      <w:r>
        <w:rPr>
          <w:rtl w:val="true"/>
        </w:rPr>
        <w:t xml:space="preserve">روایت </w:t>
      </w:r>
      <w:r>
        <w:rPr/>
        <w:t>47</w:t>
      </w:r>
      <w:bookmarkEnd w:id="66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bookmarkStart w:id="667" w:name="pg13517_329097"/>
    </w:p>
    <w:p>
      <w:pPr>
        <w:pStyle w:val="BookText"/>
        <w:rPr/>
      </w:pPr>
      <w:bookmarkEnd w:id="667"/>
      <w:r>
        <w:rPr>
          <w:rFonts w:ascii="Amiri" w:hAnsi="Amiri" w:eastAsia="Amiri" w:cs="Amiri"/>
          <w:color w:val="111111"/>
          <w:sz w:val="28"/>
          <w:sz w:val="28"/>
          <w:szCs w:val="28"/>
          <w:rtl w:val="true"/>
          <w:lang w:bidi="ar-SA"/>
        </w:rPr>
        <w:t>عَبْدِ اللَّهِ عَنْ آبَائِهِ عليهم السلام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 الْغُسْلَ فَلْيَبْدَأْ بِذِرَاعَيْهِ فَلْيَغْسِلْهُمَا</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8" w:name="__RefHeading___Toc605530_1934241801"/>
      <w:bookmarkStart w:id="669" w:name="_Toc309"/>
      <w:bookmarkEnd w:id="668"/>
      <w:r>
        <w:rPr>
          <w:rtl w:val="true"/>
        </w:rPr>
        <w:t>«</w:t>
      </w:r>
      <w:r>
        <w:rPr/>
        <w:t>48</w:t>
      </w:r>
      <w:r>
        <w:rPr>
          <w:rtl w:val="true"/>
        </w:rPr>
        <w:t>»</w:t>
      </w:r>
      <w:bookmarkEnd w:id="669"/>
    </w:p>
    <w:p>
      <w:pPr>
        <w:pStyle w:val="BookText"/>
        <w:rPr/>
      </w:pPr>
      <w:r>
        <w:rPr>
          <w:rFonts w:ascii="Amiri" w:hAnsi="Amiri" w:eastAsia="Amiri" w:cs="Amiri"/>
          <w:color w:val="111111"/>
          <w:sz w:val="28"/>
          <w:sz w:val="28"/>
          <w:szCs w:val="28"/>
          <w:rtl w:val="true"/>
          <w:lang w:bidi="ar-SA"/>
        </w:rPr>
        <w:t>الْبَصَائِرُ، لِلصَّفَّارِ عَنْ إِبْرَاهِيمَ بْنِ هَاشِمٍ عَنْ مُحَمَّدِ بْنِ خَالِدٍ الْبَرْقِيِّ عَنْ إِبْرَاهِيمَ بْنِ مُحَمَّدٍ الثَّقَفِيِّ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وَ أَنَا أُرِيدُ أَنْ أَسْأَلَهُ عَنِ الْجُنُبِ فَلَمَّا صِرْتُ عِنْدَهُ أُنْسِيتُ الْمَسْأَلَةَ فَنَظَرَ أَبُو عَبْدِ اللَّهِ عليه السلام فَقَالَ يَا شِهَابُ لَا بَأْسَ بِأَنْ يَغْرِفَ الْجُنُبُ مِنَ الْحُبِ‌</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0" w:name="__RefHeading___Toc605532_1934241801"/>
      <w:bookmarkStart w:id="671" w:name="_Toc310"/>
      <w:bookmarkEnd w:id="670"/>
      <w:r>
        <w:rPr>
          <w:rtl w:val="true"/>
        </w:rPr>
        <w:t>«</w:t>
      </w:r>
      <w:r>
        <w:rPr/>
        <w:t>49</w:t>
      </w:r>
      <w:r>
        <w:rPr>
          <w:rtl w:val="true"/>
        </w:rPr>
        <w:t>»</w:t>
      </w:r>
      <w:bookmarkEnd w:id="671"/>
    </w:p>
    <w:p>
      <w:pPr>
        <w:pStyle w:val="BookText"/>
        <w:rPr/>
      </w:pPr>
      <w:r>
        <w:rPr>
          <w:rFonts w:ascii="Amiri" w:hAnsi="Amiri" w:eastAsia="Amiri" w:cs="Amiri"/>
          <w:color w:val="111111"/>
          <w:sz w:val="28"/>
          <w:sz w:val="28"/>
          <w:szCs w:val="28"/>
          <w:rtl w:val="true"/>
          <w:lang w:bidi="ar-SA"/>
        </w:rPr>
        <w:t>قُرْبُ الْإِسْنَادِ، عَنْ مُحَمَّدِ بْنِ الْوَلِيدِ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يَلْبَسُ ثَوْباً وَ فِيهِ جَنَابَةٌ فَيَعْرَقُ فِيهِ قَالَ فَقَالَ إِنَّ الثَّوْبَ لَا يُجْنِبُ الرَّجُلَ‌</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2" w:name="__RefHeading___Toc605534_1934241801"/>
      <w:bookmarkStart w:id="673" w:name="_Toc311"/>
      <w:bookmarkEnd w:id="672"/>
      <w:r>
        <w:rPr>
          <w:rtl w:val="true"/>
        </w:rPr>
        <w:t>«</w:t>
      </w:r>
      <w:r>
        <w:rPr/>
        <w:t>50</w:t>
      </w:r>
      <w:r>
        <w:rPr>
          <w:rtl w:val="true"/>
        </w:rPr>
        <w:t>»</w:t>
      </w:r>
      <w:bookmarkEnd w:id="673"/>
    </w:p>
    <w:p>
      <w:pPr>
        <w:pStyle w:val="BookText"/>
        <w:rPr/>
      </w:pPr>
      <w:r>
        <w:rPr>
          <w:rFonts w:ascii="Amiri" w:hAnsi="Amiri" w:eastAsia="Amiri" w:cs="Amiri"/>
          <w:color w:val="111111"/>
          <w:sz w:val="28"/>
          <w:sz w:val="28"/>
          <w:szCs w:val="28"/>
          <w:rtl w:val="true"/>
          <w:lang w:bidi="ar-SA"/>
        </w:rPr>
        <w:t>كِتَابُ الْمَسَائِلِ، بِإِسْنَادِهِ عَنْ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الْخَاتَمِ قَالَ إِذَا اغْتَسَلْتَ فَحَوِّلْهُ مِنْ مَكَانِهِ وَ إِنْ نَسِيتَ حَتَّي تَقُومَ فِي الصَّلَاةِ فَلَا آمُرُكَ أَنْ تُعِيدَ الصَّلَاةَ</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4" w:name="__RefHeading___Toc605536_1934241801"/>
      <w:bookmarkStart w:id="675" w:name="_Toc312"/>
      <w:bookmarkEnd w:id="674"/>
      <w:r>
        <w:rPr>
          <w:rtl w:val="true"/>
        </w:rPr>
        <w:t>«</w:t>
      </w:r>
      <w:r>
        <w:rPr/>
        <w:t>51</w:t>
      </w:r>
      <w:r>
        <w:rPr>
          <w:rtl w:val="true"/>
        </w:rPr>
        <w:t>»</w:t>
      </w:r>
      <w:bookmarkEnd w:id="675"/>
    </w:p>
    <w:p>
      <w:pPr>
        <w:pStyle w:val="BookText"/>
        <w:rPr/>
      </w:pPr>
      <w:r>
        <w:rPr>
          <w:rFonts w:ascii="Amiri" w:hAnsi="Amiri" w:eastAsia="Amiri" w:cs="Amiri"/>
          <w:color w:val="111111"/>
          <w:sz w:val="28"/>
          <w:sz w:val="28"/>
          <w:szCs w:val="28"/>
          <w:rtl w:val="true"/>
          <w:lang w:bidi="ar-SA"/>
        </w:rPr>
        <w:t>قُرْبُ الْإِسْنَادِ، وَ كِتَابُ الْمَسَائِلِ، بِإِسْنَادِهِمَا 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أَخِي عليه السلام عَنِ الرَّجُلِ تُصِيبُهُ الْجَنَابَةُ فَلَا يَقْدِرُ عَلَي الْمَاءِ فَيُصِيبُهُ الْمَطَرُ أَ يُجْزِيهِ ذَلِكَ أَوْ عَلَيْهِ التَّيَمُّمُ فَقَالَ إِنْ غَسَلَهُ أَجْزَأَهُ وَ إِلَّا تَيَمَّمَ‌</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6" w:name="__RefHeading___Toc605538_1934241801"/>
      <w:bookmarkStart w:id="677" w:name="_Toc313"/>
      <w:bookmarkEnd w:id="676"/>
      <w:r>
        <w:rPr>
          <w:rtl w:val="true"/>
        </w:rPr>
        <w:t>«</w:t>
      </w:r>
      <w:r>
        <w:rPr/>
        <w:t>52</w:t>
      </w:r>
      <w:r>
        <w:rPr>
          <w:rtl w:val="true"/>
        </w:rPr>
        <w:t>»</w:t>
      </w:r>
      <w:bookmarkEnd w:id="677"/>
    </w:p>
    <w:p>
      <w:pPr>
        <w:pStyle w:val="BookText"/>
        <w:rPr/>
      </w:pPr>
      <w:r>
        <w:rPr>
          <w:rFonts w:ascii="Amiri" w:hAnsi="Amiri" w:eastAsia="Amiri" w:cs="Amiri"/>
          <w:color w:val="111111"/>
          <w:sz w:val="28"/>
          <w:sz w:val="28"/>
          <w:szCs w:val="28"/>
          <w:rtl w:val="true"/>
          <w:lang w:bidi="ar-SA"/>
        </w:rPr>
        <w:t>كِتَابُ الْمَسَائِلِ، لِعَلِيِّ بْنِ جَعْفَرٍ عليه السلام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الْجُنُبِ أَوْ عَلَي غَيْرِ وُضُوءٍ لَا يَكُونُ مَعَهُ مَاءٌ وَ هُوَ يُصِيبُ ثَلْجاً وَ صَعِيداً أَيُّهُمَا أَفْضَلُ التَّيَمُّمُ أَوْ يَمْسَحَ بِالثَّلْجِ وَجْهَهُ وَ جَسَدَهُ وَ رَأْسَهُ قَالَ الثَّلْجُ إِنْ بَلَّ رَأْسَهُ وَ جَسَدَهُ أَفْضَلُ فَإِنْ لَمْ يَقْدِرْ عَلَي أَنْ يَغْتَسِلَ بِالثَّلْجِ فَلْيَتَيَمَّمْ‌</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از پدرانش علیهم السلام روایت کرده که امیز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از شما قصد غسل کردن نمود، از ساعدهایش آغاز کرده و آن ها را بشوید</w:t>
      </w:r>
      <w:r>
        <w:rPr>
          <w:rFonts w:eastAsia="IRNazanin" w:cs="IRNazanin"/>
          <w:color w:val="111111"/>
          <w:sz w:val="28"/>
          <w:szCs w:val="28"/>
          <w:rtl w:val="true"/>
          <w:lang w:bidi="fa-IR"/>
        </w:rPr>
        <w:t>.</w:t>
      </w:r>
      <w:r>
        <w:rPr>
          <w:rStyle w:val="FootnoteAnchor"/>
          <w:rtl w:val="true"/>
        </w:rPr>
        <w:footnoteReference w:id="352"/>
      </w:r>
    </w:p>
    <w:p>
      <w:pPr>
        <w:pStyle w:val="Heading5"/>
        <w:numPr>
          <w:ilvl w:val="4"/>
          <w:numId w:val="1"/>
        </w:numPr>
        <w:rPr/>
      </w:pPr>
      <w:bookmarkStart w:id="678" w:name="__RefHeading___Toc605540_1934241801"/>
      <w:bookmarkStart w:id="679" w:name="_Toc314"/>
      <w:bookmarkEnd w:id="678"/>
      <w:r>
        <w:rPr>
          <w:rtl w:val="true"/>
        </w:rPr>
        <w:t xml:space="preserve">روایت </w:t>
      </w:r>
      <w:r>
        <w:rPr/>
        <w:t>48</w:t>
      </w:r>
      <w:bookmarkEnd w:id="679"/>
    </w:p>
    <w:p>
      <w:pPr>
        <w:pStyle w:val="BookText"/>
        <w:rPr/>
      </w:pP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شهاب بن عبد ربّه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در حالی که می خواستم از ایشان درباره شخص جنب سؤال بپرسم، ولی هنگامی که نزد ایشان رسیدم مسأله را فراموش کردم، پس امام صادق علیه السلام نگاهی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شهاب، اشکالی ندارد که جنب آب را با دست از سبوی آب بردارد</w:t>
      </w:r>
      <w:r>
        <w:rPr>
          <w:rFonts w:eastAsia="IRNazanin" w:cs="IRNazanin"/>
          <w:color w:val="111111"/>
          <w:sz w:val="28"/>
          <w:szCs w:val="28"/>
          <w:rtl w:val="true"/>
          <w:lang w:bidi="fa-IR"/>
        </w:rPr>
        <w:t>.</w:t>
      </w:r>
      <w:r>
        <w:rPr>
          <w:rStyle w:val="FootnoteAnchor"/>
          <w:rtl w:val="true"/>
        </w:rPr>
        <w:footnoteReference w:id="353"/>
      </w:r>
    </w:p>
    <w:p>
      <w:pPr>
        <w:pStyle w:val="Heading5"/>
        <w:numPr>
          <w:ilvl w:val="4"/>
          <w:numId w:val="1"/>
        </w:numPr>
        <w:rPr/>
      </w:pPr>
      <w:bookmarkStart w:id="680" w:name="__RefHeading___Toc605542_1934241801"/>
      <w:bookmarkStart w:id="681" w:name="_Toc315"/>
      <w:bookmarkEnd w:id="680"/>
      <w:r>
        <w:rPr>
          <w:rtl w:val="true"/>
        </w:rPr>
        <w:t xml:space="preserve">روایت </w:t>
      </w:r>
      <w:r>
        <w:rPr/>
        <w:t>49</w:t>
      </w:r>
      <w:bookmarkEnd w:id="681"/>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بکیر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پرسیدم که لباس می پوشد و با آن جنب شده و در لباس عرق می کند، 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لباس باعث نمی شود شخص دچار جنابت شود</w:t>
      </w:r>
      <w:r>
        <w:rPr>
          <w:rFonts w:eastAsia="IRNazanin" w:cs="IRNazanin"/>
          <w:color w:val="111111"/>
          <w:sz w:val="28"/>
          <w:szCs w:val="28"/>
          <w:rtl w:val="true"/>
          <w:lang w:bidi="fa-IR"/>
        </w:rPr>
        <w:t>.</w:t>
      </w:r>
      <w:r>
        <w:rPr>
          <w:rStyle w:val="FootnoteAnchor"/>
          <w:rtl w:val="true"/>
        </w:rPr>
        <w:footnoteReference w:id="354"/>
      </w:r>
    </w:p>
    <w:p>
      <w:pPr>
        <w:pStyle w:val="Heading5"/>
        <w:numPr>
          <w:ilvl w:val="4"/>
          <w:numId w:val="1"/>
        </w:numPr>
        <w:rPr/>
      </w:pPr>
      <w:bookmarkStart w:id="682" w:name="__RefHeading___Toc605544_1934241801"/>
      <w:bookmarkStart w:id="683" w:name="_Toc316"/>
      <w:bookmarkEnd w:id="682"/>
      <w:r>
        <w:rPr>
          <w:rtl w:val="true"/>
        </w:rPr>
        <w:t xml:space="preserve">روایت </w:t>
      </w:r>
      <w:r>
        <w:rPr/>
        <w:t>50</w:t>
      </w:r>
      <w:bookmarkEnd w:id="683"/>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کاظم علیه السلام درباره انگشتر به هنگام غسل پرسید،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غسل نمودی انگشتر در جایش بگردان، و اگر فراموش کردی آن را در آوری تا اینکه به نماز می ایستی، تو را به اعاده نماز فرمان نمی دهم</w:t>
      </w:r>
      <w:r>
        <w:rPr>
          <w:rFonts w:eastAsia="IRNazanin" w:cs="IRNazanin"/>
          <w:color w:val="111111"/>
          <w:sz w:val="28"/>
          <w:szCs w:val="28"/>
          <w:rtl w:val="true"/>
          <w:lang w:bidi="fa-IR"/>
        </w:rPr>
        <w:t>.</w:t>
      </w:r>
      <w:r>
        <w:rPr>
          <w:rStyle w:val="FootnoteAnchor"/>
          <w:rtl w:val="true"/>
        </w:rPr>
        <w:footnoteReference w:id="355"/>
      </w:r>
    </w:p>
    <w:p>
      <w:pPr>
        <w:pStyle w:val="Heading5"/>
        <w:numPr>
          <w:ilvl w:val="4"/>
          <w:numId w:val="1"/>
        </w:numPr>
        <w:rPr/>
      </w:pPr>
      <w:bookmarkStart w:id="684" w:name="__RefHeading___Toc605546_1934241801"/>
      <w:bookmarkStart w:id="685" w:name="_Toc317"/>
      <w:bookmarkEnd w:id="684"/>
      <w:r>
        <w:rPr>
          <w:rtl w:val="true"/>
        </w:rPr>
        <w:t xml:space="preserve">روایت </w:t>
      </w:r>
      <w:r>
        <w:rPr/>
        <w:t>51</w:t>
      </w:r>
      <w:bookmarkEnd w:id="685"/>
    </w:p>
    <w:p>
      <w:pPr>
        <w:pStyle w:val="BookText"/>
        <w:rPr/>
      </w:pPr>
      <w:r>
        <w:rPr>
          <w:rFonts w:ascii="IRNazanin" w:hAnsi="IRNazanin" w:eastAsia="IRNazanin"/>
          <w:color w:val="111111"/>
          <w:sz w:val="28"/>
          <w:sz w:val="28"/>
          <w:szCs w:val="28"/>
          <w:rtl w:val="true"/>
          <w:lang w:bidi="fa-IR"/>
        </w:rPr>
        <w:t>قرب الاسناد و 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جعفر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امام کاظم علیه السلام درباره مردی پرسیدم که دچار جنابت می شود و به آب دست نمی یابد، پس باران بر او می بارد، آیا آب باران او را کفایت می کند یا باید تیمّم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باران به اندازه ای باشد که او را بشوید کفایت می کند، در غیر این صورت باید تیمّم کند</w:t>
      </w:r>
      <w:r>
        <w:rPr>
          <w:rFonts w:eastAsia="IRNazanin" w:cs="IRNazanin"/>
          <w:color w:val="111111"/>
          <w:sz w:val="28"/>
          <w:szCs w:val="28"/>
          <w:rtl w:val="true"/>
          <w:lang w:bidi="fa-IR"/>
        </w:rPr>
        <w:t>.</w:t>
      </w:r>
      <w:r>
        <w:rPr>
          <w:rStyle w:val="FootnoteAnchor"/>
          <w:rtl w:val="true"/>
        </w:rPr>
        <w:footnoteReference w:id="356"/>
      </w:r>
    </w:p>
    <w:p>
      <w:pPr>
        <w:pStyle w:val="Heading5"/>
        <w:numPr>
          <w:ilvl w:val="4"/>
          <w:numId w:val="1"/>
        </w:numPr>
        <w:rPr/>
      </w:pPr>
      <w:bookmarkStart w:id="686" w:name="__RefHeading___Toc605548_1934241801"/>
      <w:bookmarkStart w:id="687" w:name="_Toc318"/>
      <w:bookmarkEnd w:id="686"/>
      <w:r>
        <w:rPr>
          <w:rtl w:val="true"/>
        </w:rPr>
        <w:t xml:space="preserve">روایت </w:t>
      </w:r>
      <w:r>
        <w:rPr/>
        <w:t>52</w:t>
      </w:r>
      <w:bookmarkEnd w:id="68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علیه السلام از برادرش امام موسی کاظم علیه السلام درباره مردی پرسید که جُنب یا بی وضو است و هیچ آبی همراه ندارد، پس به برف و خاک می رسد، کدام یک بهتر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با خاک یا شستن صورت، جسم و سرش با برف؟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برف سر و بدنش را خیس نماید بهتر است، ولی اگر نتوانست با برف غسل کند، تیمّم کند</w:t>
      </w:r>
      <w:r>
        <w:rPr>
          <w:rFonts w:eastAsia="IRNazanin" w:cs="IRNazanin"/>
          <w:color w:val="111111"/>
          <w:sz w:val="28"/>
          <w:szCs w:val="28"/>
          <w:rtl w:val="true"/>
          <w:lang w:bidi="fa-IR"/>
        </w:rPr>
        <w:t>.</w:t>
      </w:r>
      <w:r>
        <w:rPr>
          <w:rStyle w:val="FootnoteAnchor"/>
          <w:rtl w:val="true"/>
        </w:rPr>
        <w:footnoteReference w:id="357"/>
      </w:r>
      <w:bookmarkStart w:id="688" w:name="pg13517_329098"/>
    </w:p>
    <w:p>
      <w:pPr>
        <w:pStyle w:val="Heading5"/>
        <w:numPr>
          <w:ilvl w:val="4"/>
          <w:numId w:val="1"/>
        </w:numPr>
        <w:rPr/>
      </w:pPr>
      <w:bookmarkStart w:id="689" w:name="__RefHeading___Toc605550_1934241801"/>
      <w:bookmarkStart w:id="690" w:name="_Toc319"/>
      <w:bookmarkEnd w:id="688"/>
      <w:bookmarkEnd w:id="689"/>
      <w:r>
        <w:rPr>
          <w:rtl w:val="true"/>
        </w:rPr>
        <w:t>«</w:t>
      </w:r>
      <w:r>
        <w:rPr/>
        <w:t>53</w:t>
      </w:r>
      <w:r>
        <w:rPr>
          <w:rtl w:val="true"/>
        </w:rPr>
        <w:t>»</w:t>
      </w:r>
      <w:bookmarkEnd w:id="690"/>
    </w:p>
    <w:p>
      <w:pPr>
        <w:pStyle w:val="BookText"/>
        <w:rPr/>
      </w:pPr>
      <w:r>
        <w:rPr>
          <w:rFonts w:ascii="Amiri" w:hAnsi="Amiri" w:eastAsia="Amiri" w:cs="Amiri"/>
          <w:color w:val="111111"/>
          <w:sz w:val="28"/>
          <w:sz w:val="28"/>
          <w:szCs w:val="28"/>
          <w:rtl w:val="true"/>
          <w:lang w:bidi="ar-SA"/>
        </w:rPr>
        <w:t>وَ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الْجُنُبِ يُدْخِلُ يَدَهُ فِي غِسْلِهِ قَبْلَ أَنْ يَتَوَضَّأَ وَ قَبْلَ أَنْ يَغْسِلَ يَدَهُ مَا حَالُهُ قَالَ إِذَا لَمْ تُصِبْ يَدُهُ شَيْئاً مِنَ جَنَابَةٍ فَلَا بَأْسَ قَالَ وَ أَنْ يَغْسِلَ يَدَهُ قَبْلَ أَنْ يُدْخِلَهَا فِي شَيْ‌ءٍ مِنْ غِسْلِهِ أَحَبُّ إِلَيَ‌</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1" w:name="__RefHeading___Toc605552_1934241801"/>
      <w:bookmarkStart w:id="692" w:name="_Toc320"/>
      <w:bookmarkEnd w:id="691"/>
      <w:r>
        <w:rPr>
          <w:rtl w:val="true"/>
        </w:rPr>
        <w:t>بيان</w:t>
      </w:r>
      <w:bookmarkEnd w:id="692"/>
    </w:p>
    <w:p>
      <w:pPr>
        <w:pStyle w:val="BookText"/>
        <w:rPr/>
      </w:pPr>
      <w:r>
        <w:rPr>
          <w:rFonts w:ascii="Amiri" w:hAnsi="Amiri" w:eastAsia="Amiri" w:cs="Amiri"/>
          <w:color w:val="111111"/>
          <w:sz w:val="28"/>
          <w:sz w:val="28"/>
          <w:szCs w:val="28"/>
          <w:rtl w:val="true"/>
          <w:lang w:bidi="ar-SA"/>
        </w:rPr>
        <w:t>قوله عليه السلام فليتيمم استدل به سلار علي التيمم بالثلج و لا يخفي أن الظاهر</w:t>
      </w:r>
      <w:r>
        <w:rPr>
          <w:rStyle w:val="FootnoteAnchor"/>
          <w:rtl w:val="true"/>
        </w:rPr>
        <w:footnoteReference w:id="359"/>
      </w:r>
      <w:r>
        <w:rPr>
          <w:rFonts w:ascii="Amiri" w:hAnsi="Amiri" w:eastAsia="Amiri" w:cs="Amiri"/>
          <w:color w:val="111111"/>
          <w:sz w:val="28"/>
          <w:sz w:val="28"/>
          <w:szCs w:val="28"/>
          <w:rtl w:val="true"/>
          <w:lang w:bidi="ar-SA"/>
        </w:rPr>
        <w:t>التيمم بالتراب كما فهمه غيره و علي تقدير عدم ظهوره لا يمكن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ذهب الشيخ في النهاية إلي تقدم الثلج علي التراب كما يظهر من الخبر و بعض الأخبار يدل علي التيمم و التفصيل الذي يظهر من الخبر جامع بين الأخبار و قوله من غسله بضم الغين قال في النهاية فيه وضعت له غسله من الجنابة الغسل بالضم الماء الذي يغتسل به كالأكل لما يؤكل و هو الاسم أيضا من غسلته و الغسل بالفتح المصدر و بالكسر ما يغسل به من خطمي و غيره</w:t>
      </w:r>
      <w:r>
        <w:rPr>
          <w:rFonts w:eastAsia="Amiri" w:cs="Amiri" w:ascii="Amiri" w:hAnsi="Amiri"/>
          <w:color w:val="111111"/>
          <w:sz w:val="28"/>
          <w:szCs w:val="28"/>
          <w:rtl w:val="true"/>
          <w:lang w:bidi="ar-SA"/>
        </w:rPr>
        <w:t>.</w:t>
      </w:r>
    </w:p>
    <w:p>
      <w:pPr>
        <w:pStyle w:val="Heading5"/>
        <w:numPr>
          <w:ilvl w:val="4"/>
          <w:numId w:val="1"/>
        </w:numPr>
        <w:rPr/>
      </w:pPr>
      <w:bookmarkStart w:id="693" w:name="__RefHeading___Toc605554_1934241801"/>
      <w:bookmarkStart w:id="694" w:name="_Toc321"/>
      <w:bookmarkEnd w:id="693"/>
      <w:r>
        <w:rPr>
          <w:rtl w:val="true"/>
        </w:rPr>
        <w:t>«</w:t>
      </w:r>
      <w:r>
        <w:rPr/>
        <w:t>54</w:t>
      </w:r>
      <w:r>
        <w:rPr>
          <w:rtl w:val="true"/>
        </w:rPr>
        <w:t>»</w:t>
      </w:r>
      <w:bookmarkEnd w:id="694"/>
    </w:p>
    <w:p>
      <w:pPr>
        <w:pStyle w:val="BookText"/>
        <w:rPr/>
      </w:pPr>
      <w:r>
        <w:rPr>
          <w:rFonts w:ascii="Amiri" w:hAnsi="Amiri" w:eastAsia="Amiri" w:cs="Amiri"/>
          <w:color w:val="111111"/>
          <w:sz w:val="28"/>
          <w:sz w:val="28"/>
          <w:szCs w:val="28"/>
          <w:rtl w:val="true"/>
          <w:lang w:bidi="ar-SA"/>
        </w:rPr>
        <w:t>نَوَادِرُ الرَّاوَنْدِيِّ، عَنْ عَبْدِ الْوَاحِدِ بْنِ إِسْمَاعِيلَ عَنْ مُحَمَّدِ بْنِ الْحَسَنِ التَّمِيمِيِّ عَنْ سَهْلِ بْنِ أَحْمَدَ الدِّيبَاجِيِّ عَنْ مُحَمَّدِ بْنِ مُحَمَّدِ بْنِ الْأَشْعَثِ عَنْ مُوسَي بْنِ إِسْمَاعِيلَ بْنِ مُوسَي عَنْ أَبِيهِ عَنْ جَدِّهِ مُوسَي بْنِ جَعْفَرٍ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رَسُولُ اللَّهِ صلي الله عليه و آله مِنْ جَنَابَةٍ فَإِذَا لُمْعَةٌ مِنْ جَسَدِهِ لَمْ يُصِبْهَا مَاءٌ فَأَخَذَ مِنْ بَلَلِ شَعْرِهِ فَمَسَحَ ذَلِكَ الْمَوْضِعَ ثُمَّ صَلَّي بِالنَّاسِ‌</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قُرَيْشٌ وَ الْأَنْصَارُ فَقَالَتِ الْأَنْصَارُ الْمَاءُ مِنَ الْمَاءِ وَ قَالَتْ قُرَيْشٌ إِذَا الْتَقَي الْخِتَانَانِ فَقَدْ وَجَبَ الْغُسْلُ فَتَرَافَعُوا إِلَي عَلِيٍّ عليه السلام فَقَالَ عليه السلام يَا مَعْشَرَ الْأَنْصَارِ أَ يُوجِبُ الْحَدَّ قَالُوا نَعَمْ قَالَ أَ يُوجِبُ الْمَهْرَ قَالُوا نَعَمْ فَقَالَ عليه السلام مَا بَالُ مَا أَوْجَبَ الْحَدَّ وَ الْمَهْرَ لَا يُوجِبُ الْمَاءَ</w:t>
      </w:r>
    </w:p>
    <w:p>
      <w:pPr>
        <w:pStyle w:val="Heading5"/>
        <w:numPr>
          <w:ilvl w:val="4"/>
          <w:numId w:val="1"/>
        </w:numPr>
        <w:rPr/>
      </w:pPr>
      <w:bookmarkStart w:id="695" w:name="__RefHeading___Toc605556_1934241801"/>
      <w:bookmarkStart w:id="696" w:name="_Toc322"/>
      <w:bookmarkEnd w:id="695"/>
      <w:r>
        <w:rPr>
          <w:rtl w:val="true"/>
        </w:rPr>
        <w:t xml:space="preserve">روایت </w:t>
      </w:r>
      <w:r>
        <w:rPr/>
        <w:t>53</w:t>
      </w:r>
      <w:bookmarkEnd w:id="696"/>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درباره جُنبی پرسیدم که دستش را قبل از گرفتن وضو و یا حتی شستن آن، در آبِ غسل وارد می کند، حکم او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مایع منی به دست او اصابت نکرده باشد اشکالی ندارد، ولی اگر دستش را قبل از وارد کردن به آب غسل بشوید نزد من پسندیده تر است</w:t>
      </w:r>
      <w:r>
        <w:rPr>
          <w:rFonts w:eastAsia="IRNazanin" w:cs="IRNazanin"/>
          <w:color w:val="111111"/>
          <w:sz w:val="28"/>
          <w:szCs w:val="28"/>
          <w:rtl w:val="true"/>
          <w:lang w:bidi="fa-IR"/>
        </w:rPr>
        <w:t>.</w:t>
      </w:r>
      <w:r>
        <w:rPr>
          <w:rStyle w:val="FootnoteAnchor"/>
          <w:rtl w:val="true"/>
        </w:rPr>
        <w:footnoteReference w:id="361"/>
      </w:r>
    </w:p>
    <w:p>
      <w:pPr>
        <w:pStyle w:val="Heading5"/>
        <w:numPr>
          <w:ilvl w:val="4"/>
          <w:numId w:val="1"/>
        </w:numPr>
        <w:rPr/>
      </w:pPr>
      <w:bookmarkStart w:id="697" w:name="__RefHeading___Toc605558_1934241801"/>
      <w:bookmarkStart w:id="698" w:name="_Toc323"/>
      <w:bookmarkEnd w:id="697"/>
      <w:r>
        <w:rPr>
          <w:rtl w:val="true"/>
        </w:rPr>
        <w:t>توضیح</w:t>
      </w:r>
      <w:bookmarkEnd w:id="698"/>
    </w:p>
    <w:p>
      <w:pPr>
        <w:pStyle w:val="BookText"/>
        <w:rPr/>
      </w:pPr>
      <w:r>
        <w:rPr>
          <w:rFonts w:ascii="IRNazanin" w:hAnsi="IRNazanin" w:eastAsia="IRNazanin"/>
          <w:color w:val="111111"/>
          <w:sz w:val="28"/>
          <w:sz w:val="28"/>
          <w:szCs w:val="28"/>
          <w:rtl w:val="true"/>
          <w:lang w:bidi="fa-IR"/>
        </w:rPr>
        <w:t>سلّار با توجه به این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فلیتمّم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تیمّم با برف استدلال کرده است، و پنهان نیست که ظاهراً تیمّم با خاک است آن گونه که دیگران نیز چنین فهمیده اند، و بر اساس عدم ظهور و آشکار بودن این امر استدلال به این حدیث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در النهایه بر این باور است که برف بر خاک مقدّم است، آن گونه که از ظاهر حدیث نیز آشکار است، و برخی از احادیث نیز بر ارجحیت تیمّم دلالت می کنند، و شرحی که از حدیث آشکار می گردد جمع کننده بین احادیث است؛ و شیخ در مورد 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مضموم، 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آب غسل جنابت را برایش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که با آن چیزی غسل می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آنچه خورده می شود؛ و نیز اسم است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به معنای شستن،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لباس ها و غیره با آن شسته می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خطمیّ و غیره</w:t>
      </w:r>
      <w:r>
        <w:rPr>
          <w:rFonts w:eastAsia="IRNazanin" w:cs="IRNazanin"/>
          <w:color w:val="111111"/>
          <w:sz w:val="28"/>
          <w:szCs w:val="28"/>
          <w:rtl w:val="true"/>
          <w:lang w:bidi="fa-IR"/>
        </w:rPr>
        <w:t>.</w:t>
      </w:r>
    </w:p>
    <w:p>
      <w:pPr>
        <w:pStyle w:val="Heading5"/>
        <w:numPr>
          <w:ilvl w:val="4"/>
          <w:numId w:val="1"/>
        </w:numPr>
        <w:rPr/>
      </w:pPr>
      <w:bookmarkStart w:id="699" w:name="__RefHeading___Toc605560_1934241801"/>
      <w:bookmarkStart w:id="700" w:name="_Toc324"/>
      <w:bookmarkEnd w:id="699"/>
      <w:r>
        <w:rPr>
          <w:rtl w:val="true"/>
        </w:rPr>
        <w:t xml:space="preserve">روایت </w:t>
      </w:r>
      <w:r>
        <w:rPr/>
        <w:t>54</w:t>
      </w:r>
      <w:bookmarkEnd w:id="700"/>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از پدرانش علیهم السلام روایت کرده که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غسل جنابت را به جا می آورد، از قضا آب با قسمتی از بدن ایشان تماس پیدا نکرد، بنابراین از خیسی موهایش استفاده و آن قسمت از بدنش را با آن مسح نمود، سپس نماز را برای مردم امامت فرمود</w:t>
      </w:r>
      <w:r>
        <w:rPr>
          <w:rFonts w:eastAsia="IRNazanin" w:cs="IRNazanin"/>
          <w:color w:val="111111"/>
          <w:sz w:val="28"/>
          <w:szCs w:val="28"/>
          <w:rtl w:val="true"/>
          <w:lang w:bidi="fa-IR"/>
        </w:rPr>
        <w:t>.</w:t>
      </w:r>
      <w:r>
        <w:rPr>
          <w:rStyle w:val="FootnoteAnchor"/>
          <w:rtl w:val="true"/>
        </w:rPr>
        <w:footnoteReference w:id="36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همین اسناد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قریشان و انصار جمع شدند، پس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آب ، و قریشیان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ختنه گاه مرد و زن به هم برسد غسل واجب می شود، پس داوری را نزد علی علیه السلام بردند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انصار، آیا حدّ واجب می گردد،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مهریه واجب می گردد؟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که آنچه حدّ و مهریه را واجب می گرداند، آب را واجب نمی گرداند؟ </w:t>
      </w:r>
      <w:bookmarkStart w:id="701" w:name="pg13517_329099"/>
    </w:p>
    <w:p>
      <w:pPr>
        <w:pStyle w:val="BookText"/>
        <w:rPr/>
      </w:pPr>
      <w:bookmarkEnd w:id="701"/>
      <w:r>
        <w:rPr>
          <w:rFonts w:ascii="Amiri" w:hAnsi="Amiri" w:eastAsia="Amiri" w:cs="Amiri"/>
          <w:color w:val="111111"/>
          <w:sz w:val="28"/>
          <w:sz w:val="28"/>
          <w:szCs w:val="28"/>
          <w:rtl w:val="true"/>
          <w:lang w:bidi="ar-SA"/>
        </w:rPr>
        <w:t>فَأَبَوْا عَلَي أَمِيرِ الْمُؤْمِنِينَ عليه السلام وَ أَبَي عَلَيْهِمْ‌</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الصَّدَاقَ وَ يَهْدِمُ الطَّلَاقَ وَ يُوجِبُ الْحَدَّ وَ الْعِدَّةَ وَ لَا يُوجِبُ صَاعاً مِنْ مَاءٍ فَهَذَا أَوْجَبُ‌</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وَ اغْتَسَلَ ثُمَّ خَرَجَ مِنْهُ بَقِيَّةُ الْمَنِيِّ مَعَ بَوْلِهِ فَعَلَيْهِ إِعَادَةُ الْغُسْلِ‌</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2" w:name="__RefHeading___Toc605562_1934241801"/>
      <w:bookmarkStart w:id="703" w:name="_Toc325"/>
      <w:bookmarkEnd w:id="702"/>
      <w:r>
        <w:rPr>
          <w:rtl w:val="true"/>
        </w:rPr>
        <w:t>بيان</w:t>
      </w:r>
      <w:bookmarkEnd w:id="703"/>
    </w:p>
    <w:p>
      <w:pPr>
        <w:pStyle w:val="BookText"/>
        <w:rPr/>
      </w:pPr>
      <w:r>
        <w:rPr>
          <w:rFonts w:ascii="Amiri" w:hAnsi="Amiri" w:eastAsia="Amiri" w:cs="Amiri"/>
          <w:color w:val="111111"/>
          <w:sz w:val="28"/>
          <w:sz w:val="28"/>
          <w:szCs w:val="28"/>
          <w:rtl w:val="true"/>
          <w:lang w:bidi="ar-SA"/>
        </w:rPr>
        <w:t>المسح محمول علي ما إذا تحقق الجريان علي المشهور قوله عليه السلام فعليه إعادة الغسل يشمل ما إذا بال قبل الغسل أو لم يبل و إن كان الثاني أظهر من الخبر إذ مع العلم لا فرق بينهما كما ستعرف</w:t>
      </w:r>
      <w:r>
        <w:rPr>
          <w:rFonts w:eastAsia="Amiri" w:cs="Amiri" w:ascii="Amiri" w:hAnsi="Amiri"/>
          <w:color w:val="111111"/>
          <w:sz w:val="28"/>
          <w:szCs w:val="28"/>
          <w:rtl w:val="true"/>
          <w:lang w:bidi="ar-SA"/>
        </w:rPr>
        <w:t>.</w:t>
      </w:r>
    </w:p>
    <w:p>
      <w:pPr>
        <w:pStyle w:val="Heading5"/>
        <w:numPr>
          <w:ilvl w:val="4"/>
          <w:numId w:val="1"/>
        </w:numPr>
        <w:rPr/>
      </w:pPr>
      <w:bookmarkStart w:id="704" w:name="__RefHeading___Toc605564_1934241801"/>
      <w:bookmarkStart w:id="705" w:name="_Toc326"/>
      <w:bookmarkEnd w:id="704"/>
      <w:r>
        <w:rPr>
          <w:rtl w:val="true"/>
        </w:rPr>
        <w:t>«</w:t>
      </w:r>
      <w:r>
        <w:rPr/>
        <w:t>55</w:t>
      </w:r>
      <w:r>
        <w:rPr>
          <w:rtl w:val="true"/>
        </w:rPr>
        <w:t>»</w:t>
      </w:r>
      <w:bookmarkEnd w:id="705"/>
    </w:p>
    <w:p>
      <w:pPr>
        <w:pStyle w:val="BookText"/>
        <w:rPr/>
      </w:pPr>
      <w:r>
        <w:rPr>
          <w:rFonts w:ascii="Amiri" w:hAnsi="Amiri" w:eastAsia="Amiri" w:cs="Amiri"/>
          <w:color w:val="111111"/>
          <w:sz w:val="28"/>
          <w:sz w:val="28"/>
          <w:szCs w:val="28"/>
          <w:rtl w:val="true"/>
          <w:lang w:bidi="ar-SA"/>
        </w:rPr>
        <w:t>مَجَالِسُ الشَّيْخِ، عَنِ الْمُفِيدِ عَنْ إِبْرَاهِيمَ بْنِ الْحَسَنِ بْنِ جُمْهُورٍ عَنْ أَبِي بَكْرٍ الْمُفِيدِ الْجَرْجَرَائِيِّ عَنْ أَبِي الدُّنْيَا الْمُعَمَّرِ الْمَغْرِبِيِّ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لَا يَحْجُزُهُ عَنْ قِرَاءَةِ الْقُرْآنِ إِلَّا الْجَنَابَةُ</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6" w:name="__RefHeading___Toc605566_1934241801"/>
      <w:bookmarkStart w:id="707" w:name="_Toc327"/>
      <w:bookmarkEnd w:id="706"/>
      <w:r>
        <w:rPr>
          <w:rtl w:val="true"/>
        </w:rPr>
        <w:t>«</w:t>
      </w:r>
      <w:r>
        <w:rPr/>
        <w:t>56</w:t>
      </w:r>
      <w:r>
        <w:rPr>
          <w:rtl w:val="true"/>
        </w:rPr>
        <w:t>»</w:t>
      </w:r>
      <w:bookmarkEnd w:id="707"/>
    </w:p>
    <w:p>
      <w:pPr>
        <w:pStyle w:val="BookText"/>
        <w:rPr/>
      </w:pPr>
      <w:r>
        <w:rPr>
          <w:rFonts w:ascii="Amiri" w:hAnsi="Amiri" w:eastAsia="Amiri" w:cs="Amiri"/>
          <w:color w:val="111111"/>
          <w:sz w:val="28"/>
          <w:sz w:val="28"/>
          <w:szCs w:val="28"/>
          <w:rtl w:val="true"/>
          <w:lang w:bidi="ar-SA"/>
        </w:rPr>
        <w:t>قُرْبُ الْإِسْنَادِ، بِإِسْنَادِهِ عَنْ عَلِيِّ بْنِ جَعْفَرٍ عَنْ أَخِيهِ مُوسَي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عَلَيْهَا السِّوَارُ وَ الدُّمْلُجُ بِعَضُدِهَا وَ فِي ذِرَاعِهَا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تَدْرِي يَجْرِي الْمَاءُ تَحْتَهُ أَمْ لَا كَيْفَ تَصْنَعُ إِذَا تَوَضَّأَتْ أَوِ اغْتَسَلَتْ قَالَ تُحَرِّكُهُ حَتَّي يَجْرِيَ الْمَاءُ تَحْتَهُ أَوْ تَنْزِعُهُ‌</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سَأَلْتُهُ عَنِ الرَّجُلِ يَلْعَبُ مَعَ الْمَرْأَةِ وَ يُقَبِّلُهَا فَيَخْرُجُ مِنْهُ شَيْ‌ءٌ فَمَا عَلَيْهِ قَالَ إِذَا جَاءَتِ الشَّهْوَةُ وَ دَفَقَ وَ فَتَرَ جَوَارِحُهُ فَعَلَيْهِ الْغُسْلُ وَ إِنْ كَانَ إِنَّمَا هُوَ شَيْ‌ءٌ لَمْ يَجِدْ لَهُ فَتْرَةً وَ لَا شَهْوَةً فَلَا بَأْسَ‌</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انصار از پذیرفتن سخن امیر مؤمنان علیه السلام سرپیچی کردند و امیر مؤمنان نیز از پذیرفتن سخن آنان سرباز زد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همچنین 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مهریه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می گردد و طلاق از بین می رود و حدّ و عدّه واجب می گردد، ولی یک پیمانه از آب واجب نمی گردد؟ پس این واجب تر است</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همین إسناد 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جماع کند و غسل نماید سپس باقیمانده منی همراه بول از او خارج شود، اعاده غسل بر او واجب است</w:t>
      </w:r>
      <w:r>
        <w:rPr>
          <w:rFonts w:eastAsia="IRNazanin" w:cs="IRNazanin"/>
          <w:color w:val="111111"/>
          <w:sz w:val="28"/>
          <w:szCs w:val="28"/>
          <w:rtl w:val="true"/>
          <w:lang w:bidi="fa-IR"/>
        </w:rPr>
        <w:t>.</w:t>
      </w:r>
      <w:r>
        <w:rPr>
          <w:rStyle w:val="FootnoteAnchor"/>
          <w:rtl w:val="true"/>
        </w:rPr>
        <w:footnoteReference w:id="371"/>
      </w:r>
    </w:p>
    <w:p>
      <w:pPr>
        <w:pStyle w:val="Heading5"/>
        <w:numPr>
          <w:ilvl w:val="4"/>
          <w:numId w:val="1"/>
        </w:numPr>
        <w:rPr/>
      </w:pPr>
      <w:bookmarkStart w:id="708" w:name="__RefHeading___Toc605568_1934241801"/>
      <w:bookmarkStart w:id="709" w:name="_Toc328"/>
      <w:bookmarkEnd w:id="708"/>
      <w:r>
        <w:rPr>
          <w:rtl w:val="true"/>
        </w:rPr>
        <w:t>توضیح</w:t>
      </w:r>
      <w:bookmarkEnd w:id="709"/>
    </w:p>
    <w:p>
      <w:pPr>
        <w:pStyle w:val="BookText"/>
        <w:rPr/>
      </w:pPr>
      <w:r>
        <w:rPr>
          <w:rFonts w:ascii="IRNazanin" w:hAnsi="IRNazanin" w:eastAsia="IRNazanin"/>
          <w:color w:val="111111"/>
          <w:sz w:val="28"/>
          <w:sz w:val="28"/>
          <w:szCs w:val="28"/>
          <w:rtl w:val="true"/>
          <w:lang w:bidi="fa-IR"/>
        </w:rPr>
        <w:t>بنابر نظر مشهور، مسح کردن محمول بر زمانی است که جریان تحقّق یابد؛ و این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فعلیه إعاده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حالتی است که قبل از غسل بول کرده یا نکرده باشد، اگر چه قسمت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نکردن قبل از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آشکارتر است، چه که با وجود آگاهی فرقی بین این دو حالت وجود ندارد، آن گونه که درخواهی یافت</w:t>
      </w:r>
      <w:r>
        <w:rPr>
          <w:rFonts w:eastAsia="IRNazanin" w:cs="IRNazanin"/>
          <w:color w:val="111111"/>
          <w:sz w:val="28"/>
          <w:szCs w:val="28"/>
          <w:rtl w:val="true"/>
          <w:lang w:bidi="fa-IR"/>
        </w:rPr>
        <w:t>.</w:t>
      </w:r>
    </w:p>
    <w:p>
      <w:pPr>
        <w:pStyle w:val="Heading5"/>
        <w:numPr>
          <w:ilvl w:val="4"/>
          <w:numId w:val="1"/>
        </w:numPr>
        <w:rPr/>
      </w:pPr>
      <w:bookmarkStart w:id="710" w:name="__RefHeading___Toc605570_1934241801"/>
      <w:bookmarkStart w:id="711" w:name="_Toc329"/>
      <w:bookmarkEnd w:id="710"/>
      <w:r>
        <w:rPr>
          <w:rtl w:val="true"/>
        </w:rPr>
        <w:t xml:space="preserve">روایت </w:t>
      </w:r>
      <w:r>
        <w:rPr/>
        <w:t>55</w:t>
      </w:r>
      <w:bookmarkEnd w:id="711"/>
    </w:p>
    <w:p>
      <w:p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إسناد مفید از ابو الدنیا المُعَمّر المغربی روایت شده که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رسول خدا صلّی الله علیه و آله را از قرائت قرآن باز نمی داشت مگر جنابت</w:t>
      </w:r>
      <w:r>
        <w:rPr>
          <w:rFonts w:eastAsia="IRNazanin" w:cs="IRNazanin"/>
          <w:color w:val="111111"/>
          <w:sz w:val="28"/>
          <w:szCs w:val="28"/>
          <w:rtl w:val="true"/>
          <w:lang w:bidi="fa-IR"/>
        </w:rPr>
        <w:t>.</w:t>
      </w:r>
      <w:r>
        <w:rPr>
          <w:rStyle w:val="FootnoteAnchor"/>
          <w:rtl w:val="true"/>
        </w:rPr>
        <w:footnoteReference w:id="372"/>
      </w:r>
    </w:p>
    <w:p>
      <w:pPr>
        <w:pStyle w:val="Heading5"/>
        <w:numPr>
          <w:ilvl w:val="4"/>
          <w:numId w:val="1"/>
        </w:numPr>
        <w:rPr/>
      </w:pPr>
      <w:bookmarkStart w:id="712" w:name="__RefHeading___Toc605572_1934241801"/>
      <w:bookmarkStart w:id="713" w:name="_Toc330"/>
      <w:bookmarkEnd w:id="712"/>
      <w:r>
        <w:rPr>
          <w:rtl w:val="true"/>
        </w:rPr>
        <w:t xml:space="preserve">روایت </w:t>
      </w:r>
      <w:r>
        <w:rPr/>
        <w:t>56</w:t>
      </w:r>
      <w:bookmarkEnd w:id="713"/>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کاظم علیه السلام درباره زنی پرسید که النگو به دست دارد و دست بندهایی بر روی بازو و ساعدهای او قرار گرفته اند، در حالی که نمی داند آیا آب در زیر آن ها جریان می یابد یا خیر؟ هنگام غسل یا وضو چگونه عمل می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حرکت می دهد تا آب در زیرشان جریان یابد و یا آن ها را از دست و بازویش در می آورد</w:t>
      </w:r>
      <w:r>
        <w:rPr>
          <w:rFonts w:eastAsia="IRNazanin" w:cs="IRNazanin"/>
          <w:color w:val="111111"/>
          <w:sz w:val="28"/>
          <w:szCs w:val="28"/>
          <w:rtl w:val="true"/>
          <w:lang w:bidi="fa-IR"/>
        </w:rPr>
        <w:t>.</w:t>
      </w:r>
      <w:r>
        <w:rPr>
          <w:rStyle w:val="FootnoteAnchor"/>
          <w:rtl w:val="true"/>
        </w:rPr>
        <w:footnoteReference w:id="37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 باره مردی پرسیدم که با همسرش بازی می کند و او را می بوسد، پس مایعی از او خارج می شود، چه کاری باید انجام دهد؟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شهوت به سراغ او بیاید و مایع به صورت جهنده از او خارج شود و اعضایش سست شود باید غسل کند، و اگر مایعی است که سستی بدن و بر انگیختگی شهوت را به همراه ندارد، اشکالی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غسل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r>
        <w:rPr>
          <w:rStyle w:val="FootnoteAnchor"/>
          <w:rtl w:val="true"/>
        </w:rPr>
        <w:footnoteReference w:id="374"/>
      </w:r>
      <w:bookmarkStart w:id="714" w:name="pg13517_329100"/>
    </w:p>
    <w:p>
      <w:pPr>
        <w:pStyle w:val="BookText"/>
        <w:rPr/>
      </w:pPr>
      <w:bookmarkEnd w:id="714"/>
      <w:r>
        <w:rPr>
          <w:rFonts w:ascii="Amiri" w:hAnsi="Amiri" w:eastAsia="Amiri" w:cs="Amiri"/>
          <w:color w:val="111111"/>
          <w:sz w:val="28"/>
          <w:sz w:val="28"/>
          <w:szCs w:val="28"/>
          <w:rtl w:val="true"/>
          <w:lang w:bidi="ar-SA"/>
        </w:rPr>
        <w:t>كِتَابُ الْمَسَائِلِ،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 مَكَانَ فَلَا بَأْسَ فَلَا غُسْلَ عَلَيْهِ وَ يَتَوَضَّأُ لِلصَّلَاةِ</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5" w:name="__RefHeading___Toc605574_1934241801"/>
      <w:bookmarkStart w:id="716" w:name="_Toc331"/>
      <w:bookmarkEnd w:id="715"/>
      <w:r>
        <w:rPr>
          <w:rtl w:val="true"/>
        </w:rPr>
        <w:t>«</w:t>
      </w:r>
      <w:r>
        <w:rPr/>
        <w:t>57</w:t>
      </w:r>
      <w:r>
        <w:rPr>
          <w:rtl w:val="true"/>
        </w:rPr>
        <w:t>»</w:t>
      </w:r>
      <w:bookmarkEnd w:id="716"/>
    </w:p>
    <w:p>
      <w:pPr>
        <w:pStyle w:val="BookText"/>
        <w:rPr/>
      </w:pPr>
      <w:r>
        <w:rPr>
          <w:rFonts w:ascii="Amiri" w:hAnsi="Amiri" w:eastAsia="Amiri" w:cs="Amiri"/>
          <w:color w:val="111111"/>
          <w:sz w:val="28"/>
          <w:sz w:val="28"/>
          <w:szCs w:val="28"/>
          <w:rtl w:val="true"/>
          <w:lang w:bidi="ar-SA"/>
        </w:rPr>
        <w:t>قُرْبُ الْإِسْنَادِ، عَنْ مُحَمَّدِ بْنِ الْوَلِيدِ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أَ يَأْكُلُ الْجُنُبُ وَ يَشْرَبُ وَ يَقْرَأُ قَالَ يَأْكُلُ وَ يَشْرَبُ وَ يَقْرَأُ وَ يَذْكُرُ اللَّهَ مَا شَاءَ</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7" w:name="__RefHeading___Toc605576_1934241801"/>
      <w:bookmarkStart w:id="718" w:name="_Toc332"/>
      <w:bookmarkEnd w:id="717"/>
      <w:r>
        <w:rPr>
          <w:rtl w:val="true"/>
        </w:rPr>
        <w:t>«</w:t>
      </w:r>
      <w:r>
        <w:rPr/>
        <w:t>58</w:t>
      </w:r>
      <w:r>
        <w:rPr>
          <w:rtl w:val="true"/>
        </w:rPr>
        <w:t>»</w:t>
      </w:r>
      <w:bookmarkEnd w:id="718"/>
    </w:p>
    <w:p>
      <w:pPr>
        <w:pStyle w:val="BookText"/>
        <w:rPr/>
      </w:pPr>
      <w:r>
        <w:rPr>
          <w:rFonts w:ascii="Amiri" w:hAnsi="Amiri" w:eastAsia="Amiri" w:cs="Amiri"/>
          <w:color w:val="111111"/>
          <w:sz w:val="28"/>
          <w:sz w:val="28"/>
          <w:szCs w:val="28"/>
          <w:rtl w:val="true"/>
          <w:lang w:bidi="ar-SA"/>
        </w:rPr>
        <w:t>دَعَائِمُ الْإِسْلَامِ، عَنْ عَلِيٍّ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نِسَاءٌ إِلَي بَعْضِ نِسَاءِ النَّبِيِّ فَحَدَّثْنَهَا فَقَالَتْ لِرَسُولِ اللَّهِ صلي الله عليه و آله يَا رَسُولَ اللَّهِ إِنَّ هَؤُلَاءِ نِسْوَةٌ جِئْنَ لِيَسْأَلْنَكَ عَنْ شَيْ‌ءٍ يَسْتَحْيِينَ عَنْ ذِكْرِهِ قَالَ لِيَسْأَلْنَ فَإِنَّ اللَّهَ لَا يَسْتَحْيِي مِنَ الْحَقِّ قَالَتْ يَقُلْنَ مَا تَرَي فِي الْمَرْأَةِ تَرَي فِي مَنَامِهَا مَا تَرَي الرَّجُلُ هَلْ عَلَيْهَا الْغُسْلُ قَالَ نَعَمْ إِنَّ لَهَا مَاءً كَمَاءِ الرَّجُلِ وَ لَكِنَّ اللَّهَ أَسْتَرَ مَاءَهَا وَ أَظْهَرَ مَاءَ الرَّجُلِ فَإِذَا ظَهَرَ مَاؤُهَا عَلَي مَاءِ الرَّجُلِ ذَهَبَ شَبَهُ الْوَلَدِ إِلَيْهَا وَ إِذَا ظَهَرَ مَاءُ الرَّجُلِ عَلَي مَائِهَا ذَهَبَ شَبَهُ الْوَلَدِ إِلَيْهِ وَ إِذَا اعْتَدَلَ الْمَاءَانِ كَانَ الشَّبَهُ بَيْنَهُمَا وَاحِداً فَإِذَا ظَهَرَ مِنْهَا مَا يَظْهَرُ مِنَ الرَّجُلِ فَلْتَغْتَسِلْ وَ لَا يَكُونُ ذَلِكَ إِلَّا فِي سِرَارِهِنَ‌</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9" w:name="__RefHeading___Toc605578_1934241801"/>
      <w:bookmarkStart w:id="720" w:name="_Toc333"/>
      <w:bookmarkEnd w:id="719"/>
      <w:r>
        <w:rPr>
          <w:rtl w:val="true"/>
        </w:rPr>
        <w:t>«</w:t>
      </w:r>
      <w:r>
        <w:rPr/>
        <w:t>59</w:t>
      </w:r>
      <w:r>
        <w:rPr>
          <w:rtl w:val="true"/>
        </w:rPr>
        <w:t>»</w:t>
      </w:r>
      <w:bookmarkEnd w:id="720"/>
    </w:p>
    <w:p>
      <w:pPr>
        <w:pStyle w:val="BookText"/>
        <w:rPr/>
      </w:pPr>
      <w:r>
        <w:rPr>
          <w:rFonts w:ascii="Amiri" w:hAnsi="Amiri" w:eastAsia="Amiri" w:cs="Amiri"/>
          <w:color w:val="111111"/>
          <w:sz w:val="28"/>
          <w:sz w:val="28"/>
          <w:szCs w:val="28"/>
          <w:rtl w:val="true"/>
          <w:lang w:bidi="ar-SA"/>
        </w:rPr>
        <w:t>الْعِلَلُ، عَنْ مُحَمَّدِ بْنِ الْحَسَنِ بْنِ الْوَلِيدِ عَنِ الْحُسَيْنِ بْنِ الْحَسَنِ بْنِ أَبَانٍ عَنِ الْحُسَيْنِ بْنِ سَعِيدٍ عَنْ عُثْمَانَ بْنِ عِيسَي عَنِ ابْنِ مُسْكَانَ عَنْ سُلَيْمَانَ بْنِ خَالِدٍ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أَجْنَبَ فَاغْتَسَلَ قَبْلَ أَنْ يَبُولَ فَخَرَجَ مِنْهُ شَيْ‌ءٌ قَالَ يُعِيدُ الْغُسْلَ قُلْتُ فَامْرَأَةٌ يَخْرُجُ مِنْهَا شَيْ‌ءٌ بَعْدَ الْغُسْلِ قَالَ لَا تُعِيدُ قُلْتُ فَمَا الْفَرْقُ بَيْنَهُمَا قَالَ لِأَنَّ مَا يَخْرُجُ مِنَ الْمَرْأَةِ إِنَّمَا هُوَ مِنَ الرَّجُلِ‌</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1" w:name="__RefHeading___Toc605580_1934241801"/>
      <w:bookmarkStart w:id="722" w:name="_Toc334"/>
      <w:bookmarkEnd w:id="721"/>
      <w:r>
        <w:rPr>
          <w:rtl w:val="true"/>
        </w:rPr>
        <w:t>بيان</w:t>
      </w:r>
      <w:bookmarkEnd w:id="722"/>
    </w:p>
    <w:p>
      <w:pPr>
        <w:pStyle w:val="BookText"/>
        <w:rPr/>
      </w:pPr>
      <w:r>
        <w:rPr>
          <w:rFonts w:ascii="Amiri" w:hAnsi="Amiri" w:eastAsia="Amiri" w:cs="Amiri"/>
          <w:color w:val="111111"/>
          <w:sz w:val="28"/>
          <w:sz w:val="28"/>
          <w:szCs w:val="28"/>
          <w:rtl w:val="true"/>
          <w:lang w:bidi="ar-SA"/>
        </w:rPr>
        <w:t>يدل علي أن البلل الخارج بعد الغسل و قبل البول موجب للغسل في الرجل دون المرأة و تفصيله أن البلل الخارج بعد الغسل لا يخلو إما أن يعلم</w:t>
      </w:r>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از امام کاظم علیه السلام روایت شده است، جز اینکه در پایان</w:t>
      </w:r>
    </w:p>
    <w:p>
      <w:pPr>
        <w:pStyle w:val="BookText"/>
        <w:rPr/>
      </w:pPr>
      <w:r>
        <w:rPr>
          <w:rFonts w:ascii="IRNazanin" w:hAnsi="IRNazanin" w:eastAsia="IRNazanin"/>
          <w:color w:val="111111"/>
          <w:sz w:val="28"/>
          <w:sz w:val="28"/>
          <w:szCs w:val="28"/>
          <w:rtl w:val="true"/>
          <w:lang w:bidi="fa-IR"/>
        </w:rPr>
        <w:t xml:space="preserve">آن به جای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عبارت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غسل علیه و یتوضّأ للصلاه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غسل بر او واجب نیست و برای نماز وضو می گیرد</w:t>
      </w:r>
      <w:r>
        <w:rPr>
          <w:rFonts w:eastAsia="IRNazanin" w:cs="IRNazanin"/>
          <w:color w:val="111111"/>
          <w:sz w:val="28"/>
          <w:szCs w:val="28"/>
          <w:rtl w:val="true"/>
          <w:lang w:bidi="fa-IR"/>
        </w:rPr>
        <w:t>.)</w:t>
      </w:r>
      <w:r>
        <w:rPr>
          <w:rStyle w:val="FootnoteAnchor"/>
          <w:rtl w:val="true"/>
        </w:rPr>
        <w:footnoteReference w:id="379"/>
      </w:r>
    </w:p>
    <w:p>
      <w:pPr>
        <w:pStyle w:val="Heading5"/>
        <w:numPr>
          <w:ilvl w:val="4"/>
          <w:numId w:val="1"/>
        </w:numPr>
        <w:rPr/>
      </w:pPr>
      <w:bookmarkStart w:id="723" w:name="__RefHeading___Toc605582_1934241801"/>
      <w:bookmarkStart w:id="724" w:name="_Toc335"/>
      <w:bookmarkEnd w:id="723"/>
      <w:r>
        <w:rPr>
          <w:rtl w:val="true"/>
        </w:rPr>
        <w:t xml:space="preserve">روایت </w:t>
      </w:r>
      <w:r>
        <w:rPr/>
        <w:t>57</w:t>
      </w:r>
      <w:bookmarkEnd w:id="724"/>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بکیر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جنب اجازه دارد که بخورد، بنوشد و قرآن بخواند؟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می تواند بخورد، بنوشد، قرآن بخواند و هر اندازه که بخواهد ذکر خداوند بگوید</w:t>
      </w:r>
      <w:r>
        <w:rPr>
          <w:rFonts w:eastAsia="IRNazanin" w:cs="IRNazanin"/>
          <w:color w:val="111111"/>
          <w:sz w:val="28"/>
          <w:szCs w:val="28"/>
          <w:rtl w:val="true"/>
          <w:lang w:bidi="fa-IR"/>
        </w:rPr>
        <w:t>.</w:t>
      </w:r>
      <w:r>
        <w:rPr>
          <w:rStyle w:val="FootnoteAnchor"/>
          <w:rtl w:val="true"/>
        </w:rPr>
        <w:footnoteReference w:id="380"/>
      </w:r>
    </w:p>
    <w:p>
      <w:pPr>
        <w:pStyle w:val="Heading5"/>
        <w:numPr>
          <w:ilvl w:val="4"/>
          <w:numId w:val="1"/>
        </w:numPr>
        <w:rPr/>
      </w:pPr>
      <w:bookmarkStart w:id="725" w:name="__RefHeading___Toc605584_1934241801"/>
      <w:bookmarkStart w:id="726" w:name="_Toc336"/>
      <w:bookmarkEnd w:id="725"/>
      <w:r>
        <w:rPr>
          <w:rtl w:val="true"/>
        </w:rPr>
        <w:t xml:space="preserve">روایت </w:t>
      </w:r>
      <w:r>
        <w:rPr/>
        <w:t>58</w:t>
      </w:r>
      <w:bookmarkEnd w:id="726"/>
    </w:p>
    <w:p>
      <w:pPr>
        <w:pStyle w:val="BookText"/>
        <w:rPr/>
      </w:pPr>
      <w:r>
        <w:rPr>
          <w:rFonts w:ascii="IRNazanin" w:hAnsi="IRNazanin" w:eastAsia="IRNazanin"/>
          <w:color w:val="111111"/>
          <w:sz w:val="28"/>
          <w:sz w:val="28"/>
          <w:szCs w:val="28"/>
          <w:rtl w:val="true"/>
          <w:lang w:bidi="fa-IR"/>
        </w:rPr>
        <w:t>دعائم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زنان نزد یکی از همسران پیامبر صلّی الله علیه و آله آمدند و با او شروع به سخن گفتن کردند، پس به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همانا اینان زنانی هستند که آمده اند تا از شما درباره چیزی بپرسند که از ذکر آن شرم می کنند،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سؤال خود را بپرسند چه که خداوند از ذکر حقّ شرم نمی کند، همسر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شما درباره زنی که در خواب آنچه را که یک مرد در خواب می بیند می بیند چیست، آیا غسل بر او واجب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همانا زن نیز مانند مرد دارای آبِ ناشی از شهوت است، ولی خداوند آب خارج شده از فرج را پنهان کرده و آب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 گردانده است، پس اگر آب زن بر آب مرد غلبه کند بچه متولّد شده از آن ها شبیه زن است، و اگر آب مرد بر آب زن غلبه کند بچّه شبیه مرد است، ولی اگر دو آب متعادل باشند بچّه به صورت مساوی به مرد و زن شباهت دارد، بنابراین اگر آنچه از مرد خارج می شود از زن نیز خارج شود باید غسل کند، و این امر جز در اسرار زنان روی نمی دهد</w:t>
      </w:r>
      <w:r>
        <w:rPr>
          <w:rFonts w:eastAsia="IRNazanin" w:cs="IRNazanin"/>
          <w:color w:val="111111"/>
          <w:sz w:val="28"/>
          <w:szCs w:val="28"/>
          <w:rtl w:val="true"/>
          <w:lang w:bidi="fa-IR"/>
        </w:rPr>
        <w:t>.</w:t>
      </w:r>
      <w:r>
        <w:rPr>
          <w:rStyle w:val="FootnoteAnchor"/>
          <w:rtl w:val="true"/>
        </w:rPr>
        <w:footnoteReference w:id="381"/>
      </w:r>
    </w:p>
    <w:p>
      <w:pPr>
        <w:pStyle w:val="Heading5"/>
        <w:numPr>
          <w:ilvl w:val="4"/>
          <w:numId w:val="1"/>
        </w:numPr>
        <w:rPr/>
      </w:pPr>
      <w:bookmarkStart w:id="727" w:name="__RefHeading___Toc605586_1934241801"/>
      <w:bookmarkStart w:id="728" w:name="_Toc337"/>
      <w:bookmarkEnd w:id="727"/>
      <w:r>
        <w:rPr>
          <w:rtl w:val="true"/>
        </w:rPr>
        <w:t xml:space="preserve">روایت </w:t>
      </w:r>
      <w:r>
        <w:rPr/>
        <w:t>59</w:t>
      </w:r>
      <w:bookmarkEnd w:id="728"/>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سلیمان بن خالد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پرسیدم که دچار جنابت می شود پس قبل از آنکه بول کند غسل می نماید، آن گاه مایعی از او خارج می شود، حُکم او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غسل را دوباره تکرار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 مورد زنی که بعد از غسل مایعی از او خارج می شود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غسل را تکرار کند، گفتم فرق آن ها در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مایعی که بعد از غسل از زن خارج می شود متعلّق به مرد است</w:t>
      </w:r>
      <w:r>
        <w:rPr>
          <w:rFonts w:eastAsia="IRNazanin" w:cs="IRNazanin"/>
          <w:color w:val="111111"/>
          <w:sz w:val="28"/>
          <w:szCs w:val="28"/>
          <w:rtl w:val="true"/>
          <w:lang w:bidi="fa-IR"/>
        </w:rPr>
        <w:t>.</w:t>
      </w:r>
      <w:r>
        <w:rPr>
          <w:rStyle w:val="FootnoteAnchor"/>
          <w:rtl w:val="true"/>
        </w:rPr>
        <w:footnoteReference w:id="382"/>
      </w:r>
    </w:p>
    <w:p>
      <w:pPr>
        <w:pStyle w:val="Heading5"/>
        <w:numPr>
          <w:ilvl w:val="4"/>
          <w:numId w:val="1"/>
        </w:numPr>
        <w:rPr/>
      </w:pPr>
      <w:bookmarkStart w:id="729" w:name="__RefHeading___Toc605588_1934241801"/>
      <w:bookmarkStart w:id="730" w:name="_Toc338"/>
      <w:bookmarkEnd w:id="729"/>
      <w:r>
        <w:rPr>
          <w:rtl w:val="true"/>
        </w:rPr>
        <w:t>توضیح</w:t>
      </w:r>
      <w:bookmarkEnd w:id="73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بر این نکته دلالت می کند که مایع خارج شده بعد از غسل باعث می شود که غسل دوباره بر مرد و نه زن واجب شود، و در شرح این مطلب می توان چنین گفت که مایع خارج شده بعد از غسل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دانسته می شود </w:t>
      </w:r>
    </w:p>
    <w:p>
      <w:pPr>
        <w:pStyle w:val="BookText"/>
        <w:rPr/>
      </w:pPr>
      <w:r>
        <w:rPr>
          <w:rFonts w:ascii="Amiri" w:hAnsi="Amiri" w:eastAsia="Amiri" w:cs="Amiri"/>
          <w:color w:val="111111"/>
          <w:sz w:val="28"/>
          <w:sz w:val="28"/>
          <w:szCs w:val="28"/>
          <w:rtl w:val="true"/>
          <w:lang w:bidi="ar-SA"/>
        </w:rPr>
        <w:t>أنه مني أو بول أو غيرهما أو لا يعلم فإن علم أنه مني فلا خلاف في وجوب الغسل و كذا إن علم أنه بول في عدم وجوب الغسل و وجوب الوضوء و كذا إن علم أنه غيرهما في عدم وجوب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اشتبه ففيه أربع صور لأن الغسل إما أن يكون بعد البول و الاجتهاد بالعصرات معا أو بدونهما أو بدون البول فقط أو بدون الاجتهاد فقط أما الأول فقد ادعوا الإجماع علي عدم وجوب شي‌ء من الغسل و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فالمشهور وجوب إعادة الغسل و ادعي ابن إدريس عليه الإجماع و إن كان مقتضي الجمع بين الأخبار القول بالاستحباب و يظهر من كلام الصدوق رحمه الله الاكتفاء بالوضوء في هذه الصورة كما مر في كلام المقنع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فهو إما مع تيسر البول أو لا أما الأول فالظاهر من كلامهم وجوب إعادة الغسل حينئذ أيضا و يفهم من ظاهر الشرائع و النافع عدم الوجوب و أما الثاني فظاهر المقنعة عدم وجوب شي‌ء من الوضوء و الغسل حينئذ و هو الظاهر من كلام الأكثر و ظاهر أكثر الأخبار وجوب إعادة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 فالمعروف بينهم إعادة الوضوء حينئذ خاصة و قد نقل ابن إدريس عليه الإجماع و إن كان من حيث المجموع بين الأخبار لا يبعد القول بالاستحباب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الرجل فأما المرأة فقال المفيد رحمه الله في المقنعة ينبغي لها أن تستبرئ قبل الغسل بالبول فإن لم يتيسر لها ذلك لم يكن عليها شي‌ء و توقف العلامة في المنتهي في استبرائها بناء علي أن مخرج البول منها غير مخرج المني فلا فائدة فيه و ظاهر المبسوط أنه لا استبراء عليها و نسب هذا في الذكري إلي ظاهر الجمل و ابن البراج في الكامل و قال أيضا و أطلق أبو الصلاح الاستبراء و ابنا بابويه و الجعفي لم يذكروا المرأة انتهي و الشيخ في النهاية سوي بين الرجل و المرأة في الاستبراء بالبول و الاجتهاد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آن مایع، منی یا بول یا غیر آن دو است و یا به ماهیّت آن پی بُرده نمی شود، پس اگر پی برده شود که آن مایع منی است، هیچ اختلافی در بین فقها بر سر وجوب غسل وجود ندارد، همچنین اگر پی برده شود که آن مایع، بول است هیچ اختلافی بر سر عدم وجوب غسل و وجوب وضو وجود ندارد، و اگر پی برده شود که مایع، غیر آن دو است نه غسل واجب می شود و نه 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درتشخیص ماهیّت آن مایع اشتباه پیش آید چهار حالت تصّور می شود، چرا که غسل در چهار حالت زیر انجام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بول کردن و اجتهاد به عصرات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یا بدون بول کردن و استبراء، یا بدون بول کردن فقط، یا بدون اجتهاد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حالت نخست، اجماع فقها مدّعی عدم وجوب غسل و وضو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 مشهور درباره حالت دوّم وجوب تکرار غسل است، و ابن ادریس مدّعی شده که اجماع فقها چنین نظری دارند، اگر چه جمع نمودن احادیث و تطبیق دادن آن ها با یکدیگر چنین اقتضا می کند که حکم به استحباب تکرار غسل در این حالت دهیم، و از کلام شیخ صدوق رحمه الله چنین پیداست که در این حالت به وضو اکتفا شود آن گونه که در کلام المقنع نیز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حالت سوّم یا با امکان بول همراه است یا همراه نیست، اگر بول امکان داشته باشد از کلام فقها چنین پیداست که اعاده غسل واجب است، ولی از ظاهر الشرائع و النافع عدم وجوب برداشت می شود، امّا اگر با امکان بول همراه نباشد ظاهر المقنعه به عدم وجوب غسل و وضو حکم می دهد و این حکم از کلام بیشتر فقها آشکار است، ولی ظاهر بیشتر احادیث حکم به وجوب اعاده غسل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 چهارم نظر شناخته شده در بین فقهاء، اعاده وضو به صورت خاصّ است، وابن ادریس اجماع فقها بر این نظر را نقل کرده است، اگر چه بعد از جمع نمودن و مقایسه احادیث با یکدیگر بعید نیست که قائل به استحباب اعاده وضو شویم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احکام مذکور درباره مردان است، امّا شیخ رحمه الله درباره حکم زنان درالمقنعه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زنان قبل از غسل با بول کردن استبراء نمایند، پس اگر بول کردن برای آنان فراهم نشد چیزی بر آنان واجب نیست، و علّامه در المنتهی بر استبراء زنان توقف کرده است، بر این اساس که مخرج بول در زنان غیر از مخرج منی است، پس در استبراء فایده ای وجود ندارد، و از المبسوط چنین برداشت می شود که استبراء بر زنان واجب نیست، و این امر در الذکری به ظاهر جملات نسبت داده شده است و ابن البراج نیز در الکامل چنین نظری دارد، همچنین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ابوالصلاح استبراء را به صورت مطلق ذکر کرده است، و دو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و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الجعفی درباره احکام زنان چیزی ذکر نکرده اند، شیخ نیز در النهایه حکم استبراء و بول کردن را در مورد مرد و زن یکسان دانسته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فالكلام في مقامات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أنه هل عليها استبراء أم لا الثاني أن حكمها بعد وجود البلل ما ذا الثالث هل تستبرئ بعد البول أو لا أما الأول فالظاهر عدم وجوبه بل و لا استحبابه إذ أخبار الاستبراء مخصوصة بالرجال و يمكن القول باستحبابه للاستظهار و لذهاب بعض الأصحاب إليه و قالوا إن استبراء المرأة بالاجتهاد إنما يكون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فإما أن يكون وجدان البلل بعد الاستبراء أو قبله و علي التقديرين إما أن تعلم أنه مني أو يشتبه فإن كان بعد الاستبراء و يعلم أنه مني فلا يخلو إما أن يكون في فرجها مني رجل أو لا فإن لم يكن فالظاهر وجوب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في فرجها مني رجل فإما أن تعلم أن الخارج مني نفسها أو لا فعلي الأول الظاهر أنه أيضا كسابقه في وجوب الغسل و علي الثاني الظاهر عدم الوجوب لهذا الخبر الموثق و صحيحة</w:t>
      </w:r>
      <w:r>
        <w:rPr>
          <w:rStyle w:val="FootnoteAnchor"/>
          <w:rtl w:val="true"/>
        </w:rPr>
        <w:footnoteReference w:id="383"/>
      </w:r>
      <w:r>
        <w:rPr>
          <w:rFonts w:ascii="Amiri" w:hAnsi="Amiri" w:eastAsia="Amiri" w:cs="Amiri"/>
          <w:color w:val="111111"/>
          <w:sz w:val="28"/>
          <w:sz w:val="28"/>
          <w:szCs w:val="28"/>
          <w:rtl w:val="true"/>
          <w:lang w:bidi="ar-SA"/>
        </w:rPr>
        <w:t>منصور بن حازم موافقا له و للروايات الدالة علي عدم نقض اليقين بالشك و قطع ابن إدريس في هذه الصورة أيضا بوجوب الغسل و طرح الخبرين لعموم الماء من الماء و لا يخفي ضعفه لمنع شموله ما نحن فيه لا سيما بعد ورود الروايتين و الأحوط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لم تعلم أنه مني فلا يخلو أيضا إما أن يكون في فرجها مني رجل أو لا فإن كان فلا خفاء في عدم وجوب الغسل للأصل و الأخبار و إن لم يكن فالظاهر أيضا عدم الوجوب للأصل و الاستصحاب و الاحتياط في هاتين الصورتين أيضا في الإعادة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قبل الاستبراء فإما أن تعلم أنه مني أو لا فإن علمت فلا يخلو أيضا إما أن يكون في فرجها مني رجل أو لا فإن لم يكن فالظاهر وجوب الغسل و إن كان فإما أن تعلم أنه مني نفسها أو لا فإن علمت فالظاهر أيضا الوجوب و</w:t>
      </w:r>
    </w:p>
    <w:p>
      <w:pPr>
        <w:pStyle w:val="BookText"/>
        <w:rPr/>
      </w:pPr>
      <w:r>
        <w:rPr>
          <w:rFonts w:ascii="IRNazanin" w:hAnsi="IRNazanin" w:eastAsia="IRNazanin"/>
          <w:color w:val="111111"/>
          <w:sz w:val="28"/>
          <w:sz w:val="28"/>
          <w:szCs w:val="28"/>
          <w:rtl w:val="true"/>
          <w:lang w:bidi="fa-IR"/>
        </w:rPr>
        <w:t>بنابراین سخن درسه مرحله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استبراء بر زن واجب است یا خیر؟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 بعد از یافتن مایعی که بعد از غسل خارج می شود چیست؟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زن بعد از بول کردن استبراء می کند یا خیر؟ امّا در پاسخ سؤال اوّل می توان گفت که نظر آشکار عدم وجوب و بلکه عدم استحباب استبراء برای زن است، چه که احادیث روایت شده در مورد استبراء مخصوص مردان است، همچنین می توان به خاطر استظهار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عدّه ای از فقها باور به استحباب داشته اند، حکم به استحباب آن داد، آنان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استبراء زن با اجتهاد، آن هم از عرض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بول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مایع و خیسی یا بعد از استبراء می باشد یا قبل از آن، و بر اساس هر دو تقدیر دو حالت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زن پی می برد که آن مایع منی یا چیزی شبیه به آن است، پس اگر مایع بعد از استبراء مشاهده شود و دانسته شود که منی است، دو حالت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فرج زن منی مرد قرار گرفته است یا خیر، پس اگر منی مرد در فرج زن قرار نگرفته باشد اعاده غسل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منی مرد در فرج زن قرار گرفته باشد، دو حالت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زن پی می برد که مایع خارج شده منی خودِ اوست یا پی نمی برد، اگر پی ببرد که منی خود اوست مانند حالت قبل غسل واجب می گردد، و اگر پی ببرد که منی متعلق به او نیست غسل واجب نمی باشد، آن هم با استناد به این حدیث موثّق و صحیحة</w:t>
      </w:r>
      <w:r>
        <w:rPr>
          <w:rStyle w:val="FootnoteAnchor"/>
          <w:rtl w:val="true"/>
        </w:rPr>
        <w:footnoteReference w:id="384"/>
      </w:r>
      <w:r>
        <w:rPr>
          <w:rFonts w:ascii="IRNazanin" w:hAnsi="IRNazanin" w:eastAsia="IRNazanin"/>
          <w:color w:val="111111"/>
          <w:sz w:val="28"/>
          <w:sz w:val="28"/>
          <w:szCs w:val="28"/>
          <w:rtl w:val="true"/>
          <w:lang w:bidi="fa-IR"/>
        </w:rPr>
        <w:t xml:space="preserve">منصور بن حازم و روایاتی که بر عدم نقض یقین با شک دلالت می کنند، ولی ابن ادریس در این حالت نیز اعتقاد به وجوب غسل دارد، و به خاطر عموم آب از آب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الماء من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خبر را کنار نهاده است، که ضعف آن پوشیده نیست چون نمی تواند مانحن فیه را شامل  شود به ویژه بعد از ورود این دو روایت، و احوط اعاده غسل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پی نمی برد که آن مایع منی است، پس دوباره از دوحالت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فرج او منی مرد قرار گرفته است یا خیر؛ اگر منی مرد در فرج زن قرار گرفته باشد آشکار است که به خاطر اصل و دلالت احادیث، حکم به عدم وجوب غسل داده می شود، و اگر قرار نگرفته باشد باز هم به خاطر اصل و استصحاب، حکم به عدم وجوب غسل داده می شود، ولی در این دو حالت نیز احتیاط، اعاده غسل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مایع قبل از استبراء مشاهده شود، زن یا پی می برد که آن مایع منی است یا پی نمی برد، پس اگر پی ببرد که آن مایع منی است از دو حالت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منی مرد در فرج او قرار گرفته است یا قرار نگرفته است، اگر قرار نگرفته باشد غسل بر او واجب است، امّا اگر قرار گرفته باشد، زن می داند که مایع خارج شده منی خود اوست یا نمی داند، پس اگر بداند مایع خارج شده منی خود اوست دوباره غسل واجب می گردد، </w:t>
      </w:r>
      <w:bookmarkStart w:id="731" w:name="pg13517_329103"/>
    </w:p>
    <w:p>
      <w:pPr>
        <w:pStyle w:val="BookText"/>
        <w:rPr/>
      </w:pPr>
      <w:bookmarkEnd w:id="731"/>
      <w:r>
        <w:rPr>
          <w:rFonts w:ascii="Amiri" w:hAnsi="Amiri" w:eastAsia="Amiri" w:cs="Amiri"/>
          <w:color w:val="111111"/>
          <w:sz w:val="28"/>
          <w:sz w:val="28"/>
          <w:szCs w:val="28"/>
          <w:rtl w:val="true"/>
          <w:lang w:bidi="ar-SA"/>
        </w:rPr>
        <w:t>إن لم تعلم فالظاهر عدم الوجوب للأصل و الاستصحاب و الروايات و خلاف ابن إدريس هاهنا أيضا و الاحتياط في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تعلم أنه مني فلا يخلو أيضا من الوجهين فعلي الأول الظاهر عدم الوجوب إذ الروايات المتضمنة لوجوب الإعادة مع عدم البول مختصة بالرجل سوي رواية ضعيفة فيها إطلاق و الاحتياط أيضا في الإعادة و تمام الاحتياط في ضم الوضوء و علي الثاني فالظاهر أيضا أنه مثل سابقه في الحكم و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فالظاهر أيضا عدم لزوم الاستبراء لا وجوبا و لا استحبابا و ربما يقال بالاستحباب للاستظهار و لقول بعض الأصحاب فلو وجدت بللا مشتبها فإن كان بعد الاستبراء فالظاهر عدم الالتفات للأصل و الاستصحاب و الإجماع أيضا ظاهرا و إن كان قبله فالظاهر أيضا ذلك إذ الروايات مختصة بالرجل ظاهرا و الاحتياط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المجنب بالجماع بدون الإنزال فلا استبراء عليه و إذا رأي بللا مشتبها فالظاهر عدم الغسل سواء استبرأ أم لا و ربما يحتمل وجوب الغسل مع عدم الاستبراء لإطلاق بعض الروايات و هو ضعيف و إن كان الأحوط الغسل مع ضم الوضوء و الله يعلم حقائق الأحكام و حججه الكرام عليهم السلام</w:t>
      </w:r>
      <w:r>
        <w:rPr>
          <w:rFonts w:eastAsia="Amiri" w:cs="Amiri" w:ascii="Amiri" w:hAnsi="Amiri"/>
          <w:color w:val="111111"/>
          <w:sz w:val="28"/>
          <w:szCs w:val="28"/>
          <w:rtl w:val="true"/>
          <w:lang w:bidi="ar-SA"/>
        </w:rPr>
        <w:t>.</w:t>
      </w:r>
    </w:p>
    <w:p>
      <w:pPr>
        <w:pStyle w:val="Heading5"/>
        <w:numPr>
          <w:ilvl w:val="4"/>
          <w:numId w:val="1"/>
        </w:numPr>
        <w:rPr/>
      </w:pPr>
      <w:bookmarkStart w:id="732" w:name="__RefHeading___Toc605590_1934241801"/>
      <w:bookmarkStart w:id="733" w:name="_Toc339"/>
      <w:bookmarkEnd w:id="732"/>
      <w:r>
        <w:rPr>
          <w:rtl w:val="true"/>
        </w:rPr>
        <w:t>«</w:t>
      </w:r>
      <w:r>
        <w:rPr/>
        <w:t>60</w:t>
      </w:r>
      <w:r>
        <w:rPr>
          <w:rtl w:val="true"/>
        </w:rPr>
        <w:t>»</w:t>
      </w:r>
      <w:bookmarkEnd w:id="733"/>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الْغُسْلَ مِنَ الْجَنَابِةِ فَاجْهَدْ أَنْ تَبُولَ لِيَخْرُجَ مَا بَقِيَ فِي إِحْلِيلِكَ مِنَ الْمَنِيِّ ثُمَّ اغْسِلْ يَدَيْكَ ثَلَاثاً مِنْ قَبْلِ أَنْ تُدْخِلَهُمَا الْإِنَاءَ ثُمَّ اسْتَنْجِ وَ أَنْقِ فَرْجَكَ ثُمَّ ضَعْ عَلَي رَأْسِكَ ثَلَاثَ أَكُفٍّ مِنَ الْمَاءِ وَ مَيِّزِ الشَّعْرَ كُلَّهُ بِأَنَامِلِكَ حَتَّي يَبْلُغَ الْمَاءُ أَصْلَ الشَّعْرِ كُلِّهِ وَ تَنَاوَلِ الْإِنَاءَ بِيَدِكَ وَ صُبَّهُ عَلَي رَأْسِكَ وَ بَدَنِكَ مَرَّتَيْنِ وَ امْرُرْ يَدَكَ عَلَي بَدَنِكَ كُلِّهِ وَ خَلِّلْ أُذُنَيْكَ بِإِصْبَعَيْكَ وَ كُلُّ مَا أَصَابَهُ الْمَاءُ فَقَدْ طَهُرَ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اجْهَدْ أَنْ لَا تَبْقَي شَعْرَةٌ مِنْ رَأْسِكَ وَ لِحْيَتِكَ إِلَّا وَ تُدْخِلُ الْمَاءَ تَحْتَهَا فَإِنَّهُ رُوِيَ أَنَّ مَنْ تَرَكَ شَعْرَةً مِنَ الْجَنَابَةِ فَلَمْ يَغْسِلْهَا مُتَعَمِّداً فَهُوَ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أَنْ تَتَمَضْمَضَ وَ تَسْتَنْشِقَ فَافْعَلْ وَ لَيْسَ ذَلِكَ بِوَاجِبٍ لِأَنَّ الْغُسْلَ</w:t>
      </w:r>
    </w:p>
    <w:p>
      <w:pPr>
        <w:pStyle w:val="BookText"/>
        <w:rPr/>
      </w:pPr>
      <w:r>
        <w:rPr>
          <w:rFonts w:ascii="IRNazanin" w:hAnsi="IRNazanin" w:eastAsia="IRNazanin"/>
          <w:color w:val="111111"/>
          <w:sz w:val="28"/>
          <w:sz w:val="28"/>
          <w:szCs w:val="28"/>
          <w:rtl w:val="true"/>
          <w:lang w:bidi="fa-IR"/>
        </w:rPr>
        <w:t>امّا اگر نداند به خاطر اصل، استصحاب و دلالت روایات غسل واجب نمی گردد، و ابن ادریس در اینجا نیز با این نظر مخالف است، و احوط اعاده غسل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زن نداند که مایع خارج شده منی است، باز هم از دو حالت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وجه نخست، عدم وجوب اعاده غسل آشکار است، چه که روایاتی که بر وجوب اعاده غسل در صورت بول نکردن دلالت می کنند مختصّ مردان است، به جز یک روایت ضعیف که معتقد به یکسانی زن و مرد در این زمینه است، و باز هم احتیاط در اعاده است و احتیاط تام این است که وضو هم بگیرد؛ و وجه دوم ظاهراً در حکم و احتیاط مانند نمونه سابق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پاسخ سؤال سوّم نیز ظاهرا عدم لزوم استبراء برای زنان می باشد، نه به صورت وجوبی و نه استحبابی، و چه بسا که به خاطر استظهار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برخی از فقهاء، نظر به استحباب داده می شود؛ پس اگر مایع مشتبهی را بعد از استبراء مشاهده نمودی، به خاطر اصل و استصحاب و نیز اجماع فقها به آن مایع توجه نمی کنی، و اگر مایع مشتبه قبل از استبراء مشاهده گردد، باز به آن مایع توجه نمی شود، چه که ظاهراً روایات مختصّ مردان است و رعایت احتیاط،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استبراء بر کسی که به خاطر جماع و بدون انزال منی دچار جنابت شده است واجب نیست، و هر گاه مایع مشتبهی را مشاهده کند غسل بر او واجب نیست، چه استبراء کرده باشد چه نکرده باشد، و چه بسا که وجوب غسل در صورت عدم استبراء به خاطر وجود بعضی از روایات در این زمینه است که ضعیف هستند محتمل باشد، اگر چه احوط اعاده غسل همراه با گرفتن وضو است، و خداوند و همچنین حجت های بزرگوارش علیهم السلام از نهان حقایق احکام آگاه هستند</w:t>
      </w:r>
      <w:r>
        <w:rPr>
          <w:rFonts w:eastAsia="IRNazanin" w:cs="IRNazanin"/>
          <w:color w:val="111111"/>
          <w:sz w:val="28"/>
          <w:szCs w:val="28"/>
          <w:rtl w:val="true"/>
          <w:lang w:bidi="fa-IR"/>
        </w:rPr>
        <w:t>.</w:t>
      </w:r>
    </w:p>
    <w:p>
      <w:pPr>
        <w:pStyle w:val="Heading5"/>
        <w:numPr>
          <w:ilvl w:val="4"/>
          <w:numId w:val="1"/>
        </w:numPr>
        <w:rPr/>
      </w:pPr>
      <w:bookmarkStart w:id="734" w:name="__RefHeading___Toc605592_1934241801"/>
      <w:bookmarkStart w:id="735" w:name="_Toc340"/>
      <w:bookmarkEnd w:id="734"/>
      <w:r>
        <w:rPr>
          <w:rtl w:val="true"/>
        </w:rPr>
        <w:t xml:space="preserve">روایت </w:t>
      </w:r>
      <w:r>
        <w:rPr/>
        <w:t>60</w:t>
      </w:r>
      <w:bookmarkEnd w:id="735"/>
    </w:p>
    <w:p>
      <w:p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قصد کردی غسل جنابت را به جا آوری، تلاش کن که بول کنی تا منی باقیمانده در مجرای بول و منی خارج شود، سپس دستانت را قبل از وارد کردن در ظرف آن سه بار بشوی، آن گاه نشیمن و فرج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 و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بشوی و پاک کن، سپس سه مشت آب را بر روی سرت بریز و تمام موی های سرت را با سر انگشتانت از هم باز کن تا آب به ریشه آن ها برسد، و ظرف را با دستت بگیر و دوبار آب را بر سر و بدنت جاری ساز، و بر تمام بدنت دست بکش و انگشتانت را در گوشهایت بچرخان، پس هر قسمت از بدنت که آب به آن رسیده باشد پاک و مطهر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تلاش کن که یک تار مو از موهای سر و محاسنت باقی نمانده باشد مگر آنکه آب به زیر آن راه یافته باشد، چه که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هنگام غسل جنابت یک تار مو را به صورت عمدی نشُسته باقی بگذارد جایگاهش در آتش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خواستی هنگام غسل آب را مضمضه و استنشاق کنی چنان کن، حال آنکه این کار واجب نیست، چرا که غسل </w:t>
      </w:r>
    </w:p>
    <w:p>
      <w:pPr>
        <w:pStyle w:val="BookText"/>
        <w:rPr/>
      </w:pPr>
      <w:r>
        <w:rPr>
          <w:rFonts w:ascii="Amiri" w:hAnsi="Amiri" w:eastAsia="Amiri" w:cs="Amiri"/>
          <w:color w:val="111111"/>
          <w:sz w:val="28"/>
          <w:sz w:val="28"/>
          <w:szCs w:val="28"/>
          <w:rtl w:val="true"/>
          <w:lang w:bidi="ar-SA"/>
        </w:rPr>
        <w:t xml:space="preserve">عَلَي مَا ظَهَرَ لَا عَلَي مَا بَطَنَ غَيْرَ أَنَّكَ إِذَا أَرَدْتَ أَنْ تَأْكُلَ أَوْ تَشْرَبَ قَبْلَ الْغُسْلِ لَمْ يُجْزِ لَكَ إِلَّا أَنْ تَغْسِلَ يَدَيْكَ وَ تَتَمَضْمَضَ وَ تَسْتَنْشِقَ فَإِنَّكَ إِنْ أَكَلْتَ أَوْ شَرِبْتَ قَبْلَ ذَلِكَ خِيفَ عَلَيْكَ الْبَرَصُ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إِذَا ارْتَمَسَ الْجُنُبُ فِي الْمَاءِ ارْتِمَاسَةً وَاحِدَةً أَجْزَأَهُ ذَلِكَ مِنْ غُسْلِهِ وَ إِنْ أَجْنَبْتَ فِي يَوْمٍ أَوْ لَيْلَةٍ مِرَاراً أَجْزَأَكَ غُسْلٌ وَاحِدٌ إِلَّا أَنْ تَكُونَ تُجْنِبُ بَعْدَ الْغُسْلِ أَوْ تَحْتَلِمُ فَإِنْ احْتَلَمْتَ فَلَا تُجَامِعْ حَتَّي تَغْتَسِلَ مِنَ الِاحْتِلَامِ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بِذِكْرِ اللَّهِ وَ قِرَاءَةِ الْقُرْآنَ لِلْجُنُبِ وَ الْحَائِضِ إِلَّا الْعَزَائِمَ الَّتِي يُسْجَدُ فِيهَا وَ هِيَ سَجْدَةُ لُقْمَانَ‌</w:t>
      </w:r>
      <w:r>
        <w:rPr>
          <w:rStyle w:val="FootnoteAnchor"/>
          <w:rtl w:val="true"/>
        </w:rPr>
        <w:footnoteReference w:id="385"/>
      </w:r>
      <w:r>
        <w:rPr>
          <w:rFonts w:ascii="Amiri" w:hAnsi="Amiri" w:eastAsia="Amiri" w:cs="Amiri"/>
          <w:color w:val="111111"/>
          <w:sz w:val="28"/>
          <w:sz w:val="28"/>
          <w:szCs w:val="28"/>
          <w:rtl w:val="true"/>
          <w:lang w:bidi="ar-SA"/>
        </w:rPr>
        <w:t xml:space="preserve">وَ حم السَّجْدَةُ وَ النَّجْمُ وَ سُورَةُ اقْرَأْ بِاسْمِ 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تَمَسَّ الْقُرْآنَ إِذَا كُنْتَ جُنُباً أَوْ عَلَي غَيْرِ وُضُوءٍ وَ مَسِّ الْوَرَقَ‌</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وَ مَنْ خَرَجَ مِنْ إِحْلِيلِهِ بَعْدَ الْغُسْلِ شَيْ‌ءٌ وَ قَدْ كَانَ بَالَ قَبْلَ أَنْ يَغْتَسِلَ فَلَا شَيْ‌ءَ عَلَيْهِ وَ إِنْ لَمْ يَكُنْ بَالَ قَبْلَ أَنْ يَغْتَسِلَ فَلْيُعِدِ الْغُسْلَ وَ لَا بَأْسَ بِتَبْعِيضِ الْغُسْلِ تَغْسِلُ يَدَيْكَ وَ فَرْجَكَ وَ رَأْسَكَ وَ تُؤَخِّرُ غَسْلَ جَسَدِكَ إِذَا أَرَدْتَ ذَلِكَ فَإِنْ أَحْدَثْتَ حَدَثاً مِنْ بَوْلٍ أَوْ غَائِطٍ أَوْ رِيحٍ بَعْدَ مَا غَسَلْتَ رَأْسَكَ مِنْ قَبْلِ أَنْ تَغْسِلَ جَسَدَكَ فَأَعِدِ الْغُسْلَ مِنْ أَوَّلِهِ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يَدْخُلِ الْحَائِضُ وَ الْجُنُبُ الْمَسْجِدَ إِلَّا مُجْتَازَيْنِ وَ لَهُمَا أَنْ يَأْخُذَا مِنْهُ وَ لَيْسَ لَهُمَا أَنْ يَضَعَا فِيهِ شَيْئاً لِأَنَّ مَا فِيهِ لَا يَقْدِرُ عَلَي أَخْذِهِ مِنْ غَيْرِهِ وَ إِنِ احْتَلَمْتَ فِي مَسْجِدٍ مِنَ الْمَسَاجِدِ فَاخْرُجْ مِنْهُ وَ اغْتَسِلْ إِلَّا أَنْ يَكُونَ احْتِلَامُكَ فِي الْمَسْجِدِ الْحَرَامِ أَوْ فِي مَسْجِدِ الرَّسُولِ صلي الله عليه و آله فَإِنَّكَ إِذَا احْتَلَمْتَ فِي أَحَدِ هَذَيْنِ الْمَسْجِدَيْنِ تَيَمَّمْتَ وَ خَرَجْتَ وَ لَمْ تَمْشِ فِيهِمَا إِلَّا مُتَيَمِّماً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الْجُنُبُ إِذَا عَرِقَ فِي ثَوْبِهِ فَإِنْ كَانَتِ الْجَنَابَةُ مِنْ حَلَالٍ فَحَلَالٌ الصَّلَاةُ فِيهِ وَ إِنْ كَانَتْ مِنْ حَرَامٍ فَحَرَامٌ الصَّلَاةُ فِيهِ‌</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منظور پاک کردن اعضای</w:t>
      </w:r>
    </w:p>
    <w:p>
      <w:pPr>
        <w:pStyle w:val="BookText"/>
        <w:rPr/>
      </w:pPr>
      <w:r>
        <w:rPr>
          <w:rFonts w:ascii="IRNazanin" w:hAnsi="IRNazanin" w:eastAsia="IRNazanin"/>
          <w:color w:val="111111"/>
          <w:sz w:val="28"/>
          <w:sz w:val="28"/>
          <w:szCs w:val="28"/>
          <w:rtl w:val="true"/>
          <w:lang w:bidi="fa-IR"/>
        </w:rPr>
        <w:t>ظاهری است نه باطنی؛ امّا جایز نیست قبل از غسل چیزی بخوری یا بنوشی مگر اینکه دست هایت را شسته و آب را در دهانت مضمضه و در بینی ات استنشاق کنی، و اگر قبل از انجام دادن کارهای مذکور چیزی را بخوری یا بنوشی بیم آن می رود که دچار مرض پیسی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است که اگر جنب یکباره و به صورت کامل زیر آب برود، این کار او را از انجام غسل کفایت می کند، و اگر در طول یک شبانه روز چندین بار دچار جنابت گشتی، یک غسل تو را کفایت می کند؛ مگر اینکه بعد از غسل جنب و یا محتلم شده باشی، پس اگر محتلم گشتی با همسرت نزدیکی نمی کنی تا اینکه غسل احتلام را به جا آوری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خداوند و قرائت قرآن برای جنب و حائض ایراد ندارد، غیر از چهار سوره ای که در آن ها سجده وجود دارد 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لقمان</w:t>
      </w:r>
      <w:r>
        <w:rPr>
          <w:rStyle w:val="FootnoteAnchor"/>
          <w:rtl w:val="true"/>
        </w:rPr>
        <w:footnoteReference w:id="38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حم السجده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النجم، و سوره اقراء باسم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جنب و یا بی وضو بودی قرآن را لمس نکن، ولی ورقه ها را لمس کن</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اگر بعد از غسل مایعی از مخرج بول کسی خارج شود و قبل از غسل بول کرده باشد چیزی بر او واجب نیست، ولی اگر قبل از غسل بول نکرده باشد باید غسل را تکرار کند، و اشکالی در انجام دادن اعمال غسل به صورت جدا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فرج و سرت را می شویی، و اگر بخواهی می توانی شستن بدنت را به تأخیر اندازی، پس اگر بعد از شستن سر و قبل از شستن بدن بول یا مدفوع کردی و یا بادی از شکمت خارج شد، غسل را از اوّل تکرار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حائض و جُنب اجازه ورود به مسجد را ندارند مگر به قصد گذر از آن، و می توانند چیزی را از مسجد بردارند ولی اجازه گذاشتن چیزی را در آن ندارند، چرا که آنچه در آن است را نمی تواند از جای دیگر برگیرد؛ و اگر در یکی از مساجد محتلم گشتی، از آن خارج شده و غسل کن، مگر اینکه در مسجد الحرام یا مسجد النبی صلّی الله علیه و آله دچار احتلام شوی، پس اگر در یکی از این دو مسجد محتلم گشتی تیمّم می کنی و خارج می شوی، و در آن ها جز با تیمّم راه نمی روی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جنب اگر در لباس خویش عرق کند و از راه حلال دچار جنابت شده باشد، نماز خواندن با آن لباس حلال است، ولی اگر از راه حرام دچار جنابت شده باشد، نماز خواندن با آن لباس حرام است</w:t>
      </w:r>
      <w:r>
        <w:rPr>
          <w:rFonts w:eastAsia="IRNazanin" w:cs="IRNazanin"/>
          <w:color w:val="111111"/>
          <w:sz w:val="28"/>
          <w:szCs w:val="28"/>
          <w:rtl w:val="true"/>
          <w:lang w:bidi="fa-IR"/>
        </w:rPr>
        <w:t>.</w:t>
      </w:r>
      <w:r>
        <w:rPr>
          <w:rStyle w:val="FootnoteAnchor"/>
          <w:rtl w:val="true"/>
        </w:rPr>
        <w:footnoteReference w:id="390"/>
      </w:r>
      <w:bookmarkStart w:id="736" w:name="pg13517_329105"/>
    </w:p>
    <w:p>
      <w:pPr>
        <w:pStyle w:val="Heading3"/>
        <w:numPr>
          <w:ilvl w:val="2"/>
          <w:numId w:val="1"/>
        </w:numPr>
        <w:rPr/>
      </w:pPr>
      <w:bookmarkStart w:id="737" w:name="__RefHeading___Toc605594_1934241801"/>
      <w:bookmarkStart w:id="738" w:name="_Toc341"/>
      <w:bookmarkEnd w:id="736"/>
      <w:bookmarkEnd w:id="737"/>
      <w:r>
        <w:rPr>
          <w:rtl w:val="true"/>
        </w:rPr>
        <w:t xml:space="preserve">باب </w:t>
      </w:r>
      <w:r>
        <w:rPr/>
        <w:t>4</w:t>
      </w:r>
      <w:r>
        <w:rPr>
          <w:rtl w:val="true"/>
        </w:rPr>
        <w:t xml:space="preserve"> </w:t>
      </w:r>
      <w:r>
        <w:rPr>
          <w:rtl w:val="true"/>
        </w:rPr>
        <w:t>غسل الحيض و الاستحاضة و النفاس عللها و آدابها و أحكامها</w:t>
      </w:r>
      <w:bookmarkEnd w:id="738"/>
    </w:p>
    <w:p>
      <w:pPr>
        <w:pStyle w:val="Heading4"/>
        <w:numPr>
          <w:ilvl w:val="3"/>
          <w:numId w:val="1"/>
        </w:numPr>
        <w:rPr/>
      </w:pPr>
      <w:bookmarkStart w:id="739" w:name="__RefHeading___Toc605596_1934241801"/>
      <w:bookmarkStart w:id="740" w:name="_Toc342"/>
      <w:bookmarkEnd w:id="739"/>
      <w:r>
        <w:rPr>
          <w:rtl w:val="true"/>
        </w:rPr>
        <w:t>الآيات</w:t>
      </w:r>
      <w:bookmarkEnd w:id="740"/>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يَسْئَلُونَكَ عَنِ الْمَحِيضِ قُلْ هُوَ أَذيً فَاعْتَزِلُوا النِّساءَ فِي الْمَحِيضِ وَ لا تَقْرَبُوهُنَّ حَتَّي يَطْهُرْنَ فَإِذا تَطَهَّرْنَ فَأْتُوهُنَّ مِنْ حَيْثُ أَمَرَكُمُ اللَّهُ إِنَّ اللَّهَ يُحِبُّ التَّوَّابِينَ وَ يُحِبُّ الْمُتَطَهِّرِينَ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نِساؤُكُمْ حَرْثٌ لَكُمْ فَأْتُوا حَرْثَكُمْ أَنَّي شِئْتُمْ وَ قَدِّمُوا لِأَنْفُسِكُمْ وَ اتَّقُوا اللَّهَ وَ اعْلَمُوا أَنَّكُمْ مُلاقُوهُ وَ بَشِّرِ الْمُؤْمِنِينَ‌</w:t>
      </w:r>
      <w:r>
        <w:rPr>
          <w:rStyle w:val="FootnoteAnchor"/>
          <w:rtl w:val="true"/>
        </w:rPr>
        <w:footnoteReference w:id="391"/>
      </w:r>
    </w:p>
    <w:p>
      <w:pPr>
        <w:pStyle w:val="Heading4"/>
        <w:numPr>
          <w:ilvl w:val="3"/>
          <w:numId w:val="1"/>
        </w:numPr>
        <w:rPr/>
      </w:pPr>
      <w:bookmarkStart w:id="741" w:name="__RefHeading___Toc605598_1934241801"/>
      <w:bookmarkStart w:id="742" w:name="_Toc343"/>
      <w:bookmarkEnd w:id="741"/>
      <w:r>
        <w:rPr>
          <w:rtl w:val="true"/>
        </w:rPr>
        <w:t>تفسير</w:t>
      </w:r>
      <w:bookmarkEnd w:id="742"/>
    </w:p>
    <w:p>
      <w:pPr>
        <w:pStyle w:val="BookText"/>
        <w:rPr/>
      </w:pPr>
      <w:r>
        <w:rPr>
          <w:rFonts w:ascii="Amiri" w:hAnsi="Amiri" w:eastAsia="Amiri" w:cs="Amiri"/>
          <w:color w:val="111111"/>
          <w:sz w:val="28"/>
          <w:sz w:val="28"/>
          <w:szCs w:val="28"/>
          <w:rtl w:val="true"/>
          <w:lang w:bidi="ar-SA"/>
        </w:rPr>
        <w:t>المحيض يكون مصدرا تقول حاضت المرأة محيضا و اسم زمان أي مدة الحيض و اسم مكان أي محل الحيض و هو القبل‌</w:t>
      </w:r>
      <w:r>
        <w:rPr>
          <w:rStyle w:val="FootnoteAnchor"/>
          <w:rtl w:val="true"/>
        </w:rPr>
        <w:footnoteReference w:id="392"/>
      </w:r>
      <w:r>
        <w:rPr>
          <w:rFonts w:ascii="Amiri" w:hAnsi="Amiri" w:eastAsia="Amiri" w:cs="Amiri"/>
          <w:color w:val="111111"/>
          <w:sz w:val="28"/>
          <w:sz w:val="28"/>
          <w:szCs w:val="28"/>
          <w:rtl w:val="true"/>
          <w:lang w:bidi="ar-SA"/>
        </w:rPr>
        <w:t>و المحيض الأول في الآية بالمعني الأول أي يسألونك عن الحيض و أحواله و السائل أبو الدحداح في جمع من الصحابة كما قيل و قوله تعالي قُلْ هُوَ أَذيً أي هو أمر مستقذر مؤذ ينفر الطبع عنه و الاعتزال التنحي عن الشي‌ء و أما المحيض الثاني فيحتمل كلا من المعاني الثلاثة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تعالي وَ لا تَقْرَبُوهُنَّ حَتَّي يَطْهُرْنَ تأكيد للأمر بالاعتزال</w:t>
      </w:r>
    </w:p>
    <w:p>
      <w:pPr>
        <w:pStyle w:val="Heading3"/>
        <w:numPr>
          <w:ilvl w:val="2"/>
          <w:numId w:val="1"/>
        </w:numPr>
        <w:rPr/>
      </w:pPr>
      <w:bookmarkStart w:id="743" w:name="__RefHeading___Toc605600_1934241801"/>
      <w:bookmarkStart w:id="744" w:name="_Toc344"/>
      <w:bookmarkEnd w:id="743"/>
      <w:r>
        <w:rPr>
          <w:rtl w:val="true"/>
        </w:rPr>
        <w:t>باب چهارم</w:t>
      </w:r>
      <w:r>
        <w:rPr>
          <w:rtl w:val="true"/>
        </w:rPr>
        <w:t xml:space="preserve">: </w:t>
      </w:r>
      <w:r>
        <w:rPr>
          <w:rtl w:val="true"/>
        </w:rPr>
        <w:t>غسل حیض، استحاضه، نفاس و علل، آداب و احکام آن ها</w:t>
      </w:r>
      <w:bookmarkEnd w:id="744"/>
    </w:p>
    <w:p>
      <w:pPr>
        <w:pStyle w:val="Heading4"/>
        <w:numPr>
          <w:ilvl w:val="3"/>
          <w:numId w:val="1"/>
        </w:numPr>
        <w:rPr/>
      </w:pPr>
      <w:bookmarkStart w:id="745" w:name="__RefHeading___Toc605602_1934241801"/>
      <w:bookmarkStart w:id="746" w:name="_Toc345"/>
      <w:bookmarkEnd w:id="745"/>
      <w:r>
        <w:rPr>
          <w:rtl w:val="true"/>
        </w:rPr>
        <w:t>آیات</w:t>
      </w:r>
      <w:bookmarkEnd w:id="7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یسْأَلُونَکَ عَنِ الْمَحِیضِ قُلْ هُوَ أَذًی فَاعْتَزِلُوا النِّسَاءَ فِی الْمَحِیضِ وَ لَا تَقْرَبُوهُنَّ حَتَّی یَطْهُرْنَ فَإِذَا تَطَهَّرْنَ فَأْتُوهُنَّ مِنْ حَیْثُ أَمَرَکُمُ اللَّهُ إِنَّ اللَّهَ یُحِبُّ التَّوَّابِینَ وَ یُحِبُّ الْمُتَطَهِّرِینَ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نِسَاؤُکُمْ حَرْثٌ لَکُمْ فَأْتُوا حَرْثَکُمْ أَنَّی شِئْتُمْ وَ قَدِّمُوا لِأَنْفُسِکُمْ وَ اتَّقُوا اللَّهَ وَ اعْلَمُوا أَنَّکُمْ مُلَاقُوهُ وَ بَشِّرِ الْمُؤْمِنِینَ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درباره عادت ماهانه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پرسند، بگو آن رنجی است، پس هنگام عادت ماهانه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کناره گیری کنید و به آنان نزدیک نشوید تا پاک شوند، پس چون پاک شدند از همان جا که خدا به شما فرمان داده است با آنان آمیزش کنید، خداوند توبه کاران و پاکیزگان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شما کشتزار شما هستند، پس از 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خواهید به کشتزار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آیید و آن ها را برای خودتان مقدّم دارید و از خدا پروا کنید و بدانید که او را دیدار خواهید کرد و مومنان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ده</w:t>
      </w:r>
      <w:r>
        <w:rPr>
          <w:rFonts w:eastAsia="IRNazanin" w:cs="IRNazanin"/>
          <w:color w:val="111111"/>
          <w:sz w:val="28"/>
          <w:szCs w:val="28"/>
          <w:rtl w:val="true"/>
          <w:lang w:bidi="fa-IR"/>
        </w:rPr>
        <w:t>}.</w:t>
      </w:r>
    </w:p>
    <w:p>
      <w:pPr>
        <w:pStyle w:val="Heading4"/>
        <w:numPr>
          <w:ilvl w:val="3"/>
          <w:numId w:val="1"/>
        </w:numPr>
        <w:rPr/>
      </w:pPr>
      <w:bookmarkStart w:id="747" w:name="__RefHeading___Toc605604_1934241801"/>
      <w:bookmarkStart w:id="748" w:name="_Toc346"/>
      <w:bookmarkEnd w:id="747"/>
      <w:r>
        <w:rPr>
          <w:rtl w:val="true"/>
        </w:rPr>
        <w:t>تفسیر</w:t>
      </w:r>
      <w:bookmarkEnd w:id="7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 باشد،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حاضت المرأة محیضاً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دچارعادت ماهیانه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می تواند اسم زمان و یا مکان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عادت ماهیانه و یا مکان آن که منظور فرج زن از پیش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آیه به معنای نخست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درباره 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ماهیانه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چگونگی آن می پرسند، و آن گونه که گفته شده سؤال کننده شخصی به اسم أبو الدّحداح بوده که این سؤال را در میان جمعی از صحابه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 مسأله آلوده ای است که آزار دهنده می باشد و طبیعت انسان از آن گریزان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کناره گیری از چیزی؛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می تواند هر سه معنای ذکر شده را در برداشته 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تَقْرَبُوهُنَّ حَتَّی 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کناره گیری و دوری از زنان در هنگام حیض </w:t>
      </w:r>
    </w:p>
    <w:p>
      <w:pPr>
        <w:pStyle w:val="BookText"/>
        <w:rPr/>
      </w:pPr>
      <w:r>
        <w:rPr>
          <w:rFonts w:ascii="Amiri" w:hAnsi="Amiri" w:eastAsia="Amiri" w:cs="Amiri"/>
          <w:color w:val="111111"/>
          <w:sz w:val="28"/>
          <w:sz w:val="28"/>
          <w:szCs w:val="28"/>
          <w:rtl w:val="true"/>
          <w:lang w:bidi="ar-SA"/>
        </w:rPr>
        <w:t>و بيان لغايته و قد قرأه حمزة و الكسائي يطهرن بالتشديد أي يتطهرن و ظاهره أن غاية الاعتزال هي الغسل و قرأ الباقون يَطْهُرْنَ بالتخفيف‌</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و أمّا بعد الطهر و قبل الاغتسال، فالآية ساكتة من حكمه، من شاء أن يتزكي فعليه أن يأخذ بمورد الامر، و هو الغسل ثمّ الإتيان، فان اللّه لا يأمر الا بالزكي، و من لم يشأ ذلك فلا 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أَمَرَكُمُ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المراد باتيان النساء هو الايلاج، كأنّه يقسم الإتيان الي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أمر اللّه به بالفطرة، و تعرض للبحث عن أحواله في حالة الحيض في صدر الآية و صرّح به بعد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نِساؤُكُمْ حَرْثٌ لَكُمْ فَأْتُوا حَرْثَكُمْ أَنَّي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الإتيان في القبل، و قسم لم يامر اللّه به و لم ينه عنه، و لو أمر به آمر لكان هو النفس و الشيطان لكونه خلافا للفطرة، و هو الإتيان في المحاش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فحال الإتيان في المحاش في هذه الآية كحال الإتيان في القبل بعد الطهر و قبل التطهر كما عرفت، و من تزكي فانما يتزكي لنفسه، و إلي اللّه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أن غايته انقطاع الدم و الخلاف بين الأمة في ذلك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سبحانه فَإِذا تَطَهَّرْنَ يؤيد القراءة الأولي و الأمر بالإتيان للإباحة كقوله تعالي وَ إِذا حَلَلْتُمْ فَاصْطادُوا</w:t>
      </w:r>
      <w:r>
        <w:rPr>
          <w:rStyle w:val="FootnoteAnchor"/>
          <w:rtl w:val="true"/>
        </w:rPr>
        <w:footnoteReference w:id="394"/>
      </w:r>
      <w:r>
        <w:rPr>
          <w:rFonts w:ascii="Amiri" w:hAnsi="Amiri" w:eastAsia="Amiri" w:cs="Amiri"/>
          <w:color w:val="111111"/>
          <w:sz w:val="28"/>
          <w:sz w:val="28"/>
          <w:szCs w:val="28"/>
          <w:rtl w:val="true"/>
          <w:lang w:bidi="ar-SA"/>
        </w:rPr>
        <w:t>و أما وجوب الإتيان لو كان قد اعتزلها أربعة أشهر مثلا فقد استفيد من خارج‌</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اختلف المفسرون في معني قوله جل شأنه مِنْ حَيْثُ أَمَرَكُمُ اللَّهُ فعن ابن</w:t>
      </w:r>
    </w:p>
    <w:p>
      <w:pPr>
        <w:pStyle w:val="BookText"/>
        <w:rPr/>
      </w:pPr>
      <w:r>
        <w:rPr>
          <w:rFonts w:ascii="IRNazanin" w:hAnsi="IRNazanin" w:eastAsia="IRNazanin"/>
          <w:color w:val="111111"/>
          <w:sz w:val="28"/>
          <w:sz w:val="28"/>
          <w:szCs w:val="28"/>
          <w:rtl w:val="true"/>
          <w:lang w:bidi="fa-IR"/>
        </w:rPr>
        <w:t xml:space="preserve">و بیان غایت آن است، و حمزه و الکسائی این آیه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 اند که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یتطهّرن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این اساس کناره گیری از جماع با زنان با انجام غسل پایان می پذیرد، ولی دیگران آیه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تخفیف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 که بر اساس آن کناره گیری از جماع با زنان با قطع شدن خونریزی پایان</w:t>
      </w:r>
    </w:p>
    <w:p>
      <w:pPr>
        <w:pStyle w:val="BookText"/>
        <w:rPr/>
      </w:pPr>
      <w:r>
        <w:rPr>
          <w:rFonts w:ascii="IRNazanin" w:hAnsi="IRNazanin" w:eastAsia="IRNazanin"/>
          <w:color w:val="111111"/>
          <w:sz w:val="28"/>
          <w:sz w:val="28"/>
          <w:szCs w:val="28"/>
          <w:rtl w:val="true"/>
          <w:lang w:bidi="fa-IR"/>
        </w:rPr>
        <w:t>می پذیرد، و اختلاف نظر بر سر این مسأله در میان امّت مشهور ا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فرموده خداوند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تطهّرن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نخست را تأیید می کند؛ و امر به رفتن سراغ زنان و آمیزش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بیان مباح بودن آن است، مانند 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حَلَلْتُمْ فَاصْطادُوا</w:t>
      </w:r>
      <w:r>
        <w:rPr>
          <w:rFonts w:eastAsia="IRNazanin" w:cs="IRNazanin"/>
          <w:color w:val="111111"/>
          <w:sz w:val="28"/>
          <w:szCs w:val="28"/>
          <w:rtl w:val="true"/>
          <w:lang w:bidi="fa-IR"/>
        </w:rPr>
        <w:t>»</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از احرام بیرون آمدید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وجوب رفتن سراغ زنان زمانی که مثلا مرد چهار ماه از زن کناره گرفته باشد، از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در تفسیر 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حَیثُ أمَرکم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اختلاف نظر شده اند، </w:t>
      </w:r>
    </w:p>
    <w:p>
      <w:pPr>
        <w:pStyle w:val="BookText"/>
        <w:rPr/>
      </w:pPr>
      <w:r>
        <w:rPr>
          <w:rFonts w:ascii="Amiri" w:hAnsi="Amiri" w:eastAsia="Amiri" w:cs="Amiri"/>
          <w:color w:val="111111"/>
          <w:sz w:val="28"/>
          <w:sz w:val="28"/>
          <w:szCs w:val="28"/>
          <w:rtl w:val="true"/>
          <w:lang w:bidi="ar-SA"/>
        </w:rPr>
        <w:t>عباس أن معناه من حيث أمركم الله بتجنبه حال الحيض و هو الفرج و عن ابن الحنفية أن معناه من قبل النكاح دون السفاح و عن الزجاج معناه من الجهات التي يحل فيها الوطء لا ما لا يحل كوطيهن و هن صائمات أو محرمات أو معتكفات و الأول مختار الطبرسي رحمه الله إِنَّ اللَّهَ يُحِبُّ التَّوَّابِينَ أي عن الذنوب وَ يُحِبُّ الْمُتَطَهِّرِينَ أي المتنزهين عن الأقذار كمجامعة الحائض مثلا و قيل التوابين عن الكبائر و المتطهرين عن الصغائر و قد مر تأويل آخر في صدر 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الحرث قد يفسر بالزرع تشبيها لما يلقي في أرحامهن من النطف بالبذر و قال أبو عبيدة كني سبحانه بالحرث عن الجماع أي محل حرث لكم و قد جاء في اللغة الحرث بمعني الكسب و من هنا قال بعض المفسرين معني حرث لكم أي ذوات حرث تحرثون منهن الولد و اللذة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سبحانه أَنَّي شِئْتُمْ قد اختلف في تفسيره فقيل معناه من أي موضع شئتم ففيها دلالة علي جواز إتيان المرأة في دبرها و عليه أكثر علمائنا و وافقهم مالك و سيأتي تحقيق المسألة في كتاب النكاح إن شاء الله و قيل معناه من أي جهة شئتم لما روي من أن اليهود كانوا يقولون من جامع امرأته من دبرها في قبلها يكون ولدها أحول فذكر ذلك للنبي صلي الله عليه و آله فنزلت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معناه متي شئتم و استدل به علي جواز الوطء بعد انقطاع الحيض و قبل الغسل لشمول لفظة أني جميع الأوقات إلا ما خرج بدليل كوقت الحيض و الصوم و اعترض علي هذا الوجه بأن القول بمجي‌ء أني بمعني متي يحتاج إلي شاهد و لم يثبت بل قال الطبرسي رحمه الله إنه خطأ عند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قَدِّمُوا لِأَنْفُسِكُمْ‌</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و انما عبر كذلك لان الولد ان سقط أو مات في الصغر كان فرطا له علي الحوض و أوجر بمصيبته الجنة، و ان بقي؛ فان كان طالحا كان وزره علي نفسه، و ان كان صالحا نفعه صلاحه، و المال و البنون زينة الحياة الدنيا و الباقيات الصالحات خير عند ربك ثوابا و خير أملا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قدموا الأعمال الصالحة التي أمرتم بها،</w:t>
      </w:r>
    </w:p>
    <w:p>
      <w:pPr>
        <w:pStyle w:val="BookText"/>
        <w:rPr/>
      </w:pPr>
      <w:r>
        <w:rPr>
          <w:rFonts w:ascii="IRNazanin" w:hAnsi="IRNazanin" w:eastAsia="IRNazanin"/>
          <w:color w:val="111111"/>
          <w:sz w:val="28"/>
          <w:sz w:val="28"/>
          <w:szCs w:val="28"/>
          <w:rtl w:val="true"/>
          <w:lang w:bidi="fa-IR"/>
        </w:rPr>
        <w:t>از ابن عبّاس روایت شده که معنای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جایی که خداوند به شما فرمان داده است به کناره گیری از آن در حال حیض، که مقصود همان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شرمگاه زنان از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ابوحنفیّه روایت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و به صورت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فحشا و زنا؛ از الزجاج نیز روایت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هایی که نزدیکی و مقاربت در آن ها حلال است نه زمان هایی که حرام است، مانند نزدیکی کردن با زنان در حالی که روزه دار هستند و یا در حال احرام و یا اعتکاف به سر می برند؛ و طبرسی رحمه الله تفسیر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التوّابین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توبه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دوست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یحبّ المتطهّرین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خود را از آلودگی ها دور و منزّه نگاه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آلودگی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با حائض،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کنندگان از گناهان کبیره و پاکان از گناهان صغیره؛ همچنین تفسیر دیگری از این آیه در صدر کتاب طهارت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زراعت تفسیر شده است، آن نیز به خاطر تشبیه کردن نطفه ای که مردان در رحم زنان می ریزند به بذری که در زمین کاشته می شود؛ و ابوعبیده گوید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کنایه از جماع و نزدیکی آورده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محلّ جماع و نزدیکی برای شما هستند؛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کسب و منفعت نیز آمده است، و از این روست که یکی از مفسّران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حرث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برای شما دارای سود و منفعت هستند و شما از آنان بچه و لذّت کسب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تفسیر 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اختلاف نظر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هر جایی و مکانی که می 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زنان نزدیکی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این آیه دلالتی است بر جواز نزدیکی با زن از پشت، و بیشتر علمای ما بر این نظرند و مالک نیز با آنان موافق بوده است، تحقیق درباره این مسأله در کتاب نکاح ذکر خواهد شد إن شاء الله؛ و گفته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سویی که می خواهید، به خاطر اینکه روایت شده است که یهودیان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از پشت به نزدیکی با پیشِ زن اقدام کند فرزندش دارای چشمانی لوچ خواهد بود، این روایت برای پیامبرصلّی الله و علیه و آله ذکر شد، پس این آیه در ردّ سخن آنان نازل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می خواهید،</w:t>
      </w:r>
    </w:p>
    <w:p>
      <w:pPr>
        <w:pStyle w:val="BookText"/>
        <w:rPr/>
      </w:pPr>
      <w:r>
        <w:rPr>
          <w:rFonts w:ascii="IRNazanin" w:hAnsi="IRNazanin" w:eastAsia="IRNazanin"/>
          <w:color w:val="111111"/>
          <w:sz w:val="28"/>
          <w:sz w:val="28"/>
          <w:szCs w:val="28"/>
          <w:rtl w:val="true"/>
          <w:lang w:bidi="fa-IR"/>
        </w:rPr>
        <w:t xml:space="preserve">وبا این آیه به جواز جماع و نزدیکی با زنان بعد از قطع شدن خونریزی و قبل از غسل استدلال شده است، چرا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تمام اوقات غیر از اوقاتی که به دلیلی از دایره شمول آن خارج هستند، مانند زمان حیض و روزه داری، اطلاق می شود؛ و اعتراضی به این معنا صورت گرفته که پذیرش این نکته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باشد ثابت نشده است و به شاهد و دلیل نیاز دارد، بلکه طبرسی رحمة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نزد زبان شناسان خطا به شمار می آید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قدّموا لأنفسکم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صالحی که به انجام آن ها فرمان داده شده </w:t>
      </w:r>
    </w:p>
    <w:p>
      <w:pPr>
        <w:pStyle w:val="BookText"/>
        <w:rPr/>
      </w:pPr>
      <w:r>
        <w:rPr>
          <w:rFonts w:ascii="Amiri" w:hAnsi="Amiri" w:eastAsia="Amiri" w:cs="Amiri"/>
          <w:color w:val="111111"/>
          <w:sz w:val="28"/>
          <w:sz w:val="28"/>
          <w:szCs w:val="28"/>
          <w:rtl w:val="true"/>
          <w:lang w:bidi="ar-SA"/>
        </w:rPr>
        <w:t>و رغبتم فيها لتكون لكم ذخرا في القيامة و قيل المراد بالتقديم طلب الولد الصالح و السعي في حصوله و قيل المراد تقديم التسمية عند الجماع و قيل تقديم الدعاء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أَنَّكُمْ مُلاقُوهُ أي ملاقو ثوابه إن أطعتم و عقابه إن عصيتم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البهائي رحمه الله قد استنبط بعض المتأخرين من الآية الأولي أحكاما ثلاثة أولها أن دم الحيض نجس لأن الأذي بمعني المستقذر و ثانيها أن نجاسته مغلظة لا يعفي عن قليلها أعني ما دون الدرهم للمبالغة المفهومة من قوله سبحانه هو أذي و ثالثها أن من الأحداث الموجبة للغسل لإطلاق الطهارة المتعلقة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دلالة الآية علي هذه الأحكام نظر أما الأولان فلعدم نجاسة كل مستقذر فإن القيح و القي‌ء من المستقذرات و هما طاهران عندنا و أيضا فهذا المستنبط قائل كغيره من المفسرين بإرجاع الضمير في قوله تعالي هُوَ أَذيً إلي المحيض بالمعني المصدري لا إلي الدم و ارتكاب الاستخدام فيه مجرد احتمال لم ينقل عن المفسرين فكيف يستنبط منه 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فلان الآية غير دالة علي الأمر بالغسل بشي‌ء من الدلالات و لا سبيل إلي استفادة وجوبه عن كونه مقدمة للواجب أعني تمكين الزوج من الوطء لأن جمهور فقهائنا رضوان الله عليهم علي جوازه قبل الغسل بعد النقاء</w:t>
      </w:r>
    </w:p>
    <w:p>
      <w:pPr>
        <w:pStyle w:val="BookText"/>
        <w:rPr/>
      </w:pPr>
      <w:r>
        <w:rPr>
          <w:rFonts w:ascii="IRNazanin" w:hAnsi="IRNazanin" w:eastAsia="IRNazanin"/>
          <w:color w:val="111111"/>
          <w:sz w:val="28"/>
          <w:sz w:val="28"/>
          <w:szCs w:val="28"/>
          <w:rtl w:val="true"/>
          <w:lang w:bidi="fa-IR"/>
        </w:rPr>
        <w:t xml:space="preserve">و ترغیب شده اید را پیش فرستید تا اندوخته ای باشد برای شما در قیامت؛ و گفته شده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فرستادن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طلب فرزند صالح و تلاش در حصول آن است؛ هم چنین گفته شده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پیش انداختن دعا هنگام جماع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أنّکُم مُلاقوه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را اطاعت کنید ثوابش و اگر نافرمانی اش کنید مجازاتش را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متأخّرین از آیه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ویسألونک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 المتطهرین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حکم را استنباط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حیض نجس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آلودگی و پلیدی است،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نجاستِ خون حیض بسیار شدید است و از اندکِ آن نیز چشم پوشی نمی شود، منظورم مقداری کمتر از اندازه یک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امر به خاطر مبالغه ای است که از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 شود،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 از جمله اموری است که غسل را واجب می گرداند، چرا که از طهارت متعلق به آن سخن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دلالت این آیه بر احکام مذکور تأمّل و درنگی وجود دارد، امّا دو حکم نخست به خاطر عدم نجاست هر نوع آلودگی و پلیدی، چه که خونابه و قی از جمله آلودگی ها به شمار می آیند حال آنکه به نظر ما پاک هستند، و همچنین این استنباط مانند تفسیر های دیگر قائل به ارجاع ضمیر در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مصدری آن و نه خون حیض است، و استخدام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مصدری آن تنها یک احتمال است که از مفسّران نقل نشده است، پس چگونه امکان استنباط حکم شرعی از آن وجود 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حکم سوّم به خاطر اینکه آیه به هیچ شیوه ای بر امر به غسل دلالت نمی کند و هیچ راهی برای استنباط این نکته که غسل به خاطر مقدّمه بودن برای یک امر واجب، واجب می باشد وجود ندارد، منظور از مقدّمه بودن برای یک امر واجب فراهم کردن زمینه برای نزدیکی مرد است، چرا که جمهور فقیهان ما رضوان الله علیهم بر جواز جماع قبل از غسل و بعد از پاک شدن از خونریزی اتفاق نظر دارند، </w:t>
      </w:r>
    </w:p>
    <w:p>
      <w:pPr>
        <w:pStyle w:val="BookText"/>
        <w:rPr/>
      </w:pPr>
      <w:r>
        <w:rPr>
          <w:rFonts w:ascii="IRNazanin" w:hAnsi="IRNazanin" w:eastAsia="IRNazanin"/>
          <w:color w:val="111111"/>
          <w:sz w:val="28"/>
          <w:sz w:val="28"/>
          <w:szCs w:val="28"/>
          <w:rtl w:val="true"/>
          <w:lang w:bidi="fa-IR"/>
        </w:rPr>
        <w:t>فلا تغفل‌</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اعلم أنه اختلفت الأمة في المراد بالاعتزال في الآية فقال فريق منهم المراد ترك الوطء لا غير لما روي من أن أهل الجاهلية كانوا يجتنبون مؤاكلة الحيض و مشاربتهن و مساكنتهن كفعل اليهود و المجوس فلما نزلت الآية الكريمة عمل المسلمون بظاهر الاعتزال لهن و عدم القرب منهن فأخرجوهن من بيوتهم فَقَالَ نَاسٌ مِنَ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الْبَرْدُ شَدِيدٌ وَ الثِّيَابُ قَلِيلَةٌ فَإِنْ آثَرْنَاهُنَّ بِالثِّيَابِ هَلَكَ سَائِرُ أَهْلِ الْبَيْتِ وَ إِنِ اسْتَأْثَرْنَا بِهَا هَلَكَ الْحَيْضُ فَقَالَ صلي الله عليه و آله إِنَّمَا أُمِرْتُمْ أَنْ تَعْتَزِلُوا مُجَامَعَتَهُنَّ إِذَا حِضْنَ وَ لَمْ يَأْمُرْكُمْ بِإِخْرَاجِهِنَّ مِنَ الْبُيُوتِ كَفِعْلِ الْأَعَاجِمِ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علمائنا قائلون بذلك و يخصون الوطء المحرم بالوطء في موضع الدم أعني القبل لا غير و يجوزون الاستمتاع بما عداه و وافقهم أحمد بن حنبل و قال السيد المرتضي رضي الله عنه يحرم علي زوجها الاستمتاع بما بين سرتها و ركبتها و وافقه بقية أصحاب المذاهب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العلامة طاب ثراه علي ذلك في المنتهي بما حاصله أن المحيض في قوله تعالي فَاعْتَزِلُوا النِّساءَ فِي الْمَحِيضِ إما أن يراد به المعني المصدري أو زمان الحيض أو مكانه و علي الأول يحتاج إلي الإضمار إذ لا معني لكون المعني المصدري ظرفا للاعتزال فلا بد من إضمار زمانه أو مكانه لكن الإضمار خلاف الأصل و علي تقديره إضمار المكان أولي إذ إضمار الزمان يقتضي بظاهره</w:t>
      </w:r>
    </w:p>
    <w:p>
      <w:pPr>
        <w:pStyle w:val="BookText"/>
        <w:rPr/>
      </w:pPr>
      <w:r>
        <w:rPr>
          <w:rFonts w:ascii="IRNazanin" w:hAnsi="IRNazanin" w:eastAsia="IRNazanin"/>
          <w:color w:val="111111"/>
          <w:sz w:val="28"/>
          <w:sz w:val="28"/>
          <w:szCs w:val="28"/>
          <w:rtl w:val="true"/>
          <w:lang w:bidi="fa-IR"/>
        </w:rPr>
        <w:t>پس آگاه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بدان که امّت بر سر مقصود آیه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اختلاف نظر شده اند، گروهی از آنان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ترک جماع و نزدیکی است و نه غیر آن، چه که روایت شده است که در عصر جاهلیّت مردم از خوردن غذا و نوشیدن آشامیدنی و همنشینی با زنان حائض اجتناب می ورزیدند، مانند آنچه که یهودیان و مجوسیان انجام می دادند، پس آن گاه که این آیه کریمه نازل شد مسلمانان به کناره گیری از زنان حائض و عدم نزدیک شدن به آنان عمل کردند، بنابراین زنان حائض را از خانه های خویش بیرون راندند و عدّه ای از اعراب بادیه نشین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سرما شدید است و لباس ها برای پوشیدن اندک، پس اگر زنان حائض را در پوشیدن لباس ها برتری دهیم سایر اعضاء خانواده هلاک خواهند شد و اگر خود را در پوشیدن لباس ها برتری دهیم زنان حائض هلاک خواهند شد،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فرمان داده شده که هنگام حیض از جماع با زنان دوری گزینید، نه اینکه آنان را از خانه ها بیرون برانید آن گونه که اعجمی ها چنین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بیشتر علمای ما قائل به این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جماع و نه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فقط جماع از طریق مکانی که خون از آن جاری می شود را حرام دانسته اند و مقصود از آن مکان، فرج زنان از پیش است و بهره مند شدن و لذت جستن از سایر اعضای زنان را جایز می دانند، احمد بن حنبل نیز در این نظر با علمای ما موافق است، سید مرتضی رضی الله عنه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جستن از ما بین ناف و زانوی زن حائض برای شوهرش حرام است؛ و دیگر اصحاب مذاهب اربعه نیز در این نظر با سید مرتضی موافق هستند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تربتش پاک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المنتهی به این نکته استدلال کرده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فاعتزلوا النساء فی المحیض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معنای مصدری حیض است یا زمان و مکان آن؛ بر اساس معنای نخست نیاز به اضمار آن احساس می شود، چه که بی معناست معنای مصدری، ظرف برای اعتزال باشد، پس ناگزیر باید زمان و مکان آن پنهان بماند، ولی إضمار خلاف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تقدیر علّامه اضمار مکان أولی است، چرا که اضمار زمان </w:t>
      </w:r>
    </w:p>
    <w:p>
      <w:pPr>
        <w:pStyle w:val="BookText"/>
        <w:rPr/>
      </w:pPr>
      <w:r>
        <w:rPr>
          <w:rFonts w:ascii="Amiri" w:hAnsi="Amiri" w:eastAsia="Amiri" w:cs="Amiri"/>
          <w:color w:val="111111"/>
          <w:sz w:val="28"/>
          <w:sz w:val="28"/>
          <w:szCs w:val="28"/>
          <w:rtl w:val="true"/>
          <w:lang w:bidi="ar-SA"/>
        </w:rPr>
        <w:t>وجوب اعتزال النساء مدة الحيض بالكلية و هو خلاف الإجماع و بهذا يظهر ضعف الحمل علي الثاني فتعين الثالث و هو المطلوب انتهي ملخص كلامه و للبحث فيه مجال‌</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الاعتزال المأمور به في الآية الكريمة هل هو مغيا بانقطاع الحيض أو الغسل اختلف الأمة في ذلك أما علماؤنا قدس الله أرواحهم فأكثرهم علي الأول و قالوا بكراهة الوطء قبل الغسل فإن غلبته الشهوة أمرها بغسل فرجها استحبابا ثم يطؤها و ذهب الصدوق رحمه الله إلي الثاني فإنه قال بتحريم وطئها قبل الغسل إلا بشرطين أما الأول أن يكون الرجل شبقا و الثاني أن تغسل فرجها و يؤيده قول بعض المفسرين في قوله تعالي فَإِذا تَطَهَّرْنَ فإذا غسلن فرجهن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الطبرسي قدس سره إلي أن حل وطئها مشروط بأن تتوضأ أو تغتسل فرجها و أما أصحاب المذاهب الأربعة سوي أبي حنيفة فعلي تحريم الوطء قبل الغسل و أما هو فذهب إلي حل وطئها قبل الغسل إن انقطع الدم لأكثر الحيض و تحريمه إن انقطع لدون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العلامة في المختلف علي ما عليه أكثر علمائنا بما تضمنته الآية من تخصيص الأمر بالاعتزال بوقت الحيض أو موضع الحيض و إنما يكون موضعا له مع وجوده و التقدير عدمه فينتفي التحريم و بما تقتضيه قراءة التخفيف في يَطْهُرْنَ و جوز أن يحمل التفعل في قوله تعالي فَإِذا تَطَهَّرْنَ علي الفعل كما تقول تطعمت الطعام أي طعمته أو يكون المراد به غسل الفرج هذا ملخص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 الاستدلال بالغاية بأن الطهارة اللغوية و إن حصلت بالخروج</w:t>
      </w:r>
    </w:p>
    <w:p>
      <w:pPr>
        <w:pStyle w:val="BookText"/>
        <w:rPr/>
      </w:pPr>
      <w:r>
        <w:rPr>
          <w:rFonts w:ascii="IRNazanin" w:hAnsi="IRNazanin" w:eastAsia="IRNazanin"/>
          <w:color w:val="111111"/>
          <w:sz w:val="28"/>
          <w:sz w:val="28"/>
          <w:szCs w:val="28"/>
          <w:rtl w:val="true"/>
          <w:lang w:bidi="fa-IR"/>
        </w:rPr>
        <w:t xml:space="preserve">وجوب کناره گیری از زنان را در طول مدّت حیض به صورت کلّی اقتضا می کند، و این بر خلاف نظر اجماع فقهاست، پس به این ترتیب ضعف حمل مسأله بر احتمال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اضمار ظرف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می گردد، پس احتمال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اضمار ظرف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احتمال برتر تعیین می گردد که مطلوب است، پایان خلاصۀ کلام علّامه؛ و تحقیق بیشتر درباره این نظر جا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امّت بر سر اعتزال و دوری جستنی که در آیه کریمه به آن فرمان داده شده اختلاف نظر دارند و اینکه آیا این اعتزال با قطع شدن خونریزی پایان می پذیرد یا با انجام غسل؟ امّا بیشتر علمای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ارواح آن ها را مقدّس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نظر اوّل متّفق هستند و به کراهت جماع قبل از غسل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شهوت بر مردی غلبه کند، از سر استحباب همسرش را به شستن فَرج امر کرده سپس با او نزدیکی می نماید؛ امّا شیخ صدوق رحمه الله تعالی به نظر دوّم اعتقاد دارد و جماع با زنان حائض قبل از غسل را حرام دانسته است جز با محقّق شدن دو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شهوت بر مرد غلبه کرده باشد و دوّم اینکه زن فَرج خود را شسته باشد؛ و تفسیر برخی از مفسّران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شیخ صدوق را تأیید می کند آن گاه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فَرج خویش را 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قدّس سرّه بر این باور است که حلال بودن نزدیکی با زن حائض مشروط بر این است که آن زن یا وضو بگیرد و یا فَرج خود را بشوید، امّا اصحاب مذاهب اربعه جز ابوحنیفه به تحریم جماع قبل از غسل اعتقاد دارند، ولی ابوحنیفه به حلال بودن جماع با زن حائض قبل از غسل اعتقاد دارد به شرط آنکه خونریزی بعد از سپری شدن بیشترین دوره زمانی حیض قطع گردد، امّا اگر خونریزی در مدت زمانی کمتر از آن قطع گردد حکم به تحریم جماع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المختلف با ذکر دو دلیل به استدلال برای نظر بیشتر علمای ما در این زمینه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آیه در مورد دوری گزیدن از حائض بیان کرده است فقط در زمان یا مکان حیض است و این که موضع آن  باشد فقط در صورت وجود خود آن است، و فرض این است که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اقتضای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مخفّف، یعنی با تخفیف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جایز شمرده است که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شود، آن گونه که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تطعّمتُ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چشیدم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چشیدم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یا مقصود از آیه شستن فَرج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کلام علّامه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استدلال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طهارت در معنای لغوی آن با خروج از </w:t>
      </w:r>
      <w:bookmarkStart w:id="749" w:name="pg13517_329111"/>
    </w:p>
    <w:p>
      <w:pPr>
        <w:pStyle w:val="BookText"/>
        <w:rPr/>
      </w:pPr>
      <w:bookmarkEnd w:id="749"/>
      <w:r>
        <w:rPr>
          <w:rFonts w:ascii="Amiri" w:hAnsi="Amiri" w:eastAsia="Amiri" w:cs="Amiri"/>
          <w:color w:val="111111"/>
          <w:sz w:val="28"/>
          <w:sz w:val="28"/>
          <w:szCs w:val="28"/>
          <w:rtl w:val="true"/>
          <w:lang w:bidi="ar-SA"/>
        </w:rPr>
        <w:t>من الدم لكن حصول الطهارة الشرعية ممنوع إذ الحقيقة الشرعية و إن لم تثبت لكن لم يثبت نفيها أيضا و الاحتمال كاف في مقام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لكن لا ترجيح لقراءة التخفيف علي قراءة التشديد و مقتضاها ثبوت التحريم قبل الاغتسال فيجب حمل الطهارة هاهنا علي المعني الشرعي جمعا بين القراءتين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أن الطهارة بمعناها اللغوي لكن وقع التعارض بين المفهوم و المنطوق فالترجيح للثاني مع أنه مؤيد بمفهوم الشرط في قوله تعالي فَإِذا تَطَهَّرْنَ فَأْتُوهُنَ و هذا التأييد مبني علي أن الأمر الواقع بعد الحظر للجواز المطلق كما هو المشهور و أما إذا كان للرجحان فمفهومه انتفاء رجحان الإتيان عند عدم التطهر و هو كذلك عند القائلين بجوازه عند عدمه لكونه مكروها عندهم و كذلك الحال إذا كان الأمر للإباحة بمعني تساوي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القائلون بالتحريم بقراءة التشديد و أورد عليه أنه لم يثبت أن التطهر حقيقة شرعية في المعني الشرعي فيجوز أن يكون المراد به انقطاع الدم أو زيادة التنظيف الحاصل بسبب غسل الفرج سلمنا لكن الطهارة أعم من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دلالة الآية علي شي‌ء من التحريم و الجواز غير واضح فالأحسن العدول عنها إلي الروايات و مقتضاها نظرا إلي قضية الجمع الجواز و الاحتياط طريق النجاة</w:t>
      </w:r>
      <w:r>
        <w:rPr>
          <w:rFonts w:eastAsia="Amiri" w:cs="Amiri" w:ascii="Amiri" w:hAnsi="Amiri"/>
          <w:color w:val="111111"/>
          <w:sz w:val="28"/>
          <w:szCs w:val="28"/>
          <w:rtl w:val="true"/>
          <w:lang w:bidi="ar-SA"/>
        </w:rPr>
        <w:t>.</w:t>
      </w:r>
    </w:p>
    <w:p>
      <w:pPr>
        <w:pStyle w:val="Heading4"/>
        <w:numPr>
          <w:ilvl w:val="3"/>
          <w:numId w:val="1"/>
        </w:numPr>
        <w:rPr/>
      </w:pPr>
      <w:bookmarkStart w:id="750" w:name="__RefHeading___Toc605606_1934241801"/>
      <w:bookmarkStart w:id="751" w:name="_Toc347"/>
      <w:bookmarkEnd w:id="750"/>
      <w:r>
        <w:rPr>
          <w:rtl w:val="true"/>
        </w:rPr>
        <w:t>الأخبار</w:t>
      </w:r>
      <w:bookmarkEnd w:id="751"/>
    </w:p>
    <w:p>
      <w:pPr>
        <w:pStyle w:val="Heading5"/>
        <w:numPr>
          <w:ilvl w:val="4"/>
          <w:numId w:val="1"/>
        </w:numPr>
        <w:rPr/>
      </w:pPr>
      <w:bookmarkStart w:id="752" w:name="__RefHeading___Toc605608_1934241801"/>
      <w:bookmarkStart w:id="753" w:name="_Toc348"/>
      <w:bookmarkEnd w:id="752"/>
      <w:r>
        <w:rPr>
          <w:rtl w:val="true"/>
        </w:rPr>
        <w:t>«</w:t>
      </w:r>
      <w:r>
        <w:rPr/>
        <w:t>1</w:t>
      </w:r>
      <w:r>
        <w:rPr>
          <w:rtl w:val="true"/>
        </w:rPr>
        <w:t>»</w:t>
      </w:r>
      <w:bookmarkEnd w:id="753"/>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أَيَّامِ الْحَيْضِ ثَلَاثَةُ أَيَّامٍ وَ أَكْثَرُهَا عَشَرَةُ أَيَّامٍ فَإِنْ رَأَتِ الدَّمَ يَوْماً أَوْ يَوْمَيْنِ فَلَيْسَ ذَلِكَ مِنَ الْحَيْضِ مَا لَمْ تَرَ الدَّمَ ثَلَاثَةَ أَيَّامٍ مُتَوَالِيَاتٍ وَ عَلَيْهَا أَنْ تَقْضِيَ الصَّلَاةَ الَّتِي تَرَكَتْهَا فِي الْيَوْمِ أَوِ الْيَوْمَيْنِ فَإِنْ رَأَتِ الدَّمَ أَكْثَرَ مِنْ عَشَرَةِ أَيَّامٍ فَلْتَقْعُدْ عَنِ الصَّلَاةِ عَشَرَةَ أَيَّامٍ وَ تَغْتَسِلُ يَوْمَ حَادِيَ عَشْرَةَ وَ تَحْتَشِي فَإِنْ لَمْ يَثْقُبِ الدَّمُ الْكُرْسُفَ صَلَّتْ صَلَوَاتِهَا كُلَّ صَلَاةٍ بِوُضُوءٍ وَ إِنْ ثَقَبَ الدَّمُ الْكُرْسُفَ وَ لَمْ يَسِلْ صَلَّتْ صَلَاةَ اللَّيْلِ وَ صَلَاةَ الْغَدَاةِ بِغُسْلٍ وَ سَائِرَ الصَّلَوَاتِ</w:t>
      </w:r>
    </w:p>
    <w:p>
      <w:pPr>
        <w:pStyle w:val="BookText"/>
        <w:rPr/>
      </w:pPr>
      <w:r>
        <w:rPr>
          <w:rFonts w:ascii="IRNazanin" w:hAnsi="IRNazanin" w:eastAsia="IRNazanin"/>
          <w:color w:val="111111"/>
          <w:sz w:val="28"/>
          <w:sz w:val="28"/>
          <w:szCs w:val="28"/>
          <w:rtl w:val="true"/>
          <w:lang w:bidi="fa-IR"/>
        </w:rPr>
        <w:t>دوره خونریزی حاصل می شود ولی حاصل شدن طهارت در معنای شرعی آن غیر ممکن است، چرا که حقیقت شرعیه است و اگر اثبات نشود امّا نفی آن نیز اثبات نمی شود و احتمال در مقام منع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پذیرفتیم، امّا قرائت آیه با تخفیف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گونه ترجیحی بر قرائت آن با 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مقتضای آن ثابت شدن تحریم جماع قبل از غسل می باشد؛ پس واجب است که در اینجا به خاطر جمع دو قرائت مخفّف و مشدّد، طهارت بر معنای شرعی آن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پذیرفتیم که طهارت در معنای لغوی استعمال شده باشد، امّا در این صورت میان مفهوم و منطوق تعارض پیش می آید، پس ترجیح با مورد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مفهوم شرطی که در این فرموده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تَطَهَّرْنَ فَأْتُوهُنَّ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تأیید شده است، و این تأیید بر پایه این نکته استوار است که امر و دستوری که بعد از ممنوعیت ذکر می شود، آن گونه که مشهور است، به منظور جواز مطلق است، امّا اگر به منظور رجحان باشد، مفهوم آن منتفی بودن رجحان داشتن رفتن نزد زن حائض و نزدیکی با او در صورت عدم حصول طهارت و پاکی است، و مسأله نزد کسانی که به جواز نزدیکی با زن حائض در صورت عدم حصول طهارت و پاکی اعتقاد دارند نیز چنین است، چرا که این امر به نظر آنان مکروه است، همچنین وضعیت هنگام مباح بودن مسأله یعنی تساوی نزدیکی یا عدم نزدیکی قبل از پاک شدن به همین ترتیب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که به تحریم اعتقاد دارند قرائت مشدّد را به عنوان دلیل خود بیان کرده ا ند، ولی اشکالی براین نظر وارد است که پذیرفتن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حقیقتی شرعی که در معنای شرعی آن استعمال شده ثابت نشده است، پس جایز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شدن خونریزی یا زیادت پاکیزگیِ حاصل از شستن فَرج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غسل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فرض بپذیریم امّا معنای طهارت اعمّ از معنای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حقیقت دلالت آیه بر تحریم یا جواز جماع قبل از غسل، واضح و آشکار نیست، پس بهتر آن است که در این زمینه از آیه عدول کرده و به روایات و احادیث مراجعه شود، و مقتضی روایات با توجه به مسئله جمع بین جواز و رعایت احتیاط، راه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ترین دوره زمانی حیض سه روز و بیشترینِ آن ده روز است، پس اگر زنی شاهد خونریزی به مدت یک و یا دو روز باشد، خون حیض نیست مادامی که سه روز متوالی خون را مشاهده نکند، و بر او واجب است که قضای نمازهای ترک شده در آن یک و یا دو روز را به جا آورد، همچنین اگر زنی شاهد خونریزی بیشتر از ده روز باشد، در طول ده روز از خواندن نماز اجتناب می کند و در روز یازدهم غسل می نماید و به پنبه ای که بر فَرج خود نهاده نگاه می کند، پس اگر خون از آن بیرون نزده باشد نمازهای خود را با گرفتن وضو برای هر نماز به جا می آورد و اگر خون از پنبه بیرون زده ولی جاری نشده باشد، نماز شب و صبح را با غسل و سایر نمازها را با وضو به جا می آورد، و اگر خون پنبه را فرا گرفته و جاری شده باشد نماز شب و صبح را با یک غسل و نماز ظهر و عصر را با یک غسل دیگر به جا می آورد، به این ترتیب نماز ظهر را اندکی با تأخیر و نماز عصر را اندکی با تعجیل به جا می آورد، همچنین نماز مغرب و عشاء را نیز با یک غسل واحد به جا می آورد، به این ترتیب که نماز مغرب را با اندکی تأخیر و نماز عشاء را با اندکی تعجیل به جا می آورد، این قواعد تا زمانی است که زن حائض به دوران عادت ماهیانه نرسیده باشد، پس آن گاه که وارد دوران عادت ماهیانه شد نماز خواندن را ترک می کند و هر زنی که در این حالت غسل نماید برای شوهرش حلال است که با او نزدیکی کند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اگر زن حائض بخواهد غسل حیض را به جا آورد، بر او واجب است که استبراء کند، به این ترتیب که تکّه پنبه ای را در فَرج خود وارد می کند، اگر خونی خارج شد، هر چند به اندازه یک سر مگس، غسل نمی کند و اگر خارج نشد غسل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 واجب است که در دوران حیض به هنگام تمام نمازها وضو بگیرد و رو به قبله بنشیند و در هر روز به اندازه تعداد و مقدار نماز خواندنش خداوند را ذکر بگوید، و مایع زرد رنگ در دوران حیض، حیض است ولی در ایّام پاک بودن، پاک ا ست، و خون ناشی از پارگی پرده بکارت از دو لبّه فرج تجاوز نمی کند، ولی خون حیض گرم است و با حرارت بسیار خارج می شود، در صورتی که خون استحاضه سرد است و از فرج زن خارج می شود درحالی که خود آگاه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عُمَیس الخثعمیّه در حجة الوداع محمّد بن ابی بکر را به دنیا آورد، پیامبر صلی الله علیه و آله به او امر فرمود که هجده روز از خواندن نماز دست بکشد، و هر زنی که قبل از این مدّت پاک گردد باید غسل کند و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زن مسلمانی که بر اثر وضع حمل از دنیا برود، برای او در روز قیامت پرونده اعمال گشوده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 نمی گردد</w:t>
      </w:r>
      <w:r>
        <w:rPr>
          <w:rFonts w:eastAsia="IRNazanin" w:cs="IRNazanin"/>
          <w:color w:val="111111"/>
          <w:sz w:val="28"/>
          <w:szCs w:val="28"/>
          <w:rtl w:val="true"/>
          <w:lang w:bidi="fa-IR"/>
        </w:rPr>
        <w:t>).</w:t>
      </w:r>
      <w:r>
        <w:rPr>
          <w:rStyle w:val="FootnoteAnchor"/>
          <w:rtl w:val="true"/>
        </w:rPr>
        <w:footnoteReference w:id="401"/>
      </w:r>
    </w:p>
    <w:p>
      <w:pPr>
        <w:pStyle w:val="Heading4"/>
        <w:numPr>
          <w:ilvl w:val="3"/>
          <w:numId w:val="1"/>
        </w:numPr>
        <w:rPr/>
      </w:pPr>
      <w:bookmarkStart w:id="754" w:name="__RefHeading___Toc605610_1934241801"/>
      <w:bookmarkStart w:id="755" w:name="_Toc349"/>
      <w:bookmarkEnd w:id="754"/>
      <w:r>
        <w:rPr>
          <w:rtl w:val="true"/>
        </w:rPr>
        <w:t>روایات</w:t>
      </w:r>
      <w:bookmarkEnd w:id="755"/>
    </w:p>
    <w:p>
      <w:pPr>
        <w:pStyle w:val="Heading5"/>
        <w:numPr>
          <w:ilvl w:val="4"/>
          <w:numId w:val="1"/>
        </w:numPr>
        <w:rPr/>
      </w:pPr>
      <w:bookmarkStart w:id="756" w:name="__RefHeading___Toc605612_1934241801"/>
      <w:bookmarkStart w:id="757" w:name="_Toc350"/>
      <w:bookmarkEnd w:id="756"/>
      <w:r>
        <w:rPr>
          <w:rtl w:val="true"/>
        </w:rPr>
        <w:t xml:space="preserve">روایت </w:t>
      </w:r>
      <w:r>
        <w:rPr/>
        <w:t>1</w:t>
      </w:r>
      <w:bookmarkEnd w:id="75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کسر شهوتهنّ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شهوت آنان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برمی آید که شدّت گرفتن شهوت آن زنان به خاطر حبس شدن خون حیض بوده است، و ممکن است که کاسته شدن از شهوت به خاطر مشغول شدن به حیض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فامتزج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هر یک از آن ها با دختران گروه دیگر ازدواج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فحضن بنات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به دنیا آمده از ازدواج زنانی که در هرسال یک بار دچار حیض می شدند با دختران زنانی که در هر ماه یک بار دچار حیض می شدند، و در الفقیه</w:t>
      </w:r>
      <w:r>
        <w:rPr>
          <w:rStyle w:val="FootnoteAnchor"/>
          <w:rtl w:val="true"/>
        </w:rPr>
        <w:footnoteReference w:id="402"/>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بنات هؤلاء و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دختران به دنیا آمده از ازدواج پسران زنانی که در هر سال یک بار دچار حیض می شدند با دختران زنانی که در هر ماه یک بار دچار حیض می شدند؛ و خلاصه اینکه منظور، بیان سبب کثرت زنانی است که در ماه یک بار دچار حیض می شوند نسبت به زنانی که در سال یک بار دچار حیض می شوند، به این ترتیب که آن گاه که پسران متولّد شده از زنانی که در سال یک بار دچار حیض می شدند با دختران زنانی که در ماه یک بار دچار حیض می شدند ازدواج کردند، دخترانی به دنیا آمدند که در ماه یک بار دچار حیض می شدند، و در حالت برعکس دخترانی به دنیا آمدند که در سال یک بار دچار حیض می شدند، و تعداد فرزندان متولد شده از زنانی که در ماه یک بار دچار حیض می شدند به خاطر مداومت حیض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جاری شدن خون آنان به صورت دوره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بود، پس تعداد این زنان بیشتر شد؛ و ممکن است هدف، بیان حکمت ابتلای آن زنان به یک بار حیض شدن در هر ماه بوده باشد، به این معنا که حادث شدن آن مریضی در آنان سبب افزایش نسل گردید، چه که به علّت ازدواج و درهم آمیختن نژاد، این دسته از مردم افزایش یافتند و فرزندان زنانی که یک بار در ماه دچار حیض می شدند افزون گشتند و به این ترتیب نسل مردم افزایش یافت</w:t>
      </w:r>
      <w:r>
        <w:rPr>
          <w:rFonts w:eastAsia="IRNazanin" w:cs="IRNazanin"/>
          <w:color w:val="111111"/>
          <w:sz w:val="28"/>
          <w:szCs w:val="28"/>
          <w:rtl w:val="true"/>
          <w:lang w:bidi="fa-IR"/>
        </w:rPr>
        <w:t xml:space="preserve">. </w:t>
      </w:r>
      <w:bookmarkStart w:id="758" w:name="pg13517_329112"/>
    </w:p>
    <w:p>
      <w:pPr>
        <w:pStyle w:val="BookText"/>
        <w:rPr/>
      </w:pPr>
      <w:bookmarkEnd w:id="758"/>
      <w:r>
        <w:rPr>
          <w:rFonts w:ascii="Amiri" w:hAnsi="Amiri" w:eastAsia="Amiri" w:cs="Amiri"/>
          <w:color w:val="111111"/>
          <w:sz w:val="28"/>
          <w:sz w:val="28"/>
          <w:szCs w:val="28"/>
          <w:rtl w:val="true"/>
          <w:lang w:bidi="ar-SA"/>
        </w:rPr>
        <w:t>بِوُضُوءٍ وَ إِنْ غَلَبَ الدَّمُ الْكُرْسُفَ وَ سَالَ صَلَّتْ صَلَاةَ اللَّيْلِ وَ صَلَاةَ الْغَدَاةِ بِغُسْلٍ وَ الظُّهْرَ وَ الْعَصْرَ بِغُسْلٍ تُؤَخِّرُ الظُّهْرَ قَلِيلًا وَ تُعَجِّلُ الْعَصْرَ وَ تُصَلِّي الْمَغْرِبَ وَ الْعِشَاءَ الْآخِرَةَ بِغُسْلٍ وَاحِدٍ تُؤَخِّرُ الْمَغْرِبَ قَلِيلًا وَ تُعَجِّلُ الْعِشَاءَ الْآخِرَةَ إِلَي أَيَّامِ حَيْضِهَا فَإِذَا دَخَلَتْ فِي أَيَّامِ حَيْضِهَا تَرَكَتِ الصَّلَاةَ وَ مَنِ اغْتَسَلَتْ عَلَي ذَلِكَ حَلَّ لِزَوْجِهَا أَنْ يَأْتِيَهَا</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أَرَادَتِ الْحَائِضُ الْغُسْلَ مِنَ الْحَيْضِ فَعَلَيْهَا أَنْ تَسْتَبْرِئَ وَ الِاسْتِبْرَاءُ أَنْ تُدْخِلَ قُطْنَةً فَإِنْ كَانَ هُنَاكَ دَمٌ خَرَجَ وَ لَوْ كَانَ مِثْلَ رَأْسِ الذُّبَابِ فَإِنْ خَرَجَ لَمْ تَغْتَسِلْ وَ إِنْ لَمْ يَخْرُجْ اغْتَسَلَتْ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 الْمَرْأَةِ إِذَا حَاضَتْ أَنْ تَتَوَضَّأَ عِنْدَ كُلِّ صَلَاةٍ وَ تَجْلِسَ مُسْتَقْبِلَ الْقِبْلَةِ وَ تَذْكُرَ اللَّهَ مِقْدَارَ صَلَاتِهَا كُلَّ يَوْمٍ وَ الصُّفْرَةُ فِي أَيَّامِ الْحَيْضِ حَيْضٌ وَ فِي أَيَّامِ الطُّهْرِ طُهْرٌ وَ دَمُ الْعُذْرَةِ لَا يَجُوزُ الشُّفْرَيْنِ وَ دَمُ الْحَيْضِ حَارٌّ يَخْرُجُ بِحَرَارَةٍ شَدِيدَةٍ وَ دَمُ الْمُسْتَحَاضَةِ بَارِدٌ يَسِيلُ مِنْهَا وَ هِيَ لَا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أَسْمَاءَ بِنْتَ عُمَيْسٍ الْخَثْعَمِيَّةَ نَفِسَتْ بِمُحَمَّدِ بْنِ أَبِي بَكْرٍ فِي حَجَّةِ الْوَدَاعِ فَأَمَرَهَا النَّبِيُّ صلي الله عليه و آله أَنْ تَقْعُدَ ثَمَانِيَةَ عَشَرَ يَوْماً فَأَيُّمَا امْرَأَةٍ طَهُرَتْ قَبْلَ ذَلِكَ فَلْتَغْتَسِلْ وَ لْتُصَلِّ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مُسْلِمَةٍ مَاتَتْ فِي نِفَاسِهَا لَمْ يُنْشَرْ لَهَا دِيوَانٌ يَوْمَ الْقِيَامَةِ</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9" w:name="__RefHeading___Toc605614_1934241801"/>
      <w:bookmarkStart w:id="760" w:name="_Toc351"/>
      <w:bookmarkEnd w:id="759"/>
      <w:r>
        <w:rPr>
          <w:rtl w:val="true"/>
        </w:rPr>
        <w:t>«</w:t>
      </w:r>
      <w:r>
        <w:rPr/>
        <w:t>2</w:t>
      </w:r>
      <w:r>
        <w:rPr>
          <w:rtl w:val="true"/>
        </w:rPr>
        <w:t>»</w:t>
      </w:r>
      <w:bookmarkEnd w:id="760"/>
    </w:p>
    <w:p>
      <w:pPr>
        <w:pStyle w:val="BookText"/>
        <w:rPr/>
      </w:pPr>
      <w:r>
        <w:rPr>
          <w:rFonts w:ascii="Amiri" w:hAnsi="Amiri" w:eastAsia="Amiri" w:cs="Amiri"/>
          <w:color w:val="111111"/>
          <w:sz w:val="28"/>
          <w:sz w:val="28"/>
          <w:szCs w:val="28"/>
          <w:rtl w:val="true"/>
          <w:lang w:bidi="ar-SA"/>
        </w:rPr>
        <w:t>الْعِلَلُ، عَنْ أَبِيهِ عَنْ سَعْدِ بْنِ عَبْدِ اللَّهِ عَنْ أَحْمَدَ بْنِ مُحَمَّدِ بْنِ عِيسَي عَنْ عَلِيِّ بْنِ الْحَكَمِ عَنْ أَبِي جَمِيلَةَ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بَنَاتِ الْأَنْبِيَاءِ صَلَوَاتُ اللَّهِ عَلَيْهِمْ لَا يَطْمِثْنَ إِنَّ الطَّمْثَ عُقُوبَةٌ وَ أَوَّلُ مَنْ طَمِثَتْ سَارَةُ</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1" w:name="__RefHeading___Toc605616_1934241801"/>
      <w:bookmarkStart w:id="762" w:name="_Toc352"/>
      <w:bookmarkEnd w:id="761"/>
      <w:r>
        <w:rPr>
          <w:rtl w:val="true"/>
        </w:rPr>
        <w:t>بيان</w:t>
      </w:r>
      <w:bookmarkEnd w:id="762"/>
    </w:p>
    <w:p>
      <w:pPr>
        <w:pStyle w:val="BookText"/>
        <w:rPr/>
      </w:pPr>
      <w:r>
        <w:rPr>
          <w:rFonts w:ascii="Amiri" w:hAnsi="Amiri" w:eastAsia="Amiri" w:cs="Amiri"/>
          <w:color w:val="111111"/>
          <w:sz w:val="28"/>
          <w:sz w:val="28"/>
          <w:szCs w:val="28"/>
          <w:rtl w:val="true"/>
          <w:lang w:bidi="ar-SA"/>
        </w:rPr>
        <w:t>لعل المعني أول من طمثت من بنات الأنبياء في كل شهر للخبر الآتي</w:t>
      </w:r>
    </w:p>
    <w:p>
      <w:pPr>
        <w:pStyle w:val="BookText"/>
        <w:rPr/>
      </w:pPr>
      <w:r>
        <w:rPr>
          <w:rFonts w:ascii="IRNazanin" w:hAnsi="IRNazanin" w:eastAsia="IRNazanin"/>
          <w:color w:val="111111"/>
          <w:sz w:val="28"/>
          <w:sz w:val="28"/>
          <w:szCs w:val="28"/>
          <w:rtl w:val="true"/>
          <w:lang w:bidi="fa-IR"/>
        </w:rPr>
        <w:t>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فحضن بنات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کسانی که نژادشان با هم درآمیخته بود به صورت مطلق، و فرقی ندارد چه پدران شان از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 که در ماه یک بار دچار حیض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چه مادرانشان،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لاستقامة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استقامت و پایداری حاصل شده در مزاج به سبب کثرت خونریزی هنگام حیض، پس این عبارت از قبیل اضافۀ مسبّب به سبب است، یا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مداومت خونریزی در دوران حیض، چرا که خون حیض عنصر تشکیل دهنده و غذای جنین است،و اگر به خاطر کثرت جاری شدن استوار و تصفیه گردد بچه به صورت کامل و صحیح به دنیا می آید و بچّه ها افزون می گردند، برخلاف هنگامی که خونریزی اندک است و این امر باعث فاسد شدن خون و مزاج می گردد و تعداد بچّه ها کاهش می یابد</w:t>
      </w:r>
      <w:r>
        <w:rPr>
          <w:rFonts w:eastAsia="IRNazanin" w:cs="IRNazanin"/>
          <w:color w:val="111111"/>
          <w:sz w:val="28"/>
          <w:szCs w:val="28"/>
          <w:rtl w:val="true"/>
          <w:lang w:bidi="fa-IR"/>
        </w:rPr>
        <w:t>.</w:t>
      </w:r>
    </w:p>
    <w:p>
      <w:pPr>
        <w:pStyle w:val="Heading5"/>
        <w:numPr>
          <w:ilvl w:val="4"/>
          <w:numId w:val="1"/>
        </w:numPr>
        <w:rPr/>
      </w:pPr>
      <w:bookmarkStart w:id="763" w:name="__RefHeading___Toc605618_1934241801"/>
      <w:bookmarkStart w:id="764" w:name="_Toc353"/>
      <w:bookmarkEnd w:id="763"/>
      <w:r>
        <w:rPr>
          <w:rtl w:val="true"/>
        </w:rPr>
        <w:t xml:space="preserve">روایت </w:t>
      </w:r>
      <w:r>
        <w:rPr/>
        <w:t>2</w:t>
      </w:r>
      <w:bookmarkEnd w:id="764"/>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دختران انبیاء صلوات الله علیهم دچار حیض نمی شوند، به راستی که حیض عقوبت و جزا است، و اولین زنی که دچار حیض شد ساره بوده است</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نیست</w:t>
      </w:r>
    </w:p>
    <w:p>
      <w:pPr>
        <w:pStyle w:val="Heading5"/>
        <w:numPr>
          <w:ilvl w:val="4"/>
          <w:numId w:val="1"/>
        </w:numPr>
        <w:rPr/>
      </w:pPr>
      <w:bookmarkStart w:id="765" w:name="__RefHeading___Toc605620_1934241801"/>
      <w:bookmarkStart w:id="766" w:name="_Toc354"/>
      <w:bookmarkEnd w:id="765"/>
      <w:r>
        <w:rPr>
          <w:rtl w:val="true"/>
        </w:rPr>
        <w:t>توضیح</w:t>
      </w:r>
      <w:bookmarkEnd w:id="76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معنی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دختر از میان دختران انبیاء که در هر ماه حیض شده است؛ و این معنا با توجه به حدیث بعدی </w:t>
      </w:r>
      <w:bookmarkStart w:id="767" w:name="pg13517_329113"/>
    </w:p>
    <w:p>
      <w:pPr>
        <w:pStyle w:val="BookText"/>
        <w:rPr/>
      </w:pPr>
      <w:bookmarkEnd w:id="767"/>
      <w:r>
        <w:rPr>
          <w:rFonts w:ascii="Amiri" w:hAnsi="Amiri" w:eastAsia="Amiri" w:cs="Amiri"/>
          <w:color w:val="111111"/>
          <w:sz w:val="28"/>
          <w:sz w:val="28"/>
          <w:szCs w:val="28"/>
          <w:rtl w:val="true"/>
          <w:lang w:bidi="ar-SA"/>
        </w:rPr>
        <w:t>و لخبر حيض حواء</w:t>
      </w:r>
      <w:r>
        <w:rPr>
          <w:rFonts w:eastAsia="Amiri" w:cs="Amiri" w:ascii="Amiri" w:hAnsi="Amiri"/>
          <w:color w:val="111111"/>
          <w:sz w:val="28"/>
          <w:szCs w:val="28"/>
          <w:rtl w:val="true"/>
          <w:lang w:bidi="ar-SA"/>
        </w:rPr>
        <w:t>.</w:t>
      </w:r>
    </w:p>
    <w:p>
      <w:pPr>
        <w:pStyle w:val="Heading5"/>
        <w:numPr>
          <w:ilvl w:val="4"/>
          <w:numId w:val="1"/>
        </w:numPr>
        <w:rPr/>
      </w:pPr>
      <w:bookmarkStart w:id="768" w:name="__RefHeading___Toc605622_1934241801"/>
      <w:bookmarkStart w:id="769" w:name="_Toc355"/>
      <w:bookmarkEnd w:id="768"/>
      <w:r>
        <w:rPr>
          <w:rtl w:val="true"/>
        </w:rPr>
        <w:t>«</w:t>
      </w:r>
      <w:r>
        <w:rPr/>
        <w:t>3</w:t>
      </w:r>
      <w:r>
        <w:rPr>
          <w:rtl w:val="true"/>
        </w:rPr>
        <w:t>»</w:t>
      </w:r>
      <w:bookmarkEnd w:id="769"/>
    </w:p>
    <w:p>
      <w:pPr>
        <w:pStyle w:val="BookText"/>
        <w:rPr/>
      </w:pPr>
      <w:r>
        <w:rPr>
          <w:rFonts w:ascii="Amiri" w:hAnsi="Amiri" w:eastAsia="Amiri" w:cs="Amiri"/>
          <w:color w:val="111111"/>
          <w:sz w:val="28"/>
          <w:sz w:val="28"/>
          <w:szCs w:val="28"/>
          <w:rtl w:val="true"/>
          <w:lang w:bidi="ar-SA"/>
        </w:rPr>
        <w:t>الْعِلَلُ، عَنْ مُحَمَّدِ بْنِ مُوسَي بْنِ الْمُتَوَكِّلِ عَنْ عَلِيِّ بْنِ الْحُسَيْنِ السَّعْدَآبَادِيِّ عَنْ أَحْمَدَ بْنِ أَبِي عَبْدِ اللَّهِ الْبَرْقِيِّ عَنِ الْحَسَنِ بْنِ مَحْبُوبٍ عَنْ أَبِي أَيُّوبَ الْخَزَّازِ عَنْ أَبِي عُبَيْدَةَ الْحَذَّاءِ عَنْ أَبِي جَعْفَرٍ مُحَمَّدِ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الْحَيْضُ مِنَ النِّسَاءِ نَجَاسَةٌ رَمَاهُنَّ اللَّهُ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قَدْ كُنَّ النِّسَاءُ فِي زَمَنِ نُوحٍ إِنَّمَا تَحِيضُ الْمَرْأَةُ فِي كُلِّ سَنَةٍ حَيْضَةً حَتَّي خَرَجْنَ نِسْوَةٌ مِنْ حِجَابِهِنَّ وَ هُنَّ سَبْعُمِائَةِ امْرَأَةٍ فَانْطَلَقْنَ فَلَبِسْنَ الْمُعَصْفَرَاتِ مِنَ الثِّيَابِ وَ تَحَلَّيْنَ وَ تَعَطَّرْنَ ثُمَّ خَرَجْنَ فَتَفَرَّقْنَ فِي الْبِلَادِ فَجَلَسْنَ مَعَ الرِّجَالِ وَ شَهِدْنَ الْأَعْيَادَ مَعَهُمْ وَ جَلَسْنَ فِي صُفُوفِهِمْ فَرَمَاهُنَّ اللَّهُ بِالْحَيْضِ عِنْدَ ذَلِكَ فِي كُلِّ شَهْرِ</w:t>
      </w:r>
      <w:r>
        <w:rPr>
          <w:rStyle w:val="FootnoteAnchor"/>
          <w:rtl w:val="true"/>
        </w:rPr>
        <w:footnoteReference w:id="407"/>
      </w:r>
      <w:r>
        <w:rPr>
          <w:rFonts w:ascii="Amiri" w:hAnsi="Amiri" w:eastAsia="Amiri" w:cs="Amiri"/>
          <w:color w:val="111111"/>
          <w:sz w:val="28"/>
          <w:sz w:val="28"/>
          <w:szCs w:val="28"/>
          <w:rtl w:val="true"/>
          <w:lang w:bidi="ar-SA"/>
        </w:rPr>
        <w:t xml:space="preserve">أُولَئِكَ النِّسْوَةُ بِأَعْيَانِهِنَّ فَسَالَتْ دِمَاؤُهُنَّ فَخَرَجْنَ مِنْ بَيْنِ الرِّجَالِ وَ كُنَّ يَحِضْنَ فِي كُلِّ شَهْرٍ حَيْضَةً قَالَ فَأَشْغَلَهُنَّ اللَّهُ تَبَارَكَ وَ تَعَالَي بِالْحَيْضِ وَ كَسَرَ شَهْوَتَهُنَّ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كَانَ غَيْرُهُنَّ مِنَ النِّسَاءِ اللَّوَاتِي لَمْ يَفْعَلْنَ مِثْلَ فِعْلِهِنَّ يَحِضْنَ فِي كُلِّ سَنَةٍ حَيْضَةً قَالَ فَتَزَوَّجَ بَنُو اللَّاتِي يَحِضْنَ فِي كُلِّ شَهْرٍ حَيْضَةً بَنَاتِ اللَّاتِي يَحِضْنَ فِي كُلِّ سَنَةٍ حَيْضَةً قَالَ فَامْتَزَجَ الْقَوْمُ فَحِضْنَ بَنَاتُ هَؤُلَاءِ</w:t>
      </w:r>
      <w:r>
        <w:rPr>
          <w:rStyle w:val="FootnoteAnchor"/>
          <w:rtl w:val="true"/>
        </w:rPr>
        <w:footnoteReference w:id="408"/>
      </w:r>
      <w:r>
        <w:rPr>
          <w:rFonts w:ascii="Amiri" w:hAnsi="Amiri" w:eastAsia="Amiri" w:cs="Amiri"/>
          <w:color w:val="111111"/>
          <w:sz w:val="28"/>
          <w:sz w:val="28"/>
          <w:szCs w:val="28"/>
          <w:rtl w:val="true"/>
          <w:lang w:bidi="ar-SA"/>
        </w:rPr>
        <w:t>فِي كُلِّ شَهْرٍ حَيْضَةً وَ قَالَ وَ كَثُرَ أَوْلَادُ اللَّاتِي يَحِضْنَ فِي كُلِّ شَهْرٍ حَيْضَةً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لِاسْتِقَامَةِ الْحَيْضِ وَ قَلَّ أَوْلَادُ اللَّاتِي لَا يَحِضْنَ فِي السَّنَةِ إِلَّا حَيْضَةً لِفَسَادِ الدَّمِ قَالَ فَكَثُرَ نَسْلُ هَؤُلَاءِ وَ قَلَّ نَسْلُ أُولَئِكَ‌</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0" w:name="__RefHeading___Toc605624_1934241801"/>
      <w:bookmarkStart w:id="771" w:name="_Toc356"/>
      <w:bookmarkEnd w:id="770"/>
      <w:r>
        <w:rPr>
          <w:rtl w:val="true"/>
        </w:rPr>
        <w:t>توضيح</w:t>
      </w:r>
      <w:bookmarkEnd w:id="771"/>
    </w:p>
    <w:p>
      <w:pPr>
        <w:pStyle w:val="BookText"/>
        <w:rPr/>
      </w:pPr>
      <w:r>
        <w:rPr>
          <w:rFonts w:ascii="Amiri" w:hAnsi="Amiri" w:eastAsia="Amiri" w:cs="Amiri"/>
          <w:color w:val="111111"/>
          <w:sz w:val="28"/>
          <w:sz w:val="28"/>
          <w:szCs w:val="28"/>
          <w:rtl w:val="true"/>
          <w:lang w:bidi="ar-SA"/>
        </w:rPr>
        <w:t>قوله عليه السلام و كسر شهوتهن يظهر منه أن اشتداد شهوتهن كان بسبب احتباس الحيض و يحتمل أن يكون الكسر للاشتغال بالحيض قوله فامتزج القوم أي تزوج أولاد كل منهن بنات الصنف الآخر فحضن بنات هؤلاء أي بنات أولاد اللاتي يحضن في كل سنة حيضة بعد تزوجهم ببنات</w:t>
      </w:r>
    </w:p>
    <w:p>
      <w:pPr>
        <w:pStyle w:val="BookText"/>
        <w:rPr/>
      </w:pPr>
      <w:r>
        <w:rPr>
          <w:rFonts w:ascii="IRNazanin" w:hAnsi="IRNazanin" w:eastAsia="IRNazanin"/>
          <w:color w:val="111111"/>
          <w:sz w:val="28"/>
          <w:sz w:val="28"/>
          <w:szCs w:val="28"/>
          <w:rtl w:val="true"/>
          <w:lang w:bidi="fa-IR"/>
        </w:rPr>
        <w:t>و همچنین حدیثی که از حیض حوّا خبر می دهد قابل برداشت است</w:t>
      </w:r>
      <w:r>
        <w:rPr>
          <w:rFonts w:eastAsia="IRNazanin" w:cs="IRNazanin"/>
          <w:color w:val="111111"/>
          <w:sz w:val="28"/>
          <w:szCs w:val="28"/>
          <w:rtl w:val="true"/>
          <w:lang w:bidi="fa-IR"/>
        </w:rPr>
        <w:t>.</w:t>
      </w:r>
    </w:p>
    <w:p>
      <w:pPr>
        <w:pStyle w:val="Heading5"/>
        <w:numPr>
          <w:ilvl w:val="4"/>
          <w:numId w:val="1"/>
        </w:numPr>
        <w:rPr/>
      </w:pPr>
      <w:bookmarkStart w:id="772" w:name="__RefHeading___Toc605626_1934241801"/>
      <w:bookmarkStart w:id="773" w:name="_Toc357"/>
      <w:bookmarkEnd w:id="772"/>
      <w:r>
        <w:rPr>
          <w:rtl w:val="true"/>
        </w:rPr>
        <w:t xml:space="preserve">روایت </w:t>
      </w:r>
      <w:r>
        <w:rPr/>
        <w:t>3</w:t>
      </w:r>
      <w:bookmarkEnd w:id="773"/>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 شدن زنان، نجاستی است که خداوند آنان را بدان گرفتار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در زمان نوح علیه السلام یک بار در طول سال دچار حیض می شدند تا اینکه عده ای از زنان از حجاب و پوشش خود خارج شدند و آنان هفتصد زن بودند، پس به راه افتادند و لباس هایی بافته شده از نخ زرد رنگ پوشیدند و خود را زینت داده و معطّر نمودند، سپس خارج شده و در سرزمین های مختلف متفرّق گشتند، آن گاه با مردان به نشست و برخاست پرداختند و در جشن ها با آن ها شرکت کرده و در صفوفشان نشستند، بنابراین خداوند آنان ،یعنی فقط همان زنان، را در هر ماه یک بار به حیض گرفتار کرد، پس خون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فرجشان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گشت، آن گاه از میان مردان خارج شدند در حالی که در هر ماه یک بار دچار حیض می شدند، بنابراین خداوند متعال آنان را به حیض مشغول کرد و از شهوت شان 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زنانی که اعمالی مانند اعمال آن هفتصد زن را انجام نداده بودند همچنان یک بار در طول سال دچار حیض می شدند، آن گاه پسران زنانی که در طول هر ماه یک بار دچار حیض می شدند با دختران زنانی که در طول هر سال یک بار دچار حیض می شدند ازدواج کردند، بنابراین نژاد آن ها با هم درآمیخت و دختران متولد شده از این دو گروه در طول هر ماه یک بار دچار حیض شدند، و فرزندان زنانی که در هر ماه یک بار دچار حیض می شدند، به خاطر بر دوام بودن حیض و جاری شدن خون، افزون گشتند و فرزندان زنانی که در هر سال یک بار دچار حیض می شدند، به خاطر فاسد شدن خون، کاهش یافتند، بنابراین بر نسل آنان افزون گشت و از نسل اینان کاسته شد</w:t>
      </w:r>
      <w:r>
        <w:rPr>
          <w:rFonts w:eastAsia="IRNazanin" w:cs="IRNazanin"/>
          <w:color w:val="111111"/>
          <w:sz w:val="28"/>
          <w:szCs w:val="28"/>
          <w:rtl w:val="true"/>
          <w:lang w:bidi="fa-IR"/>
        </w:rPr>
        <w:t>.</w:t>
      </w:r>
      <w:r>
        <w:rPr>
          <w:rStyle w:val="FootnoteAnchor"/>
          <w:rtl w:val="true"/>
        </w:rPr>
        <w:footnoteReference w:id="410"/>
      </w:r>
    </w:p>
    <w:p>
      <w:pPr>
        <w:pStyle w:val="Heading5"/>
        <w:numPr>
          <w:ilvl w:val="4"/>
          <w:numId w:val="1"/>
        </w:numPr>
        <w:rPr/>
      </w:pPr>
      <w:bookmarkStart w:id="774" w:name="__RefHeading___Toc605628_1934241801"/>
      <w:bookmarkStart w:id="775" w:name="_Toc358"/>
      <w:bookmarkEnd w:id="774"/>
      <w:r>
        <w:rPr>
          <w:rtl w:val="true"/>
        </w:rPr>
        <w:t>توضیح</w:t>
      </w:r>
      <w:bookmarkEnd w:id="77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نشده </w:t>
      </w:r>
      <w:bookmarkStart w:id="776" w:name="pg13517_329114"/>
    </w:p>
    <w:p>
      <w:pPr>
        <w:pStyle w:val="BookText"/>
        <w:rPr/>
      </w:pPr>
      <w:bookmarkEnd w:id="776"/>
      <w:r>
        <w:rPr>
          <w:rFonts w:ascii="Amiri" w:hAnsi="Amiri" w:eastAsia="Amiri" w:cs="Amiri"/>
          <w:color w:val="111111"/>
          <w:sz w:val="28"/>
          <w:sz w:val="28"/>
          <w:szCs w:val="28"/>
          <w:rtl w:val="true"/>
          <w:lang w:bidi="ar-SA"/>
        </w:rPr>
        <w:t>اللاتي يحضن في كل شهر حيضة و في الفقيه‌</w:t>
      </w:r>
      <w:r>
        <w:rPr>
          <w:rStyle w:val="FootnoteAnchor"/>
          <w:rtl w:val="true"/>
        </w:rPr>
        <w:footnoteReference w:id="411"/>
      </w:r>
      <w:r>
        <w:rPr>
          <w:rFonts w:ascii="Amiri" w:hAnsi="Amiri" w:eastAsia="Amiri" w:cs="Amiri"/>
          <w:color w:val="111111"/>
          <w:sz w:val="28"/>
          <w:sz w:val="28"/>
          <w:szCs w:val="28"/>
          <w:rtl w:val="true"/>
          <w:lang w:bidi="ar-SA"/>
        </w:rPr>
        <w:t>بنات هؤلاء و هؤلاء أي البنات الحاصلة من امتزاج أولاد اللاتي يحضن في كل سنة حيضة و بنات اللاتي يحضن في كل شهر حيضة و الحاصل أن الغرض بيان سبب كثرة من تري في الشهر مرة بالنسبة إلي من تري في السنة مرة بأنه لما كان تزوج أولاد السنة ببنات الشهر سببا لحصول بنات الشهر و العكس سببا لتولد بنات السنة و كان أولاد بنات الشهر لاستقامة حيضهن أكثر فلذا صرن أكثر و يحتمل أن يكون الغرض بيان الحكمة لهذا الابتلاء و المعني أن حدوث تلك العلة فيهن صار سببا لكثرة النسل إذ سبب الامتزاج كثر هذا القسم في الناس و أولاد من تحيض في الشهر أكثر فبذلك كثر النسل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فحضن بنات هؤلاء أي الممتزجين مطلقا سواء كان آباؤهم من هذا القسم أو أمهاتهم قوله لاستقامة الحيض أي للاستقامة الحاصلة في المزاج بسبب كثرة إدرار الحيض فيكون من إضافة المسبب إلي السبب أو لاستقامة نفس الحيض فإنه مادة و غذاء للولد فإذا استقام و صفا لكثرة الإدرار جاء الولد تاما صحيحا و كثرت الأولاد بخلاف ما لو كان الإدرار قليلا فإنه يوجب فساد الدم و المزاج و يقل الولد</w:t>
      </w:r>
      <w:r>
        <w:rPr>
          <w:rFonts w:eastAsia="Amiri" w:cs="Amiri" w:ascii="Amiri" w:hAnsi="Amiri"/>
          <w:color w:val="111111"/>
          <w:sz w:val="28"/>
          <w:szCs w:val="28"/>
          <w:rtl w:val="true"/>
          <w:lang w:bidi="ar-SA"/>
        </w:rPr>
        <w:t>.</w:t>
      </w:r>
    </w:p>
    <w:p>
      <w:pPr>
        <w:pStyle w:val="Heading5"/>
        <w:numPr>
          <w:ilvl w:val="4"/>
          <w:numId w:val="1"/>
        </w:numPr>
        <w:rPr/>
      </w:pPr>
      <w:bookmarkStart w:id="777" w:name="__RefHeading___Toc605630_1934241801"/>
      <w:bookmarkStart w:id="778" w:name="_Toc359"/>
      <w:bookmarkEnd w:id="777"/>
      <w:r>
        <w:rPr>
          <w:rtl w:val="true"/>
        </w:rPr>
        <w:t>«</w:t>
      </w:r>
      <w:r>
        <w:rPr/>
        <w:t>4</w:t>
      </w:r>
      <w:r>
        <w:rPr>
          <w:rtl w:val="true"/>
        </w:rPr>
        <w:t>»</w:t>
      </w:r>
      <w:bookmarkEnd w:id="778"/>
    </w:p>
    <w:p>
      <w:pPr>
        <w:pStyle w:val="BookText"/>
        <w:rPr/>
      </w:pPr>
      <w:r>
        <w:rPr>
          <w:rFonts w:ascii="Amiri" w:hAnsi="Amiri" w:eastAsia="Amiri" w:cs="Amiri"/>
          <w:color w:val="111111"/>
          <w:sz w:val="28"/>
          <w:sz w:val="28"/>
          <w:szCs w:val="28"/>
          <w:rtl w:val="true"/>
          <w:lang w:bidi="ar-SA"/>
        </w:rPr>
        <w:t>الْعِلَلُ، عَنْ أَبِيهِ عَنْ مُحَمَّدِ بْنِ أَبِي الْقَاسِمِ عَنْ مُحَمَّدِ بْنِ عَلِيٍّ الْكُوفِيِّ عَنْ عَبْدِ اللَّهِ بْنِ عَبْدِ الرَّحْمَنِ بْنِ الْأَصَمِّ عَنِ الْهَيْثَمِ بْنِ وَاقِدٍ عَنْ مُقَرِّنٍ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سَلْمَانُ رَضِيَ اللَّهُ عَنْهُ عَلِيّاً عليه السلام عَنْ رِزْقِ الْوَلَدِ فِي بَطْنِ أُمِّهِ فَقَالَ إِنَّ اللَّهَ تَبَارَكَ وَ تَعَالَي حَبَسَ عَلَيْهَا الْحَيْضَةَ فَجَعَلَهَا رِزْقَهُ فِي بَطْنِ أُمِّهِ‌</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عَلِيٍّ مَاجِيلَوَيْهِ عَنْ مُحَمَّدِ بْنِ يَحْيَي عَنْ مُحَمَّدِ بْنِ أَحْمَدَ بْنِ يَحْيَي عَنْ أَحْمَدَ بْنِ أَبِي عَبْدِ اللَّهِ عَنْ عَلِيِّ بْنِ أَسْبَاطٍ عَنْ عَمِّهِ يَعْقُوبَ عَنْ أَبِي بَكْرٍ الْحَضْرَمِيِّ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الْحَائِضِ هَلْ تَخْتَضِبُ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نشده</w:t>
      </w:r>
    </w:p>
    <w:p>
      <w:pPr>
        <w:pStyle w:val="Heading5"/>
        <w:numPr>
          <w:ilvl w:val="4"/>
          <w:numId w:val="1"/>
        </w:numPr>
        <w:rPr/>
      </w:pPr>
      <w:bookmarkStart w:id="779" w:name="__RefHeading___Toc605632_1934241801"/>
      <w:bookmarkStart w:id="780" w:name="_Toc360"/>
      <w:bookmarkEnd w:id="779"/>
      <w:r>
        <w:rPr>
          <w:rtl w:val="true"/>
        </w:rPr>
        <w:t xml:space="preserve">روایت </w:t>
      </w:r>
      <w:r>
        <w:rPr/>
        <w:t>4</w:t>
      </w:r>
      <w:bookmarkEnd w:id="780"/>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رضی الله عنه از امام علی علیه السلام درباره رزق و روزی بچّه در شکم مادرش پرسید، پس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متعال مادر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حمل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حیض شدن بازداشته و آن خون را به عنوان روزی بچه در شکم مادرش قرارداده است</w:t>
      </w:r>
      <w:r>
        <w:rPr>
          <w:rFonts w:eastAsia="IRNazanin" w:cs="IRNazanin"/>
          <w:color w:val="111111"/>
          <w:sz w:val="28"/>
          <w:szCs w:val="28"/>
          <w:rtl w:val="true"/>
          <w:lang w:bidi="fa-IR"/>
        </w:rPr>
        <w:t>.</w:t>
      </w:r>
      <w:r>
        <w:rPr>
          <w:rStyle w:val="FootnoteAnchor"/>
          <w:rtl w:val="true"/>
        </w:rPr>
        <w:footnoteReference w:id="41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حضرمیّ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که آیا زن حائض می تواند خضاب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امام فرمود</w:t>
      </w:r>
      <w:r>
        <w:rPr>
          <w:rFonts w:eastAsia="IRNazanin" w:cs="IRNazanin"/>
          <w:color w:val="111111"/>
          <w:sz w:val="28"/>
          <w:szCs w:val="28"/>
          <w:rtl w:val="true"/>
          <w:lang w:bidi="fa-IR"/>
        </w:rPr>
        <w:t xml:space="preserve">: </w:t>
      </w:r>
      <w:bookmarkStart w:id="781" w:name="pg13517_329115"/>
    </w:p>
    <w:p>
      <w:pPr>
        <w:pStyle w:val="BookText"/>
        <w:rPr/>
      </w:pPr>
      <w:bookmarkEnd w:id="781"/>
      <w:r>
        <w:rPr>
          <w:rFonts w:ascii="Amiri" w:hAnsi="Amiri" w:eastAsia="Amiri" w:cs="Amiri"/>
          <w:color w:val="111111"/>
          <w:sz w:val="28"/>
          <w:sz w:val="28"/>
          <w:szCs w:val="28"/>
          <w:rtl w:val="true"/>
          <w:lang w:bidi="ar-SA"/>
        </w:rPr>
        <w:t>لَا لِأَنَّهُ يُخَافُ عَلَيْهَا الشَّيْطَانُ‌</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2" w:name="__RefHeading___Toc605634_1934241801"/>
      <w:bookmarkStart w:id="783" w:name="_Toc361"/>
      <w:bookmarkEnd w:id="782"/>
      <w:r>
        <w:rPr>
          <w:rtl w:val="true"/>
        </w:rPr>
        <w:t>بيان</w:t>
      </w:r>
      <w:bookmarkEnd w:id="783"/>
    </w:p>
    <w:p>
      <w:pPr>
        <w:pStyle w:val="BookText"/>
        <w:rPr/>
      </w:pPr>
      <w:r>
        <w:rPr>
          <w:rFonts w:ascii="Amiri" w:hAnsi="Amiri" w:eastAsia="Amiri" w:cs="Amiri"/>
          <w:color w:val="111111"/>
          <w:sz w:val="28"/>
          <w:sz w:val="28"/>
          <w:szCs w:val="28"/>
          <w:rtl w:val="true"/>
          <w:lang w:bidi="ar-SA"/>
        </w:rPr>
        <w:t>المشهور كراهة الخضاب عليها كالجنب و قد مر في باب الجنابة</w:t>
      </w:r>
      <w:r>
        <w:rPr>
          <w:rFonts w:eastAsia="Amiri" w:cs="Amiri" w:ascii="Amiri" w:hAnsi="Amiri"/>
          <w:color w:val="111111"/>
          <w:sz w:val="28"/>
          <w:szCs w:val="28"/>
          <w:rtl w:val="true"/>
          <w:lang w:bidi="ar-SA"/>
        </w:rPr>
        <w:t>.</w:t>
      </w:r>
    </w:p>
    <w:p>
      <w:pPr>
        <w:pStyle w:val="Heading5"/>
        <w:numPr>
          <w:ilvl w:val="4"/>
          <w:numId w:val="1"/>
        </w:numPr>
        <w:rPr/>
      </w:pPr>
      <w:bookmarkStart w:id="784" w:name="__RefHeading___Toc605636_1934241801"/>
      <w:bookmarkStart w:id="785" w:name="_Toc362"/>
      <w:bookmarkEnd w:id="784"/>
      <w:r>
        <w:rPr>
          <w:rtl w:val="true"/>
        </w:rPr>
        <w:t>«</w:t>
      </w:r>
      <w:r>
        <w:rPr/>
        <w:t>5</w:t>
      </w:r>
      <w:r>
        <w:rPr>
          <w:rtl w:val="true"/>
        </w:rPr>
        <w:t>»</w:t>
      </w:r>
      <w:bookmarkEnd w:id="785"/>
    </w:p>
    <w:p>
      <w:pPr>
        <w:pStyle w:val="BookText"/>
        <w:rPr/>
      </w:pPr>
      <w:r>
        <w:rPr>
          <w:rFonts w:ascii="Amiri" w:hAnsi="Amiri" w:eastAsia="Amiri" w:cs="Amiri"/>
          <w:color w:val="111111"/>
          <w:sz w:val="28"/>
          <w:sz w:val="28"/>
          <w:szCs w:val="28"/>
          <w:rtl w:val="true"/>
          <w:lang w:bidi="ar-SA"/>
        </w:rPr>
        <w:t>الْعِلَلُ، عَنْ عَلِيِّ بْنِ أَحْمَدَ عَنْ مُحَمَّدِ بْنِ أَبِي عَبْدِ اللَّهِ عَنْ مُوسَي بْنِ عِمْرَانَ عَنْ عَمِّهِ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مَا بَالُ الْحَائِضِ تَقْضِي الصَّوْمَ وَ لَا تَقْضِي الصَّلَاةَ قَالَ لِأَنَّ الصَّوْمَ إِنَّمَا هُوَ فِي السَّنَةِ شَهْرٌ وَ الصَّلَاةَ فِي كُلِّ يَوْمٍ وَ لَيْلَةٍ فَأَوْجَبَ اللَّهُ قَضَاءَ الصَّوْمِ وَ لَمْ يُوجِبْ عَلَيْهَا قَضَاءَ الصَّلَاةِ لِذَلِكَ‌</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سَعْدِ بْنِ عَبْدِ اللَّهِ عَنْ أَحْمَدَ بْنِ أَبِي عَبْدِ اللَّهِ الْبَرْقِيِّ عَنْ مُحَمَّدِ بْنِ عَلِيٍّ عَنْ مُحَمَّدِ بْنِ أَحْمَدَ عَنْ أَبَانِ بْنِ عُثْمَانَ عَنْ إِسْمَاعِيلَ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إِنَّ الْمُغِيرَةَ يَزْعُمُ أَنَّ الْحَائِضَ تَقْضِي الصَّلَاةَ كَمَا تَقْضِي الصَّوْمَ فَقَالَ مَا لَهُ لَا وَفَّقَهُ اللَّهُ إِنَّ امْرَأَةَ عِمْرَانَ قَالَتْ إِنِّي نَذَرْتُ لَكَ ما فِي بَطْنِي مُحَرَّراً وَ الْمُحَرَّرُ لِلْمَسْجِدِ لَا يَخْرُجُ مِنْهُ أَبَداً فَلَمَّا وَضَعَتْ مَرْيَمَ قَالَتْ رَبِّ إِنِّي وَضَعْتُها أُنْثي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لَيْسَ الذَّكَرُ كَالْأُنْثي‌</w:t>
      </w:r>
      <w:r>
        <w:rPr>
          <w:rStyle w:val="FootnoteAnchor"/>
          <w:rtl w:val="true"/>
        </w:rPr>
        <w:footnoteReference w:id="416"/>
      </w:r>
      <w:r>
        <w:rPr>
          <w:rFonts w:ascii="Amiri" w:hAnsi="Amiri" w:eastAsia="Amiri" w:cs="Amiri"/>
          <w:color w:val="111111"/>
          <w:sz w:val="28"/>
          <w:sz w:val="28"/>
          <w:szCs w:val="28"/>
          <w:rtl w:val="true"/>
          <w:lang w:bidi="ar-SA"/>
        </w:rPr>
        <w:t>فَلَمَّا وَضَعَتْهَا أَدْخَلَتْهَا الْمَسْجِدَ فَلَمَّا بَلَغَتْ مَبْلَغَ النِّسَاءِ أُخْرِجَتْ مِنَ الْمَسْجِدِ</w:t>
      </w:r>
      <w:r>
        <w:rPr>
          <w:rStyle w:val="FootnoteAnchor"/>
          <w:rtl w:val="true"/>
        </w:rPr>
        <w:footnoteReference w:id="417"/>
      </w:r>
      <w:r>
        <w:rPr>
          <w:rFonts w:ascii="Amiri" w:hAnsi="Amiri" w:eastAsia="Amiri" w:cs="Amiri"/>
          <w:color w:val="111111"/>
          <w:sz w:val="28"/>
          <w:sz w:val="28"/>
          <w:szCs w:val="28"/>
          <w:rtl w:val="true"/>
          <w:lang w:bidi="ar-SA"/>
        </w:rPr>
        <w:t>أَنَّي كَانَتْ تَجِدُ أَيَّاماً تَقْضِيهَا وَ هِيَ عَلَيْهَا أَنْ تَكُونَ الدَّهْرَ فِي الْمَسْجِدِ</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به خاطر اینکه بیم آن می رود که شیطان بر او مسلّط شده باشد</w:t>
      </w:r>
      <w:r>
        <w:rPr>
          <w:rFonts w:eastAsia="IRNazanin" w:cs="IRNazanin"/>
          <w:color w:val="111111"/>
          <w:sz w:val="28"/>
          <w:szCs w:val="28"/>
          <w:rtl w:val="true"/>
          <w:lang w:bidi="fa-IR"/>
        </w:rPr>
        <w:t>.</w:t>
      </w:r>
      <w:r>
        <w:rPr>
          <w:rStyle w:val="FootnoteAnchor"/>
          <w:rtl w:val="true"/>
        </w:rPr>
        <w:footnoteReference w:id="419"/>
      </w:r>
    </w:p>
    <w:p>
      <w:pPr>
        <w:pStyle w:val="Heading5"/>
        <w:numPr>
          <w:ilvl w:val="4"/>
          <w:numId w:val="1"/>
        </w:numPr>
        <w:rPr/>
      </w:pPr>
      <w:bookmarkStart w:id="786" w:name="__RefHeading___Toc605638_1934241801"/>
      <w:bookmarkStart w:id="787" w:name="_Toc363"/>
      <w:bookmarkEnd w:id="786"/>
      <w:r>
        <w:rPr>
          <w:rtl w:val="true"/>
        </w:rPr>
        <w:t>توضیح</w:t>
      </w:r>
      <w:bookmarkEnd w:id="787"/>
    </w:p>
    <w:p>
      <w:pPr>
        <w:pStyle w:val="BookText"/>
        <w:rPr/>
      </w:pPr>
      <w:r>
        <w:rPr>
          <w:rFonts w:ascii="IRNazanin" w:hAnsi="IRNazanin" w:eastAsia="IRNazanin"/>
          <w:color w:val="111111"/>
          <w:sz w:val="28"/>
          <w:sz w:val="28"/>
          <w:szCs w:val="28"/>
          <w:rtl w:val="true"/>
          <w:lang w:bidi="fa-IR"/>
        </w:rPr>
        <w:t>نظر مشهور کراهت خضاب گرفتن برای حائض است آن گونه که برای جُنب نیز چنین است و این مطلب در باب جنابت ذکر شد</w:t>
      </w:r>
      <w:r>
        <w:rPr>
          <w:rFonts w:eastAsia="IRNazanin" w:cs="IRNazanin"/>
          <w:color w:val="111111"/>
          <w:sz w:val="28"/>
          <w:szCs w:val="28"/>
          <w:rtl w:val="true"/>
          <w:lang w:bidi="fa-IR"/>
        </w:rPr>
        <w:t>.</w:t>
      </w:r>
    </w:p>
    <w:p>
      <w:pPr>
        <w:pStyle w:val="Heading5"/>
        <w:numPr>
          <w:ilvl w:val="4"/>
          <w:numId w:val="1"/>
        </w:numPr>
        <w:rPr/>
      </w:pPr>
      <w:bookmarkStart w:id="788" w:name="__RefHeading___Toc605640_1934241801"/>
      <w:bookmarkStart w:id="789" w:name="_Toc364"/>
      <w:bookmarkEnd w:id="788"/>
      <w:r>
        <w:rPr>
          <w:rtl w:val="true"/>
        </w:rPr>
        <w:t xml:space="preserve">روایت </w:t>
      </w:r>
      <w:r>
        <w:rPr/>
        <w:t>5</w:t>
      </w:r>
      <w:bookmarkEnd w:id="789"/>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ابوبصیر روایت شده که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حائض قضای روزه را به جا می آورد ولی قضای نماز را خیر؟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مدّت روزه یک ماه در سال است، ولی نماز در هر شبانه روز باید به جا آورده شود، پس خداوند متعال قضای روزه را واجب گردانده و به همین سبب است که قضای نماز بر حائض واجب نشده است</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اسماعیل الجُعفیّ روایت شده که به امام باقرعلیه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مغیره چنین می پندارد که حائض باید قضای نماز را مانند قضای روزه به جا آورد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فرمود خداوند توفیقش ندهد او را چه شده است؛ همانا زن عمران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نَذَرْتُ لَکَ ما فِی بَطْنِی مُحَرَّراً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آنچه در شکم خود دارم نذر تو کردم تا آزاد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مشاغل دنیا و پرستشگر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بچه وقف شده به مسجد هیچ وقت از آن خارج نمی شود، پس هنگامی که مریم را به دنیا آورد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إنّی وضعتها أنثی ولیس الذّکر کالأنثی</w:t>
      </w:r>
      <w:r>
        <w:rPr>
          <w:rFonts w:eastAsia="IRNazanin" w:cs="IRNazanin"/>
          <w:color w:val="111111"/>
          <w:sz w:val="28"/>
          <w:szCs w:val="28"/>
          <w:rtl w:val="true"/>
          <w:lang w:bidi="fa-IR"/>
        </w:rPr>
        <w:t>»</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دختر زاده‌ام و خدا به آنچه او زایید داناتر بود و پسر چون دختر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مریم هنگامی که او را به دنیا آورد به مسجد واردش گرداند، و هنگامی که به سنّ زنانگی رسید از مسجد اخراج شد</w:t>
      </w:r>
      <w:r>
        <w:rPr>
          <w:rStyle w:val="FootnoteAnchor"/>
          <w:rtl w:val="true"/>
        </w:rPr>
        <w:footnoteReference w:id="422"/>
      </w:r>
      <w:r>
        <w:rPr>
          <w:rFonts w:ascii="IRNazanin" w:hAnsi="IRNazanin" w:eastAsia="IRNazanin"/>
          <w:color w:val="111111"/>
          <w:sz w:val="28"/>
          <w:sz w:val="28"/>
          <w:szCs w:val="28"/>
          <w:rtl w:val="true"/>
          <w:lang w:bidi="fa-IR"/>
        </w:rPr>
        <w:t>، پس چگونه روزها را بیابد که آن را قضا کند در حالی که او در آن است و در تمام طول زندگی اش در مسجد بود</w:t>
      </w:r>
      <w:r>
        <w:rPr>
          <w:rFonts w:eastAsia="IRNazanin" w:cs="IRNazanin"/>
          <w:color w:val="111111"/>
          <w:sz w:val="28"/>
          <w:szCs w:val="28"/>
          <w:rtl w:val="true"/>
          <w:lang w:bidi="fa-IR"/>
        </w:rPr>
        <w:t>.</w:t>
      </w:r>
      <w:r>
        <w:rPr>
          <w:rStyle w:val="FootnoteAnchor"/>
          <w:rtl w:val="true"/>
        </w:rPr>
        <w:footnoteReference w:id="423"/>
      </w:r>
      <w:bookmarkStart w:id="790" w:name="pg13517_329116"/>
    </w:p>
    <w:p>
      <w:pPr>
        <w:pStyle w:val="Heading5"/>
        <w:numPr>
          <w:ilvl w:val="4"/>
          <w:numId w:val="1"/>
        </w:numPr>
        <w:rPr/>
      </w:pPr>
      <w:bookmarkStart w:id="791" w:name="__RefHeading___Toc605642_1934241801"/>
      <w:bookmarkStart w:id="792" w:name="_Toc365"/>
      <w:bookmarkEnd w:id="790"/>
      <w:bookmarkEnd w:id="791"/>
      <w:r>
        <w:rPr>
          <w:rtl w:val="true"/>
        </w:rPr>
        <w:t>بيان</w:t>
      </w:r>
      <w:bookmarkEnd w:id="792"/>
    </w:p>
    <w:p>
      <w:pPr>
        <w:pStyle w:val="BookText"/>
        <w:rPr/>
      </w:pPr>
      <w:r>
        <w:rPr>
          <w:rFonts w:ascii="Amiri" w:hAnsi="Amiri" w:eastAsia="Amiri" w:cs="Amiri"/>
          <w:color w:val="111111"/>
          <w:sz w:val="28"/>
          <w:sz w:val="28"/>
          <w:szCs w:val="28"/>
          <w:rtl w:val="true"/>
          <w:lang w:bidi="ar-SA"/>
        </w:rPr>
        <w:t>المغيرة هو ابن سعيد و قد روي الكشي روايات كثيرة دالة علي لعنه و أنه كان يضع الأخبار و يحتمل أن يكون للمحرر في شرعهم عبادات مخصوصة تستوعب جميع أوقاته‌</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 أمّا النساء فلاجل طمثهم و عدم طهارتهم في كل شهر خمسة أو سبعة أيّام مثلا لا يمكنهن القيام بالعبادة، و لذلك لم يكونوا ليحرروا النساء، فلما وضعت امرأة عمران ما في بطنها أنثي تضرعت إلي اللّه عزّ و جلّ من خيبة المعاهدة و نقضها، و تحسرت من أن اللّه عز و جل لم يقبل تعهده للتحرير، فجعل ما في بطنها انثي لا تليق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استدلاله عليه السلام بذلك ردا علي المغيرة بن سعيد فهو أنّه لو كانت النساء في حكم اللّه تقضي الصلاة كما تقضي الصوم لما كانت معاهدة تحرير مريم عليها السلام منقوضة باطلة فانها كانت تخرج من البيعة و تترك العبادة لضرورة الطمث، ثمّ بعد التطهر و التطهير ترجع الي غرفتها و تقضي ما كانت عليها من الصلوات و الصيام أداء لعبادة ربّه و تماما لصفقة المعاهدة للتحرير، بما أنفق المحررون في تلك الأيّام عليها اجراءاتهم من النفقة و الكسوة و السكني في بيت معدة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عليها قضاء الصلوات التي فاتتها لكان تكليفا بما لا يطاق و الظاهر أنه باعتبار أصل الكون في المسجد فإنه عبادة و لعله عليه السلام إنما ألزم هذا علي المخالفين موافقا لما كانوا يعتقدونه من أمثال تلك الاستحسانات و قيل يحتمل أنه كان في تلك الشريعة يجب علي الحائض قضاء ما فاتها من الصلاة في محل الفوات فكان يلزمها مع وجوب القضاء أن تبقي بعد الطهر خارجة من المسجد بقدر القضاء و قد كان عليها أن تكون الدهر في</w:t>
      </w:r>
    </w:p>
    <w:p>
      <w:pPr>
        <w:pStyle w:val="Heading5"/>
        <w:numPr>
          <w:ilvl w:val="4"/>
          <w:numId w:val="1"/>
        </w:numPr>
        <w:rPr/>
      </w:pPr>
      <w:bookmarkStart w:id="793" w:name="__RefHeading___Toc605644_1934241801"/>
      <w:bookmarkStart w:id="794" w:name="_Toc366"/>
      <w:bookmarkEnd w:id="793"/>
      <w:r>
        <w:rPr>
          <w:rtl w:val="true"/>
        </w:rPr>
        <w:t>توضیح</w:t>
      </w:r>
      <w:bookmarkEnd w:id="79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مغیره همان ابن سعید است، و الکشیّ روایات بسیاری را نقل کرده که بر لعن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دارند، مغیره اقدام به جعل احادیث می نمود، و ممکن است که محرّر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وقف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آنان دارای عبادت های مخصوصی بوده باشد که تمام وقت او را در بر می گرفته است، پس اگر قضای نمازهای از دست رفته بر او واجب می گردید تکلیفی بود که توان تحمّلش را نداشت، و ظاهر این است که امر به اعتبار اصلِ ماندن در مسجد است که عبادت به شمار می آید، و شاید امام باقر علیه السلام این امر را بر مخالفان الزام کرده باشد حال آنکه آنان به امثال این استحسانات معتقد بودند،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شریعت آنان به جا آوردن قضای نمازهایی که زمان آن ها سپری شده در همان محلّ سپری شدن بر زن حائض واجب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وجود وجوب قضای نماز سپری شده لازم بوده که زن حائض بعد از پاک شدن از خون حیض به اندازه زمان قضای نماز خارج از مسجد باقی بماند، این درحالی است که بر او واجب بوده که تمام روزگار را در </w:t>
      </w:r>
      <w:bookmarkStart w:id="795" w:name="pg13517_329117"/>
    </w:p>
    <w:p>
      <w:pPr>
        <w:pStyle w:val="BookText"/>
        <w:rPr/>
      </w:pPr>
      <w:bookmarkEnd w:id="795"/>
      <w:r>
        <w:rPr>
          <w:rFonts w:ascii="Amiri" w:hAnsi="Amiri" w:eastAsia="Amiri" w:cs="Amiri"/>
          <w:color w:val="111111"/>
          <w:sz w:val="28"/>
          <w:sz w:val="28"/>
          <w:szCs w:val="28"/>
          <w:rtl w:val="true"/>
          <w:lang w:bidi="ar-SA"/>
        </w:rPr>
        <w:t>المسجد و لا يخفي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يدل الخبر علي أن مريم عليها السلام كانت تحيض و ربما ينافيه بعض الأخبار و يحتمل أن يكون هذا أيضا إلزاما عليهم و قد مر ذكر أحوالها عليها السلام في المجلد الخامس</w:t>
      </w:r>
      <w:r>
        <w:rPr>
          <w:rFonts w:eastAsia="Amiri" w:cs="Amiri" w:ascii="Amiri" w:hAnsi="Amiri"/>
          <w:color w:val="111111"/>
          <w:sz w:val="28"/>
          <w:szCs w:val="28"/>
          <w:rtl w:val="true"/>
          <w:lang w:bidi="ar-SA"/>
        </w:rPr>
        <w:t>.</w:t>
      </w:r>
    </w:p>
    <w:p>
      <w:pPr>
        <w:pStyle w:val="Heading5"/>
        <w:numPr>
          <w:ilvl w:val="4"/>
          <w:numId w:val="1"/>
        </w:numPr>
        <w:rPr/>
      </w:pPr>
      <w:bookmarkStart w:id="796" w:name="__RefHeading___Toc605646_1934241801"/>
      <w:bookmarkStart w:id="797" w:name="_Toc367"/>
      <w:bookmarkEnd w:id="796"/>
      <w:r>
        <w:rPr>
          <w:rtl w:val="true"/>
        </w:rPr>
        <w:t>«</w:t>
      </w:r>
      <w:r>
        <w:rPr/>
        <w:t>6</w:t>
      </w:r>
      <w:r>
        <w:rPr>
          <w:rtl w:val="true"/>
        </w:rPr>
        <w:t>»</w:t>
      </w:r>
      <w:bookmarkEnd w:id="797"/>
    </w:p>
    <w:p>
      <w:pPr>
        <w:pStyle w:val="BookText"/>
        <w:rPr/>
      </w:pPr>
      <w:r>
        <w:rPr>
          <w:rFonts w:ascii="Amiri" w:hAnsi="Amiri" w:eastAsia="Amiri" w:cs="Amiri"/>
          <w:color w:val="111111"/>
          <w:sz w:val="28"/>
          <w:sz w:val="28"/>
          <w:szCs w:val="28"/>
          <w:rtl w:val="true"/>
          <w:lang w:bidi="ar-SA"/>
        </w:rPr>
        <w:t>الْعِلَلُ، عَنْ أَبِيهِ عَنْ مُحَمَّدِ بْنِ يَحْيَي الْعَطَّارِ عَنْ مُحَمَّدِ بْنِ أَحْمَدَ بْنِ مُحَمَّدٍ عَنْ أَبِيهِ عَنِ الْحَسَنِ بْنِ عَطِيَّةَ عَنْ عُذَافِرٍ الصَّيْرَفِيِّ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 هَؤُلَاءِ الْمُشَوَّهِينَ فِي خَلْقِهِمْ قَالَ قَالَتْ نَعَمْ قَالَ هُمُ الَّذِينَ يَأْتِي آبَاؤُهُمْ نِسَاءَهُمْ فِي الطَّمْثِ‌</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عَلِيِّ بْنِ حَاتِمٍ عَنِ الْقَاسِمِ بْنِ مُحَمَّدٍ عَنْ حُمْلَانَ بْنِ الْحُسَيْنِ عَنِ الْحُسَيْنِ بْنِ الْوَلِيدِ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لِأَيِّ عِلَّةٍ أُعْطِيَتِ النِّسَاءُ ثَمَانِيَةَ عَشَرَ يَوْماً وَ لَمْ تُعْطَ أَقَلَّ مِنْهَا وَ لَا أَكْثَرَ قَالَ لِأَنَّ الْحَيْضَ أَقَلُّهُ ثَلَاثَةُ أَيَّامٍ وَ أَوْسَطُهُ خَمْسَةُ أَيَّامٍ وَ أَكْثَرَهُ عَشَرَةُ أَيَّامِ فَأُعْطِيَتْ أَقَلَّ الْحَيْضِ وَ أَوْسَطَهُ وَ أَكْثَرَهُ‌</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8" w:name="__RefHeading___Toc605648_1934241801"/>
      <w:bookmarkStart w:id="799" w:name="_Toc368"/>
      <w:bookmarkEnd w:id="798"/>
      <w:r>
        <w:rPr>
          <w:rtl w:val="true"/>
        </w:rPr>
        <w:t>توضيح</w:t>
      </w:r>
      <w:bookmarkEnd w:id="799"/>
    </w:p>
    <w:p>
      <w:pPr>
        <w:pStyle w:val="BookText"/>
        <w:rPr/>
      </w:pPr>
      <w:r>
        <w:rPr>
          <w:rFonts w:ascii="Amiri" w:hAnsi="Amiri" w:eastAsia="Amiri" w:cs="Amiri"/>
          <w:color w:val="111111"/>
          <w:sz w:val="28"/>
          <w:sz w:val="28"/>
          <w:szCs w:val="28"/>
          <w:rtl w:val="true"/>
          <w:lang w:bidi="ar-SA"/>
        </w:rPr>
        <w:t>اختلف الأصحاب في أكثر أيام النفاس فقال الشيخ في النهاية لا يجوز لها ترك الصلاة و لا الصوم إلا في الأيام التي كانت تعتاد فيها الحيض ثم قال بعد ذلك و لا يكون حكم نفاسها أكثر من عشرة أيام و نحوه قال في الجمل و المبسوط و قال المرتضي أكثرها ثمانية عشر يوما و هو مختار ابن الجنيد و الصدوق و سيأتي مختار ابن أبي عقيل و ذهب أكثر المتأخرين إلي أن ذات العادة في الحيض تعمل بعادتها تتنفس إلي العشرة و اختار في المختلف أن ذات العادة ترجع إليها و المبتدئة تصبر ثمانية عشر يوما و القول بالتخيير وجه جمع بين الأخبار و ربما تحمل أخبار الثمانية عشر علي النسخ أو علي التقية</w:t>
      </w:r>
      <w:r>
        <w:rPr>
          <w:rFonts w:eastAsia="Amiri" w:cs="Amiri" w:ascii="Amiri" w:hAnsi="Amiri"/>
          <w:color w:val="111111"/>
          <w:sz w:val="28"/>
          <w:szCs w:val="28"/>
          <w:rtl w:val="true"/>
          <w:lang w:bidi="ar-SA"/>
        </w:rPr>
        <w:t>.</w:t>
      </w:r>
    </w:p>
    <w:p>
      <w:pPr>
        <w:pStyle w:val="Heading5"/>
        <w:numPr>
          <w:ilvl w:val="4"/>
          <w:numId w:val="1"/>
        </w:numPr>
        <w:rPr/>
      </w:pPr>
      <w:bookmarkStart w:id="800" w:name="__RefHeading___Toc605650_1934241801"/>
      <w:bookmarkStart w:id="801" w:name="_Toc369"/>
      <w:bookmarkEnd w:id="800"/>
      <w:r>
        <w:rPr>
          <w:rtl w:val="true"/>
        </w:rPr>
        <w:t>«</w:t>
      </w:r>
      <w:r>
        <w:rPr/>
        <w:t>7</w:t>
      </w:r>
      <w:r>
        <w:rPr>
          <w:rtl w:val="true"/>
        </w:rPr>
        <w:t>»</w:t>
      </w:r>
      <w:bookmarkEnd w:id="801"/>
    </w:p>
    <w:p>
      <w:pPr>
        <w:pStyle w:val="BookText"/>
        <w:rPr/>
      </w:pPr>
      <w:r>
        <w:rPr>
          <w:rFonts w:ascii="Amiri" w:hAnsi="Amiri" w:eastAsia="Amiri" w:cs="Amiri"/>
          <w:color w:val="111111"/>
          <w:sz w:val="28"/>
          <w:sz w:val="28"/>
          <w:szCs w:val="28"/>
          <w:rtl w:val="true"/>
          <w:lang w:bidi="ar-SA"/>
        </w:rPr>
        <w:t>قُرْبُ الْإِسْنَادِ، وَ كِتَابُ الْمَسَائِلِ، بِإِسْنَادِهِمَا 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أَخِي عليه السلام عَنِ الْمَرْأَةِ الَّتِي تَرَي الصُّفْرَةَ أَيَّامَ طَمْثِهَا كَيْفَ تَصْنَعُ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مسجد بگذراند، و میزان دوری این نظر از صحّت بر کسی پوشیده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این حدیث بر این نکته دلالت می کند که مریم علیهاالسلام دچار حیض می شده است، و چه بسا که برخی از احادیث این امر را نفی می کنند، و ممکن است این مسأله نیز الزامی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ذکر احوال مریم علیهاالسلام در جلد پنجم گذشت</w:t>
      </w:r>
      <w:r>
        <w:rPr>
          <w:rFonts w:eastAsia="IRNazanin" w:cs="IRNazanin"/>
          <w:color w:val="111111"/>
          <w:sz w:val="28"/>
          <w:szCs w:val="28"/>
          <w:rtl w:val="true"/>
          <w:lang w:bidi="fa-IR"/>
        </w:rPr>
        <w:t>.</w:t>
      </w:r>
    </w:p>
    <w:p>
      <w:pPr>
        <w:pStyle w:val="Heading5"/>
        <w:numPr>
          <w:ilvl w:val="4"/>
          <w:numId w:val="1"/>
        </w:numPr>
        <w:rPr/>
      </w:pPr>
      <w:bookmarkStart w:id="802" w:name="__RefHeading___Toc605652_1934241801"/>
      <w:bookmarkStart w:id="803" w:name="_Toc370"/>
      <w:bookmarkEnd w:id="802"/>
      <w:r>
        <w:rPr>
          <w:rtl w:val="true"/>
        </w:rPr>
        <w:t xml:space="preserve">روایت </w:t>
      </w:r>
      <w:r>
        <w:rPr/>
        <w:t>6</w:t>
      </w:r>
      <w:bookmarkEnd w:id="803"/>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عذافر الصیرفیّ روایت شده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اینان که خلقتشان ناهمگون و بد ترکیب شده است را مشاهده 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پدران شان درحال حیض همسران شان با آنان نزدیکی کرده اند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حنان بن سدیر روایت شده که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زنان هجده روز بخشیده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نماز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کمتر و نه بیشتر از آن؟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کمترین مدّت زمان حیض سه روز، متوسط آن پنج روز و بیشترین آن ده روز است، کمترین، متوسط و بیشترین مدّت زمان حیض به زنان بخشیده شده است</w:t>
      </w:r>
      <w:r>
        <w:rPr>
          <w:rFonts w:eastAsia="IRNazanin" w:cs="IRNazanin"/>
          <w:color w:val="111111"/>
          <w:sz w:val="28"/>
          <w:szCs w:val="28"/>
          <w:rtl w:val="true"/>
          <w:lang w:bidi="fa-IR"/>
        </w:rPr>
        <w:t>.</w:t>
      </w:r>
      <w:r>
        <w:rPr>
          <w:rStyle w:val="FootnoteAnchor"/>
          <w:rtl w:val="true"/>
        </w:rPr>
        <w:footnoteReference w:id="428"/>
      </w:r>
    </w:p>
    <w:p>
      <w:pPr>
        <w:pStyle w:val="Heading5"/>
        <w:numPr>
          <w:ilvl w:val="4"/>
          <w:numId w:val="1"/>
        </w:numPr>
        <w:rPr/>
      </w:pPr>
      <w:bookmarkStart w:id="804" w:name="__RefHeading___Toc605654_1934241801"/>
      <w:bookmarkStart w:id="805" w:name="_Toc371"/>
      <w:bookmarkEnd w:id="804"/>
      <w:r>
        <w:rPr>
          <w:rtl w:val="true"/>
        </w:rPr>
        <w:t>توضیح</w:t>
      </w:r>
      <w:bookmarkEnd w:id="805"/>
    </w:p>
    <w:p>
      <w:pPr>
        <w:pStyle w:val="BookText"/>
        <w:rPr/>
      </w:pPr>
      <w:r>
        <w:rPr>
          <w:rFonts w:ascii="IRNazanin" w:hAnsi="IRNazanin" w:eastAsia="IRNazanin"/>
          <w:color w:val="111111"/>
          <w:sz w:val="28"/>
          <w:sz w:val="28"/>
          <w:szCs w:val="28"/>
          <w:rtl w:val="true"/>
          <w:lang w:bidi="fa-IR"/>
        </w:rPr>
        <w:t xml:space="preserve">فقها بر سر بیشترین مدّت خونریزی بعد از زایمان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اختلاف شده اند، شیخ درالنهایة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جایز نیست که نماز و روزه را ترک کند جز در روزهایی که در آن ها دچار حیض می شود،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نفاس او نیز بیشتر از ده روز نمی باشد، و مانند این سخن را در الجمل و المبسوط نیز گفته است؛ المرتضی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مدّت نفاس هجده روز است؛ ابن جنید و شیخ صدوق نیز این نظر را برگزیده اند، و نظر برگزیده ابن ابی عقیل نیز در ادامه ذکر خواهد شد، و بیشتر متأخّرین بر این باورند که صاحب عادت در دوران حیض طبق عادت خود عمل می کند و نفاس آن ده روز است و علامه در المختلف این را برگزیده که صاحب عادت به عادت خود عمل می کند، و زنی که تازه دوران حیض را تجربه می کند هجده روز درنگ می کند، و قول به تخییر، وجهی است که بین احادیث را جمع می کند، و چه بسا که روایات و احادیثی که دوران نفاس را هجده روز دانسته اند بر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جایگزین شدن با حکمی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تقیّه حمل می شوند</w:t>
      </w:r>
      <w:r>
        <w:rPr>
          <w:rFonts w:eastAsia="IRNazanin" w:cs="IRNazanin"/>
          <w:color w:val="111111"/>
          <w:sz w:val="28"/>
          <w:szCs w:val="28"/>
          <w:rtl w:val="true"/>
          <w:lang w:bidi="fa-IR"/>
        </w:rPr>
        <w:t>.</w:t>
      </w:r>
    </w:p>
    <w:p>
      <w:pPr>
        <w:pStyle w:val="Heading5"/>
        <w:numPr>
          <w:ilvl w:val="4"/>
          <w:numId w:val="1"/>
        </w:numPr>
        <w:rPr/>
      </w:pPr>
      <w:bookmarkStart w:id="806" w:name="__RefHeading___Toc605656_1934241801"/>
      <w:bookmarkStart w:id="807" w:name="_Toc372"/>
      <w:bookmarkEnd w:id="806"/>
      <w:r>
        <w:rPr>
          <w:rtl w:val="true"/>
        </w:rPr>
        <w:t xml:space="preserve">روایت </w:t>
      </w:r>
      <w:r>
        <w:rPr/>
        <w:t>7</w:t>
      </w:r>
      <w:bookmarkEnd w:id="80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 و 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هر دو کتاب از علی بن جعفر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امام موسی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دوران حیض خویش مایع زرد رنگ می بیند، چگونه باید عمل کند؟ امام فرمود</w:t>
      </w:r>
      <w:r>
        <w:rPr>
          <w:rFonts w:eastAsia="IRNazanin" w:cs="IRNazanin"/>
          <w:color w:val="111111"/>
          <w:sz w:val="28"/>
          <w:szCs w:val="28"/>
          <w:rtl w:val="true"/>
          <w:lang w:bidi="fa-IR"/>
        </w:rPr>
        <w:t xml:space="preserve">: </w:t>
      </w:r>
      <w:bookmarkStart w:id="808" w:name="pg13517_329118"/>
    </w:p>
    <w:p>
      <w:pPr>
        <w:pStyle w:val="BookText"/>
        <w:rPr/>
      </w:pPr>
      <w:bookmarkEnd w:id="808"/>
      <w:r>
        <w:rPr>
          <w:rFonts w:ascii="Amiri" w:hAnsi="Amiri" w:eastAsia="Amiri" w:cs="Amiri"/>
          <w:color w:val="111111"/>
          <w:sz w:val="28"/>
          <w:sz w:val="28"/>
          <w:szCs w:val="28"/>
          <w:rtl w:val="true"/>
          <w:lang w:bidi="ar-SA"/>
        </w:rPr>
        <w:t>تَتْرُكُ لِذَلِكَ الصَّلَاةَ بِعَدَدِ أَيَّامِهَا الَّتِي كَانَتْ تَقْعُدُ فِي طَمْثِهَا ثُمَّ تَغْتَسِلُ وَ تُصَلِّي فَإِنْ رَأَتْ صُفْرَةً بَعْدَ غُسْلِهَا فَلَا غُسْلَ عَلَيْهَا يُجْزِيهَا الْوُضُوءُ عِنْدَ كُلِّ صَلَاةٍ تُصَلِّي‌</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قَالَ وَ سَأَلْتُهُ عَنِ الْمَرْأَةِ تَرَي الدَّمَ فِي غَيْرِ أَيَّامِ طَمْثِهَا فَتَرَاهُ الْيَوْمَ وَ الْيَوْمَيْنِ وَ السَّاعَةَ وَ السَّاعَتَيْنِ وَ يَذْهَبُ مِثْلُ ذَلِكَ كَيْفَ تَصْنَعُ قَالَ تَتْرُكُ الصَّلَاةَ إِذَا كَانَتْ تِلْكَ حَالَهَا مَا دَامَ الدَّمُ وَ تَغْتَسِلُ كُلَّمَا انْقَطَعَ الدَّمُ عَنْهَا قُلْتُ كَيْفَ تَصْنَعُ قَالَ مَا دَامَتْ تَرَي الصُّفْرَةَ فَلْتَتَوَضَّأْ مِنَ الصُّفْرَةِ وَ تُصَلِّي وَ لَا غُسْلَ عَلَيْهَا مِنْ صُفْرَةٍ تَرَاهَا إِلَّا فِي أَيَّامِ طَمْثِهَا فَإِنْ رَأَتْ صُفْرَةً فِي أَيَّامِ طَمْثِهَا تَرَكَتِ الصَّلَاةَ كَتَرْكِهَا لِلدَّمِ‌</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9" w:name="__RefHeading___Toc605658_1934241801"/>
      <w:bookmarkStart w:id="810" w:name="_Toc373"/>
      <w:bookmarkEnd w:id="809"/>
      <w:r>
        <w:rPr>
          <w:rtl w:val="true"/>
        </w:rPr>
        <w:t>بيان</w:t>
      </w:r>
      <w:bookmarkEnd w:id="810"/>
    </w:p>
    <w:p>
      <w:pPr>
        <w:pStyle w:val="BookText"/>
        <w:rPr/>
      </w:pPr>
      <w:r>
        <w:rPr>
          <w:rFonts w:ascii="Amiri" w:hAnsi="Amiri" w:eastAsia="Amiri" w:cs="Amiri"/>
          <w:color w:val="111111"/>
          <w:sz w:val="28"/>
          <w:sz w:val="28"/>
          <w:szCs w:val="28"/>
          <w:rtl w:val="true"/>
          <w:lang w:bidi="ar-SA"/>
        </w:rPr>
        <w:t>يدل علي أن الصفرة في أيام الحيض حيض و أجزاء الوضوء في الصفرة لأن الغالب فيها القلة و أما قوله تترك الصلاة ففيه إشكال لعدم تحقق أقل الحيض و يمكن حمله علي أنه ابتداء تترك الصلاة لاحتمال الحيض لا سيما إذا كان بصفة الحيض كما يظهر من آخر الخبر ثم إذا رأت الدم قبل العشرة و كملت الثلاثة فهي حيض بناء علي عدم اشتراط التوالي و إلا تقضي ما تركتها من العبادة أو أن هذا حكم المبتدئة إلي أن تستقر عادتها أو يتبين دوام دمها فتعمل بالروايات أو بغيرها و يؤيده ما رواه الشَّيْخُ فِي الْمُوَثَّقِ‌</w:t>
      </w:r>
      <w:r>
        <w:rPr>
          <w:rStyle w:val="FootnoteAnchor"/>
          <w:rtl w:val="true"/>
        </w:rPr>
        <w:footnoteReference w:id="431"/>
      </w:r>
      <w:r>
        <w:rPr>
          <w:rFonts w:ascii="Amiri" w:hAnsi="Amiri" w:eastAsia="Amiri" w:cs="Amiri"/>
          <w:color w:val="111111"/>
          <w:sz w:val="28"/>
          <w:sz w:val="28"/>
          <w:szCs w:val="28"/>
          <w:rtl w:val="true"/>
          <w:lang w:bidi="ar-SA"/>
        </w:rPr>
        <w:t>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الْمَرْأَةُ تَرَي الدَّمَ ثَلَاثَةَ أَيَّامٍ أَوْ أَرْبَعَةً قَالَ تَدَعُ الصَّلَاةَ قُلْتُ فَإِنَّهَا تَرَي الطُّهْرَ ثَلَاثَةَ أَيَّامٍ أَوْ أَرْبَعَةً قَالَ تُصَلِّي قُلْتُ فَإِنَّهَا تَرَي الدَّمَ ثَلَاثَةَ أَيَّامٍ أَوْ أَرْبَعَةً قَالَ تَدَعُ الصَّلَاةَ تَصْنَعُ مَا بَيْنَهَا وَ بَيْنَ شَهْرٍ فَإِنِ انْقَطَعَ عَنْهَا وَ إِلَّا فَهِيَ بِمَنْزِلَةِ الْمُسْتَحَاضَةِ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بسند آخر موثق‌</w:t>
      </w:r>
      <w:r>
        <w:rPr>
          <w:rStyle w:val="FootnoteAnchor"/>
          <w:rtl w:val="true"/>
        </w:rPr>
        <w:footnoteReference w:id="432"/>
      </w:r>
      <w:r>
        <w:rPr>
          <w:rFonts w:ascii="Amiri" w:hAnsi="Amiri" w:eastAsia="Amiri" w:cs="Amiri"/>
          <w:color w:val="111111"/>
          <w:sz w:val="28"/>
          <w:sz w:val="28"/>
          <w:szCs w:val="28"/>
          <w:rtl w:val="true"/>
          <w:lang w:bidi="ar-SA"/>
        </w:rPr>
        <w:t>عن يونس بن يعقوب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عمل بهما الصدوق في الفقيه‌</w:t>
      </w:r>
      <w:r>
        <w:rPr>
          <w:rStyle w:val="FootnoteAnchor"/>
          <w:rtl w:val="true"/>
        </w:rPr>
        <w:footnoteReference w:id="433"/>
      </w:r>
      <w:r>
        <w:rPr>
          <w:rFonts w:ascii="Amiri" w:hAnsi="Amiri" w:eastAsia="Amiri" w:cs="Amiri"/>
          <w:color w:val="111111"/>
          <w:sz w:val="28"/>
          <w:sz w:val="28"/>
          <w:szCs w:val="28"/>
          <w:rtl w:val="true"/>
          <w:lang w:bidi="ar-SA"/>
        </w:rPr>
        <w:t>و قال الشيخ في النهاية فإن كانت المرأة لها عادة إلا أنه اختلط عليها العادة</w:t>
      </w:r>
    </w:p>
    <w:p>
      <w:pPr>
        <w:pStyle w:val="BookText"/>
        <w:rPr/>
      </w:pPr>
      <w:r>
        <w:rPr>
          <w:rFonts w:ascii="IRNazanin" w:hAnsi="IRNazanin" w:eastAsia="IRNazanin"/>
          <w:color w:val="111111"/>
          <w:sz w:val="28"/>
          <w:sz w:val="28"/>
          <w:szCs w:val="28"/>
          <w:rtl w:val="true"/>
          <w:lang w:bidi="fa-IR"/>
        </w:rPr>
        <w:t>باید به تعداد روزهایی که در دوران حیضش نماز خواندن را ترک می کند، نماز خواندن را ترک کند، سپس غسل نموده و نماز بخواند، و اگر بعد از غسل مایع زرد رنگی را مشاهده کند دوباره غسل بر او واجب نیست و وضو گرفتن هنگام خواندن هر نماز او را کفایت می کند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علی بن جعفر در ادامه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غیر ایّام حیض شاهد خونریزی است، پس یک روز و دو روز، یک ساعت و دو ساعت خارج شدن خون را می بیند، چگونه باید عمل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 او چنین باشد و آنچه خارج می شود خون باشد، باید نماز خواندن را ترک کند، و هرگاه که خونریزی او قطع شد غسل نماید،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عمل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مایع زرد رنگ را مشاهده کند باید به خاطر آن وضو بگیرد و نماز بخواند، و انجام هیچ غسلی به خاطر مشاهده مایع زرد رنگ خارج شده از فرج بر او واجب نیست، مگر آنکه در دوران حیض او باشد، پس اگر مایع زرد رنگ را در دوران حیض مشاهده کرد باید نماز خواندن را مانند زمان مشاهده خون ترک کند</w:t>
      </w:r>
      <w:r>
        <w:rPr>
          <w:rFonts w:eastAsia="IRNazanin" w:cs="IRNazanin"/>
          <w:color w:val="111111"/>
          <w:sz w:val="28"/>
          <w:szCs w:val="28"/>
          <w:rtl w:val="true"/>
          <w:lang w:bidi="fa-IR"/>
        </w:rPr>
        <w:t>.</w:t>
      </w:r>
      <w:r>
        <w:rPr>
          <w:rStyle w:val="FootnoteAnchor"/>
          <w:rtl w:val="true"/>
        </w:rPr>
        <w:footnoteReference w:id="435"/>
      </w:r>
    </w:p>
    <w:p>
      <w:pPr>
        <w:pStyle w:val="Heading5"/>
        <w:numPr>
          <w:ilvl w:val="4"/>
          <w:numId w:val="1"/>
        </w:numPr>
        <w:rPr/>
      </w:pPr>
      <w:bookmarkStart w:id="811" w:name="__RefHeading___Toc605660_1934241801"/>
      <w:bookmarkStart w:id="812" w:name="_Toc374"/>
      <w:bookmarkEnd w:id="811"/>
      <w:r>
        <w:rPr>
          <w:rtl w:val="true"/>
        </w:rPr>
        <w:t>توضیح</w:t>
      </w:r>
      <w:bookmarkEnd w:id="812"/>
    </w:p>
    <w:p>
      <w:pPr>
        <w:pStyle w:val="BookText"/>
        <w:rPr/>
      </w:pPr>
      <w:r>
        <w:rPr>
          <w:rFonts w:ascii="IRNazanin" w:hAnsi="IRNazanin" w:eastAsia="IRNazanin"/>
          <w:color w:val="111111"/>
          <w:sz w:val="28"/>
          <w:sz w:val="28"/>
          <w:szCs w:val="28"/>
          <w:rtl w:val="true"/>
          <w:lang w:bidi="fa-IR"/>
        </w:rPr>
        <w:t xml:space="preserve">حدیث بر این نکته دلالت می کند که مایع زرد رنگ در ایّام حیض همان خون حیض است، و کفایت کردن وضو هنگام خارج شدن مایع زرد رنگ به خاطر این است که غالباً مقدار آن اندک است، امّا در فرموده ای که قائل به ترک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مشاهده مایع زرد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وجود دارد، چرا که کمترین مدّت زمان حیض محقق نشده است، و ممکن است بر این نکته حمل شود که زن در آغاز خارج شدن مایع زرد رنگ نماز را ترک می کند که به خاطر احتمال آغاز دوران حیض است، مخصوصاً اگر آن مایع دارای خصوصیات خون حیض باشد، آن گونه که این نکته از آخرحدیث نیز آشکار می گردد، سپس اگر خونی را قبل از اتمام ده روز و بعد از کامل شدن سه روز مشاهده کرد، خون حیض است، و این امر مبنی بر عدم شرط توالی است، در غیر این صورت قضای عبادت های ترک شده را به جا می آورد، و یا این حکم متعلّق به زنی است که تازه دوران حیض را تجربه می کند تا عادت او استقرار یابد یا دوام خونریزی اش مشخص گردد، پس برطبق روایات یا غیر آن عمل می کند، و آنچه شیخ در الموثّق</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روایت کرده این نظر را تأیید می کند، شیخ از یونس بن یعقوب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زنی پرسیدم که به مدّت سه یا چهار روز شاهد خونریزی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را ترک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یا چهار روز پاکی را مشاهده می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را از سر می گیرد،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یا چهار روز خونریزی را مشاهده می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را ترک می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سه یا چهار روز خونریزی را مشاهده می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را ترک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مدّت یک ماه این گونه عمل می کند تا زمانی که خونریزی قطع شود، در غیر این صورت آن زن مستحاضه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خون، خون استحاضه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سند موثّقِ</w:t>
      </w:r>
      <w:r>
        <w:rPr>
          <w:rStyle w:val="FootnoteAnchor"/>
          <w:rtl w:val="true"/>
        </w:rPr>
        <w:footnoteReference w:id="437"/>
      </w:r>
      <w:r>
        <w:rPr>
          <w:rFonts w:ascii="IRNazanin" w:hAnsi="IRNazanin" w:eastAsia="IRNazanin"/>
          <w:color w:val="111111"/>
          <w:sz w:val="28"/>
          <w:sz w:val="28"/>
          <w:szCs w:val="28"/>
          <w:rtl w:val="true"/>
          <w:lang w:bidi="fa-IR"/>
        </w:rPr>
        <w:t>دیگری از یونس بن یعقوب و او نیز از ابوبصیر مانند این روایت را نقل کرده است، و شیخ صدوق در الفقیه</w:t>
      </w:r>
      <w:r>
        <w:rPr>
          <w:rStyle w:val="FootnoteAnchor"/>
          <w:rtl w:val="true"/>
        </w:rPr>
        <w:footnoteReference w:id="43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این دو حدیث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دارای عادت ماهیانه باشد ولی عادت او دچار اختلال </w:t>
      </w:r>
      <w:bookmarkStart w:id="813" w:name="pg13517_329119"/>
    </w:p>
    <w:p>
      <w:pPr>
        <w:pStyle w:val="BookText"/>
        <w:rPr/>
      </w:pPr>
      <w:bookmarkEnd w:id="813"/>
      <w:r>
        <w:rPr>
          <w:rFonts w:ascii="Amiri" w:hAnsi="Amiri" w:eastAsia="Amiri" w:cs="Amiri"/>
          <w:color w:val="111111"/>
          <w:sz w:val="28"/>
          <w:sz w:val="28"/>
          <w:szCs w:val="28"/>
          <w:rtl w:val="true"/>
          <w:lang w:bidi="ar-SA"/>
        </w:rPr>
        <w:t>و اضطربت و تغيرت عن أوقاتها و أزمانها فكلما رأت الدم تركت الصلاة و الصوم و كلما رأت الطهر صلت و صامت إلي أن ترجع إلي حال الصحة و قد روي أنها تفعل ذلك ما بينها و بين شهر ثم تفعل ما تفعله المستحاضة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الإستبصار و الوجه في هذين الخبرين أن نحملهما علي امرأة اختلطت عادتها في الحيض و تغيرت أوقاتها و كذلك أيام أقرائها و اشتبه عليها صفة الدم و لا يتميز لها دم الحيض من غيره فإنه إذا كان كذلك ففرضها إذا رأت الدم أن تترك الصلاة و إذا رأت الطهر صلت إلي أن تعرف 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هذا حكم امرأة مستحاضة اختلطت عليها أيام الحيض و تغيرت و استمرت بها الدم و تشبه صفة الدم فتري ما يشبه دم الحيض ثلاثة أيام أو أربعة أيام و تري ما يشبه دم الاستحاضة مثل ذلك و لم يتحصل لها العلم بواحد منها فإن فرضها أن تترك الصلاة كلما رأت ما يشبه دم الحيض و تصلي كلما رأت ما يشبه دم الاستحاضة إلي شهر و تعمل بعد ذلك ما تعمله المستحاضة و يكون قوله رأت الطهر ثلاثة أيام أو أربعة أيام عبارة عما يشبه دم الاستحاضة لأن الاستحاضة بحكم الطهر و لأجل ذلك قال في الخبر ثم تعمل ما تعمله المستحاضة و ذلك لا يكون إلا مع استمرار الدم انتهي</w:t>
      </w:r>
      <w:r>
        <w:rPr>
          <w:rFonts w:eastAsia="Amiri" w:cs="Amiri" w:ascii="Amiri" w:hAnsi="Amiri"/>
          <w:color w:val="111111"/>
          <w:sz w:val="28"/>
          <w:szCs w:val="28"/>
          <w:rtl w:val="true"/>
          <w:lang w:bidi="ar-SA"/>
        </w:rPr>
        <w:t>.</w:t>
      </w:r>
    </w:p>
    <w:p>
      <w:pPr>
        <w:pStyle w:val="Heading5"/>
        <w:numPr>
          <w:ilvl w:val="4"/>
          <w:numId w:val="1"/>
        </w:numPr>
        <w:rPr/>
      </w:pPr>
      <w:bookmarkStart w:id="814" w:name="__RefHeading___Toc605662_1934241801"/>
      <w:bookmarkStart w:id="815" w:name="_Toc375"/>
      <w:bookmarkEnd w:id="814"/>
      <w:r>
        <w:rPr>
          <w:rtl w:val="true"/>
        </w:rPr>
        <w:t>«</w:t>
      </w:r>
      <w:r>
        <w:rPr/>
        <w:t>8</w:t>
      </w:r>
      <w:r>
        <w:rPr>
          <w:rtl w:val="true"/>
        </w:rPr>
        <w:t>»</w:t>
      </w:r>
      <w:bookmarkEnd w:id="815"/>
    </w:p>
    <w:p>
      <w:pPr>
        <w:pStyle w:val="BookText"/>
        <w:rPr/>
      </w:pPr>
      <w:r>
        <w:rPr>
          <w:rFonts w:ascii="Amiri" w:hAnsi="Amiri" w:eastAsia="Amiri" w:cs="Amiri"/>
          <w:color w:val="111111"/>
          <w:sz w:val="28"/>
          <w:sz w:val="28"/>
          <w:szCs w:val="28"/>
          <w:rtl w:val="true"/>
          <w:lang w:bidi="ar-SA"/>
        </w:rPr>
        <w:t>قُرْبُ الْإِسْنَادِ، عَنْ مُحَمَّدِ بْنِ خَالِدٍ الطَّيَالِسِيِّ عَنْ إِسْمَاعِيلَ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الْمُسْتَحَاضَةِ كَيْفَ تَصْنَعُ قَالَ إِذَا مَضَي وَقْتُ طُهْرِهَا الَّذِي كَانَتْ تَطْهُرُ فِيهِ فَلْتُؤَخِّرِ الظُّهْرَ إِلَي آخِرِ وَقْتِهَا ثُمَّ تَغْتَسِلُ ثُمَّ تُصَلِّي الظُّهْرَ وَ الْعَصْرَ فَإِنْ كَانَ الْمَغْرِبُ فَلْتُؤَخِّرْهَا إِلَي آخِرِ وَقْتِهَا ثُمَّ تُصَلِّي الْمَغْرِبَ وَ الْعِشَاءَ فَإِذَا كَانَتْ صَلَاةُ الْفَجْرِ فَلْتَغْتَسِلْ بَعْدَ طُلُوعِ الْفَجْرِ ثُمَّ تُصَلِّي رَكْعَتَيْنِ قَبْلَ الْغَدَاةِ ثُمَّ تُصَلِّي الْغَدَاةَ فَقُلْتُ يُوَاقِعُهَا الرَّجُلُ قَالَ إِذَا طَالَ ذَلِكَ بِهَا فَلْتَغْتَسِلْ وَ لْتَتَوَضَّأْ ثُمَّ يُوَاقِعُهَا إِنْ أَرَادَ</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6" w:name="__RefHeading___Toc605664_1934241801"/>
      <w:bookmarkStart w:id="817" w:name="_Toc376"/>
      <w:bookmarkEnd w:id="816"/>
      <w:r>
        <w:rPr>
          <w:rtl w:val="true"/>
        </w:rPr>
        <w:t>بيان</w:t>
      </w:r>
      <w:bookmarkEnd w:id="817"/>
    </w:p>
    <w:p>
      <w:pPr>
        <w:pStyle w:val="BookText"/>
        <w:rPr/>
      </w:pPr>
      <w:r>
        <w:rPr>
          <w:rFonts w:ascii="Amiri" w:hAnsi="Amiri" w:eastAsia="Amiri" w:cs="Amiri"/>
          <w:color w:val="111111"/>
          <w:sz w:val="28"/>
          <w:sz w:val="28"/>
          <w:szCs w:val="28"/>
          <w:rtl w:val="true"/>
          <w:lang w:bidi="ar-SA"/>
        </w:rPr>
        <w:t>حمل علي الكثيرة أو علي غير القليلة و يدل علي اشتراط حل الوطء بالغسل و الوضوء كما ذهب إليه جماعة و ذهب جماعة إلي اشتراط جميع الأعمال</w:t>
      </w:r>
    </w:p>
    <w:p>
      <w:pPr>
        <w:pStyle w:val="BookText"/>
        <w:rPr/>
      </w:pPr>
      <w:r>
        <w:rPr>
          <w:rFonts w:ascii="IRNazanin" w:hAnsi="IRNazanin" w:eastAsia="IRNazanin"/>
          <w:color w:val="111111"/>
          <w:sz w:val="28"/>
          <w:sz w:val="28"/>
          <w:szCs w:val="28"/>
          <w:rtl w:val="true"/>
          <w:lang w:bidi="fa-IR"/>
        </w:rPr>
        <w:t xml:space="preserve">و آشفتگی شده و دوره ها و زمان های آن تغییر کرده باشد، هرگاه خونی را مشاهده کرد نماز خواندن و روزه گرفتن را ترک می کند و هرگاه پاکی را مشاهده کرد نماز خواندن و روزه گرفتن را از سر می گیرد، و تا زمانی که به حال صحّت و سلامتی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او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عمل می کند، و روایت شده که در فاصلۀ زمانی یک ماه به این صورت عمل می کند و پس از یک ماه مانند زن مستحاضه عمل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الاستبصار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صحیح این است که مفاد این دو حدیث را بر زنی حمل کنیم که عادت او در دوران حیض دچار اختلال شده و اوقات و دوره های آن تغییر کرده باشد، و خصوصیّات خون بر او مشتبه شده باشد و خون حیض از خون های دیگر برای او قابل تشخیص نباشد، پس اگر شرایط چنین باشد بر او واجب است هنگامی که خون را مشاهده کرد نماز خواندن را ترک کند و هنگامی که پاکی را مشاهده کرد نماز خواندن را از سرگیرد تا زمانی که خصوصیات عادتش را بشناسد، و ممکن است که این حکم در مورد زن مستحاضه ای باشد که دوران حیض او دچار اختلال شده و تغییر کرده است، و خونریزی او ادامه یافته و خصوصیات خون بر او مشتبه گردیده است، پس به مدت سه یا چهار روز خونی را مشاهده می کند که شبیه خون حیض است و در عین حال خونی را نیز مشاهده می کند که شبیه خون استحاضه است و امکان شناسایی هیچ یک از آن دو خون برای او محقّق نمی شود، پس بر او واجب است که به مدّت یک ماه هرگاه خونی را مشاهده کرد که شبیه خون حیض است نماز خواندن را ترک کند و هرگاه خونی را مشاهده کرد که شبیه خون استحاضه است نماز خواندن را از سر گیرد، و بعد از یک ماه مانند زن مستحاضه عمل خواهد کرد، و این گفته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رأت الطهر ثلاثة أو أربعة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مدّت سه یا چهار روز پاکی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خون شبیه به خون استحاضه نیز می باشد، چرا که خون استحاضه درحکم پاکی و طهارت است، و به همین خاطر است که امام در حدیث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تعمل ما تعملهُ المستحاضة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مانند زن مستحاضه عمل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امر جز با وجود استمرار خونریزی صحیح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Heading5"/>
        <w:numPr>
          <w:ilvl w:val="4"/>
          <w:numId w:val="1"/>
        </w:numPr>
        <w:rPr/>
      </w:pPr>
      <w:bookmarkStart w:id="818" w:name="__RefHeading___Toc605666_1934241801"/>
      <w:bookmarkStart w:id="819" w:name="_Toc377"/>
      <w:bookmarkEnd w:id="818"/>
      <w:r>
        <w:rPr>
          <w:rtl w:val="true"/>
        </w:rPr>
        <w:t xml:space="preserve">روایت </w:t>
      </w:r>
      <w:r>
        <w:rPr/>
        <w:t>8</w:t>
      </w:r>
      <w:bookmarkEnd w:id="819"/>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اسماعیل بن عبدالخالق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زن مستحاضه پرسیدم که چگونه باید عمل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دوران طهارت او که در آن پاک می باشد گذشت، باید نماز ظهر را در آخر وقت آن به جا آورد، سپس باید غسل نموده و نماز ظهر و عصر را بخواند، پس اگر زمان نماز مغرب نیز فرا رسید باید آن را نیز به آخر وقت بیاندازد و سپس نماز مغرب و عشاء را بخواند، و هنگام فرا رسیدن نماز صبح باید بعد از طلوع فجر غسل کند و قبل از نماز صبح دو رکعت نماز بخواند و آن گاه نماز صبح را نیز به جا آورد،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 می تواند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مستحاضه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همبستر 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خونریزی او به درازا کشید باید غسل کند و وضو بگیرد، سپس اگر شوهرش قصد نمود با او نزدیکی کند</w:t>
      </w:r>
      <w:r>
        <w:rPr>
          <w:rFonts w:eastAsia="IRNazanin" w:cs="IRNazanin"/>
          <w:color w:val="111111"/>
          <w:sz w:val="28"/>
          <w:szCs w:val="28"/>
          <w:rtl w:val="true"/>
          <w:lang w:bidi="fa-IR"/>
        </w:rPr>
        <w:t>.</w:t>
      </w:r>
      <w:r>
        <w:rPr>
          <w:rStyle w:val="FootnoteAnchor"/>
          <w:rtl w:val="true"/>
        </w:rPr>
        <w:footnoteReference w:id="440"/>
      </w:r>
    </w:p>
    <w:p>
      <w:pPr>
        <w:pStyle w:val="Heading5"/>
        <w:numPr>
          <w:ilvl w:val="4"/>
          <w:numId w:val="1"/>
        </w:numPr>
        <w:rPr/>
      </w:pPr>
      <w:bookmarkStart w:id="820" w:name="__RefHeading___Toc605668_1934241801"/>
      <w:bookmarkStart w:id="821" w:name="_Toc378"/>
      <w:bookmarkEnd w:id="820"/>
      <w:r>
        <w:rPr>
          <w:rtl w:val="true"/>
        </w:rPr>
        <w:t>توضیح</w:t>
      </w:r>
      <w:bookmarkEnd w:id="82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حکم بر خونریزی بسیار و یا غیر قلیل حمل شده است، و بر شرط بودن غسل کردن و وضو گرفتن زن مستحاضه برای حلال شدن نزدیکی با او دلالت می کند، آن گونه که گروهی از فقها بر این باورند، و گروهی دیگر قائل به محقّق شدن تمام اعمال هستند </w:t>
      </w:r>
      <w:bookmarkStart w:id="822" w:name="pg13517_329120"/>
    </w:p>
    <w:p>
      <w:pPr>
        <w:pStyle w:val="BookText"/>
        <w:rPr/>
      </w:pPr>
      <w:bookmarkEnd w:id="822"/>
      <w:r>
        <w:rPr>
          <w:rFonts w:ascii="Amiri" w:hAnsi="Amiri" w:eastAsia="Amiri" w:cs="Amiri"/>
          <w:color w:val="111111"/>
          <w:sz w:val="28"/>
          <w:sz w:val="28"/>
          <w:szCs w:val="28"/>
          <w:rtl w:val="true"/>
          <w:lang w:bidi="ar-SA"/>
        </w:rPr>
        <w:t>و جماعة إلي اشتراط الغسل فقط و قيل لا يشترط شي‌ء من ذلك فيه و الأحوط رعاية الجميع</w:t>
      </w:r>
      <w:r>
        <w:rPr>
          <w:rFonts w:eastAsia="Amiri" w:cs="Amiri" w:ascii="Amiri" w:hAnsi="Amiri"/>
          <w:color w:val="111111"/>
          <w:sz w:val="28"/>
          <w:szCs w:val="28"/>
          <w:rtl w:val="true"/>
          <w:lang w:bidi="ar-SA"/>
        </w:rPr>
        <w:t>.</w:t>
      </w:r>
    </w:p>
    <w:p>
      <w:pPr>
        <w:pStyle w:val="Heading5"/>
        <w:numPr>
          <w:ilvl w:val="4"/>
          <w:numId w:val="1"/>
        </w:numPr>
        <w:rPr/>
      </w:pPr>
      <w:bookmarkStart w:id="823" w:name="__RefHeading___Toc605670_1934241801"/>
      <w:bookmarkStart w:id="824" w:name="_Toc379"/>
      <w:bookmarkEnd w:id="823"/>
      <w:r>
        <w:rPr>
          <w:rtl w:val="true"/>
        </w:rPr>
        <w:t>«</w:t>
      </w:r>
      <w:r>
        <w:rPr/>
        <w:t>9</w:t>
      </w:r>
      <w:r>
        <w:rPr>
          <w:rtl w:val="true"/>
        </w:rPr>
        <w:t>»</w:t>
      </w:r>
      <w:bookmarkEnd w:id="824"/>
    </w:p>
    <w:p>
      <w:pPr>
        <w:pStyle w:val="BookText"/>
        <w:rPr/>
      </w:pPr>
      <w:r>
        <w:rPr>
          <w:rFonts w:ascii="Amiri" w:hAnsi="Amiri" w:eastAsia="Amiri" w:cs="Amiri"/>
          <w:color w:val="111111"/>
          <w:sz w:val="28"/>
          <w:sz w:val="28"/>
          <w:szCs w:val="28"/>
          <w:rtl w:val="true"/>
          <w:lang w:bidi="ar-SA"/>
        </w:rPr>
        <w:t>قُرْبُ الْإِسْنَادِ، عَنْ عَلِيِّ بْنِ سُلَيْمَانَ بْنِ رُشَيْدٍ عَنْ مَالِكِ بْنِ أَشْيَمَ عَنْ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الْأَوَّلِ عليه السلام إِنَّ لَنَا فَتَاةً وَ قَدِ ارْتَفَعَ حَيْضُهَا فَقَالَ لِي اخْضِبْ رَأْسَهَا بِالْحِنَّاءِ فَإِنَّهُ سَيَعُودُ حَيْضُهَا إِلَي مَا كَانَ قَالَ فَفَعَلَتْ فَعَادَ الْحَيْضُ إِلَي مَا كَانَ‌</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عَبْدِ الْحَمِيدِ عَنْ أَبِي جَمِيلَةَ عَنْ أَبِي الْحَسَنِ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تَخْتَضِبِ الْحَائِضُ‌</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أَحْمَدَ بْنِ مُحَمَّدٍ عَنِ ابْنِ مَحْبُوبٍ عَنِ الْفَضْلِ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مُوسَي عليه السلام قُلْتُ الْمَرْأَةُ تَرَي الطُّهْرَ قَبْلَ غُرُوبِ الشَّمْسِ كَيْفَ تَصْنَعُ بِالصَّلَاةِ قَالَ فَقَالَ إِذَا رَأَتِ الطُّهْرَ بَعْدَ مَا يَمْضِي مِنْ زَوَالِ الشَّمْسِ أَرْبَعَةُ أَقْدَامٍ فَلَا تُصَلِّ إِلَّا الْعَصْرَ لِأَنَّ وَقْتَ الظُّهْرِ دَخَلَ عَلَيْهَا وَ هِيَ فِي الدَّمِ وَ خَرَجَ عَنْهَا الْوَقْتُ وَ هِيَ فِي الدَّمِ فَلَمْ يَجِبْ عَلَيْهَا أَنْ تُصَلِّيَ الظُّهْرَ وَ مَا طَرَحَ اللَّهُ عَنْهَا مِنَ الصَّلَاةِ وَ هِيَ فِي الدَّمِ أَكْثَرُ</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5" w:name="__RefHeading___Toc605672_1934241801"/>
      <w:bookmarkStart w:id="826" w:name="_Toc380"/>
      <w:bookmarkEnd w:id="825"/>
      <w:r>
        <w:rPr>
          <w:rtl w:val="true"/>
        </w:rPr>
        <w:t>بيان</w:t>
      </w:r>
      <w:bookmarkEnd w:id="826"/>
    </w:p>
    <w:p>
      <w:pPr>
        <w:pStyle w:val="BookText"/>
        <w:rPr/>
      </w:pPr>
      <w:r>
        <w:rPr>
          <w:rFonts w:ascii="Amiri" w:hAnsi="Amiri" w:eastAsia="Amiri" w:cs="Amiri"/>
          <w:color w:val="111111"/>
          <w:sz w:val="28"/>
          <w:sz w:val="28"/>
          <w:szCs w:val="28"/>
          <w:rtl w:val="true"/>
          <w:lang w:bidi="ar-SA"/>
        </w:rPr>
        <w:t>يدل علي أن بناء القضاء علي وقت الفضيلة و اختاره الشيخ و جماعة و حملوا الأخبار الدالة علي وجوب قضاء الصلاتين مع بقاء مدة يمكنها أداؤهما علي الاستحباب و الأكثر عملوا بالأخبار الأخيرة و الأول لا يخلو من قوة و كذا الخلاف فيما إذا رأت الدم في أول الوقت بعد مضي مقدار الصلاتين</w:t>
      </w:r>
      <w:r>
        <w:rPr>
          <w:rFonts w:eastAsia="Amiri" w:cs="Amiri" w:ascii="Amiri" w:hAnsi="Amiri"/>
          <w:color w:val="111111"/>
          <w:sz w:val="28"/>
          <w:szCs w:val="28"/>
          <w:rtl w:val="true"/>
          <w:lang w:bidi="ar-SA"/>
        </w:rPr>
        <w:t>.</w:t>
      </w:r>
    </w:p>
    <w:p>
      <w:pPr>
        <w:pStyle w:val="Heading5"/>
        <w:numPr>
          <w:ilvl w:val="4"/>
          <w:numId w:val="1"/>
        </w:numPr>
        <w:rPr/>
      </w:pPr>
      <w:bookmarkStart w:id="827" w:name="__RefHeading___Toc605674_1934241801"/>
      <w:bookmarkStart w:id="828" w:name="_Toc381"/>
      <w:bookmarkEnd w:id="827"/>
      <w:r>
        <w:rPr>
          <w:rtl w:val="true"/>
        </w:rPr>
        <w:t>«</w:t>
      </w:r>
      <w:r>
        <w:rPr/>
        <w:t>10</w:t>
      </w:r>
      <w:r>
        <w:rPr>
          <w:rtl w:val="true"/>
        </w:rPr>
        <w:t>»</w:t>
      </w:r>
      <w:bookmarkEnd w:id="828"/>
    </w:p>
    <w:p>
      <w:pPr>
        <w:pStyle w:val="BookText"/>
        <w:rPr/>
      </w:pPr>
      <w:r>
        <w:rPr>
          <w:rFonts w:ascii="Amiri" w:hAnsi="Amiri" w:eastAsia="Amiri" w:cs="Amiri"/>
          <w:color w:val="111111"/>
          <w:sz w:val="28"/>
          <w:sz w:val="28"/>
          <w:szCs w:val="28"/>
          <w:rtl w:val="true"/>
          <w:lang w:bidi="ar-SA"/>
        </w:rPr>
        <w:t>الْخِصَالُ، عَنْ أَحْمَدَ بْنِ مُحَمَّدِ بْنِ الْهَيْثَمِ وَ أَحْمَدَ بْنِ الْحَسَنِ الْقَطَّانِ وَ مُحَمَّدِ بْنِ أَحْمَدَ السِّنَانِيِّ وَ الْحُسَيْنِ الْمُكَتِّبِ وَ عَبْدِ اللَّهِ الصَّائِغِ وَ عَلِيٍّ الْوَرَّاقِ جَمِيعاً عَنْ أَحْمَدَ بْنِ يَحْيَي بْنِ زَكَرِيَّا عَنْ بَكْرِ بْنِ عَبْدِ اللَّهِ بْنِ حَبِيبٍ عَنْ تَمِيمِ بْنِ بُهْلُولٍ عَنْ أَبِي مُعَاوِيَةَ عَنِ الْأَعْمَشِ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الْأَغْسَالُ مِنْهَا غُسْلُ الْجَنَابَةِ</w:t>
      </w:r>
    </w:p>
    <w:p>
      <w:pPr>
        <w:pStyle w:val="BookText"/>
        <w:rPr/>
      </w:pPr>
      <w:r>
        <w:rPr>
          <w:rFonts w:ascii="IRNazanin" w:hAnsi="IRNazanin" w:eastAsia="IRNazanin"/>
          <w:color w:val="111111"/>
          <w:sz w:val="28"/>
          <w:sz w:val="28"/>
          <w:szCs w:val="28"/>
          <w:rtl w:val="true"/>
          <w:lang w:bidi="fa-IR"/>
        </w:rPr>
        <w:t>و عدّه ای نیز فقط محقّق شدن شرط غسل را لازم می دانند،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پیش شرطی برای حلال شدن نزدیکی با زن مسحاضه وجود ندارد، ولی احوط رعایت تمامی اعمال و محقق شدن آن ها می باشد</w:t>
      </w:r>
      <w:r>
        <w:rPr>
          <w:rFonts w:eastAsia="IRNazanin" w:cs="IRNazanin"/>
          <w:color w:val="111111"/>
          <w:sz w:val="28"/>
          <w:szCs w:val="28"/>
          <w:rtl w:val="true"/>
          <w:lang w:bidi="fa-IR"/>
        </w:rPr>
        <w:t>.</w:t>
      </w:r>
    </w:p>
    <w:p>
      <w:pPr>
        <w:pStyle w:val="Heading5"/>
        <w:numPr>
          <w:ilvl w:val="4"/>
          <w:numId w:val="1"/>
        </w:numPr>
        <w:rPr/>
      </w:pPr>
      <w:bookmarkStart w:id="829" w:name="__RefHeading___Toc605676_1934241801"/>
      <w:bookmarkStart w:id="830" w:name="_Toc382"/>
      <w:bookmarkEnd w:id="829"/>
      <w:r>
        <w:rPr>
          <w:rtl w:val="true"/>
        </w:rPr>
        <w:t xml:space="preserve">روایت </w:t>
      </w:r>
      <w:r>
        <w:rPr/>
        <w:t>9</w:t>
      </w:r>
      <w:bookmarkEnd w:id="83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اسماعیل بن بزیع روایت شده که به امام موسی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دختر جوانی داریم که دوران حیض او بالا رفته است، 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با حنا خضاب بگیر تا دوران حیض او به حالت قبلی اش باز  گردد؛ من نیز چنان کردم و دوران حیضِ او به حالت قبلی اش بازگشت</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 خضاب نمی گیرد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بن یونس روایت شده که از امام موسی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قبل از غروب خورشید پاکی را مشاهده می کند چگونه باید عمل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پاکی را بعد از زوال خورشید به اندازه چهار قدم مشاهده کند فقط باید نماز عصر را به جا آورد، چرا که هنگام فرا رسیدن نماز ظهر درحال خونریزی بوده و وقت نماز ظهر به پایان رسیده و او همچنان در حال خونریزی بوده است، بنابراین بر او واجب نیست که نماز ظهر را به جا آورد، و آن مقدار از نماز که خداوند از او برداشته و او در حالت حیض بوده بیشتر است</w:t>
      </w:r>
      <w:r>
        <w:rPr>
          <w:rFonts w:eastAsia="IRNazanin" w:cs="IRNazanin"/>
          <w:color w:val="111111"/>
          <w:sz w:val="28"/>
          <w:szCs w:val="28"/>
          <w:rtl w:val="true"/>
          <w:lang w:bidi="fa-IR"/>
        </w:rPr>
        <w:t>.</w:t>
      </w:r>
      <w:r>
        <w:rPr>
          <w:rStyle w:val="FootnoteAnchor"/>
          <w:rtl w:val="true"/>
        </w:rPr>
        <w:footnoteReference w:id="446"/>
      </w:r>
    </w:p>
    <w:p>
      <w:pPr>
        <w:pStyle w:val="Heading5"/>
        <w:numPr>
          <w:ilvl w:val="4"/>
          <w:numId w:val="1"/>
        </w:numPr>
        <w:rPr/>
      </w:pPr>
      <w:bookmarkStart w:id="831" w:name="__RefHeading___Toc605678_1934241801"/>
      <w:bookmarkStart w:id="832" w:name="_Toc383"/>
      <w:bookmarkEnd w:id="831"/>
      <w:r>
        <w:rPr>
          <w:rtl w:val="true"/>
        </w:rPr>
        <w:t>توضیح</w:t>
      </w:r>
      <w:bookmarkEnd w:id="832"/>
    </w:p>
    <w:p>
      <w:pPr>
        <w:pStyle w:val="BookText"/>
        <w:rPr/>
      </w:pPr>
      <w:r>
        <w:rPr>
          <w:rFonts w:ascii="IRNazanin" w:hAnsi="IRNazanin" w:eastAsia="IRNazanin"/>
          <w:color w:val="111111"/>
          <w:sz w:val="28"/>
          <w:sz w:val="28"/>
          <w:szCs w:val="28"/>
          <w:rtl w:val="true"/>
          <w:lang w:bidi="fa-IR"/>
        </w:rPr>
        <w:t xml:space="preserve">این حدیث بر بنای قضا بر وقت فضیلت دلالت می کند و شیخ و گروهی از فقها آن را برگزیده اند، و احادیث دالّ بر وجوب قضای دو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باقی ماندن زمانی که امکان به جا آوردن آن دو نماز در آن صحیح است را بر استحباب حمل کرده اند، و بیشتر فقها براساس احادیث اخیر عمل کرده اند، و حدیث اوّل خالی از قوّت و صحّت نیست، همچنین اختلاف بر سر این موضوع نیز وجود دارد که اگر آن زن خون را در اولین زمان بعد از گذشت مقدار دو نماز مشاهده کند</w:t>
      </w:r>
      <w:r>
        <w:rPr>
          <w:rFonts w:eastAsia="IRNazanin" w:cs="IRNazanin"/>
          <w:color w:val="111111"/>
          <w:sz w:val="28"/>
          <w:szCs w:val="28"/>
          <w:rtl w:val="true"/>
          <w:lang w:bidi="fa-IR"/>
        </w:rPr>
        <w:t>.</w:t>
      </w:r>
    </w:p>
    <w:p>
      <w:pPr>
        <w:pStyle w:val="Heading5"/>
        <w:numPr>
          <w:ilvl w:val="4"/>
          <w:numId w:val="1"/>
        </w:numPr>
        <w:rPr/>
      </w:pPr>
      <w:bookmarkStart w:id="833" w:name="__RefHeading___Toc605680_1934241801"/>
      <w:bookmarkStart w:id="834" w:name="_Toc384"/>
      <w:bookmarkEnd w:id="833"/>
      <w:r>
        <w:rPr>
          <w:rtl w:val="true"/>
        </w:rPr>
        <w:t xml:space="preserve">روایت </w:t>
      </w:r>
      <w:r>
        <w:rPr/>
        <w:t>10</w:t>
      </w:r>
      <w:bookmarkEnd w:id="83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غسل ها، غسل جنابت و </w:t>
      </w:r>
      <w:bookmarkStart w:id="835" w:name="pg13517_329121"/>
    </w:p>
    <w:p>
      <w:pPr>
        <w:pStyle w:val="BookText"/>
        <w:rPr/>
      </w:pPr>
      <w:bookmarkEnd w:id="835"/>
      <w:r>
        <w:rPr>
          <w:rFonts w:ascii="Amiri" w:hAnsi="Amiri" w:eastAsia="Amiri" w:cs="Amiri"/>
          <w:color w:val="111111"/>
          <w:sz w:val="28"/>
          <w:sz w:val="28"/>
          <w:szCs w:val="28"/>
          <w:rtl w:val="true"/>
          <w:lang w:bidi="ar-SA"/>
        </w:rPr>
        <w:t>وَ الْحَيْضِ وَ قَالَ أَكْثَرُ أَيَّامِ الْحَيْضِ عَشَرَةُ أَيَّامٍ وَ أَقَلُّهَا ثَلَاثَةُ أَيَّامٍ وَ الْمُسْتَحَاضَةُ تَغْتَسِلُ وَ تَحْتَشِي وَ تُصَلِّي وَ الْحَائِضُ تَتْرُكُ الصَّلَاةَ وَ لَا تَقْضِيهَا وَ تَتْرُكُ الصَّوْمَ وَ تَقْضِيهِ وَ النُّفَسَاءُ لَا تَقْعُدُ أَكْثَرَ مِنْ عِشْرِينَ يَوْماً إِلَّا أَنْ تَطْهُرَ قَبْلَ ذَلِكَ وَ إِنْ لَمْ تَطْهُرْ بَعْدَ الْعِشْرِينَ اغْتَسَلَتْ وَ احْتَشَتْ وَ عَمِلَتْ عَمَلَ الْمُسْتَحَاضَةِ</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أَحْمَدَ بْنِ الْحَسَنِ الْقَطَّانِ عَنِ الْحَسَنِ بْنِ عَلِيٍّ السُّكَّرِيِّ عَنْ مُحَمَّدِ بْنِ زَكَرِيَّا الْبَصْرِيِّ عَنْ جَعْفَرِ بْنِ مُحَمَّدِ بْنِ عُمَارَةَ عَنْ أَبِيهِ عَنْ جَابِرٍ الْجُعْفِيِّ قَالَ سَمِعْتُ أَبَا جَعْفَرٍ مُحَمَّدَ بْنَ عَلِيٍّ الْبَاقِرَ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لِلْمَرْأَةِ الْحَائِضِ وَ لَا الْجُنُبِ الْحُضُورُ عِنْدَ تَلْقِينِ الْمَيِّتِ لِأَنَّ الْمَلَائِكَةَ تَتَأَذَّي بِهِمَا وَ لَا يَجُوزُ لَهُمَا إِدْخَالُ الْمَيِّتِ قَبْرَهُ وَ لَا تَخْضِبِ الْمَرْأَةُ يَدَيْهَا فِي حَيْضِهَا فَإِنَّهُ يُخَافُ عَلَيْهَا الشَّيْطَانُ الْخَبَرَ</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سَعْدِ بْنِ عَبْدِ اللَّهِ عَنْ إِبْرَاهِيمَ بْنِ هَاشِمٍ عَنِ الْحُسَيْنِ بْنِ الْحَسَنِ الْقُرَشِيِّ عَنْ سُلَيْمَانَ بْنِ جَعْفَرٍ الْبَصْرِيِّ عَنْ عَبْدِ اللَّهِ بْنِ الْحُسَيْنِ بْنِ زَيْدٍ عَنْ أَبِيهِ عَنْ جَعْفَرِ بْنِ مُحَمَّدٍ عَنْ آبَائِهِ عليهم السلام عَنْ عَلِيٍّ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كَرِهَ لَكُمْ أَيَّتُهَا الْأُمَّةُ أَرْبَعاً وَ عِشْرِينَ خَصْلَةً وَ نَهَاكُمْ عَنْهَا وَ سَاقَ الْحَدِيثَ إِلَي أَنْ قَالَ وَ كَرِهَ لِلرَّجُلِ أَنْ يَغْشَي امْرَأَتَهُ وَ هِيَ حَائِضٌ فَإِنْ غَشِيَهَا فَخَرَجَ الْوَلَدُ مَجْذُوماً أَوْ أَبْرَصَ فَلَا يَلُومَنَّ إِلَّا نَفْسَهُ‌</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إبراهيم بن الحسن الفارسي عن سليمان بن جعفر البصري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6" w:name="__RefHeading___Toc605682_1934241801"/>
      <w:bookmarkStart w:id="837" w:name="_Toc385"/>
      <w:bookmarkEnd w:id="836"/>
      <w:r>
        <w:rPr>
          <w:rtl w:val="true"/>
        </w:rPr>
        <w:t>«</w:t>
      </w:r>
      <w:r>
        <w:rPr/>
        <w:t>11</w:t>
      </w:r>
      <w:r>
        <w:rPr>
          <w:rtl w:val="true"/>
        </w:rPr>
        <w:t>»</w:t>
      </w:r>
      <w:bookmarkEnd w:id="837"/>
    </w:p>
    <w:p>
      <w:pPr>
        <w:pStyle w:val="BookText"/>
        <w:rPr/>
      </w:pPr>
      <w:r>
        <w:rPr>
          <w:rFonts w:ascii="Amiri" w:hAnsi="Amiri" w:eastAsia="Amiri" w:cs="Amiri"/>
          <w:color w:val="111111"/>
          <w:sz w:val="28"/>
          <w:sz w:val="28"/>
          <w:szCs w:val="28"/>
          <w:rtl w:val="true"/>
          <w:lang w:bidi="ar-SA"/>
        </w:rPr>
        <w:t>الْعُيُونُ، عَنْ عَلِيِّ بْنِ عَبْدِ اللَّهِ الْوَرَّاقِ عَنْ مُحَمَّدِ بْنِ أَبِي عَبْدِ اللَّهِ الْكُوفِيِّ عَنْ سَهْلِ بْنِ زِيَادٍ عَنْ عَبْدِ الْعَظِيمِ الْحَسَنِيِّ عَنْ أَبِي جَعْفَرٍ الثَّانِي عَنْ آبَائِهِ عليهم السلام</w:t>
      </w:r>
    </w:p>
    <w:p>
      <w:pPr>
        <w:pStyle w:val="BookText"/>
        <w:rPr/>
      </w:pPr>
      <w:r>
        <w:rPr>
          <w:rFonts w:ascii="IRNazanin" w:hAnsi="IRNazanin" w:eastAsia="IRNazanin"/>
          <w:color w:val="111111"/>
          <w:sz w:val="28"/>
          <w:sz w:val="28"/>
          <w:szCs w:val="28"/>
          <w:rtl w:val="true"/>
          <w:lang w:bidi="fa-IR"/>
        </w:rPr>
        <w:t>حیض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ایّام حیض ده روز و کمترین ایّام آن سه روز است، و زن مستحاضه غسل می نماید و خود را پاک گردانده و نماز می خواند؛ و زن حائض نماز خواندن را ترک می کند و قضای آن را نیز به جا نمی آورد، همچنین روزه گرفتن را نیز ترک می کند ولی قضای آن را به جا می آورد؛ و زن زائو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بیست روز از خواندن نماز دست نمی کشد، مگر آنکه قبل از آن پاک شود، و اگر بعد از بیست روز پاک نگردید غسل می کند و خود را پاک می گرداند و مانند زن مستحاضه عمل می نماید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الجعفی روایت شده که از امام باقرعلیه السلام شنیدم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حائض و جنب جایز نیست که هنگام تلقین میّت حاضر شوند، چرا که ملائکه از حضور آن ها اذیّت می شوند، همچنین برای آن ها جایز نیست که میّت را در قبر وارد کنند، و زن در دوران حیض دستانش را خضاب نمی گیرد چه که بیم آن می رود شیطان بر او چیره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و ایشان نیز از امام علی علیه السلام روایت کرده اند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همانا خداوند عزّ و جلّ بیست و چهار خصلت را برای شما ناپسند شمرده و شما را از آن ها نهی فرموده است؛ و کلام را پی گرفته تا آنجا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مرد ناپسند شمرده که با همسرش در حال حیض نزدیکی کند، پس اگر با همسرش نزدیکی کرد و صاحب فرزندی جذامی یا مبتلا به پیسی گردید، کسی جز خود را سرزنش نکند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از امام صادق علیه السلام روایت شده است</w:t>
      </w:r>
      <w:r>
        <w:rPr>
          <w:rFonts w:eastAsia="IRNazanin" w:cs="IRNazanin"/>
          <w:color w:val="111111"/>
          <w:sz w:val="28"/>
          <w:szCs w:val="28"/>
          <w:rtl w:val="true"/>
          <w:lang w:bidi="fa-IR"/>
        </w:rPr>
        <w:t>.</w:t>
      </w:r>
      <w:r>
        <w:rPr>
          <w:rStyle w:val="FootnoteAnchor"/>
          <w:rtl w:val="true"/>
        </w:rPr>
        <w:footnoteReference w:id="454"/>
      </w:r>
    </w:p>
    <w:p>
      <w:pPr>
        <w:pStyle w:val="Heading5"/>
        <w:numPr>
          <w:ilvl w:val="4"/>
          <w:numId w:val="1"/>
        </w:numPr>
        <w:rPr/>
      </w:pPr>
      <w:bookmarkStart w:id="838" w:name="__RefHeading___Toc605684_1934241801"/>
      <w:bookmarkStart w:id="839" w:name="_Toc386"/>
      <w:bookmarkEnd w:id="838"/>
      <w:r>
        <w:rPr>
          <w:rtl w:val="true"/>
        </w:rPr>
        <w:t xml:space="preserve">روایت </w:t>
      </w:r>
      <w:r>
        <w:rPr/>
        <w:t>11</w:t>
      </w:r>
      <w:bookmarkEnd w:id="83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العظیم حسنی از امام جواد علیه السلام از پدرانش علیهم السلام روایت کرده که </w:t>
      </w:r>
      <w:bookmarkStart w:id="840" w:name="pg13517_329122"/>
    </w:p>
    <w:p>
      <w:pPr>
        <w:pStyle w:val="BookText"/>
        <w:rPr/>
      </w:pPr>
      <w:bookmarkEnd w:id="840"/>
      <w:r>
        <w:rPr>
          <w:rFonts w:ascii="Amiri" w:hAnsi="Amiri" w:eastAsia="Amiri" w:cs="Amiri"/>
          <w:color w:val="111111"/>
          <w:sz w:val="28"/>
          <w:sz w:val="28"/>
          <w:szCs w:val="28"/>
          <w:rtl w:val="true"/>
          <w:lang w:bidi="ar-SA"/>
        </w:rPr>
        <w:t>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أُسْرِيَ بِي إِلَي السَّمَاءِ رَأَيْتُ نِسَاءَ أُمَّتِي فِي عَذَابٍ شَدِيدٍ وَ سَاقَ الْحَدِيثَ إِلَي أَنْ قَالَ وَ رَأَيْتُ امْرَأَةً قَدْ شُدَّ رِجْلَاهَا إِلَي يَدَيْهَا وَ قَدْ سُلِّطَ عَلَيْهَا الْحَيَّاتُ وَ الْعَقَارِبُ لِأَنَّهَا كَانَتْ قَذِرَةَ الْوَضُوءِ قَذِرَةَ الثِّيَابِ وَ كَانَتْ لَا تَغْتَسِلُ مِنَ الْجَنَابَةِ وَ الْحَيْضِ وَ لَا تَتَنَظَّفُ وَ كَانَتْ تَسْتَهِينُ بِالصَّلَاةِ</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عَبْدِ الْوَاحِدِ بْنِ مُحَمَّدِ بْنِ عُبْدُوسٍ النَّيْسَابُورِيِّ عَنْ عَلِيِّ بْنِ مُحَمَّدِ بْنِ قُتَيْبَةَ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الرِّضَا عليه السلام لِلْمَأْمُونِ مِنْ مَحْضِ الْإِسْلَامِ وَ شَرَائِعِ الدِّينِ أَنَّ غُسْلَ الْجَنَابَةِ فَرِيضَةٌ وَ غُسْلَ الْحَيْضِ مِثْلُهُ وَ أَكْثَرُ الْحَيْضِ عَشَرَةُ أَيَّامٍ وَ أَقَلُّهُ ثَلَاثَةُ أَيَّامٍ وَ الْمُسْتَحَاضَةُ تَحْتَشِي وَ تَغْتَسِلُ وَ تُصَلِّي وَ الْحَائِضُ تَتْرُكُ الصَّلَاةَ وَ لَا تَقْضِي وَ تَتْرُكُ الصَّوْمَ وَ تَقْضِي وَ النُّفَسَاءُ لَا تَقْعُدُ عَنِ الصَّلَاةِ أَكْثَرَ مِنْ ثَمَانِيَةَ عَشَرَ يَوْماً فَإِنْ طَهُرَتْ قَبْلَ ذَلِكَ صَلَّتْ وَ إِنْ لَمْ تَطْهُرْ حَتَّي تَجَاوَزَتْ ثَمَانِيَةَ عَشَرَ يَوْماً اغْتَسَلَتْ وَ صَلَّتْ وَ عَمِلَتْ مَا تَعْمَلُ الْمُسْتَحَاضَةُ</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1" w:name="__RefHeading___Toc605686_1934241801"/>
      <w:bookmarkStart w:id="842" w:name="_Toc387"/>
      <w:bookmarkEnd w:id="841"/>
      <w:r>
        <w:rPr>
          <w:rtl w:val="true"/>
        </w:rPr>
        <w:t>«</w:t>
      </w:r>
      <w:r>
        <w:rPr/>
        <w:t>12</w:t>
      </w:r>
      <w:r>
        <w:rPr>
          <w:rtl w:val="true"/>
        </w:rPr>
        <w:t>»</w:t>
      </w:r>
      <w:bookmarkEnd w:id="842"/>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أَقَلَّ مَا يَكُونُ أَيَّامَ الْحَيْضِ ثَلَاثَةُ أَيَّامٍ وَ أَكْثَرَ مَا يَكُونُ عَشَرَةُ أَيَّامٍ فَعَلَي الْمَرْأَةِ أَنْ تَجْلِسَ عَنِ الصَّلَاةِ بِحَسَبِ عَادَتِهَا مَا بَيْنَ الثَّلَاثَةِ إِلَي الْعَشَرَةِ لَا تَطَهَّرُ فِي أَقَلَّ مِنْ ذَلِكَ وَ لَا تَدَعُ الصَّلَاةَ أَكْثَرَ مِنْ عَشَرَةِ أَيَّامٍ وَ الصُّفْرَةُ قَبْلَ الْحَيْضِ حَيْضٌ وَ بَعْدَ أَيَّامِ الْحَيْضِ لَيْسَتْ مِنَ الْحَيْضِ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زَادَ عَلَيْهَا الدَّمُ عَلَي أَيَّامِهَا اغْتَسَلَتْ فِي كُلِّ يَوْمٍ مَعَ الْفَجْرِ وَ اسْتَدْخَلَتِ الْكُرْسُفَ وَ شَدَّتْ وَ صَلَّتْ ثُمَّ لَا تَزَالُ تُصَلِّي يَوْمَهَا مَا لَمْ تَظْهَرِ الدَّمُ فَوْقَ الْكُرْسُفِ وَ الْخِرْقَةِ فَإِذَا ظَهَرَتْ أَعَادَتِ الْغُسْلَ وَ هَذِهِ صِفَةُ مَا تَعْمَلُهُ الْمُسْتَحَاضَةُ بَعْدَ أَنْ تَجْلِسَ أَيَّامَ الْحَيْضِ عَلَي عَادَتِهَا وَ الْوَقْتُ الَّذِي يَجُوزُ فِيهِ نِكَاحُ الْمُسْتَحَاضَةِ وَقْتُ الْغُسْلِ وَ بَعْدَ أَنْ تَغْتَسِلَ وَ تُنَظِّفَ لِأَنَّ غُسْلَهَا يَقُومُ مَقَامَ الطُّهْرِ لِلْحَائِضِ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النُّفَسَاءُ تَدَعُ الصَّلَاةَ أَكْثَرَهُ مِثْلَ أَيَّامِ حَيْضَةٍ وَ هِيَ عَشَرَةُ أَيَّامٍ وَ تَسْتَظْهِرُ بِثَلَاثَةِ أَيَّامٍ ثُمَّ تَغْتَسِلُ فَإِذَا رَأَتِ الدَّمَ عَمِلَتْ كَمَا تَعْمَلُ الْمُسْتَحَاضَةُ وَ قَدْ رُوِيَ ثَمَانِيَةَ</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اسراء که به سوی آسمان بالا برده شدم زنان امّتم را در عذاب شدیدی مشاهده کردم؛ و کلام را پی گرفته تا آنجا</w:t>
      </w:r>
    </w:p>
    <w:p>
      <w:pPr>
        <w:pStyle w:val="BookText"/>
        <w:rPr/>
      </w:pPr>
      <w:r>
        <w:rPr>
          <w:rFonts w:ascii="IRNazanin" w:hAnsi="IRNazanin" w:eastAsia="IRNazanin"/>
          <w:color w:val="111111"/>
          <w:sz w:val="28"/>
          <w:sz w:val="28"/>
          <w:szCs w:val="28"/>
          <w:rtl w:val="true"/>
          <w:lang w:bidi="fa-IR"/>
        </w:rPr>
        <w:t>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زنی را مشاهده کردم که پاهایش محکم به دستانش بسته شده و مارها و عقرب ها بر او چیره گشته بودند، چرا که در دنیا وضو گرفتنش آلوده و لباس هایش ناپاک بوده است، غسل جنابت و حیض را به جا نمی آورد و خود را پاک و مطهّر نمی ساخت و نماز را سبک می شمرد و به آن بی احترامی می کرد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بن شاذان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مأمون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آداب ناب اسلام و قوانین دین این است که غسل جنابت واجب می باشد و غسل حیض نیز مانند آن است، و بیشترین مدّت حیض ده روز و کمترین مدّت آن سه روز است، و زن مستحاضه خود را پاک گردانده و غسل نموده و سپس نماز می خواند، و زن حائض نماز خواندن را ترک می کند و قضای آن را به جا نمی آورد، همچنین روزه گرفتن را ترک می کند ولی قضای آن را به جا می آورد، و زن زائو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هجده روز از خواندن نماز دست نمی کشد، پس اگر قبل از این مدّت پاک شد نماز خواندن را شروع می کند و اگر بعد از گذشت هجده روز همچنان پاک نگردید غسل می نماید و نماز می خواند و مانند زن مستحاضه عمل می نماید</w:t>
      </w:r>
      <w:r>
        <w:rPr>
          <w:rFonts w:eastAsia="IRNazanin" w:cs="IRNazanin"/>
          <w:color w:val="111111"/>
          <w:sz w:val="28"/>
          <w:szCs w:val="28"/>
          <w:rtl w:val="true"/>
          <w:lang w:bidi="fa-IR"/>
        </w:rPr>
        <w:t>.</w:t>
      </w:r>
      <w:r>
        <w:rPr>
          <w:rStyle w:val="FootnoteAnchor"/>
          <w:rtl w:val="true"/>
        </w:rPr>
        <w:footnoteReference w:id="458"/>
      </w:r>
    </w:p>
    <w:p>
      <w:pPr>
        <w:pStyle w:val="Heading5"/>
        <w:numPr>
          <w:ilvl w:val="4"/>
          <w:numId w:val="1"/>
        </w:numPr>
        <w:rPr/>
      </w:pPr>
      <w:bookmarkStart w:id="843" w:name="__RefHeading___Toc605688_1934241801"/>
      <w:bookmarkStart w:id="844" w:name="_Toc388"/>
      <w:bookmarkEnd w:id="843"/>
      <w:r>
        <w:rPr>
          <w:rtl w:val="true"/>
        </w:rPr>
        <w:t xml:space="preserve">روایت </w:t>
      </w:r>
      <w:r>
        <w:rPr/>
        <w:t>12</w:t>
      </w:r>
      <w:bookmarkEnd w:id="844"/>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کمترین ایّام حیض سه روز و بیشترین ایّام آن ده روز است، پس بر زن واجب است که بر حسب عادتش بین سه تا ده روز از خواندن نماز صرف نظر کند، زن در کمترین از این زمان پاک نمی گردد و از سوی دیگر نباید بیشتر از ده روز نماز خواندن را ترک کند، و مایع زرد رنگ قبل از حیض، خون حیض به شمارمی آید و بعد از ایّام حیض، خون حیض نیست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خونریزی زن بیشتر از ده روز طول کشید، هر روز و هنگام طلوع فجر غسل می نماید و پنبه ای را در فَرج خود وارد کرده و آن را محکم نگاه می دارد، سپس نماز را به جا می آورد، و در طول روز اگر خون از پنبه و کهنه بیرون نزد و آشکار نگردید به همین ترتیب به نماز خواندن ادامه می دهد، ولی اگر خون آشکار گردد و بیرون بزند غسل را تکرار می کند و این عملی است که زن مستحاضه انجام می دهد بعد از آنکه در ایّام حیض و بر حسب عادت ماهیانه اش از نماز خواندن دست بکشد، و هنگامی که زن مستحاضه غسل کند و خود را پاک سازد، جماع با او جایز است چرا که غسل زن مستحاضه به منزله پاک شدن زن حائض از خونریزی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بیشترین زمانی که زن زائو از نماز خواندن دست می کشد مانند ایّام حیض ده روز است، و به سه روز استظهار می کند سپس غسل می نماید، و پس از این مدّت اگر خونی را مشاهده کرد مانند زن مستحاضه عمل می کند، همچنین روایت شده که بیشترین زمانی که زن زائو جایز است نماز نخواند </w:t>
      </w:r>
    </w:p>
    <w:p>
      <w:pPr>
        <w:pStyle w:val="BookText"/>
        <w:rPr/>
      </w:pPr>
      <w:r>
        <w:rPr>
          <w:rFonts w:ascii="Amiri" w:hAnsi="Amiri" w:eastAsia="Amiri" w:cs="Amiri"/>
          <w:color w:val="111111"/>
          <w:sz w:val="28"/>
          <w:sz w:val="28"/>
          <w:szCs w:val="28"/>
          <w:rtl w:val="true"/>
          <w:lang w:bidi="ar-SA"/>
        </w:rPr>
        <w:t xml:space="preserve">عَشَرَ يَوْماً وَ رُوِيَ ثَلَاثَةً وَ عِشْرِينَ يَوْماً وَ بِأَيِّ هَذِهِ الْأَحَادِيثِ أُخِذَ مِنْ جِهَةِ التَّسْلِيمِ 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الْحَامِلُ إِذَا رَأَتِ الدَّمَ فِي الْحَمْلِ كَمَا كَانَتْ تَرَاهُ تَرَكَتِ الصَّلَاةَ أَيَّامَ الدَّمِ فَإِنْ رَأَتْ صُفْرَةً لَمْ تَدَعِ الصَّلَاةَ وَ قَدْ رُوِيَ أَنَّهَا تَعْمَلُ مَا تَعْمَلُهُ الْمُسْتَحَاضَةُ إِذَا صَحَّ لَهَا الْحَمْلُ فَلَا تَدَعُ الصَّلَاةَ وَ الْعَمَلُ مِنْ خَوَاصِّ الْفُقَهَاءِ عَلَي ذَلِكَ وَ اعْلَمْ أَنَّ أَوَّلَ مَا تَحِيضُ الْمَرْأَةُ دَمُهَا كَثِيرٌ وَ لِذَلِكَ صَارَ حَدُّهَا عَشَرَةَ أَيَّامٍ فَإِذَا دَخَلَتْ فِي السِّنِّ نَقَصَ دَمُهَا حَتَّي يَكُونَ قُعُودُهَا تِسْعَةً أَوْ ثَمَانِيَةً أَوْ سَبْعَةً وَ أَقَلَّ مِنْ ذَلِكَ حَتَّي يَنْتَهِيَ إِلَي أَدْنَي الْحَدِّ وَ هُوَ ثَلَاثَةُ أَيَّامٍ ثُمَّ يَنْقَطِعُ الدَّمُ عَلَيْهَا فَتَكُونُ مِمَّنْ قَدْ يَئِسَتْ مِنَ الْحَيْضِ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تَفْسِيرُ الْمُسْتَحَاضَةِ أَنَّ دَمَهَا يَكُونُ رَقِيقاً تَعْلُوهُ صُفْرَةٌ وَ دَمَ الْحَيْضِ إِلَي السَّوَادِ وَ لَهُ 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دَخَلَتِ الْمُسْتَحَاضَةُ فِي حَدِّ حَيْضَتِهَا الثَّانِيَةِ تَرَكَتِ الصَّلَاةَ حَتَّي تَخْرُجَ الْأَيَّامُ الَّتِي تَقْعُدُ فِي حَيْضِهَا فَإِذَا ذَهَبَ عَنْهَا الدَّمُ اغْتَسَلَتْ وَ صَلَّتْ وَ رُبَّمَا عَجَّلَ الدَّمُ مِنَ الْحَيْضَةِ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 بَيْنَ الْحَيْضَتَيْنِ الْقُرْءُ وَ هُوَ عَشَرَةُ أَيَّامٍ بِيضٍ فَإِنْ زَادَ الدَّمُ بَعْدَ اغْتِسَالِهَا مِنَ الْحَيْضِ قَبْلَ اسْتِكْمَالِ عَشَرَةِ أَيَّامٍ بِيضٍ فَهُوَ مَا بَقِيَ مِنَ الْحَيْضَةِ الْأُولَي وَ إِنْ رَأَتِ الدَّمَ بَعْدَ الْعَشَرَةِ الْبِيضِ فَهُوَ مَا تَعَجَّلَ مِنَ الْحَيْضَةِ الثَّانِيَةِ فَإِذَا دَامَ دَمُ الْمُسْتَحَاضَةِ وَ مَضَي عَلَيْهَا مِثْلُ أَيَّامِ حَيْضِهَا أَتَاهَا زَوْجُهَا مَتَي مَا شَاءَ بَعْدَ الْغُسْلِ أَوْ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تَدْخُلِ الْمَسْجِدَ الْحَائِضُ إِلَّا أَنْ تَكُونَ مُجْتَازَةً وَ يَجِبُ عَلَيْهَا عِنْدَ حُضُورِ كُلِّ صَلَاةٍ أَنْ تَتَوَضَّأَ وُضُوءَ الصَّلَاةِ وَ تَجْلِسَ مُسْتَقْبِلَ الْقِبْلَةِ وَ تَذْكُرَ اللَّهَ بِمِقْدَارِ صَلَاتِهَا كُلَّ يَوْمٍ وَ إِنْ رَأَتْ يَوْماً أَوْ يَوْمَيْنِ فَلَيْسَ ذَلِكَ مِنَ الْحَيْضِ مَا لَمْ تَرَ ثَلَاثَةَ أَيَّامٍ مُتَوَالِيَاتٍ وَ عَلَيْهَا أَنْ تَقْضِيَ الصَّلَاةَ الَّتِي تَرَكَتْهَا فِي الْيَوْمِ وَ الْيَوْمَيْنِ‌</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رَأَتِ الدَّمَ أَكْثَرَ مِنْ عَشَرَةِ أَيَّامٍ فَلْتَقْعُدْ عَنِ الصَّلَاةِ عَشَرَةً ثُمَّ تَغْتَسِلُ يَوْمَ حَادِيَ عَشَرَ وَ تَحْتَشِي وَ تَغْتَسِلُ فَإِنْ لَمْ يَثْقُبِ الدَّمُ الْقُطْنَ صَلَّتْ صَلَوَاتِهَا كُلَّ صَلَاةٍ بِوُضُوءٍ</w:t>
      </w:r>
    </w:p>
    <w:p>
      <w:pPr>
        <w:pStyle w:val="BookText"/>
        <w:rPr/>
      </w:pPr>
      <w:r>
        <w:rPr>
          <w:rFonts w:ascii="IRNazanin" w:hAnsi="IRNazanin" w:eastAsia="IRNazanin"/>
          <w:color w:val="111111"/>
          <w:sz w:val="28"/>
          <w:sz w:val="28"/>
          <w:szCs w:val="28"/>
          <w:rtl w:val="true"/>
          <w:lang w:bidi="fa-IR"/>
        </w:rPr>
        <w:t>هجده روز است و بیست و سه روز نیز روایت شده است، و جایز است که از سر تسلیم به هر یک از این احادیث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حامله اگر در دوره بارداری خونی را آن گونه که قبلاً مشاهده می کرده مشاهده کند، در ایّام خونریزی نمازخواندن را ترک می کند و اگر مایع زرد رنگ را مشاهده کند نماز خواندن را ترک نمی کند، و روایت شده که اگر بارداریِ او صحّت داشته باشد مانند زن مستحاضه عمل کرده و نماز خواندن را ترک نمی کند، نظر خواصّی از فقها نیز چنین است، و بدان که خونریزی زنی که برای نخستین بار دچار حیض می شود بسیار است و به همین خاطر ده روز طول می کشد، و هنگامی که پا به سن گذاشت از میزان خونریزی او کاسته می شود تاجائی که به نُه یا هشت یا هفت روز و حتی کمتر نیز می رسد تا اینکه به کمترین حدّ یعنی سه روز منتهی می شود، سپس خونریزی او به طور کلّی قطع می گردد و از جمله کسانی می گردد که از حیض شدن یائسه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نشانه زن مستحاضه این است که خون خارج شده از او رقیق است و زردی بر آن غالب است، و خون حیض به سیاهی می گراید و دارای رقّت و سوزش است، هنگامی که زن مستحاضه به دوران حیض دوّم خود وارد شود، نماز خواندن را ترک می کند تا زمانی که از دوران حیض خارج شود، پس آن گاه که خونریزی او به پایان رسید غسل نموده و نماز می خواند، و چه بسا که خون در دوره حیض دوّم زود تر از موعد از فرج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فاصلة بین دو دوره حیض، یک دوره پاک شدن است که ده روز طول می کشد، پس اگر بعد از به جا آوردن غسل حیض و قبل از پایان ده روز پاکی خونی خارج شود، آن خون باقی مانده دوره حیض نخست است، امّا اگر پس از ده روز پاک بودن خونی را مشاهده کند آن خون متعلّق به دوره حیض دوّم است که زودتر از موعد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خونریزی زن مستحاضه ادامه یابد و مانند دوره حیضش سپری شود، شوهرش بعد از غسل و یا قبل از آن هرگاه که بخواهد با او نزدیکی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 وارد مسجد نمی شود مگر آنکه قصد عبور داشته باشد، و بر او واجب است که هنگام فرا رسیدن وقت هر نماز وضو بگیرد و رو به قبله بنشیند و هر روز به اندازة وقتی که صرف نماز می شود به ذکرخداوند بپردازد؛ و اگر یک و یا دو روز خونی را مشاهده کند آن خون حیض نیست مادامی که سه روز پشت سر هم خون مشاهده نکند، و بر او واجب است که نمازهای ترک شده در آن یک یا دو روز را قضا کند</w:t>
      </w:r>
      <w:r>
        <w:rPr>
          <w:rFonts w:eastAsia="IRNazanin" w:cs="IRNazanin"/>
          <w:color w:val="111111"/>
          <w:sz w:val="28"/>
          <w:szCs w:val="28"/>
          <w:rtl w:val="true"/>
          <w:lang w:bidi="fa-IR"/>
        </w:rPr>
        <w:t>.</w:t>
      </w:r>
      <w:r>
        <w:rPr>
          <w:rStyle w:val="FootnoteAnchor"/>
          <w:rtl w:val="true"/>
        </w:rPr>
        <w:footnoteReference w:id="46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زنی بیشتر از ده روز خونی مشاهده کند، ده روز از خواندن نماز صرف نظر می کند، سپس در روز یازدهم غسل می نماید، و خود را وارسی کرده و غسل می نماید، پس اگر خون وارد پنبه نشود هر نماز را با وضوی جداگانه به جا می آورد، </w:t>
      </w:r>
    </w:p>
    <w:p>
      <w:pPr>
        <w:pStyle w:val="BookText"/>
        <w:rPr/>
      </w:pPr>
      <w:r>
        <w:rPr>
          <w:rFonts w:ascii="Amiri" w:hAnsi="Amiri" w:eastAsia="Amiri" w:cs="Amiri"/>
          <w:color w:val="111111"/>
          <w:sz w:val="28"/>
          <w:sz w:val="28"/>
          <w:szCs w:val="28"/>
          <w:rtl w:val="true"/>
          <w:lang w:bidi="ar-SA"/>
        </w:rPr>
        <w:t xml:space="preserve">وَ إِنْ ثَقَبَ الدَّمُ الْكُرْسُفَ وَ لَمْ يَسِلْ صَلَّتْ صَلَاةَ اللَّيْلِ وَ الْغَدَاةِ بِغُسْلٍ وَاحِدٍ وَ سَائِرَ الصَّلَوَاتِ بِوُضُوءٍ وَ إِنْ ثَقَبَ الدَّمُ الْكُرْسُفَ وَ سَالَ صَلَّتْ صَلَاةَ اللَّيْلِ وَ الْغَدَاةِ بِغُسْلٍ وَ الظُّهْرَ وَ الْعَصْرَ بِغُسْلٍ وَ تُؤَخِّرُ الظُّهْرَ قَلِيلًا وَ تُعَجِّلُ الْعَصْرَ وَ تُصَلِّي الْمَغْرِبَ وَ الْعِشَاءَ الْآخِرَةَ بِغُسْلٍ وَاحِدٍ وَ تُؤَخِّرُ الْمَغْرِبَ قَلِيلًا وَ تُعَجِّلُ الْعِشَاءَ الْآخِرَةَ فَإِذَا دَخَلَتْ فِي أَيَّامِ حَيْضِهَا تَرَكَتِ الصَّلَاةَ وَ مَتَي مَا اغْتَسَلَتْ عَلَي مَا وَصَفْتُ حَلَّ لِزَوْجِهَا أَنْ يَغْشَاهَا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رَأَتِ الصُّفْرَةَ فِي أَيَّامِ حَيْضِهَا فَهُوَ حَيْضٌ وَ إِنْ رَأَتْ بَعْدَهَا فَلَيْسَ مِنَ الْحَيْضِ وَ إِذَا أَرَادَتِ الْحَائِضُ بَعْدَ الْغُسْلِ مِنَ الْحَيْضِ فَعَلَيْهَا أَنْ تَسْتَبْرِئَ وَ الِاسْتِبْرَاءُ أَنْ تُدْخِلَ قُطْنَةً فَإِنْ كَانَ هُنَاكَ دَمٌ خَرَجَ وَ لَوْ مِثْلَ رَأْسِ الذُّبَابِ فَإِنْ خَرَجَ لَمْ تَغْتَسِلْ وَ إِنْ لَمْ يَخْرُجْ اغْتَسَلَتْ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أَرَادَتِ الْمَرْأَةُ أَنْ تَغْتَسِلَ مِنَ الْجَنَابَةِ فَأَصَابَهَا الْحَيْضُ فَلْتَتْرُكِ الْغُسْلَ حَتَّي تَطْهُرَ فَإِذَا طَهُرَتِ اغْتَسَلَتْ غُسْلًا وَاحِداً لِلْجَنَابَةِ وَ الْحَيْضِ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رَأَتِ الصُّفْرَةَ أَوْ شَيْئاً مِنَ الدَّمِ فَعَلَيْهَا أَنْ تُلْصِقَ بَطْنَهَا بِالْحَائِطِ وَ تَرْفَعَ رِجْلَهَا الْيُسْرَي كَمَا تَرَي الْكَلْبَ إِذَا بَالَ وَ تُدْخِلَ قُطْنَةً فَإِنْ خَرَجَ فِيهَا دَمٌ فَهِيَ حَائِضٌ وَ إِنْ لَمْ يَخْرُجْ فَلَيْسَتْ بِحَائِضٍ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اشْتَبَهَ عَلَيْهَا الْحَيْضُ وَ دَمُ قَرْحَةٍ فَرُبَّمَا كَانَ فِي فَرْجِهَا قَرْحَةٌ فَعَلَيْهَا أَنْ تَسْتَلْقِيَ عَلَي قَفَاهَا وَ تُدْخِلَ أَصَابِعَهَا فَإِنْ خَرَجَ الدَّمُ مِنَ الْجَانِبِ الْأَيْمَنِ فَهُوَ مِنَ الْقَرْحَةِ وَ إِنْ خَرَجَ مِنَ الْجَانِبِ الْأَيْسَرِ فَهُوَ مِنَ الْحَيْضِ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اقْتَضَّهَا زَوْجُهَا وَ لَمْ يَرْقَأْ دَمُهَا وَ لَا تَدْرِي دَمُ الْحَيْضِ هُوَ أَمْ دَمُ الْعُذْرَةِ فَعَلَيْهَا أَنْ تُدْخِلَ قُطْنَةً فَإِنْ خَرَجَتِ الْقُطْنَةُ مُطَوَّقَةً بِالدَّمِ فَهُوَ مِنَ الْعُذْرَةِ وَ إِنْ خَرَجَتْ مُنْغَمِسَةً فَهُوَ مِنَ الْحَيْضِ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دَمَ الْعُذْرَةِ لَا يَجُوزُ الشُّفْرَتَيْنِ وَ دَمَ الْحَيْضِ حَارٌّ يَخْرُجُ بِحَرَارَةٍ شَدِيدَةٍ وَ دَمَ الْمُسْتَحَاضَةِ بَارِدٌ يَسِيلُ وَ هِيَ لَا تَعْلَمُ وَ بِاللَّهِ التَّوْفِيقُ‌</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خون وارد پنبه شود ولی جاری نگردد، نماز شب و صبح را با یک غسل واحد و سایر نمازها را با وضو به جا می آورد، و اگر خون وارد پنبه شود و جاری گردد نماز شب و صبح را با یک غسل و نماز ظهر و عصر را با یک غسل دیگر به جا می آورد، و نماز ظهر را اندکی به تأخیر انداخته و نماز عصر را اندکی زودتر به جا می آورد، سپس نماز مغرب و عشاء را نیز با یک غسل واحد به جا می آورد و نماز مغرب را اندکی به تأخیر انداخته و نماز عشاء را اندکی زودتر به جا می آورد، پس هنگامی که وارد دوره حیض شد نماز خواندن را ترک می کند، و هرگاه به صورتی که توصیف کردم غسل نماید، برای شوهرش حلال است که با او نزدیکی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زنی در دوران حیض مایع زرد رنگی ببیند خون حیض است، ولی اگر بعد از دوران حیض باشد خون حیض نیست، و اگر زن حائض بخواهد غسل حیض را به جا آورد باید استبراء کند، به این ترتیب که تکّه پنبه ای را در فرج خود وارد می کند، اگر خونی خارج شود، هر چند به اندازه یک سرمگس باشد، غسل نمی کند، ولی اگر خونی خارج نشود غسل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زنی بخواهد غسل جنابت را به جا آورد ولی دچار حیض شود باید غسل را ترک کند تا پاک شود، و هنگامی که پاک شد برای جنابت و حیض یک غسل واحد را به 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مایعی زرد رنگ یا اندک خونی مشاهده کرد باید شکمش را به دیوار بچسباند و پای چپش را مانند حالتی که سگ بول می کند بالا ببرد و پنبه را در فرج خود فرو کند، اگر خونی از آن خارج شد آن زن حائض است و اگر خارج نشد حائض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حیض و خون رحم، چه بسا که زخمی در فرج وجود داشته باشد، بر زن مشتبه شود بر او واجب است که به پشت بیافتد و انگشتانش را در فَرج خود فرو کند، پس اگر خون از طرف راست خارج شد خون زخم است، ولی اگر از طرف چپ خارج شد خون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آلت مرد در فرج زن فرو رود و خونریزی اش متوقف نگردد و نداند که خون حیض است یا پاره شدن پرده بکارت، بر او واجب است تکه پنبه ای را در فرج خود داخل کند، پس اگر اطراف پنبه آمیخته به خون شود بر اثر پاره شدن بکارت است و اگر تمام پنبه آغشته به خون و غرق در آن شود خون حیض است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آگاه باش که خون حاصل از پاره شدن بکارت از دو لبة فرج عبور نمی کند، خون حیض خون گرمی است که با حرارت شدیدی خارج می شود، خون استحاضه خون سردی است که جاری می شود و زن از جاری شدنش آگاه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بالله التوفیق</w:t>
      </w:r>
      <w:r>
        <w:rPr>
          <w:rFonts w:eastAsia="IRNazanin" w:cs="IRNazanin"/>
          <w:color w:val="111111"/>
          <w:sz w:val="28"/>
          <w:szCs w:val="28"/>
          <w:rtl w:val="true"/>
          <w:lang w:bidi="fa-IR"/>
        </w:rPr>
        <w:t>.</w:t>
      </w:r>
      <w:r>
        <w:rPr>
          <w:rStyle w:val="FootnoteAnchor"/>
          <w:rtl w:val="true"/>
        </w:rPr>
        <w:footnoteReference w:id="462"/>
      </w:r>
      <w:bookmarkStart w:id="845" w:name="pg13517_329125"/>
    </w:p>
    <w:p>
      <w:pPr>
        <w:pStyle w:val="Heading5"/>
        <w:numPr>
          <w:ilvl w:val="4"/>
          <w:numId w:val="1"/>
        </w:numPr>
        <w:rPr/>
      </w:pPr>
      <w:bookmarkStart w:id="846" w:name="__RefHeading___Toc605690_1934241801"/>
      <w:bookmarkStart w:id="847" w:name="_Toc389"/>
      <w:bookmarkEnd w:id="845"/>
      <w:bookmarkEnd w:id="846"/>
      <w:r>
        <w:rPr>
          <w:rtl w:val="true"/>
        </w:rPr>
        <w:t>بيان</w:t>
      </w:r>
      <w:bookmarkEnd w:id="847"/>
    </w:p>
    <w:p>
      <w:pPr>
        <w:pStyle w:val="BookText"/>
        <w:rPr/>
      </w:pPr>
      <w:r>
        <w:rPr>
          <w:rFonts w:ascii="Amiri" w:hAnsi="Amiri" w:eastAsia="Amiri" w:cs="Amiri"/>
          <w:color w:val="111111"/>
          <w:sz w:val="28"/>
          <w:sz w:val="28"/>
          <w:szCs w:val="28"/>
          <w:rtl w:val="true"/>
          <w:lang w:bidi="ar-SA"/>
        </w:rPr>
        <w:t>كون أقل الحيض ثلاثة و أكثره عشرة مما أجمع عليه الأصحاب و قوله و الصفرة قبل الحيض هو مضمون خبر رواه الشيخ‌</w:t>
      </w:r>
      <w:r>
        <w:rPr>
          <w:rStyle w:val="FootnoteAnchor"/>
          <w:rtl w:val="true"/>
        </w:rPr>
        <w:footnoteReference w:id="463"/>
      </w:r>
      <w:r>
        <w:rPr>
          <w:rFonts w:ascii="Amiri" w:hAnsi="Amiri" w:eastAsia="Amiri" w:cs="Amiri"/>
          <w:color w:val="111111"/>
          <w:sz w:val="28"/>
          <w:sz w:val="28"/>
          <w:szCs w:val="28"/>
          <w:rtl w:val="true"/>
          <w:lang w:bidi="ar-SA"/>
        </w:rPr>
        <w:t>بسند فيه ضعف عن الصادق عليه السلام و كونه قبل الحيض حيضا حمل علي ما إذا كان قريبا منه كما ورد في خبر آخر بيومين‌</w:t>
      </w:r>
      <w:r>
        <w:rPr>
          <w:rStyle w:val="FootnoteAnchor"/>
          <w:rtl w:val="true"/>
        </w:rPr>
        <w:footnoteReference w:id="464"/>
      </w:r>
      <w:r>
        <w:rPr>
          <w:rFonts w:ascii="Amiri" w:hAnsi="Amiri" w:eastAsia="Amiri" w:cs="Amiri"/>
          <w:color w:val="111111"/>
          <w:sz w:val="28"/>
          <w:sz w:val="28"/>
          <w:szCs w:val="28"/>
          <w:rtl w:val="true"/>
          <w:lang w:bidi="ar-SA"/>
        </w:rPr>
        <w:t>و ذلك لأن العادة قد تتقدم و أما بعد الحيض فمحمول علي ما إذا رأت العادة و تجاوز عنها فإنه في حكم الاستحاضة بعد الاستظهار مع التجاوز عن العشرة بل أيام الاستظهار أيضا إذ يظهر من بعض الأخبار اشتراط الاستظهار بالتميز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المشهور في المستحاضة المتوسطة أنها تغتسل للصبح و تتوضأ لسائر الصلوات كما هو ظاهر هذا الخبر أولا و أخيرا و نقل عن ابن الجنيد و ابن أبي عقيل أنهما سويا بين هذا القسم و بين الكثيرة في وجوب ثلاثة أغسال و به جزم في المعتبر و رجحه في المنتهي و إليه ذهب جماعة من محققي المتأخرين و هو أظهر في أكثر الأخبار و يظهر من بعضها أنها بحكم القليلة و ذهب ابن أبي عقيل إلي وجوب غسل واحد في اليوم و الليلة في القليلة كما يفهم من أول هذا الخبر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من كلام الأكثر أن المتوسطة هي التي ثقب دمها الكرسف و لم يسل منه إلي الخرقة و الكثيرة هي التي تعدي دمها إلي الخرقة و إنما ذكروا تغيير الخرقة في المتوسطة لوصول رطوبة الدم إليها بالمجاورة و كلام المفيد في المقنعة يدل علي وصول الدم إلي الخرقة في المتوسطة و سيلانه عن الخرقة في الكثيرة و كذا ذكره المحقق الشيخ علي في بعض حواشيه كما يظهر من بعض الروايات و ما ذكر في هذا الخبر أخيرا يدل علي الأول و ما ذكر أولا يدل علي الأخير و يدل علي اشتراط الوطء بالغسل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الأصحاب اختلفوا في أنه هل يجتمع الحيض مع الحمل أم لا بل</w:t>
      </w:r>
    </w:p>
    <w:p>
      <w:pPr>
        <w:pStyle w:val="Heading5"/>
        <w:numPr>
          <w:ilvl w:val="4"/>
          <w:numId w:val="1"/>
        </w:numPr>
        <w:rPr/>
      </w:pPr>
      <w:bookmarkStart w:id="848" w:name="__RefHeading___Toc605692_1934241801"/>
      <w:bookmarkStart w:id="849" w:name="_Toc390"/>
      <w:bookmarkEnd w:id="848"/>
      <w:r>
        <w:rPr>
          <w:rtl w:val="true"/>
        </w:rPr>
        <w:t>توضیح</w:t>
      </w:r>
      <w:bookmarkEnd w:id="849"/>
    </w:p>
    <w:p>
      <w:pPr>
        <w:pStyle w:val="BookText"/>
        <w:rPr/>
      </w:pPr>
      <w:r>
        <w:rPr>
          <w:rFonts w:ascii="IRNazanin" w:hAnsi="IRNazanin" w:eastAsia="IRNazanin"/>
          <w:color w:val="111111"/>
          <w:sz w:val="28"/>
          <w:sz w:val="28"/>
          <w:szCs w:val="28"/>
          <w:rtl w:val="true"/>
          <w:lang w:bidi="fa-IR"/>
        </w:rPr>
        <w:t>جمیع فقها بر این امر که کمترین مدّت زمان حیض سه روز و بیشترین مدت زمان آن ده روز است اتفاق نظر دارند؛ این فرموده امام 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الصفرة قبل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مضمون حدیثی است که شیخ</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با سندی که در آن ضعف وجود دارد از امام صادق علیه السلام روایت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قبل الحیض حیضا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حیض حیض است حمل می شود بر جایی که نزدیک به حیض باشد و آن گونه که در حدیث دیگری آمده است آب زرد رنگ خارج شده قبل از حیض زمانی خون حیض تلّقی می شود که به اندازه دو روز قبل از آن خارج شود،</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و این امر بدین خاطر است که شروع عادت در پاره ای از اوقات پیش می افتد، و امّا دیدن آب زرد رنگ بعد از حیض بر زمانی حمل می شود که زن عادت را مشاهده کرده و زمان آن سپری شده باشد، پس در این حالت آب زرد رنگ در حکم خون استحاضه بعد از استظهار است، البته در صورت سپری شدنِ ده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گذشت ایّام استظهار، چرا که برخی از احادیث بر شرط بودن استظهار با تمیّز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آگاه باش که نظر مشهور در مورد زن مسحاضه ی متوسطه آن است که برای نماز صبح غسل می نماید و برای سایر نمازها فقط وضو می گیرد، آن گونه که از ابتدا و انتهای این حدیث نیز چنین استنباط می شود، و از ابن جنید و ابن ابی عقیل نقل شده که هر دوی آن ها حکم وجوب سه غسل برای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مستحاضه متوسطه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مستحاضه کثیره را یکسان دانسته اند، و در المعتبر این نظر را به صورت قطعی و حتمی بیان کرده است و در المنتهی آن را ترجیح داده است، و گروهی از محققّان متأخرّ نیز به آن اعتقاد دارند، و این نظر در بیشتر احادیث آشکار است؛ و از برخی احادیث نیز چنین برداشت می شود که استحاضه متوسطه در حکم استحاضه قلیله می باشد؛، ابن ابی عقیل در مورد استحاضه قلیله به وجوب یک غسل واحد در طول روز و شب اعتقاد دارد، چنان که از ابتدای این حدیث نیز چنین برداشت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کلام بیشتر فقها چنین برمی آید که استحاضه متوسطه آن است که خون زن در پنبه نفوذ کند ولی به سوی دستمال جاری نشود، ولی استحاضه کثیره آن است که خون به دستمال نیز برسد، امّا فقها در مورد استحاضه متوسطه نظر به تغییر دستمال داده اند به خاطر رسیدن رطوبت خون به دستمال در اثر مجاورت با آن، و از کلام شیخ مفید در المقنعه چنین بر می آید که خون در استحاضه متوسطه به دستمال می رسد، ولی در استحاضه کثیره از آن جاری می گردد، این نظر را شیخ علی در یکی از حواشی خود ذکر کرده و از برخی از روایات نیز برداشت می شود، و آنچه اخیراً در این حدیث ذکر شد بر نظر اوّل دلالت می کند و آنچه در ابتدا ذکر شد بر نظر اخیر دلالت می کند، و اینکه جماع با محقّق شدن فقط شرط غسل جائز می گردد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فقها بر سر این نکته دچار اختلاف نظر شدند که آیا حیض با بارداری هم زمان می گردد، یا خیر بلکه </w:t>
      </w:r>
    </w:p>
    <w:p>
      <w:pPr>
        <w:pStyle w:val="BookText"/>
        <w:rPr/>
      </w:pPr>
      <w:r>
        <w:rPr>
          <w:rFonts w:ascii="Amiri" w:hAnsi="Amiri" w:eastAsia="Amiri" w:cs="Amiri"/>
          <w:color w:val="111111"/>
          <w:sz w:val="28"/>
          <w:sz w:val="28"/>
          <w:szCs w:val="28"/>
          <w:rtl w:val="true"/>
          <w:lang w:bidi="ar-SA"/>
        </w:rPr>
        <w:t>ما تراه مع الحمل استحاضة فذهب الصدوق و السيد و العلامة و جماعة إلي الاجتماع مطلقا و قال الشيخ في النهاية و كتابي الأخبار ما تجده في أيام عادتها يحكم بكونه حيضا و ما تراه بعد عادتها بعشرين يوما فليس بحيض و استحسنه المحقق في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الشيخ في الخلاف أنه قال إجماع الفرقة علي أن الحامل المستبين حملها لا تحيض و إنما اختلفوا في حيضها قبل أن يستبين حملها و نحوه قال في المبسوط و قال ابن الجنيد و المفيد لا يجتمع حيض مع حمل و يظهر من هذا الخبر أن أخبار الاجتماع محمولة علي التقية لكن أكثر العامة علي عدم الاجتماع و القول بالتفصيل لا يخلو من قوة و لا خلاف في أن أقل الطهر عشرة أيام و يدل علي أن القرء هو الطهر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أو قبله مناف لما مر و سيأتي و لعله كان لا قبله فصحف و إن أمكن حمل ما مر و سيأتي علي الاستحباب أو علي مستحاضة لم تدم الدم عليها و هذا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جواز لبث الحائض في المساجد هو المشهور و المعتمد و ذهب سلار إلي الكراهة و كذا جواز الاجتياز هو المشهور بينهم مع عدم نجاسة في الظاهر و أما معها فلا يجوزه من لا يجوز إدخال النجاسة التي لا تتعدي إليه و الأظهر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وضوؤها و جلوسها في مصلاها مستقبلة ذاكرة فالمشهور استحبابه و ظاهر الخبر الوجوب كما نسب إلي الصدوق و قال المفيد تجلس ناحية من مصلاها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الأصحاب في اشتراط التوالي في الأيام الثلاثة التي هي أقل الحيض فذهب الأكثر إلي التوالي و قال الشيخ في النهاية إن رأت يوما أو يومين ثم رأت قبل انقضاء العشرة ما يتم به ثلاثة فهو حيض و إن لم تر حتي تمضي عشرة فليس بحيض و اتفق الفريقان علي اشتراط كون الثلاثة في جملة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 معني التوالي و ظاهر الأكثر الاكتفاء بحصول مسمي الدم في</w:t>
      </w:r>
    </w:p>
    <w:p>
      <w:pPr>
        <w:pStyle w:val="BookText"/>
        <w:rPr/>
      </w:pPr>
      <w:r>
        <w:rPr>
          <w:rFonts w:ascii="IRNazanin" w:hAnsi="IRNazanin" w:eastAsia="IRNazanin"/>
          <w:color w:val="111111"/>
          <w:sz w:val="28"/>
          <w:sz w:val="28"/>
          <w:szCs w:val="28"/>
          <w:rtl w:val="true"/>
          <w:lang w:bidi="fa-IR"/>
        </w:rPr>
        <w:t xml:space="preserve">خونی که زن در دوره بارداری مشاهده می کند خون استحاضه است؟ پس شیخ صدوق، سیّد، علّامه و گروهی از فقها به جمع شدن مطلق دورۀ حیض و بارداری اعتقاد دارند، شیخ درالنهایة و کتابی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کتاب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خونی که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عادتش می بیند حُکماً خون حیض است و خونی که بیست روز پس از ایّام عادتش می بیند خون حیض نیست، محقق نیز در المعتبر این نظر را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الخلاف از شیخ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گروه فقها بر این است که زن بارداری که بارداری اش ثابت شده باشد دچار حیض نمی شود، ولی در مورد حیض زن قبل از ثابت شدن بارداری دچار اختلاف نظر شده اند؛ شیخ چنین نظری را در المبسوط نیز بیان کرده است، ابن جنید و شیخ مفید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حیض با دوران بارداری جمع نمی گردد؛ از این حدیث چنین برمی آید که احادیثی که قائل به اجتماع حیض و بارداری هستند محمول بر تقیّه می باشند، ولی عموم فقها به عدم اجتماع باور دارند و نظری که قائل به جدایی زمان حیض و بارداری است خالی از قوّت و صحت نیست، و هیچ اختلافی در این امر وجود ندارد که کمترین دورۀ پاکی ده روز است، همچنین حدیث بر این نکته دلالت می کند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دوره پاک بودن از حیض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منافی آن چیزی است که قبلاً   ذکر شد و بعداً نیز ذکر خواهد شد، 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بر اثر تصحیف تغییر یافته است، اگر چه این امکان وجود دارد که آنچه قبلاًَ ذکر شد و بعداً نیز ذکر خواهد شد بر استحباب یا بر زن مستخاضه ای حمل شود که خونریزی اش زیاد طولانی نیست، و این با آن حمل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عدم جواز درنگ کردن حائض در مساجد، نظر مشهور و قابل اعتماد در بین فقهاست، ولی سلّار قائل به کراهت آن است، همچنین جواز عبور از مساجد برای حائض نیز نظر مشهور در بین فقهاست البته با وجود عدم نجاست ظاهری، امّا با وجود نجاست ظاهری کسانی که وارد کردن نجاستی که سرایت نمی کند را به داخل مسجد جایز نمی دانند عبور از مسجد را نیز برای او جایز نمی دانند، ولی جواز این امر آشکارتر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نظرمشهور، استحباب وضو گرفتن و نشستن رو به قبله زن حائض در مکان نماز و ذکر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 حدیث نظر به وجوب دارد آن گونه که به شیخ صدوق نسبت داده شده است، و شیخ مفید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 در گوشه ای از نمازخانه اش می نشیند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فقها در مورد تحقّق یافتن شرط متوالی بودن سه روز حیض که کمترین مقدار آن است دچار اختلاف نظر شده اند، بیشتر آنان به توالی اعتقاد دارند، شیخ 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به مدّت یک یا دو روز خون را مشاهده کند سپس قبل از پایان ده روز و در روز سوّم خونریزی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بدون توالی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کند، خونِ حیض است، ولی اگر تا پایان ده روز، روز سوّمِ خونریزی را مشاهده نکند خون حیض نیست؛ امّا هر دو گروه بر محقّق شدن شرط وجود سه روز در میان ده روز متفق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بر سر معنای توالی نیز اختلاف نظر دارند و از ظاهر سخن بیشتر فقها چنین بر می آید که به حصول مسمّای خونریزی در هر </w:t>
      </w:r>
    </w:p>
    <w:p>
      <w:pPr>
        <w:pStyle w:val="BookText"/>
        <w:rPr/>
      </w:pPr>
      <w:r>
        <w:rPr>
          <w:rFonts w:ascii="Amiri" w:hAnsi="Amiri" w:eastAsia="Amiri" w:cs="Amiri"/>
          <w:color w:val="111111"/>
          <w:sz w:val="28"/>
          <w:sz w:val="28"/>
          <w:szCs w:val="28"/>
          <w:rtl w:val="true"/>
          <w:lang w:bidi="ar-SA"/>
        </w:rPr>
        <w:t>كل واحد من الأيام الثلاثة و إن لم يستوعبه و لعل ذلك ظاهر عموم الروايات و اعتبر مع ذلك بعض المتأخرين رؤيته في أولي ليلة من الشهر مثلا و في آخر يوم من اليوم الثالث بحيث يكون عند غروبه موجودا و في اليوم الوسط أي جزء كان منه و بعضهم اعتبر الاتصال في الثلاثة بحيث متي وضعت الكرسف تلوث و ظاهر الأصحاب أن الليالي معتبرة في الثلاثة و به صرح ابن الجنيد و لعله يظهر من الأخبار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من كلام بعض الأصحاب أنه علي القول بعدم اشتراط التوالي لو رأت الأول و الخامس و العاشر فالثلاثة حيض لا غير و مقتضاه أن أيام النقاء طهر و هو مشكل لما مر من الإجماع علي أقل الطهر و أيضا فقد صرح المحقق في المعتبر و العلامة في المنتهي و غيرهما من الأصحاب بأنها لو رأت ثلاثة ثم رأت العاشر كانت الأيام الأربعة و ما بينها من أيام النقاء حيضا و الحكم فيهما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صلت صلاة الليل يدل علي ما ذكره الأصحاب أن المتنفلة تضم صلاة الليل إلي صلاة الغداة بل لا خلاف بينهم فيه و اعترف أكثر المتأخرين بعدم المستند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تعجل العصر لما كان الظاهر أن التعجيل و التأخير لإيقاع كل منهما في وقت الفضيلة مع الجمع فالمراد بالتعجيل عدم التأخير عن أول الوقت كما يكون غالبا لا إيقاعها قبل الوقت و إن كان يحتمله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إذا أرادت الحائض بعد أي بعد انقطاع الدم و هذا الكلام أورده في الفقيه‌</w:t>
      </w:r>
      <w:r>
        <w:rPr>
          <w:rStyle w:val="FootnoteAnchor"/>
          <w:rtl w:val="true"/>
        </w:rPr>
        <w:footnoteReference w:id="467"/>
      </w:r>
      <w:r>
        <w:rPr>
          <w:rFonts w:ascii="Amiri" w:hAnsi="Amiri" w:eastAsia="Amiri" w:cs="Amiri"/>
          <w:color w:val="111111"/>
          <w:sz w:val="28"/>
          <w:sz w:val="28"/>
          <w:szCs w:val="28"/>
          <w:rtl w:val="true"/>
          <w:lang w:bidi="ar-SA"/>
        </w:rPr>
        <w:t>إلي قوله و هي لا تعلم و ذكر أنه كتبه والده في رسالته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أو شيئا من الدم أي مما يحصل من الدم من الرطوبات و لم تعلم أنه دم و في الفقيه‌</w:t>
      </w:r>
      <w:r>
        <w:rPr>
          <w:rStyle w:val="FootnoteAnchor"/>
          <w:rtl w:val="true"/>
        </w:rPr>
        <w:footnoteReference w:id="468"/>
      </w:r>
      <w:r>
        <w:rPr>
          <w:rFonts w:ascii="Amiri" w:hAnsi="Amiri" w:eastAsia="Amiri" w:cs="Amiri"/>
          <w:color w:val="111111"/>
          <w:sz w:val="28"/>
          <w:sz w:val="28"/>
          <w:szCs w:val="28"/>
          <w:rtl w:val="true"/>
          <w:lang w:bidi="ar-SA"/>
        </w:rPr>
        <w:t>إذا رأت الصفرة و النتن و في بعض النسخ الشي‌ء و هو أظهر و</w:t>
      </w:r>
    </w:p>
    <w:p>
      <w:pPr>
        <w:pStyle w:val="BookText"/>
        <w:rPr/>
      </w:pPr>
      <w:r>
        <w:rPr>
          <w:rFonts w:ascii="IRNazanin" w:hAnsi="IRNazanin" w:eastAsia="IRNazanin"/>
          <w:color w:val="111111"/>
          <w:sz w:val="28"/>
          <w:sz w:val="28"/>
          <w:szCs w:val="28"/>
          <w:rtl w:val="true"/>
          <w:lang w:bidi="fa-IR"/>
        </w:rPr>
        <w:t xml:space="preserve">یک از ایّام سه گانه اکتفاء می شود اگر چه خونریزی تمام روز را نیز در برنگیرد، و شاید این امر از ظاهر بیشتر روایات برداشت شود، اضافه براین عدّه ای از فقهای معاصر به عنوان مثال رؤیت خون در اولین شب ماه و آخرین روز از سه روز خونریزی را به عنوان شرط مطرح کرده اند به طوری که خونریزی در غروب روز سوّم وجود داشته باشد، امّا در روز میانی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خونریزی در هر قسمت از روز که باشد اشکالی ندارد، و بعضی از فقها متوالی بودن سه روز را به عنوان شرط مطرح کرده اند به طوری که هرگاه پنبه در فرج گذاشته شود آلوده گردد، و از ظاهر سخن فقها چنین برمی آید که شب ها نیز جزء سه روز به حساب می آیند، و ابن جنید به این امر تصریح کرده و چه بسا که از احادیث نیز آشکار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یکی از فقها عدم اشتراط توالی را مطرح کرده است در صورتی که زن خونریزی را در روزهای اول، پنجم و دهم مشاهده کند، چرا که این سه روز حتماً ایّام حیض هستند، ولا غیر و مقتضای آن این است که ایام نقاء، طهر است، ولی این امر با کمترین مدت زمان پاکی که اجماع بر آن وجود دارد و قبلا ذکر شد هم خوانی ندارد، همچنین محقّق در المعتبر و علّامه در المنتهی و فقهای دیگر به این نکته تصریح کرده اند که اگر زن سه روز خونریزی ببیند سپس روز دهم نیز خونریزی داشته باشد، این چهار روز و ایّام پاکی که در بین آن ها وجود دارد جزء دوران حیض به شمار می آید و حکم آن ها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صلّت 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نکته مذکور از جانب فقها دلالت دارد که نماز نافله، نماز شب را به نماز صبح متصل می کند، بلکه خلافی بر سر این نظر در بین فقها وجود ندارد، و بیشتر فقهای معاصر به عدم مستند بودن آن اعتراف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تعجّل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آنجا که آشکار است تعجیل و تأخیر در ادای نماز ظهر و عصر به منظور به جا آوردن آن ها در وقت فضیلت صورت می گیرد، پس مقصود از تعجیل، عدم به تأخیر انداختن آن از اوّل وقت می باشد چنان که غالباً این گونه است، و منظور به جا آوردن نماز قبل از فرا رسیدن وقت آن نیست اگر چه احتمال این نظر نیز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أرادت الحائض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قطع شدن خونریزی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کلامی است که در الفقیه</w:t>
      </w:r>
      <w:r>
        <w:rPr>
          <w:rStyle w:val="FootnoteAnchor"/>
          <w:rtl w:val="true"/>
        </w:rPr>
        <w:footnoteReference w:id="469"/>
      </w:r>
      <w:r>
        <w:rPr>
          <w:rFonts w:ascii="IRNazanin" w:hAnsi="IRNazanin" w:eastAsia="IRNazanin"/>
          <w:color w:val="111111"/>
          <w:sz w:val="28"/>
          <w:sz w:val="28"/>
          <w:szCs w:val="28"/>
          <w:rtl w:val="true"/>
          <w:lang w:bidi="fa-IR"/>
        </w:rPr>
        <w:t xml:space="preserve">آن را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لا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نیز از جاری شدنش آگاه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ذکر کرده که پدرش در نامه ای این کلام را برای او فرستاده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شیئاً من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های ناشی از خون که زن از خون بودن آن آگاهی ندارد، و در الفقیه</w:t>
      </w:r>
      <w:r>
        <w:rPr>
          <w:rStyle w:val="FootnoteAnchor"/>
          <w:rtl w:val="true"/>
        </w:rPr>
        <w:footnoteReference w:id="470"/>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رأت الصفرة و النتن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آب زرد رنگ را مشاهده و بوی بد را استشمام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یکی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که صحیح تر به نظر می رسد؛ </w:t>
      </w:r>
    </w:p>
    <w:p>
      <w:pPr>
        <w:pStyle w:val="BookText"/>
        <w:rPr/>
      </w:pPr>
      <w:r>
        <w:rPr>
          <w:rFonts w:ascii="Amiri" w:hAnsi="Amiri" w:eastAsia="Amiri" w:cs="Amiri"/>
          <w:color w:val="111111"/>
          <w:sz w:val="28"/>
          <w:sz w:val="28"/>
          <w:szCs w:val="28"/>
          <w:rtl w:val="true"/>
          <w:lang w:bidi="ar-SA"/>
        </w:rPr>
        <w:t>رواه الشيخ في الموثق عن أبي عبد الله عليه السلام‌</w:t>
      </w:r>
      <w:r>
        <w:rPr>
          <w:rStyle w:val="FootnoteAnchor"/>
          <w:rtl w:val="true"/>
        </w:rPr>
        <w:footnoteReference w:id="471"/>
      </w:r>
      <w:r>
        <w:rPr>
          <w:rFonts w:ascii="Amiri" w:hAnsi="Amiri" w:eastAsia="Amiri" w:cs="Amiri"/>
          <w:color w:val="111111"/>
          <w:sz w:val="28"/>
          <w:sz w:val="28"/>
          <w:szCs w:val="28"/>
          <w:rtl w:val="true"/>
          <w:lang w:bidi="ar-SA"/>
        </w:rPr>
        <w:t>و فيها و ترفع رجلها علي 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الخروج من الجانب الأيسر علامة للحيض فاختلف فيه كلام الأصحاب فذهب الأكثر منهم الصدوق و الشيخ في النهاية و المبسوط و ابن إدريس و العلامة إلي أن الخارج من الأيسر حيض كما هنا و المنقول عن ابن الجنيد أن الحيض يعتبر من الجانب الأيمن و كلام الشهيد في كتبه مختلف و منشأ هذا الاختلاف اختلاف الرواية فَقَدْ رَوَي الشَّيْخُ فِي التَّهْذِيبِ‌</w:t>
      </w:r>
      <w:r>
        <w:rPr>
          <w:rStyle w:val="FootnoteAnchor"/>
          <w:rtl w:val="true"/>
        </w:rPr>
        <w:footnoteReference w:id="472"/>
      </w:r>
      <w:r>
        <w:rPr>
          <w:rFonts w:ascii="Amiri" w:hAnsi="Amiri" w:eastAsia="Amiri" w:cs="Amiri"/>
          <w:color w:val="111111"/>
          <w:sz w:val="28"/>
          <w:sz w:val="28"/>
          <w:szCs w:val="28"/>
          <w:rtl w:val="true"/>
          <w:lang w:bidi="ar-SA"/>
        </w:rPr>
        <w:t>عَنْ مُحَمَّدِ بْنِ يَحْيَي مَرْفُوعاً عَنْ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فَتَاةٌ مِنَّا قَرْحَةٌ فِي جَوْفِهَا وَ الدَّمُ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تَدْرِي مِنْ دَمِ الْحَيْضِ أَوْ مِنْ دَمِ الْقَرْحَةِ فَقَالَ مُرْهَا فَلْتَسْتَلْقِ عَلَي ظَهْرِهَا وَ تَرْفَعُ رِجْلَيْهَا وَ تَسْتَدْخِلُ إِصْبَعَهَا الْوُسْطَي فَإِنْ خَرَجَ الدَّمُ مِنَ الْجَانِبِ الْأَيْسَرِ فَهُوَ مِنَ الْحَيْضِ وَ إِنْ خَرَجَ مِنَ الْجَانِبِ الْأَيْمَنِ فَهُوَ مِنَ الْقَرْحَةِ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وجدنا في النسخ المعتبرة و نقله المحقق في المعتبر عن التهذيب و روي الكليني هذا الحديث بعينه‌</w:t>
      </w:r>
      <w:r>
        <w:rPr>
          <w:rStyle w:val="FootnoteAnchor"/>
          <w:rtl w:val="true"/>
        </w:rPr>
        <w:footnoteReference w:id="473"/>
      </w:r>
      <w:r>
        <w:rPr>
          <w:rFonts w:ascii="Amiri" w:hAnsi="Amiri" w:eastAsia="Amiri" w:cs="Amiri"/>
          <w:color w:val="111111"/>
          <w:sz w:val="28"/>
          <w:sz w:val="28"/>
          <w:szCs w:val="28"/>
          <w:rtl w:val="true"/>
          <w:lang w:bidi="ar-SA"/>
        </w:rPr>
        <w:t>إلي قوله فإن خرج من الجانب الأيمن فهو من الحيض و إن خرج من الجانب الأيسر فهو من القرحة و به أفتي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 التهذيب التي كانت عند ابن طاوس ره كما في الكافي و لذا طرح بعض الأصحاب هذه الرواية و لم يعملوا بها لضعفها و اختلافها و مخالفتها للاعتبار لاحتمال كون القرحة في كل من الجانبين و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لم يرق دمها قال الجوهري رقي الدم يرقي سكن و الحكم المذكور مشهور بين الأصحاب و المحقق في المعتبر قال لا ريب في أنها إذا خرجت مطوقة كانت من العذرة فإن خرجت مستنقعة فهو محتمل و لم يجزم بالحكم الثاني و لا وجه له إذ كل دم يمكن أن يكون حيضا فهو حيض و</w:t>
      </w:r>
    </w:p>
    <w:p>
      <w:pPr>
        <w:pStyle w:val="BookText"/>
        <w:rPr/>
      </w:pPr>
      <w:r>
        <w:rPr>
          <w:rFonts w:ascii="IRNazanin" w:hAnsi="IRNazanin" w:eastAsia="IRNazanin"/>
          <w:color w:val="111111"/>
          <w:sz w:val="28"/>
          <w:sz w:val="28"/>
          <w:szCs w:val="28"/>
          <w:rtl w:val="true"/>
          <w:lang w:bidi="fa-IR"/>
        </w:rPr>
        <w:t>شیخ این حدیث را در الموثّق از امام صادق علیه السلام روایت کرده</w:t>
      </w:r>
      <w:r>
        <w:rPr>
          <w:rStyle w:val="FootnoteAnchor"/>
          <w:rtl w:val="true"/>
        </w:rPr>
        <w:footnoteReference w:id="474"/>
      </w:r>
      <w:r>
        <w:rPr>
          <w:rFonts w:ascii="IRNazanin" w:hAnsi="IRNazanin" w:eastAsia="IRNazanin"/>
          <w:color w:val="111111"/>
          <w:sz w:val="28"/>
          <w:sz w:val="28"/>
          <w:szCs w:val="28"/>
          <w:rtl w:val="true"/>
          <w:lang w:bidi="fa-IR"/>
        </w:rPr>
        <w:t>و در آن چنین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ترفع رجلها علی 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پایش را بر روی دیوار بالا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این سخن که خارج شدن خون از طرف چپ فَرج نشانه حیض بودن است در میان فقها اختلاف نظر وجود دارد، بیشتر فقها از جمله صدوق، شیخ در النهایه و المبسوط و ابن ادریس و علّامه بر این باورند که خون خارج شده از طرف چپ فَرج خون حیض است، آن گونه که در اینجا نیز ذکر شده است، ولی از ابن جنید نقل شده که خون خارج شده از طرف راست فرج خون حیض به شمار می آید، امّا شهید در کتاب هایش نظرات متفاوتی را مطرح کرده است و منشأ این اختلاف، اختلاف در روایات می باشد؛ شیخ درالتهذیب</w:t>
      </w:r>
      <w:r>
        <w:rPr>
          <w:rStyle w:val="FootnoteAnchor"/>
          <w:rtl w:val="true"/>
        </w:rPr>
        <w:footnoteReference w:id="475"/>
      </w:r>
      <w:r>
        <w:rPr>
          <w:rFonts w:ascii="IRNazanin" w:hAnsi="IRNazanin" w:eastAsia="IRNazanin"/>
          <w:color w:val="111111"/>
          <w:sz w:val="28"/>
          <w:sz w:val="28"/>
          <w:szCs w:val="28"/>
          <w:rtl w:val="true"/>
          <w:lang w:bidi="fa-IR"/>
        </w:rPr>
        <w:t>از محمد بن یحیی و او نیز از أبان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دختر جوان خویش پرسیدم که در لایه درونی فَرج او زخمی وجود دارد، و هنگامی که خون جاری می شود نمی داند خون حیض است یا زخم،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امر کن که پشت خود را به زمین بچسباند و پاهایش را بالا بگیرد و انگشت میانی خود را در فَرج داخل کند، پس اگر خون از طرف چپ خارج شد خون حیض است و اگر از جانب راست خارج شد خون زخم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نسخه های معتبر چنین یافتیم و محقّق نیز در المعتبر به نقل از التهذیب این حدیث را ذکر کرده است، همچنین کلینی عین این حدیث را تا فرمودۀ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خون از طرف راست خارج شود خون حیض است و اگر از طرف چپ خارج شود خون زخم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و ابن جنید نیز به آن فتوا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نسخه های التهذیب که نزد ابن طاووس رحمه الله بوده است و همچنین در الکافی نیز چنین ذکر شده است، بنابراین عدّه ای از فقها این روایت را طرد کرده و به خاطر ضعف و اختلاف موجود در آن و مخالفتش با اعتبار از عمل به آن خودداری نموده اند، چرا که احتمال وجود زخم در هر طرف فَرج وجود دارد، و این نظر خالی از قوّت نیست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یرق 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رقأ الدم یرقی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خون ساکن شد و آرام گرفت، و حکم مذکور در میان فقها مشهوراست و محقّق در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تردیدی وجود ندارد که اگر اطراف پنبه بعد از خارج شدن از فَرج به خون آغشته شده باشد در اثر خونریزی پاره شدن پرده بکارت بوده است، ولی اگر غرق در خون باشد احتمال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خون حیض باشد وجود دارد، و به قطع نمی توان حکم به مورد دوّم صادر کرد و هیچ وجه مستندی نیز برای این حُکم وجود ندارد، چرا که هر خونی که ممکن است خون حیض باشد، خون حیض است، </w:t>
      </w:r>
      <w:bookmarkStart w:id="850" w:name="pg13517_329129"/>
    </w:p>
    <w:p>
      <w:pPr>
        <w:pStyle w:val="BookText"/>
        <w:rPr/>
      </w:pPr>
      <w:bookmarkEnd w:id="850"/>
      <w:r>
        <w:rPr>
          <w:rFonts w:ascii="Amiri" w:hAnsi="Amiri" w:eastAsia="Amiri" w:cs="Amiri"/>
          <w:color w:val="111111"/>
          <w:sz w:val="28"/>
          <w:sz w:val="28"/>
          <w:szCs w:val="28"/>
          <w:rtl w:val="true"/>
          <w:lang w:bidi="ar-SA"/>
        </w:rPr>
        <w:t>الكلام في مثله كما هو الظاهر و وجه دلالة تطوق الدم علي كونه دم عذرة أن الاقتضاض ليس إلا خرق الجلدة الرقيقة المنتسجة علي الرحم فإذا خرقت خرج الدم من جوانبها بخلاف دم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و دم العذرة لعله علامة أخري للفرق بينهما و الشفر بالضم حرف الفرج ذكره الجوهري</w:t>
      </w:r>
      <w:r>
        <w:rPr>
          <w:rFonts w:eastAsia="Amiri" w:cs="Amiri" w:ascii="Amiri" w:hAnsi="Amiri"/>
          <w:color w:val="111111"/>
          <w:sz w:val="28"/>
          <w:szCs w:val="28"/>
          <w:rtl w:val="true"/>
          <w:lang w:bidi="ar-SA"/>
        </w:rPr>
        <w:t>.</w:t>
      </w:r>
    </w:p>
    <w:p>
      <w:pPr>
        <w:pStyle w:val="Heading5"/>
        <w:numPr>
          <w:ilvl w:val="4"/>
          <w:numId w:val="1"/>
        </w:numPr>
        <w:rPr/>
      </w:pPr>
      <w:bookmarkStart w:id="851" w:name="__RefHeading___Toc605694_1934241801"/>
      <w:bookmarkStart w:id="852" w:name="_Toc391"/>
      <w:bookmarkEnd w:id="851"/>
      <w:r>
        <w:rPr>
          <w:rtl w:val="true"/>
        </w:rPr>
        <w:t>«</w:t>
      </w:r>
      <w:r>
        <w:rPr/>
        <w:t>13</w:t>
      </w:r>
      <w:r>
        <w:rPr>
          <w:rtl w:val="true"/>
        </w:rPr>
        <w:t>»</w:t>
      </w:r>
      <w:bookmarkEnd w:id="852"/>
    </w:p>
    <w:p>
      <w:pPr>
        <w:pStyle w:val="BookText"/>
        <w:rPr/>
      </w:pPr>
      <w:r>
        <w:rPr>
          <w:rFonts w:ascii="Amiri" w:hAnsi="Amiri" w:eastAsia="Amiri" w:cs="Amiri"/>
          <w:color w:val="111111"/>
          <w:sz w:val="28"/>
          <w:sz w:val="28"/>
          <w:szCs w:val="28"/>
          <w:rtl w:val="true"/>
          <w:lang w:bidi="ar-SA"/>
        </w:rPr>
        <w:t>كِتَابُ عَبْدِ اللَّهِ بْنِ يَحْيَي الْكَاهِلِيِّ، قَالَ سَمِعْتُ الْعَبْدَ الصَّالِحَ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الْحَائِضِ إِذَا انْقَطَعَ عَنْهَا الدَّمُ ثُمَّ رَأَتْ صُفْرَةً فَلَيْسَ بِشَيْ‌ءٍ تَغْتَسِلُ ثُمَّ تُصَلِّي</w:t>
      </w:r>
      <w:r>
        <w:rPr>
          <w:rFonts w:eastAsia="Amiri" w:cs="Amiri" w:ascii="Amiri" w:hAnsi="Amiri"/>
          <w:color w:val="111111"/>
          <w:sz w:val="28"/>
          <w:szCs w:val="28"/>
          <w:rtl w:val="true"/>
          <w:lang w:bidi="ar-SA"/>
        </w:rPr>
        <w:t>.</w:t>
      </w:r>
    </w:p>
    <w:p>
      <w:pPr>
        <w:pStyle w:val="Heading5"/>
        <w:numPr>
          <w:ilvl w:val="4"/>
          <w:numId w:val="1"/>
        </w:numPr>
        <w:rPr/>
      </w:pPr>
      <w:bookmarkStart w:id="853" w:name="__RefHeading___Toc605696_1934241801"/>
      <w:bookmarkStart w:id="854" w:name="_Toc392"/>
      <w:bookmarkEnd w:id="853"/>
      <w:r>
        <w:rPr>
          <w:rtl w:val="true"/>
        </w:rPr>
        <w:t>«</w:t>
      </w:r>
      <w:r>
        <w:rPr/>
        <w:t>14</w:t>
      </w:r>
      <w:r>
        <w:rPr>
          <w:rtl w:val="true"/>
        </w:rPr>
        <w:t>»</w:t>
      </w:r>
      <w:bookmarkEnd w:id="854"/>
    </w:p>
    <w:p>
      <w:pPr>
        <w:pStyle w:val="BookText"/>
        <w:rPr/>
      </w:pPr>
      <w:r>
        <w:rPr>
          <w:rFonts w:ascii="Amiri" w:hAnsi="Amiri" w:eastAsia="Amiri" w:cs="Amiri"/>
          <w:color w:val="111111"/>
          <w:sz w:val="28"/>
          <w:sz w:val="28"/>
          <w:szCs w:val="28"/>
          <w:rtl w:val="true"/>
          <w:lang w:bidi="ar-SA"/>
        </w:rPr>
        <w:t>الْمَحَاسِنُ، عَنْ أَبِيهِ عَنْ خَلَفِ بْنِ حَمَّادٍ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بَعْضُ أَصْحَابِنَا جَارِيَةً مُعْصِراً لَمْ تَطْمَثْ فَلَمَّا اقْتَضَّهَا سَالَ الدَّمُ فَمَكَثَ سَائِلًا لَا يَنْقَطِعُ نَحْواً مِنْ عَشَرَةِ أَيَّامٍ قَالَ فَأَرَوْهَا الْقَوَابِلَ وَ مَنْ ظُنَّ أَنَّهُ يُبْصِرُ ذَلِكَ مِنَ النِّسَاءِ فَاخْتَلَفْنَ فَقَالَ بَعْضُهُنَّ هَذَا دَمُ الْحَيْضِ وَ قَالَ بَعْضُهُنَّ هُوَ دَمُ الْعُذْرَةِ فَسَأَلُوا عَنْ ذَلِكَ فُقَهَاءَهُمْ أَبَا حَنِيفَةَ وَ غَيْرَهُ مِنْ فُقَهَائِهِمْ فَقَالُوا هَذَا شَيْ‌ءٌ قَدْ أَشْكَلَ عَلَيْنَا وَ الصَّلَاةُ فَرِيضَةٌ وَاجِبَةٌ فَلْتَتَوَضَّأْ وَ لْتُصَلِّ وَ لْيُمْسِكْ عَنْهَا زَوْجُهَا حَتَّي تَرَي الْبَيَاضَ فَإِنْ كَانَ دَمَ الْحَيْضِ لَمْ تَضُرَّهَا الصَّلَاةُ وَ إِنْ كَانَ دَمَ الْعُذْرَةِ كَانَتْ قَدْ أَدَّتِ الْفَرِيضَةَ فَفَعَلَتِ الْجَارِيَةُ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حَجَجْتُ فِي تِلْكَ السَّنَةِ فَلَمَّا صِرْنَا بِمِنًي بَعَثْتُ إِلَي أَبِي الْحَسَنِ عليه السلام فَقُلْتُ جُعِلْتُ فِدَاكَ إِنَّ لَنَا مَسْأَلَةً قَدْ ضِقْنَا بِهَا ذَرْعاً فَإِنْ رَأَيْتَ أَنْ تَأْذَنَ لِي فَآتِيَكِ فَأَسْأَلَكَ عَنْهَا فَبَعَثَ إِلَيَّ إِذَا هَدَأَتِ الرِّجِلُ وَ انْقَطَعَ الطَّرِيقُ فَأَقْبِلْ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خَلَفٌ فَرَعَيْتُ اللَّيْلَ حَتَّي إِذَا رَأَيْتُ النَّاسَ قَدْ قَلَّ اخْتِلَافُهُمْ بِمِنًي تَوَجَّهْتُ إِلَي مِضْرَبِهِ فَلَمَّا كُنْتُ قَرِيباً إِذَا أَنَا بِأَسْوَدَ قَاعِدٍ عَلَي الطَّرِيقِ فَقَالَ مَنِ الرَّجُلُ فَقُلْتُ رَجُلٌ مِنَ الْحَاجِّ قَالَ مَا اسْمُكَ قُلْتُ خَلَفُ بْنُ حَمَّادٍ فَقَالَ ادْخُلْ بِغَيْرِ إِذْنٍ فَقَدْ أَمَرَنِي أَنْ أَقْعُدَ هَاهُنَا فَإِذَا أَتَيْتَ أَذِنْتُ لَكَ فَدَخَلْتُ</w:t>
      </w:r>
    </w:p>
    <w:p>
      <w:pPr>
        <w:pStyle w:val="BookText"/>
        <w:rPr/>
      </w:pPr>
      <w:r>
        <w:rPr>
          <w:rFonts w:ascii="IRNazanin" w:hAnsi="IRNazanin" w:eastAsia="IRNazanin"/>
          <w:color w:val="111111"/>
          <w:sz w:val="28"/>
          <w:sz w:val="28"/>
          <w:szCs w:val="28"/>
          <w:rtl w:val="true"/>
          <w:lang w:bidi="fa-IR"/>
        </w:rPr>
        <w:t xml:space="preserve">و چنان که پیداست سخن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نیز چنین است، و آغشته شدن اطراف پنبه داخل فَرج به خون بر جاری شدن آن از بکارت دلالت می کند، چرا که وارد شدن آلت مرد به داخل فرج چیزی نیست غیر از پاره شدن پرده نازکی که بردهانه رحم تنیده شده است، پس هنگامی که آن پرده پاره شود خون از اطراف فَرج خارج می شود بر خلاف خون 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دَم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دیگری برای تشخیص اختلاف بین خون بکارت و خون حیض باشد، و جوهری ذکر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کناره فَرج </w:t>
      </w:r>
      <w:r>
        <w:rPr>
          <w:rFonts w:eastAsia="IRNazanin" w:cs="IRNazanin"/>
          <w:color w:val="111111"/>
          <w:sz w:val="28"/>
          <w:szCs w:val="28"/>
          <w:rtl w:val="true"/>
          <w:lang w:bidi="fa-IR"/>
        </w:rPr>
        <w:t>.</w:t>
      </w:r>
    </w:p>
    <w:p>
      <w:pPr>
        <w:pStyle w:val="Heading5"/>
        <w:numPr>
          <w:ilvl w:val="4"/>
          <w:numId w:val="1"/>
        </w:numPr>
        <w:rPr/>
      </w:pPr>
      <w:bookmarkStart w:id="855" w:name="__RefHeading___Toc605698_1934241801"/>
      <w:bookmarkStart w:id="856" w:name="_Toc393"/>
      <w:bookmarkEnd w:id="855"/>
      <w:r>
        <w:rPr>
          <w:rtl w:val="true"/>
        </w:rPr>
        <w:t xml:space="preserve">روایت </w:t>
      </w:r>
      <w:r>
        <w:rPr/>
        <w:t>13</w:t>
      </w:r>
      <w:bookmarkEnd w:id="856"/>
    </w:p>
    <w:p>
      <w:pPr>
        <w:pStyle w:val="BookText"/>
        <w:rPr/>
      </w:pPr>
      <w:r>
        <w:rPr>
          <w:rFonts w:ascii="IRNazanin" w:hAnsi="IRNazanin" w:eastAsia="IRNazanin"/>
          <w:color w:val="111111"/>
          <w:sz w:val="28"/>
          <w:sz w:val="28"/>
          <w:szCs w:val="28"/>
          <w:rtl w:val="true"/>
          <w:lang w:bidi="fa-IR"/>
        </w:rPr>
        <w:t>کتاب عبدالله بن یحیی الکاهلی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بن جعفرعلیه السلام شنیدم که درباره زن حائض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خونریزی او پایان پذیرفت سپس آب زرد رنگی را مشاهده کرد اشکالی ندارد، غسل می کند سپس نماز می خواند</w:t>
      </w:r>
      <w:r>
        <w:rPr>
          <w:rFonts w:eastAsia="IRNazanin" w:cs="IRNazanin"/>
          <w:color w:val="111111"/>
          <w:sz w:val="28"/>
          <w:szCs w:val="28"/>
          <w:rtl w:val="true"/>
          <w:lang w:bidi="fa-IR"/>
        </w:rPr>
        <w:t>.</w:t>
      </w:r>
    </w:p>
    <w:p>
      <w:pPr>
        <w:pStyle w:val="Heading5"/>
        <w:numPr>
          <w:ilvl w:val="4"/>
          <w:numId w:val="1"/>
        </w:numPr>
        <w:rPr/>
      </w:pPr>
      <w:bookmarkStart w:id="857" w:name="__RefHeading___Toc605700_1934241801"/>
      <w:bookmarkStart w:id="858" w:name="_Toc394"/>
      <w:bookmarkEnd w:id="857"/>
      <w:r>
        <w:rPr>
          <w:rtl w:val="true"/>
        </w:rPr>
        <w:t xml:space="preserve">روایت </w:t>
      </w:r>
      <w:r>
        <w:rPr/>
        <w:t>14</w:t>
      </w:r>
      <w:bookmarkEnd w:id="858"/>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خلف بن حمّاد کوفی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ما با دختر بالغی ازدواج کرد که دچار حیض نمی شد، و هنگامی که پرده بکارت او را پاره کرد خون جاری شد و همچنان جاری می شد و تا ده روز قطع نمی گردید، پس او را به قابله ها و کسانی نشان دادند که گمان می رفت چنین حالتی را از زنان دیده اند و در آن تخصص دارند، ولی آنان نظرات مختلف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حیض است و عدّه ای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پارگی بکارت است، پس این مسأله را از ابوحنیفه و دیگر فقهای خود پرسیدند،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که برای ما مشکل و پیچیده است و نماز فریضه واجبی است، پس آن زن باید وضو گرفته و نماز بخواند، و شوهرش باید از نزدیکی با او خودداری کند تا سفیدی پاکی را مشاهده کند، اگر خون، خون حیض باشد نماز خواندن ضرری به آن زن نمی رساند و اگر خون پاره شدن بکارت باشد او فریضه خود را به 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کنیز چنان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در آن سال قصد فریضه حج نمودم، و هنگامی که در سرزمین منی قرار گرفتیم فرستاده ای را نزد امام موسی کاظم علیه السلام روانه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مسأله ای برای ما پیش آمده که روزگار را بر ما تنگ کرده است، اگر صلاح ببینید و به من اجازه دهید نزد شما آمده و درباره آن مسأله از شما خواهم پرسید، پس امام به سوی من چنین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پاها آرام گرفت و راه به پایان رسید سوی من بیا، إن شاء الله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منتظر ماندم و هنگامی که مشاهده نمودم از رفت و آمد مردم در منی کاسته شده است، به سوی خیمه امام رو نهادم، هنگامی که به نزدیکی خیمه رسیدم ناگهان با سیاهی ای مواجه شدم که بر سر راه نشسته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بن حمّاد،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اجازه وارد شو که امام به من فرمان داده در اینجا بنشینم و هنگامی که تو آمدی به تو اجازه دهد؛ پس وارد شدم </w:t>
      </w:r>
      <w:bookmarkStart w:id="859" w:name="pg13517_329130"/>
    </w:p>
    <w:p>
      <w:pPr>
        <w:pStyle w:val="BookText"/>
        <w:rPr/>
      </w:pPr>
      <w:bookmarkEnd w:id="859"/>
      <w:r>
        <w:rPr>
          <w:rFonts w:ascii="Amiri" w:hAnsi="Amiri" w:eastAsia="Amiri" w:cs="Amiri"/>
          <w:color w:val="111111"/>
          <w:sz w:val="28"/>
          <w:sz w:val="28"/>
          <w:szCs w:val="28"/>
          <w:rtl w:val="true"/>
          <w:lang w:bidi="ar-SA"/>
        </w:rPr>
        <w:t xml:space="preserve">فَسَلَّمْتُ فَرَدَّ عَلَيَّ السَّلَامَ وَ هُوَ جَالِسٌ عَلَي فِرَاشِهِ وَحْدَهُ مَا فِي الْفُسْطَاطِ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صِرْتُ بَيْنَ يَدَيْهِ سَأَلَنِي عَنْ حَالِي فَقُلْتُ لَهُ إِنَّ رَجُلًا مِنْ مَوَالِيكَ تَزَوَّجَ جَارِيَةً مُعْصِراً لَمْ تَطْمَثْ فَافْتَرَعَهَا فَغَلَبَ الدَّمُ سَائِلًا نَحْواً مِنْ عَشَرَةِ أَيَّامٍ وَ إِنَّ الْقَوَابِلَ اخْتَلَفْنَ فِي ذَلِكَ فَقَالَ بَعْضُهُنَّ دَمُ الْحَيْضِ وَ قَالَ بَعْضُهُنَّ دَمُ الْعُذْرَةِ فَمَا يَنْبَغِي لَهَا أَنْ تَصْنَعَ قَالَ فَلْتَتَّقِ اللَّهَ فَإِنْ كَانَ مِنْ دَمِ الْحَيْضِ فَلْتُمْسِكْ عَنِ الصَّلَاةِ حَتَّي تَرَي الطُّهْرَ وَ لْيُمْسِكْ عَنْهَا بَعْلُهَا وَ إِنْ كَانَ مِنَ الْعُذْرَةِ فَلْتَتَّقِ اللَّهَ وَ لْتَتَوَضَّأْ وَ لْتُصَلِّ وَ لْيَأْتِهَا بَعْلُهَا إِنْ أَحَبَّ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وَ كَيْفَ لَهُمْ أَنْ يَعْلَمُوا مَا هُوَ حَتَّي يَفْعَلُوا مَا يَنْبَغِي قَالَ فَالْتَفَتَ يَمِيناً وَ شِمَالًا فِي الْفُسْطَاطِ مَخَافَةَ أَنْ يَسْمَعَ كَلَامَهُ أَحَدٌ قَالَ ثُمَّ نَهَدَ إِلَيَّ فَقَالَ يَا خَلَفُ سِرُّ اللَّهِ فَلَا تُذِيعُوهُ وَ لَا تُعَلِّمُوا هَذَا الْخَلْقَ أُصُولَ دِينِ اللَّهِ بَلِ ارْضَوْا لَهُمْ بِمَا رَضِيَ اللَّهُ لَهُمْ مِنْ ضَلَالٍ قَالَ ثُمَّ عَقَدَ بِيَدِهِ الْيُسْرَي تِسْعِينَ ثُمَّ قَالَ تَسْتَدْخِلُ الْقُطْنَةَ ثُمَّ تَدَعُهَا مَلِيّاً ثُمَّ تُخْرِجُهَا إِخْرَاجاً رَفِيقاً فَإِنْ كَانَ الدَّمُ مُطَوَّقاً فِي الْقُطْنَةِ فَهُوَ مِنَ الْعُذْرَةِ وَ إِنْ كَانَ مُسْتَنْقِعاً فِي الْقُطْنَةِ فَهُوَ مِنَ الْحَيْضِ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خَلَفٌ فَاسْتَخَفَّنِي الْفَرَحُ فَبَكَيْتُ فَقَالَ مَا أَبْكَاكَ بَعْدَ مَا سَكَنَ بُكَائِي فَقُلْتُ جُعِلْتُ فِدَاكَ مَنْ كَانَ يُحْسِنُ هَذَا غَيْرُكَ قَالَ فَرَفَعَ رَأْسَهُ إِلَي السَّمَاءِ وَ قَالَ إِنِّي وَ اللَّهِ مَا أُخْبِرُكَ إِلَّا عَنْ رَسُولِ اللَّهِ صلي الله عليه و آله عَنْ جَبْرَئِيلَ عَنِ اللَّهِ عَزَّ وَ جَلَ‌</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0" w:name="__RefHeading___Toc605702_1934241801"/>
      <w:bookmarkStart w:id="861" w:name="_Toc395"/>
      <w:bookmarkEnd w:id="860"/>
      <w:r>
        <w:rPr>
          <w:rtl w:val="true"/>
        </w:rPr>
        <w:t>تبيين</w:t>
      </w:r>
      <w:bookmarkEnd w:id="861"/>
    </w:p>
    <w:p>
      <w:pPr>
        <w:pStyle w:val="BookText"/>
        <w:rPr/>
      </w:pPr>
      <w:r>
        <w:rPr>
          <w:rFonts w:ascii="Amiri" w:hAnsi="Amiri" w:eastAsia="Amiri" w:cs="Amiri"/>
          <w:color w:val="111111"/>
          <w:sz w:val="28"/>
          <w:sz w:val="28"/>
          <w:szCs w:val="28"/>
          <w:rtl w:val="true"/>
          <w:lang w:bidi="ar-SA"/>
        </w:rPr>
        <w:t>قال الجوهري المعصرة الجارية أول ما أدركت و حاضت يقال قد أعصرت كأنها دخلت عصر شبابها أو بلغته و يقال هي التي قاربت الحيض لأن الإعصار في الجارية كالمراهقة في الغلام و في النهاية المعصر الجارية أول ما تحيض لإعصار رحمها انتهي و الاقتضاض إزالة البكارة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يبصر ذلك قال الشيخ البهائي رحمه الله أي له بصارة فيه و العذرة بالضم البكارة و يراد بالبياض الطهر و يقال ضاق الأمر ذرعا أي ضعفت طاقته عنه و في النهاية فيه إياكم و السمر بعد هدأة الرجل الهدأة و الهدء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سلام کردم، امام در حالی که تنها بر جایگاهش نشسته بود جواب سلامم را داد و کسی غیر از ایشان در خیمه نبود، هنگامی که در مقابل امام قرار گرفتم از حال و وضع من پرسید،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مردی از دوستداران شما با دختر بالغی ازدواج کرده است که قبل از آن دچار حیض نمی شد، پس بکارت او را پاره کرد و به مدّت ده روز خونریزی ادامه یافت، و قابله ها در مورد او دچار اختلاف شدند، عدّه 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حیض است، و عدّه ای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پارگی بکارت است، آن کنیز باید چه کاری انجام دهد؟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تقوای خدا پیشه سازد، اگر آن خون از حیض باشد باید تا زمانی که پاک می گردد از نماز خواندن پرهیز کند و شوهرش از نزدیکی با او خودداری کند، امّا اگر از بکارت باشد باید تقوی خدا پیشه سازد و وضو گرفته و نماز بخواند و شوهرش اگر دوست داشت با او نزدیکی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توانند به ماهیت آن خون پی ببرند تا آنچه را که لازم است انجام دهند؟ پس امام در داخل خیمه به طرف راست و چپ نگاه کرد مبادا که کسی سخنانش را بشنود، آن گاه به نزدیکی من آمده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خلف، این سرّ خداوند است، پس آن را فاش نسازید، و این مردمان را از اصول دین خداوند آگاه نسازید بلکه به ضلالتی که خداوند برای آنان پسندیده رضایت دهید، سپس امام دست چپش را به شکل عدد نود در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تکه پنبه ای را در فَرج خود داخل کرده و زمانی طولانی آن را نگاه می دارد پس به آرامی خارجش می سازد، اگر خون اطراف پنبه را آغشته سازد از پارگی بکارت است و اگر آن را در خود غرق خون سازد از حیض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وجودم را فرا گرفت و سپس گریستم،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گریه وا داشته است؟ بعد از آنکه گریستَنَم پایان یافت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چه کسی غیر از شما این مسأله را به این خوبی حلّ می  کرد؛ پس امام سرش را به سوی آسمان بالا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حلّ این مسأله را جز از جانب رسول خدا صلّی الله علیه و آله که آن را به وسیله جبرئیل از جانب خداوند دریافت نموده به آگاهی تو نرساندم</w:t>
      </w:r>
      <w:r>
        <w:rPr>
          <w:rFonts w:eastAsia="IRNazanin" w:cs="IRNazanin"/>
          <w:color w:val="111111"/>
          <w:sz w:val="28"/>
          <w:szCs w:val="28"/>
          <w:rtl w:val="true"/>
          <w:lang w:bidi="fa-IR"/>
        </w:rPr>
        <w:t>.</w:t>
      </w:r>
      <w:r>
        <w:rPr>
          <w:rStyle w:val="FootnoteAnchor"/>
          <w:rtl w:val="true"/>
        </w:rPr>
        <w:footnoteReference w:id="477"/>
      </w:r>
    </w:p>
    <w:p>
      <w:pPr>
        <w:pStyle w:val="Heading5"/>
        <w:numPr>
          <w:ilvl w:val="4"/>
          <w:numId w:val="1"/>
        </w:numPr>
        <w:rPr/>
      </w:pPr>
      <w:bookmarkStart w:id="862" w:name="__RefHeading___Toc605704_1934241801"/>
      <w:bookmarkStart w:id="863" w:name="_Toc396"/>
      <w:bookmarkEnd w:id="862"/>
      <w:r>
        <w:rPr>
          <w:rtl w:val="true"/>
        </w:rPr>
        <w:t>توضیح</w:t>
      </w:r>
      <w:bookmarkEnd w:id="863"/>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دختری که برای نخستین بار دوره بلوغ را درک کرده است و دچار حیض شده است،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أعصَرت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دوران جوانی شده یا به حدّ آن رسیده باشد،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دختری است که به دوران حیض نزدیک شده باشد،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شدن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دختران مانند بلوغ در پسران است، و در 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دختری است که به خاطر بلوغ رحم برای نخستین بار دچار حیض می شود پایان نقل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الاقتضاض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کردن پرده بکارت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یبصرذلک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رحمه الله گفته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این مورد تخصّص و آگاهی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دوشیزگی؛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پاکی است؛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ضاق بالأمر ذرعاً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طاقت و توان او برای انجام آن کار ضعیف و سست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درمانده شد و از عهده آن بر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ودر النهایه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والسَّمر بَعد هدأة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باشید از شب نشینی بعد از آرام گرفتن پاها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السكون عن الحركات أي بعد ما يسكن الناس عن المشي و الاختلاف في الطرق و المضرب بكسر الميم الفسطاط العظيم و الفسطاط بيت من شعر و في الكافي سألني و سألته عن حاله ففي كلتا النسختين سقط و الافتراع اقتضاض البكر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لتتوضأ أي للأحداث الأخر أو أراد به غسل الفرج و نهد إلي أي نهض قوله عليه السلام و لا تعلموا يدل بظاهره علي أن تعليم أمثال هذه المسائل غير واجب و يمكن أن يكون عليه السلام أراد بالأصول مأخذ الأحكام أي لا تعرفوهم من أين أخذتم دلائلها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ارضوا لهم ما رضي الله لهم أي أقروهم علي ما أقرهم الله عليه و ليس المراد حقيقة الرضا كما ذكره الشيخ البهائي 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قول الراوي و عقد بيده اليسري تسعين أراد به أنه عليه السلام وضع رأس ظفر مسبحة يسراه علي المفصل الأسفل من إبهامه و لعله عليه السلام إنما آثر العقد باليسري مع أن العقد باليمني أخف و أسهل تنبيها علي أنه ينبغي لتلك المرأة إدخال القطنة بيسراها صونا لليد اليمني عن مزاولة أمثال هذه الأمور كما كره الاستنجاء بها و فيه أيضا دلالة علي أن إدخالها يكون بالإبهام صونا للمسبحة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هاهنا شي‌ء لا بد من التنبيه عليه و هو أن هذا العقد الذي ذكره الراوي إنما هو عقد تسعمائة لا عقد تسعين فإن أهل الحساب وضعوا عقود أصابع اليد اليمني للآحاد و العشرات و أصابع اليسري للمئات و الألوف و جعلوا عقود المئات فيها علي صور عقود العشرات في اليمني من غير فرق كما تضمنته رسائلهم المشهورة فلعل الراوي وهم في التعبير أو أن ما ذكره اصطلاح في العقود غير مشهور و قد وقع مثله في حديث العامة روي مسلم في صحيحه أن النبي صلي الله عليه و آله وضع يده اليمني في التشهد علي ركبته اليمني و عقد ثلاثة و خمسين‌</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هذا هو الموافق لما وجدناه في كتب الحساب، و قال الآبي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ثلاثة و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شرطه عند أهل الحساب أن يضع طرف الخنصر علي البنصر، و ليس ذلك مرادا هنا، بل المراد أن يضع الخنصر علي الراحة، و يكون علي صورة يسميها أهل الحساب تسعة، منه، كذا بخطه قدّس سرّه في نسخة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سکون و آرام گرفتن از حرکات،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زمانی که مردم از راه رفتن، و آمد و رفت در راه ها آرام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 و سیاه چادر بزرگ،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 ای که از موی حیوانات بافته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الکافی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سألنی و سألته عن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ازحال و وضعیت من پرسید و من نیز از حال و وضعیت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هر دو نسخه این عبارت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الافتراع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کردن پرده بکارت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حدث های دیگر، و یا منظورِ امام، شستن فَرج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نهد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برخاست؛ ظاهر این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نکته دلالت می کند که آموزش دادن چنین مسائلی واجب نیست، و ممکن است که منظور امام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دریافت احکام بوده باشد به این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را از هرجایی که دریافت نمودید به مردم آموزش ندهید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أرضوا لهم مارضی 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وادار به پذیرش اموری کند که خداوند آنان را به پذیرش آن وادار کرده است، و مقصود آن گونه که شیخ بهایی قدّس الله روحه ذکر کرده معنای حقیقی رضایت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این سخن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بن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عقد بیده الیسری 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این عبارت این است که امام علیه السلام سر ناخن انگشت سبابه دست چپ خود را بر مفصل پایینی انگشت ابهام قرارداد، و شاید انتخاب و برتری دادن گره کردن دست چپ از سوی امام علیه السلام با وجود ساده و آسان بودن گره کردن دست راست، تذکری است نسبت به این نکته که لازم است آن زن تکه پنبه را با دست چپش در فَرج خود وارد کند، به خاطر اینکه دست راست را از انجام دادن امور این چنینی محافظت کند، آن گونه که شستن مقعد نیز با دست راست کراهت دارد، همچنین در کلام امام علیه السلام دلالتی بر این نکته وجود دارد که وارد کردن پنبه با انگشت ابهام به خاطر مصون نگاه داشتن انگشت صبابه از انجام این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نکته ای باقی می ماند که باید مورد توجّه قرارگیرد، و آن اینکه گرهی که راوی ذکر کرده است گره نهصد است نه نود، چه که اهل حساب و کتاب از گره انگشتان دست راست برای یکان و دهگان و گره انگشتان دست چپ برای صدگان و هزارگان استفاده می کردند، و گره های صدگان در دست چپ را بر منوال خمیدگی گره های دهگان در انگشتان دست راست قرار می دادند، بدون آنکه فرقی داشته باشد آن گونه که نامه های مشهور آنان نیز در بردارنده این امر است؛ پس شاید که راوی در تعبیر خویش دچار توهم شده باشد و یا شاید آنچه ذکر کرده اصطلاح غیرمشهوری در مورد عقود باشد، آن گونه که مانندش در سخن عامّه نیز روی داده است،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در صحیح خود از پیامبر صلّی الله علیه و آله روایت کرده است که ایشان هنگام تشهّد دست خود را بر روی زانوی راستش می گذاشت و دست راستش را به شکل پنجاه و سه گره می کرد </w:t>
      </w:r>
      <w:r>
        <w:rPr>
          <w:rFonts w:eastAsia="IRNazanin" w:cs="IRNazanin"/>
          <w:color w:val="111111"/>
          <w:sz w:val="28"/>
          <w:szCs w:val="28"/>
          <w:rtl w:val="true"/>
          <w:lang w:bidi="fa-IR"/>
        </w:rPr>
        <w:t xml:space="preserve">. </w:t>
      </w:r>
      <w:bookmarkStart w:id="864" w:name="pg13517_329132"/>
    </w:p>
    <w:p>
      <w:pPr>
        <w:pStyle w:val="BookText"/>
        <w:rPr/>
      </w:pPr>
      <w:bookmarkEnd w:id="864"/>
      <w:r>
        <w:rPr>
          <w:rFonts w:ascii="Amiri" w:hAnsi="Amiri" w:eastAsia="Amiri" w:cs="Amiri"/>
          <w:color w:val="111111"/>
          <w:sz w:val="28"/>
          <w:sz w:val="28"/>
          <w:szCs w:val="28"/>
          <w:rtl w:val="true"/>
          <w:lang w:bidi="ar-SA"/>
        </w:rPr>
        <w:t>و قال شراح ذلك الكتاب إن هذا غير منطبق علي ما اصطلح عليه أهل الحساب و إن الموافق لذلك الاصطلاح أن يقال و عقد تسعة و خمسين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فيه فتح اليوم من ردم يأجوج مثل هذه و عقد بيده تسعين عقد التسعين من موضوعات الحساب و هو أن يجعل رأس الأصابع السبابة في أصل الإبهام و يضمها حتي لا يتبين بينهما إلا خلل يسير انتهي قوله عليه السلام مليا أي وقتا طويلا</w:t>
      </w:r>
      <w:r>
        <w:rPr>
          <w:rFonts w:eastAsia="Amiri" w:cs="Amiri" w:ascii="Amiri" w:hAnsi="Amiri"/>
          <w:color w:val="111111"/>
          <w:sz w:val="28"/>
          <w:szCs w:val="28"/>
          <w:rtl w:val="true"/>
          <w:lang w:bidi="ar-SA"/>
        </w:rPr>
        <w:t>.</w:t>
      </w:r>
    </w:p>
    <w:p>
      <w:pPr>
        <w:pStyle w:val="Heading5"/>
        <w:numPr>
          <w:ilvl w:val="4"/>
          <w:numId w:val="1"/>
        </w:numPr>
        <w:rPr/>
      </w:pPr>
      <w:bookmarkStart w:id="865" w:name="__RefHeading___Toc605706_1934241801"/>
      <w:bookmarkStart w:id="866" w:name="_Toc397"/>
      <w:bookmarkEnd w:id="865"/>
      <w:r>
        <w:rPr>
          <w:rtl w:val="true"/>
        </w:rPr>
        <w:t>«</w:t>
      </w:r>
      <w:r>
        <w:rPr/>
        <w:t>15</w:t>
      </w:r>
      <w:r>
        <w:rPr>
          <w:rtl w:val="true"/>
        </w:rPr>
        <w:t>»</w:t>
      </w:r>
      <w:bookmarkEnd w:id="866"/>
    </w:p>
    <w:p>
      <w:pPr>
        <w:pStyle w:val="BookText"/>
        <w:rPr/>
      </w:pPr>
      <w:r>
        <w:rPr>
          <w:rFonts w:ascii="Amiri" w:hAnsi="Amiri" w:eastAsia="Amiri" w:cs="Amiri"/>
          <w:color w:val="111111"/>
          <w:sz w:val="28"/>
          <w:sz w:val="28"/>
          <w:szCs w:val="28"/>
          <w:rtl w:val="true"/>
          <w:lang w:bidi="ar-SA"/>
        </w:rPr>
        <w:t>الْمَحَاسِنُ، عَنْ أَبِيهِ عَنِ ابْنِ مَحْبُوبٍ عَنِ ابْنِ رِئَابٍ عَنْ زِيَادِ بْنِ سُوقَةَ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اقْتَضَّ امْرَأَتَهُ أَوْ أَمَتَهُ فَرَأَتْ دَماً كَثِيراً لَا يَنْقَطِعُ عَنْهَا يَوْمَهَا قَالَ تُمْسِكُ الْكُرْسُفَ مَعَهَا فَإِنْ خَرَجَتِ الْقُطْنَةُ مُطَوَّقَةً بِالدَّمِ فَإِنَّهُ مِنَ الْعُذْرَةِ فَتَغْتَسِلُ وَ تُمْسِكُ مَعَهَا قُطْنَةً وَ تُصَلِّي وَ إِنْ خَرَجَتِ الْقُطْنَةُ مُنْغَمِسَةً فِي الدَّمِ فَهُوَ مِنَ الطَّمْثِ فَتَقْعُدُ عَنِ الصَّلَاةِ أَيَّامَ الْحَيْضِ‌</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7" w:name="__RefHeading___Toc605708_1934241801"/>
      <w:bookmarkStart w:id="868" w:name="_Toc398"/>
      <w:bookmarkEnd w:id="867"/>
      <w:r>
        <w:rPr>
          <w:rtl w:val="true"/>
        </w:rPr>
        <w:t>بيان</w:t>
      </w:r>
      <w:bookmarkEnd w:id="868"/>
    </w:p>
    <w:p>
      <w:pPr>
        <w:pStyle w:val="BookText"/>
        <w:rPr/>
      </w:pPr>
      <w:r>
        <w:rPr>
          <w:rFonts w:ascii="Amiri" w:hAnsi="Amiri" w:eastAsia="Amiri" w:cs="Amiri"/>
          <w:color w:val="111111"/>
          <w:sz w:val="28"/>
          <w:sz w:val="28"/>
          <w:szCs w:val="28"/>
          <w:rtl w:val="true"/>
          <w:lang w:bidi="ar-SA"/>
        </w:rPr>
        <w:t>المراد بالغسل غسل الجنابة و إمساك القطنة للتحفظ من تعدي الدم إلي ظاهر الفرج في أثناء الصلاة و قال الشيخ البهائي قدس سره يمكن أن يستنبط وجوب عصب الجروح و منع دمها من التعدي حال الصلاة إذا لم تكن فيه مشقة</w:t>
      </w:r>
      <w:r>
        <w:rPr>
          <w:rFonts w:eastAsia="Amiri" w:cs="Amiri" w:ascii="Amiri" w:hAnsi="Amiri"/>
          <w:color w:val="111111"/>
          <w:sz w:val="28"/>
          <w:szCs w:val="28"/>
          <w:rtl w:val="true"/>
          <w:lang w:bidi="ar-SA"/>
        </w:rPr>
        <w:t>.</w:t>
      </w:r>
    </w:p>
    <w:p>
      <w:pPr>
        <w:pStyle w:val="Heading5"/>
        <w:numPr>
          <w:ilvl w:val="4"/>
          <w:numId w:val="1"/>
        </w:numPr>
        <w:rPr/>
      </w:pPr>
      <w:bookmarkStart w:id="869" w:name="__RefHeading___Toc605710_1934241801"/>
      <w:bookmarkStart w:id="870" w:name="_Toc399"/>
      <w:bookmarkEnd w:id="869"/>
      <w:r>
        <w:rPr>
          <w:rtl w:val="true"/>
        </w:rPr>
        <w:t>«</w:t>
      </w:r>
      <w:r>
        <w:rPr/>
        <w:t>16</w:t>
      </w:r>
      <w:r>
        <w:rPr>
          <w:rtl w:val="true"/>
        </w:rPr>
        <w:t>»</w:t>
      </w:r>
      <w:bookmarkEnd w:id="870"/>
    </w:p>
    <w:p>
      <w:pPr>
        <w:pStyle w:val="BookText"/>
        <w:rPr/>
      </w:pPr>
      <w:r>
        <w:rPr>
          <w:rFonts w:ascii="Amiri" w:hAnsi="Amiri" w:eastAsia="Amiri" w:cs="Amiri"/>
          <w:color w:val="111111"/>
          <w:sz w:val="28"/>
          <w:sz w:val="28"/>
          <w:szCs w:val="28"/>
          <w:rtl w:val="true"/>
          <w:lang w:bidi="ar-SA"/>
        </w:rPr>
        <w:t>السَّرَائِرُ، مِنْ كِتَابِ مُحَمَّدِ بْنِ عَلِيِّ بْنِ مَحْبُوبٍ عَنْ أَحْمَدَ بْنِ مُحَمَّدٍ عَنْ</w:t>
      </w:r>
    </w:p>
    <w:p>
      <w:pPr>
        <w:pStyle w:val="BookText"/>
        <w:rPr/>
      </w:pPr>
      <w:r>
        <w:rPr>
          <w:rFonts w:ascii="IRNazanin" w:hAnsi="IRNazanin" w:eastAsia="IRNazanin"/>
          <w:color w:val="111111"/>
          <w:sz w:val="28"/>
          <w:sz w:val="28"/>
          <w:szCs w:val="28"/>
          <w:rtl w:val="true"/>
          <w:lang w:bidi="fa-IR"/>
        </w:rPr>
        <w:t>و شارحان حدیث صحیح مسلم گفته اند که این سخن بر اصطلاح مشهوری که نزد اهل حساب رایج است انطباق ندارد، بلکه عبارت موافق و منطبق با آن اصطلاح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راستش را به شکل پنجاه و نه گره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الیوم مِن رَدم یأجوج مثل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سدّ یأجوج این گونه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دستش را به شکل نود گره کرد، و گره نود از اصطلاحات حساب گران است و بدین صورت است که سر انگشت سبابه بر اصل انگشت ابهام قرار داده شود و به آن بچسبد تا جائی که در میان آن ها جز خلل کوچکی باقی نماند، 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زمانی طولانی</w:t>
      </w:r>
      <w:r>
        <w:rPr>
          <w:rFonts w:eastAsia="IRNazanin" w:cs="IRNazanin"/>
          <w:color w:val="111111"/>
          <w:sz w:val="28"/>
          <w:szCs w:val="28"/>
          <w:rtl w:val="true"/>
          <w:lang w:bidi="fa-IR"/>
        </w:rPr>
        <w:t>.</w:t>
      </w:r>
    </w:p>
    <w:p>
      <w:pPr>
        <w:pStyle w:val="Heading5"/>
        <w:numPr>
          <w:ilvl w:val="4"/>
          <w:numId w:val="1"/>
        </w:numPr>
        <w:rPr/>
      </w:pPr>
      <w:bookmarkStart w:id="871" w:name="__RefHeading___Toc605712_1934241801"/>
      <w:bookmarkStart w:id="872" w:name="_Toc400"/>
      <w:bookmarkEnd w:id="871"/>
      <w:r>
        <w:rPr>
          <w:rtl w:val="true"/>
        </w:rPr>
        <w:t xml:space="preserve">روایت </w:t>
      </w:r>
      <w:r>
        <w:rPr/>
        <w:t>15</w:t>
      </w:r>
      <w:bookmarkEnd w:id="872"/>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سوقَه از امام باقر علیه السلام درباره مردی پرسید که پرده بکارت همسر یا کنیز خود را پاره و خون زیادی را مشاهده کرده بود که در طول روز قطع نمی 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پنبه ای را به خود می گیرد، اگر اطراف پنبه به خون آغشته شود بر اثر پارگی بکارت است، پس غسل می نماید و تکّه پنبه ای را به خود می گیرد و نمازش را به جا می آورد، ولی اگر پنبه را در حالی که آغشته به خون و غرق در آن است خارج سازد از حیض است، پس در ایّام حیض نماز خواندن را ترک می کند</w:t>
      </w:r>
      <w:r>
        <w:rPr>
          <w:rFonts w:eastAsia="IRNazanin" w:cs="IRNazanin"/>
          <w:color w:val="111111"/>
          <w:sz w:val="28"/>
          <w:szCs w:val="28"/>
          <w:rtl w:val="true"/>
          <w:lang w:bidi="fa-IR"/>
        </w:rPr>
        <w:t>.</w:t>
      </w:r>
      <w:r>
        <w:rPr>
          <w:rStyle w:val="FootnoteAnchor"/>
          <w:rtl w:val="true"/>
        </w:rPr>
        <w:footnoteReference w:id="480"/>
      </w:r>
    </w:p>
    <w:p>
      <w:pPr>
        <w:pStyle w:val="Heading5"/>
        <w:numPr>
          <w:ilvl w:val="4"/>
          <w:numId w:val="1"/>
        </w:numPr>
        <w:rPr/>
      </w:pPr>
      <w:bookmarkStart w:id="873" w:name="__RefHeading___Toc605714_1934241801"/>
      <w:bookmarkStart w:id="874" w:name="_Toc401"/>
      <w:bookmarkEnd w:id="873"/>
      <w:r>
        <w:rPr>
          <w:rtl w:val="true"/>
        </w:rPr>
        <w:t>توضیح</w:t>
      </w:r>
      <w:bookmarkEnd w:id="874"/>
    </w:p>
    <w:p>
      <w:pPr>
        <w:pStyle w:val="BookText"/>
        <w:rPr/>
      </w:pPr>
      <w:r>
        <w:rPr>
          <w:rFonts w:ascii="IRNazanin" w:hAnsi="IRNazanin" w:eastAsia="IRNazanin"/>
          <w:color w:val="111111"/>
          <w:sz w:val="28"/>
          <w:sz w:val="28"/>
          <w:szCs w:val="28"/>
          <w:rtl w:val="true"/>
          <w:lang w:bidi="fa-IR"/>
        </w:rPr>
        <w:t>منظور از غسل، غسل جنابت است؛ و به خود گرفتن پنبه به خاطر محافظت و جلوگیری کردن از سرایت خون به بیرون فرج در اثنای نماز است، شیخ بهائی قدّس سرّه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این حدیث وجوب بستن زخم ها و منع سرایت خونریزی در هنگام نماز استنباط شود، البته در صورتی که در این کار سختی و مشقّتی نباشد</w:t>
      </w:r>
      <w:r>
        <w:rPr>
          <w:rFonts w:eastAsia="IRNazanin" w:cs="IRNazanin"/>
          <w:color w:val="111111"/>
          <w:sz w:val="28"/>
          <w:szCs w:val="28"/>
          <w:rtl w:val="true"/>
          <w:lang w:bidi="fa-IR"/>
        </w:rPr>
        <w:t>.</w:t>
      </w:r>
    </w:p>
    <w:p>
      <w:pPr>
        <w:pStyle w:val="Heading5"/>
        <w:numPr>
          <w:ilvl w:val="4"/>
          <w:numId w:val="1"/>
        </w:numPr>
        <w:rPr/>
      </w:pPr>
      <w:bookmarkStart w:id="875" w:name="__RefHeading___Toc605716_1934241801"/>
      <w:bookmarkStart w:id="876" w:name="_Toc402"/>
      <w:bookmarkEnd w:id="875"/>
      <w:r>
        <w:rPr>
          <w:rtl w:val="true"/>
        </w:rPr>
        <w:t xml:space="preserve">روایت </w:t>
      </w:r>
      <w:r>
        <w:rPr/>
        <w:t>16</w:t>
      </w:r>
      <w:bookmarkEnd w:id="87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bookmarkStart w:id="877" w:name="pg13517_329133"/>
    </w:p>
    <w:p>
      <w:pPr>
        <w:pStyle w:val="BookText"/>
        <w:rPr/>
      </w:pPr>
      <w:bookmarkEnd w:id="877"/>
      <w:r>
        <w:rPr>
          <w:rFonts w:ascii="Amiri" w:hAnsi="Amiri" w:eastAsia="Amiri" w:cs="Amiri"/>
          <w:color w:val="111111"/>
          <w:sz w:val="28"/>
          <w:sz w:val="28"/>
          <w:szCs w:val="28"/>
          <w:rtl w:val="true"/>
          <w:lang w:bidi="ar-SA"/>
        </w:rPr>
        <w:t>عَلِيِّ بْنِ الْحَكَمِ عَنْ إِسْحَاقَ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سَأَلَتْنِي امْرَأَةٌ مِنَّا أَنْ أَسْتَأْذِنَ لَهَا عَلَي أَبِي عَبْدِ اللَّهِ عليه السلام فَاسْتَأْذَنْتُ لَهَا فَدَخَلَتْ عَلَيْهِ وَ مَعَهَا مَوْلَاةٌ لَهَا فَقَالَتْ أَصْلَحَكَ اللَّهُ مَا تَقُولُ فِي الْمَرْأَةِ تَحِيضُ فَيَجُوزُ أَيَّامَ حَيْضِهَا قَالَ إِنْ كَانَ أَيَّامُ حَيْضِهَا دُونَ عَشَرَةِ أَيَّامٍ اسْتَظْهَرَتْ بِيَوْمٍ وَاحِدٍ ثُمَّ هِيَ اسْتِحَاضَةٌ قَالَتْ فَإِنِ اسْتَمَرَّ بِهَا الدَّمُ الشَّهْرَ وَ الشَّهْرَيْنِ وَ الثَّلَاثَةَ كَيْفَ تَصْنَعُ بِالصَّلَاةِ قَالَ تَجْلِسُ أَيَّامَ حَيْضِهَا ثُمَّ تَغْتَسِلُ لِكُلِّ صَلَاتَيْنِ قَالَ فَإِنْ كَانَ أَيَّامُ حَيْضِهَا تَخْتَلِفُ عَلَيْهَا فَيَتَقَدَّمُ الْحَيْضُ الْيَوْمَ وَ الْيَوْمَيْنِ وَ الثَّلَاثَةَ وَ يَتَأَخَّرُ مِثْلَ ذَلِكَ فَمَا عِلْمُهَا بِهِ قَالَ إِنَّ دَمَ الْحَيْضِ لَيْسَ بِهِ خَفَاءٌ هُوَ دَمٌ حَارٌّ لَهُ حُرْقَةٌ وَ دَمُ الِاسْتِحَاضَةِ دَمٌ فَاسِدٌ بَارِدٌ قَالَ فَالْتَفَتَتْ إِلَي مَوْلَاتِهَا أَ تَرَيْنَهُ كَانَ امْرَأَةً مَرَّةً</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8" w:name="__RefHeading___Toc605718_1934241801"/>
      <w:bookmarkStart w:id="879" w:name="_Toc403"/>
      <w:bookmarkEnd w:id="878"/>
      <w:r>
        <w:rPr>
          <w:rtl w:val="true"/>
        </w:rPr>
        <w:t>توضيح</w:t>
      </w:r>
      <w:bookmarkEnd w:id="879"/>
    </w:p>
    <w:p>
      <w:pPr>
        <w:pStyle w:val="BookText"/>
        <w:rPr/>
      </w:pPr>
      <w:r>
        <w:rPr>
          <w:rFonts w:ascii="Amiri" w:hAnsi="Amiri" w:eastAsia="Amiri" w:cs="Amiri"/>
          <w:color w:val="111111"/>
          <w:sz w:val="28"/>
          <w:sz w:val="28"/>
          <w:szCs w:val="28"/>
          <w:rtl w:val="true"/>
          <w:lang w:bidi="ar-SA"/>
        </w:rPr>
        <w:t>يدل علي الاستظهار و هو طلب ظهور الحال في كون الدم حيضا أو طهرا بترك العبادة بعد العادة يوما أو أكثر ثم الغسل بعده و اختلف في أنه علي الوجوب أو علي الاستحباب و الأخير أشهر و الأول أحوط و اختلف أيضا في قدر زمانه فقال الشيخ في النهاية تستظهر بعد العادة بيوم أو يومين و هو قول الصدوق و المفيد و قال في الجمل إن خرجت ملوثة بالدم فهي بعد حائض تصبر حتي تنقي و قال المرتضي في المصباح تستظهر إلي عشرة أيام و الأحوط عدم التعدي عن الثلاثة و يدل علي أن المضطربة ترجع إلي العادة ثم إلي التميز كما ذكره الأصحاب</w:t>
      </w:r>
      <w:r>
        <w:rPr>
          <w:rFonts w:eastAsia="Amiri" w:cs="Amiri" w:ascii="Amiri" w:hAnsi="Amiri"/>
          <w:color w:val="111111"/>
          <w:sz w:val="28"/>
          <w:szCs w:val="28"/>
          <w:rtl w:val="true"/>
          <w:lang w:bidi="ar-SA"/>
        </w:rPr>
        <w:t>.</w:t>
      </w:r>
    </w:p>
    <w:p>
      <w:pPr>
        <w:pStyle w:val="Heading5"/>
        <w:numPr>
          <w:ilvl w:val="4"/>
          <w:numId w:val="1"/>
        </w:numPr>
        <w:rPr/>
      </w:pPr>
      <w:bookmarkStart w:id="880" w:name="__RefHeading___Toc605720_1934241801"/>
      <w:bookmarkStart w:id="881" w:name="_Toc404"/>
      <w:bookmarkEnd w:id="880"/>
      <w:r>
        <w:rPr>
          <w:rtl w:val="true"/>
        </w:rPr>
        <w:t>«</w:t>
      </w:r>
      <w:r>
        <w:rPr/>
        <w:t>17</w:t>
      </w:r>
      <w:r>
        <w:rPr>
          <w:rtl w:val="true"/>
        </w:rPr>
        <w:t>»</w:t>
      </w:r>
      <w:bookmarkEnd w:id="881"/>
    </w:p>
    <w:p>
      <w:pPr>
        <w:pStyle w:val="BookText"/>
        <w:rPr/>
      </w:pPr>
      <w:r>
        <w:rPr>
          <w:rFonts w:ascii="Amiri" w:hAnsi="Amiri" w:eastAsia="Amiri" w:cs="Amiri"/>
          <w:color w:val="111111"/>
          <w:sz w:val="28"/>
          <w:sz w:val="28"/>
          <w:szCs w:val="28"/>
          <w:rtl w:val="true"/>
          <w:lang w:bidi="ar-SA"/>
        </w:rPr>
        <w:t>الْمَبْسُوطُ، رُوِيَ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الصُّفْرَةَ فِي أَيَّامِ الْحَيْضِ حَيْضٌ وَ فِي أَيَّامِ الطُّهْرِ طُهْرٌ</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2" w:name="__RefHeading___Toc605722_1934241801"/>
      <w:bookmarkStart w:id="883" w:name="_Toc405"/>
      <w:bookmarkEnd w:id="882"/>
      <w:r>
        <w:rPr>
          <w:rtl w:val="true"/>
        </w:rPr>
        <w:t>«</w:t>
      </w:r>
      <w:r>
        <w:rPr/>
        <w:t>18</w:t>
      </w:r>
      <w:r>
        <w:rPr>
          <w:rtl w:val="true"/>
        </w:rPr>
        <w:t>»</w:t>
      </w:r>
      <w:bookmarkEnd w:id="883"/>
    </w:p>
    <w:p>
      <w:pPr>
        <w:pStyle w:val="BookText"/>
        <w:rPr/>
      </w:pPr>
      <w:r>
        <w:rPr>
          <w:rFonts w:ascii="Amiri" w:hAnsi="Amiri" w:eastAsia="Amiri" w:cs="Amiri"/>
          <w:color w:val="111111"/>
          <w:sz w:val="28"/>
          <w:sz w:val="28"/>
          <w:szCs w:val="28"/>
          <w:rtl w:val="true"/>
          <w:lang w:bidi="ar-SA"/>
        </w:rPr>
        <w:t>الْمُعْتَبَرُ، مِنْ كِتَابِ الْمَشِيخَةِ لِلْحَسَنِ بْنِ مَحْبُوبٍ عَنْ أَبِي أَيُّوبَ عَنْ مُحَمَّدِ بْنِ مُسْلِمٍ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الْحَائِضِ إِذَا رَأَتْ دَماً بَعْدَ أَيَّامِهَا الَّتِي كَانَتْ تَرَي الدَّمَ فِيهَا فَلْتَقْعُدْ عَنِ الصَّلَاةِ يَوْماً أَوْ يَوْمَيْنِ ثُمَّ تُمْسِكُ قُطْنَةً فَإِنْ صَبَغَ</w:t>
      </w:r>
    </w:p>
    <w:p>
      <w:pPr>
        <w:pStyle w:val="BookText"/>
        <w:rPr/>
      </w:pPr>
      <w:r>
        <w:rPr>
          <w:rFonts w:ascii="IRNazanin" w:hAnsi="IRNazanin" w:eastAsia="IRNazanin"/>
          <w:color w:val="111111"/>
          <w:sz w:val="28"/>
          <w:sz w:val="28"/>
          <w:szCs w:val="28"/>
          <w:rtl w:val="true"/>
          <w:lang w:bidi="fa-IR"/>
        </w:rPr>
        <w:t>از اسحاق بن جَرِیر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من خواست که برای دیدار با امام صادق علیه السلام برای او اجازه بگیرم، من نیز برایش اجازه گرفتم، پس در حالی که خدمتکاری همراه داشت نزد امام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نیکویت گرداند، نظر شما درباره زنی که دچارحیض می گردد پس ایام حیض او می 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ایّام حیض کمتر از ده روز باشد، یک روز استظهار می کند سپس خون استحاضه به شمار می 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خونریزی او به مدّت یک، دو و سه ماه ادامه داشته باشد چگونه نماز می خواند؟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حیض نماز خواندن را ترک می کند، سپس برای هر دو نماز یک غسل واحد را به جا می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ایّام حیض او متفاوت بود و یک، دو و یا سه روز تقدّم و تأخّر داشت، چگونه از آن آگاه 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حیض به صورت پنهانی جاری نمی شود بلکه خون گرمی است که دارای سوزش می باشد، ولی خون استحاضه خون فاسد و سردی است،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نگاهی به خدمتکارش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 بینی؟ مدّتی زن بوده است</w:t>
      </w:r>
      <w:r>
        <w:rPr>
          <w:rFonts w:eastAsia="IRNazanin" w:cs="IRNazanin"/>
          <w:color w:val="111111"/>
          <w:sz w:val="28"/>
          <w:szCs w:val="28"/>
          <w:rtl w:val="true"/>
          <w:lang w:bidi="fa-IR"/>
        </w:rPr>
        <w:t>.</w:t>
      </w:r>
      <w:r>
        <w:rPr>
          <w:rStyle w:val="FootnoteAnchor"/>
          <w:rtl w:val="true"/>
        </w:rPr>
        <w:footnoteReference w:id="483"/>
      </w:r>
    </w:p>
    <w:p>
      <w:pPr>
        <w:pStyle w:val="Heading5"/>
        <w:numPr>
          <w:ilvl w:val="4"/>
          <w:numId w:val="1"/>
        </w:numPr>
        <w:rPr/>
      </w:pPr>
      <w:bookmarkStart w:id="884" w:name="__RefHeading___Toc605724_1934241801"/>
      <w:bookmarkStart w:id="885" w:name="_Toc406"/>
      <w:bookmarkEnd w:id="884"/>
      <w:r>
        <w:rPr>
          <w:rtl w:val="true"/>
        </w:rPr>
        <w:t>توضیح</w:t>
      </w:r>
      <w:bookmarkEnd w:id="885"/>
    </w:p>
    <w:p>
      <w:pPr>
        <w:pStyle w:val="BookText"/>
        <w:rPr/>
      </w:pPr>
      <w:r>
        <w:rPr>
          <w:rFonts w:ascii="IRNazanin" w:hAnsi="IRNazanin" w:eastAsia="IRNazanin"/>
          <w:color w:val="111111"/>
          <w:sz w:val="28"/>
          <w:sz w:val="28"/>
          <w:szCs w:val="28"/>
          <w:rtl w:val="true"/>
          <w:lang w:bidi="fa-IR"/>
        </w:rPr>
        <w:t>حدیث بر استظهار دلالت می کند، و آن طلب روشن شدن حال و وضعیت در مورد حیض بودن یا پاک بودن خون است که با ترک عبادت به مدّت یک روز یا بیشتر و سپس غسل کردن بعد از آن حاصل می شود، و در میان فقها بر سر وجوب یا استحباب این امر اختلاف نظر وجود دارد، نظر مشهورتر استحباب و احوط وجوب استظهار است، همچنین فقها بر سر زمان انجام استظهار نیز اختلاف دارند، شیخ 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یک و یا دو روز بعد از عادت استظهار می کند، صدوق و مفید نیز چنین نظری دارند، و در الجمل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پنبه داخل فرج را در حالی که آلوده به خون است خارج سازد، او همچنان حائض است و باید صبر کند تا پاک شود؛ و مرتضی در المصباح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تا ده روز استظهار می کند، ولی احوط عدم استظهار بیش از سه روز است، و بر این نکته دلالت می کند که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مضطربه به دوره عادت و سپس پاکی بر می گردد، آن گونه که فقها ذکر کرده اند</w:t>
      </w:r>
      <w:r>
        <w:rPr>
          <w:rFonts w:eastAsia="IRNazanin" w:cs="IRNazanin"/>
          <w:color w:val="111111"/>
          <w:sz w:val="28"/>
          <w:szCs w:val="28"/>
          <w:rtl w:val="true"/>
          <w:lang w:bidi="fa-IR"/>
        </w:rPr>
        <w:t>.</w:t>
      </w:r>
    </w:p>
    <w:p>
      <w:pPr>
        <w:pStyle w:val="Heading5"/>
        <w:numPr>
          <w:ilvl w:val="4"/>
          <w:numId w:val="1"/>
        </w:numPr>
        <w:rPr/>
      </w:pPr>
      <w:bookmarkStart w:id="886" w:name="__RefHeading___Toc605726_1934241801"/>
      <w:bookmarkStart w:id="887" w:name="_Toc407"/>
      <w:bookmarkEnd w:id="886"/>
      <w:r>
        <w:rPr>
          <w:rtl w:val="true"/>
        </w:rPr>
        <w:t xml:space="preserve">روایت </w:t>
      </w:r>
      <w:r>
        <w:rPr/>
        <w:t>17</w:t>
      </w:r>
      <w:bookmarkEnd w:id="887"/>
    </w:p>
    <w:p>
      <w:pPr>
        <w:pStyle w:val="BookText"/>
        <w:rPr/>
      </w:pP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امامان علیهم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زرد رنگ اگر در ایّام حیض باشد، خون حیض به شمار می آید و اگر در دوره پاک بودن باشد پاک است</w:t>
      </w:r>
      <w:r>
        <w:rPr>
          <w:rFonts w:eastAsia="IRNazanin" w:cs="IRNazanin"/>
          <w:color w:val="111111"/>
          <w:sz w:val="28"/>
          <w:szCs w:val="28"/>
          <w:rtl w:val="true"/>
          <w:lang w:bidi="fa-IR"/>
        </w:rPr>
        <w:t>.</w:t>
      </w:r>
      <w:r>
        <w:rPr>
          <w:rStyle w:val="FootnoteAnchor"/>
          <w:rtl w:val="true"/>
        </w:rPr>
        <w:footnoteReference w:id="484"/>
      </w:r>
    </w:p>
    <w:p>
      <w:pPr>
        <w:pStyle w:val="Heading5"/>
        <w:numPr>
          <w:ilvl w:val="4"/>
          <w:numId w:val="1"/>
        </w:numPr>
        <w:rPr/>
      </w:pPr>
      <w:bookmarkStart w:id="888" w:name="__RefHeading___Toc605728_1934241801"/>
      <w:bookmarkStart w:id="889" w:name="_Toc408"/>
      <w:bookmarkEnd w:id="888"/>
      <w:r>
        <w:rPr>
          <w:rtl w:val="true"/>
        </w:rPr>
        <w:t xml:space="preserve">روایت </w:t>
      </w:r>
      <w:r>
        <w:rPr/>
        <w:t>18</w:t>
      </w:r>
      <w:bookmarkEnd w:id="889"/>
    </w:p>
    <w:p>
      <w:p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روایت کرده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مورد زن حائض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حائض بعد از ایّام حیض خونریزی کند، به مدّت یک یا دو روز از نماز خواندن دست می کشد، سپس یک تکّه پنبه را در فرج خود قرار می دهد، پس اگر خونی که قطع نمی شود </w:t>
      </w:r>
      <w:bookmarkStart w:id="890" w:name="pg13517_329134"/>
    </w:p>
    <w:p>
      <w:pPr>
        <w:pStyle w:val="BookText"/>
        <w:rPr/>
      </w:pPr>
      <w:bookmarkEnd w:id="890"/>
      <w:r>
        <w:rPr>
          <w:rFonts w:ascii="Amiri" w:hAnsi="Amiri" w:eastAsia="Amiri" w:cs="Amiri"/>
          <w:color w:val="111111"/>
          <w:sz w:val="28"/>
          <w:sz w:val="28"/>
          <w:szCs w:val="28"/>
          <w:rtl w:val="true"/>
          <w:lang w:bidi="ar-SA"/>
        </w:rPr>
        <w:t>الْقُطْنَةَ دَمٌ لَا يَنْقَطِعُ فَلْتَجْمَعْ بَيْنَ كُلِّ صَلَاتَيْنِ بِغُسْلٍ وَ يُصِيبُ مِنْهَا زَوْجُهَا إِنْ أَحَبَّ وَ حَلَّتْ لَهَا الصَّلَاةُ</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1" w:name="__RefHeading___Toc605730_1934241801"/>
      <w:bookmarkStart w:id="892" w:name="_Toc409"/>
      <w:bookmarkEnd w:id="891"/>
      <w:r>
        <w:rPr>
          <w:rtl w:val="true"/>
        </w:rPr>
        <w:t>بيان</w:t>
      </w:r>
      <w:bookmarkEnd w:id="892"/>
    </w:p>
    <w:p>
      <w:pPr>
        <w:pStyle w:val="BookText"/>
        <w:rPr/>
      </w:pPr>
      <w:r>
        <w:rPr>
          <w:rFonts w:ascii="Amiri" w:hAnsi="Amiri" w:eastAsia="Amiri" w:cs="Amiri"/>
          <w:color w:val="111111"/>
          <w:sz w:val="28"/>
          <w:sz w:val="28"/>
          <w:szCs w:val="28"/>
          <w:rtl w:val="true"/>
          <w:lang w:bidi="ar-SA"/>
        </w:rPr>
        <w:t>ظاهر الأخبار عدم الفرق بين التجاوز عن العشرة و عدمه و المشهور أنه إن انقطع علي العشرة أو قبلها تعد الجميع حيضا و لا يظهر ذلك من الأخبار و إن كان الأحوط قضاء الصوم و إن لم ينقطع بل تجاوزها تعد العادة حيضا و ما بعدها استحاضة و ظاهر الأكثر كون أيام الاستظهار أيضا كذلك و الأظهر أنها بحكم الحيض و لا تقضي عبادتها كما اختاره جماعة من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المعتادة لا تخلو إما أن تكون ذات تميز أم لا و علي الثاني فلا ريب في أن التعويل علي العادة و علي الأول فلا يخلو أن تكون العادة و التميز متوافقين في الوقت و العدد أم لا فإن توافقا فلا خفاء في المسألة أيضا و إن تخالفا فلا يخلو إما أن يكون بينهما أقل الطهر أم لا فإن كان بينهما أقل الطهر فالذي قطع به جماعة من الأصحاب أنها تجعلهما حيضا و لا يخلو من إشكال بحسب النصوص فإن مقتضاها جعل العادة حيضا و الباقي استحاضة و يظهر من العلامة في النهاية التردد بين جعلها حيضا و بين التعويل علي التميز و بين التعويل علي العادة و إن لم يكن بينهما أقل الطهر فإن أمكن الجمع بينهما بأن لا يتجاوز المجموع عن العشرة فالذي صرح به غير واحد من المتأخرين هو أنها تجمع بينهما و للشيخ فيه قولان أحدهما ترجيح التميز و الآخر ترجيح العادة و لعله أرجح و إن كان الجمع لا يخلو من قوة و إن لم يمكن الجمع بينهما كما إذا رأت في العادة صفرة و قبلها أو بعدها بصفة الحيض و تجاوز المجموع العشرة فالأشهر الرجوع إلي العادة و لعله أقرب و قيل ترجع إلي التميز و قيل بالتخيير و 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تكن للمرأة عادة و كان لها تميز رجعت إلي التميز و عند الأصحاب أنه لا فرق في ذلك بين أن تكون مبتدئة أو مضطربة لكن المستفاد</w:t>
      </w:r>
    </w:p>
    <w:p>
      <w:pPr>
        <w:pStyle w:val="BookText"/>
        <w:rPr/>
      </w:pPr>
      <w:r>
        <w:rPr>
          <w:rFonts w:ascii="IRNazanin" w:hAnsi="IRNazanin" w:eastAsia="IRNazanin"/>
          <w:color w:val="111111"/>
          <w:sz w:val="28"/>
          <w:sz w:val="28"/>
          <w:szCs w:val="28"/>
          <w:rtl w:val="true"/>
          <w:lang w:bidi="fa-IR"/>
        </w:rPr>
        <w:t>پنبه را آغشته کند، باید هر دو نماز را با یک غسل واحد جمع کند، و شوهرش اگر بخواهد می تواند با او نزدیکی کند و نماز خواندن نیز برای او حلال است</w:t>
      </w:r>
      <w:r>
        <w:rPr>
          <w:rFonts w:eastAsia="IRNazanin" w:cs="IRNazanin"/>
          <w:color w:val="111111"/>
          <w:sz w:val="28"/>
          <w:szCs w:val="28"/>
          <w:rtl w:val="true"/>
          <w:lang w:bidi="fa-IR"/>
        </w:rPr>
        <w:t>.</w:t>
      </w:r>
      <w:r>
        <w:rPr>
          <w:rStyle w:val="FootnoteAnchor"/>
          <w:rtl w:val="true"/>
        </w:rPr>
        <w:footnoteReference w:id="486"/>
      </w:r>
    </w:p>
    <w:p>
      <w:pPr>
        <w:pStyle w:val="Heading5"/>
        <w:numPr>
          <w:ilvl w:val="4"/>
          <w:numId w:val="1"/>
        </w:numPr>
        <w:rPr/>
      </w:pPr>
      <w:bookmarkStart w:id="893" w:name="__RefHeading___Toc605732_1934241801"/>
      <w:bookmarkStart w:id="894" w:name="_Toc410"/>
      <w:bookmarkEnd w:id="893"/>
      <w:r>
        <w:rPr>
          <w:rtl w:val="true"/>
        </w:rPr>
        <w:t>توضیح</w:t>
      </w:r>
      <w:bookmarkEnd w:id="894"/>
    </w:p>
    <w:p>
      <w:pPr>
        <w:pStyle w:val="BookText"/>
        <w:rPr/>
      </w:pPr>
      <w:r>
        <w:rPr>
          <w:rFonts w:ascii="IRNazanin" w:hAnsi="IRNazanin" w:eastAsia="IRNazanin"/>
          <w:color w:val="111111"/>
          <w:sz w:val="28"/>
          <w:sz w:val="28"/>
          <w:szCs w:val="28"/>
          <w:rtl w:val="true"/>
          <w:lang w:bidi="fa-IR"/>
        </w:rPr>
        <w:t>ظاهر احادیث بر عدم تفاوت بین گذشتن یا نگذشتن مدت خونریزی از ده روز دلالت می کند، و نظر مشهور این است که اگر خونریزی ده روز یا قبل از آن قطع شود، همه روزها جزء ایّام حیض به شمار می آیند، ولی این امر از احادیث آشکار نمی گردد، هر چند احوط آن است که قضای روزه به جا آورده شود، امّا اگر خونریزی قطع نشود بلکه از ده روز عبور کند، ایّام عادتش، دوران حیض به شمار می آید و بعد از آن استحاضه است، و از نظر فقها چنین پیداست که ایّام استظهار نیز به همین ترتیب است، و صحیح تر آن است که ایّام استظهار نیز در حکم ایّام حیض هستند، و آن گونه که جماعتی از محققّان برگزیده اند زن عبادت این ایّام را قضا نمی کند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صاحب عادت یا دارای تمیّز هست یا خیر، در صورت دوم شکی نیست که عادت خود را مبنا قرار می دهد و در صورت اول، یا عادت و تمیز در زمان و عدد با یکدیگر توافق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نه، اگر توافق داشتند باز هم مسئله روشن است و اگر مخالف یکدیگر بودند یا بین آنها اقلّ 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فاصله بین دو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نه، اگر بین آنها اقل طهر بود، جماعتی از اصحاب برآنند که آن را حیض قرار می دهد و بر اساس روایات این کار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مقتضای آن این است که مقدار عادت خود را حیض و بقیه را مستحاضه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علامه در النهایة ظاهر است که بین این که آن را حیض قرار دهد یا تمیز را مبنا قرا دهد یا عادت خود را مبنا قرا دهد تردید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آنها اقل طهر وجود نداشت، اگر امکان داشت بین آنها را جمع می کند به طوری که مجموع آن از ده روز تجاوز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که بسیاری از متأخرین بر آن تصریح کرده اند این است که بین آنها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آن دو قول دارد یکی ترجیح تمیز است و دیگری ترجیح عادت و شاید این دومی ارجح باشد هر چند جمع بین این دو خالی از قوت نیست، و اگر جمع بین آنها امکان نداشت مثل این که در زمان عادت یا قبل از آن یا بعد از آن زردی ببیند به صفت حیض و مجموع آن از ده روز تجاوز کند قول مشهور تر رجوع به عادت است و شاید آن نزدیک تر باشد و گفته شده تمیز را مبنا قرار دهد و تخییر هم گفته شده است و غیر از این ها را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زن عادت نداشت و تمیز داشت به تمیز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معتقدند در این موضوع فرقی نیست بین این که مبتدئه باشد یا مضطربه، </w:t>
      </w:r>
      <w:bookmarkStart w:id="895" w:name="pg13517_329135"/>
    </w:p>
    <w:p>
      <w:pPr>
        <w:pStyle w:val="BookText"/>
        <w:rPr/>
      </w:pPr>
      <w:bookmarkEnd w:id="895"/>
      <w:r>
        <w:rPr>
          <w:rFonts w:ascii="Amiri" w:hAnsi="Amiri" w:eastAsia="Amiri" w:cs="Amiri"/>
          <w:color w:val="111111"/>
          <w:sz w:val="28"/>
          <w:sz w:val="28"/>
          <w:szCs w:val="28"/>
          <w:rtl w:val="true"/>
          <w:lang w:bidi="ar-SA"/>
        </w:rPr>
        <w:t>من رواية يونس اختصاص الرجوع إلي التميز بالمضطربة و رجوع المبتدئة إلي العمل بالسبع أو الست و الأول هو المشهور بل قال المحقق و العلامة إنه مذهب علمائنا</w:t>
      </w:r>
      <w:r>
        <w:rPr>
          <w:rFonts w:eastAsia="Amiri" w:cs="Amiri" w:ascii="Amiri" w:hAnsi="Amiri"/>
          <w:color w:val="111111"/>
          <w:sz w:val="28"/>
          <w:szCs w:val="28"/>
          <w:rtl w:val="true"/>
          <w:lang w:bidi="ar-SA"/>
        </w:rPr>
        <w:t>.</w:t>
      </w:r>
    </w:p>
    <w:p>
      <w:pPr>
        <w:pStyle w:val="Heading5"/>
        <w:numPr>
          <w:ilvl w:val="4"/>
          <w:numId w:val="1"/>
        </w:numPr>
        <w:rPr/>
      </w:pPr>
      <w:bookmarkStart w:id="896" w:name="__RefHeading___Toc605734_1934241801"/>
      <w:bookmarkStart w:id="897" w:name="_Toc411"/>
      <w:bookmarkEnd w:id="896"/>
      <w:r>
        <w:rPr>
          <w:rtl w:val="true"/>
        </w:rPr>
        <w:t>«</w:t>
      </w:r>
      <w:r>
        <w:rPr/>
        <w:t>19</w:t>
      </w:r>
      <w:r>
        <w:rPr>
          <w:rtl w:val="true"/>
        </w:rPr>
        <w:t>»</w:t>
      </w:r>
      <w:bookmarkEnd w:id="897"/>
    </w:p>
    <w:p>
      <w:pPr>
        <w:pStyle w:val="BookText"/>
        <w:rPr/>
      </w:pPr>
      <w:r>
        <w:rPr>
          <w:rFonts w:ascii="Amiri" w:hAnsi="Amiri" w:eastAsia="Amiri" w:cs="Amiri"/>
          <w:color w:val="111111"/>
          <w:sz w:val="28"/>
          <w:sz w:val="28"/>
          <w:szCs w:val="28"/>
          <w:rtl w:val="true"/>
          <w:lang w:bidi="ar-SA"/>
        </w:rPr>
        <w:t>الْعِلَلُ، عَنِ ابْنِ الْوَلِيدِ عَنِ الصَّفَّارِ عَنْ أَحْمَدَ بْنِ الْحُسَيْنِ بْنِ سَعِيدٍ عَنْ عَلِيِّ بْنِ الْحَكَمِ عَنِ الْمُفَضَّلِ بْنِ صَالِحٍ عَنْ جَابِرٍ الْجُعْفِيِّ عَنْ إِبْرَاهِيمَ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أُمِّ سَلَمَةَ فَقَالَتْ سَمِعْتُ رَسُولَ اللَّهِ صلي الله عليه و آله يَقُولُ لِعَلِيٍّ عليه السلام لَا يُبْغِضُكُمْ إِلَّا ثَلَاثَةٌ وَلَدُ زِنًا وَ مُنَافِقٌ وَ مَنْ حَمَلَتْ بِهِ أُمُّهُ وَ هِيَ حَائِضٌ‌</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بِإِسْنَادِهِ عَنْ جَابِرٍ عَنْ أَبِي أَيُّوبَ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لِعَلِيٍّ عليه السلام لَا يُحِبُّكَ إِلَّا مُؤْمِنٌ وَ لَا يُبْغِضُكَ إِلَّا مُنَافِقٌ أَوْ وَلَدُ زِنْيَةٍ أَوْ مَنْ حَمَلَتْهُ أُمُّهُ وَ هِيَ طَامِثٌ‌</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8" w:name="__RefHeading___Toc605736_1934241801"/>
      <w:bookmarkStart w:id="899" w:name="_Toc412"/>
      <w:bookmarkEnd w:id="898"/>
      <w:r>
        <w:rPr>
          <w:rtl w:val="true"/>
        </w:rPr>
        <w:t>«</w:t>
      </w:r>
      <w:r>
        <w:rPr/>
        <w:t>20</w:t>
      </w:r>
      <w:r>
        <w:rPr>
          <w:rtl w:val="true"/>
        </w:rPr>
        <w:t>»</w:t>
      </w:r>
      <w:bookmarkEnd w:id="899"/>
    </w:p>
    <w:p>
      <w:pPr>
        <w:pStyle w:val="BookText"/>
        <w:rPr/>
      </w:pPr>
      <w:r>
        <w:rPr>
          <w:rFonts w:ascii="Amiri" w:hAnsi="Amiri" w:eastAsia="Amiri" w:cs="Amiri"/>
          <w:color w:val="111111"/>
          <w:sz w:val="28"/>
          <w:sz w:val="28"/>
          <w:szCs w:val="28"/>
          <w:rtl w:val="true"/>
          <w:lang w:bidi="ar-SA"/>
        </w:rPr>
        <w:t>الْخِصَالُ، بِإِسْنَادِهِ عَنْ أَبِي رَافِعٍ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يُحِبَّ عِتْرَتِي فَهُوَ لِإِحْدَي ثَلَاثٍ إِمَّا مُنَافِقٌ وَ إِمَّا لِزِنْيَةٍ وَ إِمَّا امْرُؤٌ حَمَلَتْ بِهِ أُمُّهُ فِي غَيْرِ طُهْرٍ</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0" w:name="__RefHeading___Toc605738_1934241801"/>
      <w:bookmarkStart w:id="901" w:name="_Toc413"/>
      <w:bookmarkEnd w:id="900"/>
      <w:r>
        <w:rPr>
          <w:rtl w:val="true"/>
        </w:rPr>
        <w:t>أقول</w:t>
      </w:r>
      <w:bookmarkEnd w:id="901"/>
    </w:p>
    <w:p>
      <w:pPr>
        <w:pStyle w:val="BookText"/>
        <w:rPr/>
      </w:pPr>
      <w:r>
        <w:rPr>
          <w:rFonts w:ascii="Amiri" w:hAnsi="Amiri" w:eastAsia="Amiri" w:cs="Amiri"/>
          <w:color w:val="111111"/>
          <w:sz w:val="28"/>
          <w:sz w:val="28"/>
          <w:szCs w:val="28"/>
          <w:rtl w:val="true"/>
          <w:lang w:bidi="ar-SA"/>
        </w:rPr>
        <w:t>قد مضت هذه الأخبار مع أخبار أخر بأسانيدها في المجلد التاسع‌</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2" w:name="__RefHeading___Toc605740_1934241801"/>
      <w:bookmarkStart w:id="903" w:name="_Toc414"/>
      <w:bookmarkEnd w:id="902"/>
      <w:r>
        <w:rPr>
          <w:rtl w:val="true"/>
        </w:rPr>
        <w:t>«</w:t>
      </w:r>
      <w:r>
        <w:rPr/>
        <w:t>21</w:t>
      </w:r>
      <w:r>
        <w:rPr>
          <w:rtl w:val="true"/>
        </w:rPr>
        <w:t>»</w:t>
      </w:r>
      <w:bookmarkEnd w:id="903"/>
    </w:p>
    <w:p>
      <w:pPr>
        <w:pStyle w:val="BookText"/>
        <w:rPr/>
      </w:pPr>
      <w:r>
        <w:rPr>
          <w:rFonts w:ascii="Amiri" w:hAnsi="Amiri" w:eastAsia="Amiri" w:cs="Amiri"/>
          <w:color w:val="111111"/>
          <w:sz w:val="28"/>
          <w:sz w:val="28"/>
          <w:szCs w:val="28"/>
          <w:rtl w:val="true"/>
          <w:lang w:bidi="ar-SA"/>
        </w:rPr>
        <w:t>مَجَالِسُ الشَّيْخِ، عَنِ الْحُسَيْنِ بْنِ عُبَيْدِ اللَّهِ بْنِ إِبْرَاهِيمَ عَنْ هَارُونَ بْنِ مُوسَي التَّلَّعُكْبَرِيِّ عَنْ مُحَمَّدِ بْنِ هَمَّامٍ عَنْ عَبْدِ اللَّهِ بْنِ جَعْفَرٍ الْحِمْيَرِيِّ عَنْ مُحَمَّدِ بْنِ خَالِدٍ الطَّيَالِسِيِّ عَنْ زُرَيْقِ بْنِ الزُّبَيْرِ الْخَرَقَانِيِّ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عليه السلام عَنِ امْرَأَةٍ حَامِلٍ رَأَتِ الدَّمَ فَقَالَ تَدَعُ الصَّلَاةَ قَالَ فَإِنَّهَا رَأَتِ الدَّمَ وَ قَدْ أَصَابَهَا الطَّلْقُ فَرَأَتْهُ وَ هِيَ تَمْخَضُ قَالَ تُصَلِّي حَتَّي يَخْرُجَ رَأْسُ الصَّبِيِّ فَإِذَا</w:t>
      </w:r>
    </w:p>
    <w:p>
      <w:pPr>
        <w:pStyle w:val="BookText"/>
        <w:rPr/>
      </w:pPr>
      <w:r>
        <w:rPr>
          <w:rFonts w:ascii="IRNazanin" w:hAnsi="IRNazanin" w:eastAsia="IRNazanin"/>
          <w:color w:val="111111"/>
          <w:sz w:val="28"/>
          <w:sz w:val="28"/>
          <w:szCs w:val="28"/>
          <w:rtl w:val="true"/>
          <w:lang w:bidi="fa-IR"/>
        </w:rPr>
        <w:t xml:space="preserve">اما از روایت یونس چنین برمی آید که رجوع به تمیز به مضطربه اختصاص دارد و مبتدئه به عمل به هفت روز یا شش روز رجوع می کند و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است بلکه محقق و علامه گفته اند مذهب علمای ما همین است</w:t>
      </w:r>
      <w:r>
        <w:rPr>
          <w:rFonts w:eastAsia="IRNazanin" w:cs="IRNazanin"/>
          <w:color w:val="111111"/>
          <w:sz w:val="28"/>
          <w:szCs w:val="28"/>
          <w:rtl w:val="true"/>
          <w:lang w:bidi="fa-IR"/>
        </w:rPr>
        <w:t>.</w:t>
      </w:r>
    </w:p>
    <w:p>
      <w:pPr>
        <w:pStyle w:val="Heading5"/>
        <w:numPr>
          <w:ilvl w:val="4"/>
          <w:numId w:val="1"/>
        </w:numPr>
        <w:rPr/>
      </w:pPr>
      <w:bookmarkStart w:id="904" w:name="__RefHeading___Toc605742_1934241801"/>
      <w:bookmarkStart w:id="905" w:name="_Toc415"/>
      <w:bookmarkEnd w:id="904"/>
      <w:r>
        <w:rPr>
          <w:rtl w:val="true"/>
        </w:rPr>
        <w:t xml:space="preserve">روایت </w:t>
      </w:r>
      <w:r>
        <w:rPr/>
        <w:t>19</w:t>
      </w:r>
      <w:bookmarkEnd w:id="905"/>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از ابراهیم قُرَشی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امّ سلمه بودیم،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به دشمنی بر نمی خیزد مگر سه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زاده، منافق و کسی که مادرش در دوران حیض به او باردارگشته است</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ایّوب روایت شده که رسول خدا صلّی الله و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نمی دارد مگر انسان مؤمن، و تو را دشمن نمی دارد مگر منافق یا زنازاده یا کسی که مادرش در حال حیض به او باردار گشته است</w:t>
      </w:r>
      <w:r>
        <w:rPr>
          <w:rFonts w:eastAsia="IRNazanin" w:cs="IRNazanin"/>
          <w:color w:val="111111"/>
          <w:sz w:val="28"/>
          <w:szCs w:val="28"/>
          <w:rtl w:val="true"/>
          <w:lang w:bidi="fa-IR"/>
        </w:rPr>
        <w:t>.</w:t>
      </w:r>
      <w:r>
        <w:rPr>
          <w:rStyle w:val="FootnoteAnchor"/>
          <w:rtl w:val="true"/>
        </w:rPr>
        <w:footnoteReference w:id="492"/>
      </w:r>
    </w:p>
    <w:p>
      <w:pPr>
        <w:pStyle w:val="Heading5"/>
        <w:numPr>
          <w:ilvl w:val="4"/>
          <w:numId w:val="1"/>
        </w:numPr>
        <w:rPr/>
      </w:pPr>
      <w:bookmarkStart w:id="906" w:name="__RefHeading___Toc605744_1934241801"/>
      <w:bookmarkStart w:id="907" w:name="_Toc416"/>
      <w:bookmarkEnd w:id="906"/>
      <w:r>
        <w:rPr>
          <w:rtl w:val="true"/>
        </w:rPr>
        <w:t xml:space="preserve">روایت </w:t>
      </w:r>
      <w:r>
        <w:rPr/>
        <w:t>20</w:t>
      </w:r>
      <w:bookmarkEnd w:id="907"/>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عترت مرا دوست نمی دارد از سه دسته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منافق است یا زنا زاده و یا کسی است که مادرش در حالت نا پاکی به او باردار شده است</w:t>
      </w:r>
      <w:r>
        <w:rPr>
          <w:rFonts w:eastAsia="IRNazanin" w:cs="IRNazanin"/>
          <w:color w:val="111111"/>
          <w:sz w:val="28"/>
          <w:szCs w:val="28"/>
          <w:rtl w:val="true"/>
          <w:lang w:bidi="fa-IR"/>
        </w:rPr>
        <w:t>.</w:t>
      </w:r>
      <w:r>
        <w:rPr>
          <w:rStyle w:val="FootnoteAnchor"/>
          <w:rtl w:val="true"/>
        </w:rPr>
        <w:footnoteReference w:id="493"/>
      </w:r>
    </w:p>
    <w:p>
      <w:pPr>
        <w:pStyle w:val="Heading5"/>
        <w:numPr>
          <w:ilvl w:val="4"/>
          <w:numId w:val="1"/>
        </w:numPr>
        <w:rPr/>
      </w:pPr>
      <w:bookmarkStart w:id="908" w:name="__RefHeading___Toc605746_1934241801"/>
      <w:bookmarkStart w:id="909" w:name="_Toc417"/>
      <w:bookmarkEnd w:id="908"/>
      <w:r>
        <w:rPr>
          <w:rtl w:val="true"/>
        </w:rPr>
        <w:t>می گویم</w:t>
      </w:r>
      <w:bookmarkEnd w:id="909"/>
    </w:p>
    <w:p>
      <w:pPr>
        <w:pStyle w:val="BookText"/>
        <w:rPr/>
      </w:pPr>
      <w:r>
        <w:rPr>
          <w:rFonts w:ascii="IRNazanin" w:hAnsi="IRNazanin" w:eastAsia="IRNazanin"/>
          <w:color w:val="111111"/>
          <w:sz w:val="28"/>
          <w:sz w:val="28"/>
          <w:szCs w:val="28"/>
          <w:rtl w:val="true"/>
          <w:lang w:bidi="fa-IR"/>
        </w:rPr>
        <w:t>این احادیث همراه احادیث دیگر و سند آن ها در جلد نه ذکر شده اند</w:t>
      </w:r>
      <w:r>
        <w:rPr>
          <w:rFonts w:eastAsia="IRNazanin" w:cs="IRNazanin"/>
          <w:color w:val="111111"/>
          <w:sz w:val="28"/>
          <w:szCs w:val="28"/>
          <w:rtl w:val="true"/>
          <w:lang w:bidi="fa-IR"/>
        </w:rPr>
        <w:t>.</w:t>
      </w:r>
      <w:r>
        <w:rPr>
          <w:rStyle w:val="FootnoteAnchor"/>
          <w:rtl w:val="true"/>
        </w:rPr>
        <w:footnoteReference w:id="494"/>
      </w:r>
    </w:p>
    <w:p>
      <w:pPr>
        <w:pStyle w:val="Heading5"/>
        <w:numPr>
          <w:ilvl w:val="4"/>
          <w:numId w:val="1"/>
        </w:numPr>
        <w:rPr/>
      </w:pPr>
      <w:bookmarkStart w:id="910" w:name="__RefHeading___Toc605748_1934241801"/>
      <w:bookmarkStart w:id="911" w:name="_Toc418"/>
      <w:bookmarkEnd w:id="910"/>
      <w:r>
        <w:rPr>
          <w:rtl w:val="true"/>
        </w:rPr>
        <w:t xml:space="preserve">روایت </w:t>
      </w:r>
      <w:r>
        <w:rPr/>
        <w:t>21</w:t>
      </w:r>
      <w:bookmarkEnd w:id="91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صادق علیه السلام درباره زنی پرسید که در دوران بارداری شاهد خونریزی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خواندن را ترک نکند،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درحالی خونریزی را مشاهده کرده که دچار درد زایمان بوده است، پس خونریزی را در حال زایمان مشاهده کرده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سر نوزاد خارج می شود باید نماز خواندن را ترک نکند، آن گاه </w:t>
      </w:r>
      <w:bookmarkStart w:id="912" w:name="pg13517_329136"/>
    </w:p>
    <w:p>
      <w:pPr>
        <w:pStyle w:val="BookText"/>
        <w:rPr/>
      </w:pPr>
      <w:bookmarkEnd w:id="912"/>
      <w:r>
        <w:rPr>
          <w:rFonts w:ascii="Amiri" w:hAnsi="Amiri" w:eastAsia="Amiri" w:cs="Amiri"/>
          <w:color w:val="111111"/>
          <w:sz w:val="28"/>
          <w:sz w:val="28"/>
          <w:szCs w:val="28"/>
          <w:rtl w:val="true"/>
          <w:lang w:bidi="ar-SA"/>
        </w:rPr>
        <w:t xml:space="preserve">خَرَجَ رَأْسُهُ لَمْ يَجِبْ عَلَيْهَا الصَّلَاةُ وَ كُلُّ مَا تَرَكَتْهُ مِنَ الصَّلَاةِ فِي تِلْكَ الْحَالِ لِوَجَعٍ أَوْ لِمَا هِيَ فِيهِ مِنَ الشِّدَّةِ وَ الْجَهْدِ قَضَتْهُ إِذَا خَرَجَتْ مِنْ نِفَاسِهَا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جُعِلْتُ فِدَاكَ مَا الْفَرْقُ بَيْنَ دَمِ الْحَامِلِ وَ دَمِ الْمَخَاضِ قَالَ إِنَّ الْحَامِلَ قَذَفَتْ بِدَمِ الْحَيْضِ وَ هَذِهِ قَذَفَتْ بِدَمِ الْمَخَاضِ إِلَي أَنْ يَخْرُجَ بَعْضُ الْوَلَدِ فَعِنْدَ ذَلِكَ يَصِيرُ دَمُ النِّفَاسِ فَيَجِبُ أَنْ تَدَعَ فِي النِّفَاسِ وَ الْحَيْضِ فَأَمَّا مَا لَمْ يَكُنْ حَيْضاً أَوْ نِفَاساً فَإِنَّمَا ذَلِكَ مِنْ فَتْقٍ فِي الرَّحِمِ‌</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3" w:name="__RefHeading___Toc605750_1934241801"/>
      <w:bookmarkStart w:id="914" w:name="_Toc419"/>
      <w:bookmarkEnd w:id="913"/>
      <w:r>
        <w:rPr>
          <w:rtl w:val="true"/>
        </w:rPr>
        <w:t>إيضاح</w:t>
      </w:r>
      <w:bookmarkEnd w:id="914"/>
    </w:p>
    <w:p>
      <w:pPr>
        <w:pStyle w:val="BookText"/>
        <w:rPr/>
      </w:pPr>
      <w:r>
        <w:rPr>
          <w:rFonts w:ascii="Amiri" w:hAnsi="Amiri" w:eastAsia="Amiri" w:cs="Amiri"/>
          <w:color w:val="111111"/>
          <w:sz w:val="28"/>
          <w:sz w:val="28"/>
          <w:szCs w:val="28"/>
          <w:rtl w:val="true"/>
          <w:lang w:bidi="ar-SA"/>
        </w:rPr>
        <w:t>يدل علي اجتماع الحيض مع الحمل و قد سبق الكلام فيه و علي أن ما تراه عند المخاض لا يكون حيضا و المشهور بين القائلين بالاجتماع أنه حيض و في اشتراط أقل الطهر بينه و بين النفاس قولان أشهرهما العدم و هو مختار العلامة في التذكرة و المنتهي و لا يبعد أن يكون بناء الرواية علي الفاصلة إذ الغالب عدمها و يدل علي عدم كونه حيضا موثقة</w:t>
      </w:r>
      <w:r>
        <w:rPr>
          <w:rStyle w:val="FootnoteAnchor"/>
          <w:rtl w:val="true"/>
        </w:rPr>
        <w:footnoteReference w:id="496"/>
      </w:r>
      <w:r>
        <w:rPr>
          <w:rFonts w:ascii="Amiri" w:hAnsi="Amiri" w:eastAsia="Amiri" w:cs="Amiri"/>
          <w:color w:val="111111"/>
          <w:sz w:val="28"/>
          <w:sz w:val="28"/>
          <w:szCs w:val="28"/>
          <w:rtl w:val="true"/>
          <w:lang w:bidi="ar-SA"/>
        </w:rPr>
        <w:t>عمار أيضا و يدل علي كونه حيضا رواية السكوني‌</w:t>
      </w:r>
      <w:r>
        <w:rPr>
          <w:rStyle w:val="FootnoteAnchor"/>
          <w:rtl w:val="true"/>
        </w:rPr>
        <w:footnoteReference w:id="497"/>
      </w:r>
      <w:r>
        <w:rPr>
          <w:rFonts w:ascii="Amiri" w:hAnsi="Amiri" w:eastAsia="Amiri" w:cs="Amiri"/>
          <w:color w:val="111111"/>
          <w:sz w:val="28"/>
          <w:sz w:val="28"/>
          <w:szCs w:val="28"/>
          <w:rtl w:val="true"/>
          <w:lang w:bidi="ar-SA"/>
        </w:rPr>
        <w:t>و لا يبعد حملها علي التقية و لعل النفي أقوي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 أن ما تراه مع الولادة نفاس كما اختاره جماعة من المحققين و ظاهر الشيخ في الخلاف و المبسوط و الجمل و المرتضي في المصباح أنه ليس بنفاس إلا بعد أن يخرج الولد و أول كلامهما بعض الأصحاب و المعتمد الأول</w:t>
      </w:r>
      <w:r>
        <w:rPr>
          <w:rFonts w:eastAsia="Amiri" w:cs="Amiri" w:ascii="Amiri" w:hAnsi="Amiri"/>
          <w:color w:val="111111"/>
          <w:sz w:val="28"/>
          <w:szCs w:val="28"/>
          <w:rtl w:val="true"/>
          <w:lang w:bidi="ar-SA"/>
        </w:rPr>
        <w:t>.</w:t>
      </w:r>
    </w:p>
    <w:p>
      <w:pPr>
        <w:pStyle w:val="Heading5"/>
        <w:numPr>
          <w:ilvl w:val="4"/>
          <w:numId w:val="1"/>
        </w:numPr>
        <w:rPr/>
      </w:pPr>
      <w:bookmarkStart w:id="915" w:name="__RefHeading___Toc605752_1934241801"/>
      <w:bookmarkStart w:id="916" w:name="_Toc420"/>
      <w:bookmarkEnd w:id="915"/>
      <w:r>
        <w:rPr>
          <w:rtl w:val="true"/>
        </w:rPr>
        <w:t>«</w:t>
      </w:r>
      <w:r>
        <w:rPr/>
        <w:t>22</w:t>
      </w:r>
      <w:r>
        <w:rPr>
          <w:rtl w:val="true"/>
        </w:rPr>
        <w:t>»</w:t>
      </w:r>
      <w:bookmarkEnd w:id="916"/>
    </w:p>
    <w:p>
      <w:pPr>
        <w:pStyle w:val="BookText"/>
        <w:rPr/>
      </w:pPr>
      <w:r>
        <w:rPr>
          <w:rFonts w:ascii="Amiri" w:hAnsi="Amiri" w:eastAsia="Amiri" w:cs="Amiri"/>
          <w:color w:val="111111"/>
          <w:sz w:val="28"/>
          <w:sz w:val="28"/>
          <w:szCs w:val="28"/>
          <w:rtl w:val="true"/>
          <w:lang w:bidi="ar-SA"/>
        </w:rPr>
        <w:t>الْمُعْتَبَرُ، مِنْ كِتَابِ ابْنِ أَبِي نَصْرٍ الْبَزَنْطِيِّ عَنْ بَعْضِ أَصْحَابِنَا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قَدْ يَئِسَتْ مِنَ الْمَحِيضِ حَدُّهَا خَمْسُونَ سَنَةً</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7" w:name="__RefHeading___Toc605754_1934241801"/>
      <w:bookmarkStart w:id="918" w:name="_Toc421"/>
      <w:bookmarkEnd w:id="917"/>
      <w:r>
        <w:rPr>
          <w:rtl w:val="true"/>
        </w:rPr>
        <w:t>«</w:t>
      </w:r>
      <w:r>
        <w:rPr/>
        <w:t>23</w:t>
      </w:r>
      <w:r>
        <w:rPr>
          <w:rtl w:val="true"/>
        </w:rPr>
        <w:t>»</w:t>
      </w:r>
      <w:bookmarkEnd w:id="918"/>
    </w:p>
    <w:p>
      <w:pPr>
        <w:pStyle w:val="BookText"/>
        <w:rPr/>
      </w:pP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تَيْأَسُ الْمَرْأَةُ إِذَا بَلَغَتْ خَمْسِينَ سَنَةً إِلَّا أَنْ تَكُونَ امْرَأَةً</w:t>
      </w:r>
    </w:p>
    <w:p>
      <w:pPr>
        <w:pStyle w:val="BookText"/>
        <w:rPr/>
      </w:pPr>
      <w:r>
        <w:rPr>
          <w:rFonts w:ascii="IRNazanin" w:hAnsi="IRNazanin" w:eastAsia="IRNazanin"/>
          <w:color w:val="111111"/>
          <w:sz w:val="28"/>
          <w:sz w:val="28"/>
          <w:szCs w:val="28"/>
          <w:rtl w:val="true"/>
          <w:lang w:bidi="fa-IR"/>
        </w:rPr>
        <w:t>که سر نوزاد خارج شد نماز خواندن بر او واجب نیست، و قضای تمام نمازهایی را که در آن حالت به خاطر درد یا شدّت و سختی شرایط موجود ترک کرده است باید پس از پایان دوره نفاس به جاآورد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فرق بین خون زن باردار و خون زن در حال زایمان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 باردار خون حیض خارج می شود ولی از زن در حال زایمان تا زمانی که قسمتی از نوزاد خارج می شود خون زایمان خارج می شود و پس از آن تبدیل به خون نفاس می گردد، پس واجب است که در دوره نفاس و حیض ترک عبادت کند، امّا اگر خونریزی بر اثر حیض و نفاس نباشد از پارگی ایجاد شده در پرده رحم است</w:t>
      </w:r>
      <w:r>
        <w:rPr>
          <w:rFonts w:eastAsia="IRNazanin" w:cs="IRNazanin"/>
          <w:color w:val="111111"/>
          <w:sz w:val="28"/>
          <w:szCs w:val="28"/>
          <w:rtl w:val="true"/>
          <w:lang w:bidi="fa-IR"/>
        </w:rPr>
        <w:t>.</w:t>
      </w:r>
      <w:r>
        <w:rPr>
          <w:rStyle w:val="FootnoteAnchor"/>
          <w:rtl w:val="true"/>
        </w:rPr>
        <w:footnoteReference w:id="499"/>
      </w:r>
    </w:p>
    <w:p>
      <w:pPr>
        <w:pStyle w:val="Heading5"/>
        <w:numPr>
          <w:ilvl w:val="4"/>
          <w:numId w:val="1"/>
        </w:numPr>
        <w:rPr/>
      </w:pPr>
      <w:bookmarkStart w:id="919" w:name="__RefHeading___Toc605756_1934241801"/>
      <w:bookmarkStart w:id="920" w:name="_Toc422"/>
      <w:bookmarkEnd w:id="919"/>
      <w:r>
        <w:rPr>
          <w:rtl w:val="true"/>
        </w:rPr>
        <w:t>توضیح</w:t>
      </w:r>
      <w:bookmarkEnd w:id="920"/>
    </w:p>
    <w:p>
      <w:pPr>
        <w:pStyle w:val="BookText"/>
        <w:rPr/>
      </w:pPr>
      <w:r>
        <w:rPr>
          <w:rFonts w:ascii="IRNazanin" w:hAnsi="IRNazanin" w:eastAsia="IRNazanin"/>
          <w:color w:val="111111"/>
          <w:sz w:val="28"/>
          <w:sz w:val="28"/>
          <w:szCs w:val="28"/>
          <w:rtl w:val="true"/>
          <w:lang w:bidi="fa-IR"/>
        </w:rPr>
        <w:t xml:space="preserve">این حدیث بر امکان جمع شدن حیض و بارداری دلالت می کند، و پیش تر در این باره سخن گفته شد و اینکه خونی که زن به هنگام زایمان مشاهده می کند از حیض نیست، ولی نظر مشهور در بین کسانی که قائل به اجتماع حیض و بارداری هستند این است که خون مشاهده شده به هنگام زایمان خون حیض است، و در شرط کمترین مدّت زمان پاکی بین 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در حال زایمان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نفاس دو روایت و نظر وجود دارد که مشهورترین آن ها، عدم وجود فاصلۀ زمانی بین حیض و نفاس است، علّامه نیز در التذکره و المنتهی این نظر را برگزیده است، و بعید نیست که بنای روایت بر وجود فاصله باشد، چه که نظر غالب عدم وجود فاصله است، همچنین موثّقة</w:t>
      </w:r>
      <w:r>
        <w:rPr>
          <w:rStyle w:val="FootnoteAnchor"/>
          <w:rtl w:val="true"/>
        </w:rPr>
        <w:footnoteReference w:id="500"/>
      </w:r>
      <w:r>
        <w:rPr>
          <w:rFonts w:ascii="IRNazanin" w:hAnsi="IRNazanin" w:eastAsia="IRNazanin"/>
          <w:color w:val="111111"/>
          <w:sz w:val="28"/>
          <w:sz w:val="28"/>
          <w:szCs w:val="28"/>
          <w:rtl w:val="true"/>
          <w:lang w:bidi="fa-IR"/>
        </w:rPr>
        <w:t>عمار بر عدم حیض بودن خون به هنگام زایمان دلالت می کند، ولی روایت السکونی</w:t>
      </w:r>
      <w:r>
        <w:rPr>
          <w:rStyle w:val="FootnoteAnchor"/>
          <w:rtl w:val="true"/>
        </w:rPr>
        <w:footnoteReference w:id="501"/>
      </w:r>
      <w:r>
        <w:rPr>
          <w:rFonts w:ascii="IRNazanin" w:hAnsi="IRNazanin" w:eastAsia="IRNazanin"/>
          <w:color w:val="111111"/>
          <w:sz w:val="28"/>
          <w:sz w:val="28"/>
          <w:szCs w:val="28"/>
          <w:rtl w:val="true"/>
          <w:lang w:bidi="fa-IR"/>
        </w:rPr>
        <w:t xml:space="preserve">برحیض بودن آن خون دلالت می کند و حمل آن بر تقیّه بعید نیست، 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 بودن آن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حدیث بر این نکته دلالت می کند که خونی که زن هنگام تولّد نوزاد مشاهده می کند خون نفاس است، آن گونه که گروهی از محققّان نیز این نظر را پذیرفته اند، ولی از نظرات شیخ در الخلاف، المبسوط و الجمل و همچنین از کلام مرتضی در المصباح چنین پیداست که آن خون، خون نفاس نیست مگر بعد از خارج شدن قسمتی از بدن نوزاد؛ و عدّه ای از فقها کلام شیخ و مرتضی را تأویل و تفسیر نموده اند حال آنکه نظر قابل اعتماد، نظر نخست است</w:t>
      </w:r>
      <w:r>
        <w:rPr>
          <w:rFonts w:eastAsia="IRNazanin" w:cs="IRNazanin"/>
          <w:color w:val="111111"/>
          <w:sz w:val="28"/>
          <w:szCs w:val="28"/>
          <w:rtl w:val="true"/>
          <w:lang w:bidi="fa-IR"/>
        </w:rPr>
        <w:t>.</w:t>
      </w:r>
    </w:p>
    <w:p>
      <w:pPr>
        <w:pStyle w:val="Heading5"/>
        <w:numPr>
          <w:ilvl w:val="4"/>
          <w:numId w:val="1"/>
        </w:numPr>
        <w:rPr/>
      </w:pPr>
      <w:bookmarkStart w:id="921" w:name="__RefHeading___Toc605758_1934241801"/>
      <w:bookmarkStart w:id="922" w:name="_Toc423"/>
      <w:bookmarkEnd w:id="921"/>
      <w:r>
        <w:rPr>
          <w:rtl w:val="true"/>
        </w:rPr>
        <w:t xml:space="preserve">روایت </w:t>
      </w:r>
      <w:r>
        <w:rPr/>
        <w:t>22</w:t>
      </w:r>
      <w:bookmarkEnd w:id="922"/>
    </w:p>
    <w:p>
      <w:p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ابن أبی نصر البزنطیّ از یکی از یاران ما روایت شده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پنجاه سالگی از حیض یائسه می گردد</w:t>
      </w:r>
      <w:r>
        <w:rPr>
          <w:rFonts w:eastAsia="IRNazanin" w:cs="IRNazanin"/>
          <w:color w:val="111111"/>
          <w:sz w:val="28"/>
          <w:szCs w:val="28"/>
          <w:rtl w:val="true"/>
          <w:lang w:bidi="fa-IR"/>
        </w:rPr>
        <w:t>.</w:t>
      </w:r>
      <w:r>
        <w:rPr>
          <w:rStyle w:val="FootnoteAnchor"/>
          <w:rtl w:val="true"/>
        </w:rPr>
        <w:footnoteReference w:id="502"/>
      </w:r>
    </w:p>
    <w:p>
      <w:pPr>
        <w:pStyle w:val="Heading5"/>
        <w:numPr>
          <w:ilvl w:val="4"/>
          <w:numId w:val="1"/>
        </w:numPr>
        <w:rPr/>
      </w:pPr>
      <w:bookmarkStart w:id="923" w:name="__RefHeading___Toc605760_1934241801"/>
      <w:bookmarkStart w:id="924" w:name="_Toc424"/>
      <w:bookmarkEnd w:id="923"/>
      <w:r>
        <w:rPr>
          <w:rtl w:val="true"/>
        </w:rPr>
        <w:t xml:space="preserve">روایت </w:t>
      </w:r>
      <w:r>
        <w:rPr/>
        <w:t>23</w:t>
      </w:r>
      <w:bookmarkEnd w:id="92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سن پنجاه سالگی یائسه می گردد مگر آنکه </w:t>
      </w:r>
      <w:bookmarkStart w:id="925" w:name="pg13517_329137"/>
    </w:p>
    <w:p>
      <w:pPr>
        <w:pStyle w:val="BookText"/>
        <w:rPr/>
      </w:pPr>
      <w:bookmarkEnd w:id="925"/>
      <w:r>
        <w:rPr>
          <w:rFonts w:ascii="Amiri" w:hAnsi="Amiri" w:eastAsia="Amiri" w:cs="Amiri"/>
          <w:color w:val="111111"/>
          <w:sz w:val="28"/>
          <w:sz w:val="28"/>
          <w:szCs w:val="28"/>
          <w:rtl w:val="true"/>
          <w:lang w:bidi="ar-SA"/>
        </w:rPr>
        <w:t>مِنْ قُرَيْشٍ فَإِنَّهُ رُوِيَ أَنَّهَا تَرَي دَمَ الْحَيْضِ إِلَي سِتِّينَ سَنَةً</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6" w:name="__RefHeading___Toc605762_1934241801"/>
      <w:bookmarkStart w:id="927" w:name="_Toc425"/>
      <w:bookmarkEnd w:id="926"/>
      <w:r>
        <w:rPr>
          <w:rtl w:val="true"/>
        </w:rPr>
        <w:t>بيان</w:t>
      </w:r>
      <w:bookmarkEnd w:id="927"/>
    </w:p>
    <w:p>
      <w:pPr>
        <w:pStyle w:val="BookText"/>
        <w:rPr/>
      </w:pPr>
      <w:r>
        <w:rPr>
          <w:rFonts w:ascii="Amiri" w:hAnsi="Amiri" w:eastAsia="Amiri" w:cs="Amiri"/>
          <w:color w:val="111111"/>
          <w:sz w:val="28"/>
          <w:sz w:val="28"/>
          <w:szCs w:val="28"/>
          <w:rtl w:val="true"/>
          <w:lang w:bidi="ar-SA"/>
        </w:rPr>
        <w:t>لا خلاف بين الأصحاب في أن ما تراه المرأة بعد سن اليأس ليس بحيض و إنما اختلفوا فيما يتحقق به اليأس فذهب الشيخ في النهاية إلي أنه خمسون مطلقا و قيل باعتبار الستين و هو قول المحقق في بعض المواضع و المشهور بين الأصحاب اعتبار الخمسين في غير القرشية و الستين فيها و من أصحاب هذا القول من ألحق النبطية بالقرشية و مع عدم وضوح معناها اعترفوا بعدم النص فيها و بالمشهور يجمع بين الروايات و إن كان الأول أقوي سندا و الأحوط في القرشية بعد الخمسين إلي الستين الجمع بين العملين و القرشية من انتسبت بأبيها إلي النضر بن كنانة علي المشهور أو بأمها علي قول قوي</w:t>
      </w:r>
      <w:r>
        <w:rPr>
          <w:rFonts w:eastAsia="Amiri" w:cs="Amiri" w:ascii="Amiri" w:hAnsi="Amiri"/>
          <w:color w:val="111111"/>
          <w:sz w:val="28"/>
          <w:szCs w:val="28"/>
          <w:rtl w:val="true"/>
          <w:lang w:bidi="ar-SA"/>
        </w:rPr>
        <w:t>.</w:t>
      </w:r>
    </w:p>
    <w:p>
      <w:pPr>
        <w:pStyle w:val="Heading5"/>
        <w:numPr>
          <w:ilvl w:val="4"/>
          <w:numId w:val="1"/>
        </w:numPr>
        <w:rPr/>
      </w:pPr>
      <w:bookmarkStart w:id="928" w:name="__RefHeading___Toc605764_1934241801"/>
      <w:bookmarkStart w:id="929" w:name="_Toc426"/>
      <w:bookmarkEnd w:id="928"/>
      <w:r>
        <w:rPr>
          <w:rtl w:val="true"/>
        </w:rPr>
        <w:t>«</w:t>
      </w:r>
      <w:r>
        <w:rPr/>
        <w:t>24</w:t>
      </w:r>
      <w:r>
        <w:rPr>
          <w:rtl w:val="true"/>
        </w:rPr>
        <w:t>»</w:t>
      </w:r>
      <w:bookmarkEnd w:id="929"/>
    </w:p>
    <w:p>
      <w:pPr>
        <w:pStyle w:val="BookText"/>
        <w:rPr/>
      </w:pPr>
      <w:r>
        <w:rPr>
          <w:rFonts w:ascii="Amiri" w:hAnsi="Amiri" w:eastAsia="Amiri" w:cs="Amiri"/>
          <w:color w:val="111111"/>
          <w:sz w:val="28"/>
          <w:sz w:val="28"/>
          <w:szCs w:val="28"/>
          <w:rtl w:val="true"/>
          <w:lang w:bidi="ar-SA"/>
        </w:rPr>
        <w:t>الْعِلَلُ‌</w:t>
      </w:r>
      <w:r>
        <w:rPr>
          <w:rStyle w:val="FootnoteAnchor"/>
          <w:rtl w:val="true"/>
        </w:rPr>
        <w:footnoteReference w:id="504"/>
      </w:r>
      <w:r>
        <w:rPr>
          <w:rFonts w:ascii="Amiri" w:hAnsi="Amiri" w:eastAsia="Amiri" w:cs="Amiri"/>
          <w:color w:val="111111"/>
          <w:sz w:val="28"/>
          <w:sz w:val="28"/>
          <w:szCs w:val="28"/>
          <w:rtl w:val="true"/>
          <w:lang w:bidi="ar-SA"/>
        </w:rPr>
        <w:t>، وَ الْعُيُونُ، عَنْ عَبْدِ الْوَاحِدِ بْنِ عُبْدُوسٍ عَنْ عَلِيِّ بْنِ مُحَمَّدِ بْنِ قُتَيْبَةَ عَنِ الْفَضْلِ بْنِ شَاذَانَ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فَلِمَ إِذَا حَاضَتِ الْمَرْأَةُ لَا تَصُومُ وَ لَا تُصَلِّي قِيلَ لِأَنَّهَا فِي حَدِّ النَّجَاسَةِ فَأَحَبَّ أَنْ لَا يُعْبَدَ إِلَّا طَاهِراً وَ لِأَنَّهُ لَا صَوْمَ لِمَنْ لَا صَلَاةَ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وَ لِمَ صَارَتْ تَقْضِي الصِّيَامَ وَ لَا تَقْضِي الصَّلَاةَ قِيلَ لِعِلَلٍ شَتَّي فَمِنْهَا أَنَّ الصِّيَامَ لَا يَمْنَعُهَا مِنْ خِدْمَةِ نَفْسِهَا وَ خِدْمَةِ زَوْجِهَا وَ إِصْلَاحِ بَيْتِهَا وَ الْقِيَامِ بِأُمُورِهَا وَ الِاشْتِغَالِ بِمَرَمَّةِ مَعِيشَتِهَا وَ الصَّلَاةُ تَمْنَعُهَا مِنْ ذَلِكَ كُلِّهِ لِأَنَّ الصَّلَاةَ تَكُونُ فِي الْيَوْمِ وَ اللَّيْلَةِ مِرَاراً فَلَا تَقْوَي عَلَي ذَلِكَ وَ الصَّوْمُ لَيْسَ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الصَّلَاةَ فِيهَا عَنَاءٌ وَ تَعَبٌ وَ اشْتِغَالُ الْأَرْكَانِ وَ لَيْسَ فِي الصَّوْمِ شَيْ‌ءٌ مِنْ ذَلِكَ وَ إِنَّمَا هُوَ الْإِمْسَاكُ عَنِ الطَّعَامِ وَ الشَّرَابِ وَ لَيْسَ فِيهِ اشْتِغَالُ 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لَيْسَ مِنْ وَقْتٍ يَجِي‌ءُ إِلَّا تَجِبُ عَلَيْهَا فِيهِ صَلَاةٌ جَدِيدَةٌ فِي يَوْمِهَا</w:t>
      </w:r>
    </w:p>
    <w:p>
      <w:pPr>
        <w:pStyle w:val="BookText"/>
        <w:rPr/>
      </w:pPr>
      <w:r>
        <w:rPr>
          <w:rFonts w:ascii="IRNazanin" w:hAnsi="IRNazanin" w:eastAsia="IRNazanin"/>
          <w:color w:val="111111"/>
          <w:sz w:val="28"/>
          <w:sz w:val="28"/>
          <w:szCs w:val="28"/>
          <w:rtl w:val="true"/>
          <w:lang w:bidi="fa-IR"/>
        </w:rPr>
        <w:t>از قبیله قریش باشد، چه که روایت شده است که زن قریشی تا سنّ شصت سالگی خون حیض را مشاهده می کند</w:t>
      </w:r>
      <w:r>
        <w:rPr>
          <w:rFonts w:eastAsia="IRNazanin" w:cs="IRNazanin"/>
          <w:color w:val="111111"/>
          <w:sz w:val="28"/>
          <w:szCs w:val="28"/>
          <w:rtl w:val="true"/>
          <w:lang w:bidi="fa-IR"/>
        </w:rPr>
        <w:t>.</w:t>
      </w:r>
      <w:r>
        <w:rPr>
          <w:rStyle w:val="FootnoteAnchor"/>
          <w:rtl w:val="true"/>
        </w:rPr>
        <w:footnoteReference w:id="505"/>
      </w:r>
    </w:p>
    <w:p>
      <w:pPr>
        <w:pStyle w:val="Heading5"/>
        <w:numPr>
          <w:ilvl w:val="4"/>
          <w:numId w:val="1"/>
        </w:numPr>
        <w:rPr/>
      </w:pPr>
      <w:bookmarkStart w:id="930" w:name="__RefHeading___Toc605766_1934241801"/>
      <w:bookmarkStart w:id="931" w:name="_Toc427"/>
      <w:bookmarkEnd w:id="930"/>
      <w:r>
        <w:rPr>
          <w:rtl w:val="true"/>
        </w:rPr>
        <w:t>توضیح</w:t>
      </w:r>
      <w:bookmarkEnd w:id="931"/>
    </w:p>
    <w:p>
      <w:pPr>
        <w:pStyle w:val="BookText"/>
        <w:rPr/>
      </w:pPr>
      <w:r>
        <w:rPr>
          <w:rFonts w:ascii="IRNazanin" w:hAnsi="IRNazanin" w:eastAsia="IRNazanin"/>
          <w:color w:val="111111"/>
          <w:sz w:val="28"/>
          <w:sz w:val="28"/>
          <w:szCs w:val="28"/>
          <w:rtl w:val="true"/>
          <w:lang w:bidi="fa-IR"/>
        </w:rPr>
        <w:t>هیچ اختلافی بین فقها بر سر اینکه خونی که زن بعد از دوران یائسگی مشاهده می کند خون حیض نیست وجود ندارد، امّا بر سر سنّی که یائسگی در آن محقّق می شود اختلاف نظر دارند، شیخ در النهایه بر این باور است که سنّ یائسگی به صورت مطلق پنجاه سالگی است، و از شصت سالگی نیز سخن گفته شده است که نظر المحقّق در بعضی از مواضع است، ولی نظر مشهور در بین فقها سنّ پنجاه سالگی برای زنان غیر قریشی و شصت سالگی برای زنان قریشی است، و در میان قائلان به این نظر کسانی وجود دارند که زنان نَبَطیّ را در این قاعده به زنان قریشی ملحق کرده اند، و با وجود عدم وضوح معنای آن به عدم موجود بودن نصّی که به آن تصریح کند اعتراف کرده اند، و نظر مشهور این است که روایات و احادیث با هم جمع گردند اگر چه روایت اوّل دارای قوی ترین سند است، امّا احوط در مورد زن قریشی بعد از پنجاه تا شصت سالگی، جمع بین دو عمل است، منظور از زن قریشی زنی است که بنا بر نظر مشهور از جانب پدر و بنا بر قول قوی از جانب مادر به نضر بن کنانه منتسب گردد</w:t>
      </w:r>
      <w:r>
        <w:rPr>
          <w:rFonts w:eastAsia="IRNazanin" w:cs="IRNazanin"/>
          <w:color w:val="111111"/>
          <w:sz w:val="28"/>
          <w:szCs w:val="28"/>
          <w:rtl w:val="true"/>
          <w:lang w:bidi="fa-IR"/>
        </w:rPr>
        <w:t>.</w:t>
      </w:r>
    </w:p>
    <w:p>
      <w:pPr>
        <w:pStyle w:val="Heading5"/>
        <w:numPr>
          <w:ilvl w:val="4"/>
          <w:numId w:val="1"/>
        </w:numPr>
        <w:rPr/>
      </w:pPr>
      <w:bookmarkStart w:id="932" w:name="__RefHeading___Toc605768_1934241801"/>
      <w:bookmarkStart w:id="933" w:name="_Toc428"/>
      <w:bookmarkEnd w:id="932"/>
      <w:r>
        <w:rPr>
          <w:rtl w:val="true"/>
        </w:rPr>
        <w:t xml:space="preserve">روایت </w:t>
      </w:r>
      <w:r>
        <w:rPr/>
        <w:t>24</w:t>
      </w:r>
      <w:bookmarkEnd w:id="933"/>
    </w:p>
    <w:p>
      <w:pPr>
        <w:pStyle w:val="BookText"/>
        <w:rPr/>
      </w:pPr>
      <w:r>
        <w:rPr>
          <w:rFonts w:ascii="IRNazanin" w:hAnsi="IRNazanin" w:eastAsia="IRNazanin"/>
          <w:color w:val="111111"/>
          <w:sz w:val="28"/>
          <w:sz w:val="28"/>
          <w:szCs w:val="28"/>
          <w:rtl w:val="true"/>
          <w:lang w:bidi="fa-IR"/>
        </w:rPr>
        <w:t>علل الشرایع والعیون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بن شاذان روایت شده که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هنگامی که زن دچار حیض می شود روزه نمی گیرد و نماز نمی خواند؟ در پاسخ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زن در حال حیض در حدّ نجاست است و خداوند فقط عبادت انسان های پاک و مطهّر را می پسندد، همچنین امکان روزه گرفتن برای کسی که نماز نمی خواند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حائض قضای روزه را به جا می آورد ولی قضای نماز را به جا نمی آورد؟ گفته می شود به دلایل مختلف، از جمله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زن را از در خدمت خود و شوهرش بودن، رسیدگی به امور منزل، انجام امور شخصی و مشغول شدن به اصلاح گذران زندگی اش منع نمی کند،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را از انجام تمام این کارها منع می کند، چرا که نماز در طول شبانه روز چند بار تکرار می شود پس زن توان انجام آن را ندارد، ولی روزه این 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خاطر اینکه نماز خواندن مشقّت، سختی و به خدمت گرفتن تمام اعضای جسم را به همراه دارد، حال آنکه در روزه گرفتن چنین مواردی وجود ندارد، روزه گرفتن فقط خودداری از خوردن غذا و آشامیدن نوشیدنی است و همراه با به کارگیری تمام اعضاء نیست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دلایل دیگر این است که هیچ زمان و وقتی در طول شبانه روز فرا نمی رسد مگر آنکه نماز </w:t>
      </w:r>
      <w:bookmarkStart w:id="934" w:name="pg13517_329138"/>
    </w:p>
    <w:p>
      <w:pPr>
        <w:pStyle w:val="BookText"/>
        <w:rPr/>
      </w:pPr>
      <w:bookmarkEnd w:id="934"/>
      <w:r>
        <w:rPr>
          <w:rFonts w:ascii="Amiri" w:hAnsi="Amiri" w:eastAsia="Amiri" w:cs="Amiri"/>
          <w:color w:val="111111"/>
          <w:sz w:val="28"/>
          <w:sz w:val="28"/>
          <w:szCs w:val="28"/>
          <w:rtl w:val="true"/>
          <w:lang w:bidi="ar-SA"/>
        </w:rPr>
        <w:t>وَ لَيْلَتِهَا وَ لَيْسَ الصَّوْمُ كَذَلِكَ لِأَنَّهُ لَيْسَ كُلَّمَا حَدَثَ يَوْمٌ وَجَبَ عَلَيْهَا الصَّوْمُ وَ كُلَّمَا حَدَثَ وَقْتُ الصَّلَاةِ وَجَبَ عَلَيْهَا الصَّلَاةُ</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5" w:name="__RefHeading___Toc605770_1934241801"/>
      <w:bookmarkStart w:id="936" w:name="_Toc429"/>
      <w:bookmarkEnd w:id="935"/>
      <w:r>
        <w:rPr>
          <w:rtl w:val="true"/>
        </w:rPr>
        <w:t>«</w:t>
      </w:r>
      <w:r>
        <w:rPr/>
        <w:t>25</w:t>
      </w:r>
      <w:r>
        <w:rPr>
          <w:rtl w:val="true"/>
        </w:rPr>
        <w:t>»</w:t>
      </w:r>
      <w:bookmarkEnd w:id="936"/>
    </w:p>
    <w:p>
      <w:pPr>
        <w:pStyle w:val="BookText"/>
        <w:rPr/>
      </w:pPr>
      <w:r>
        <w:rPr>
          <w:rFonts w:ascii="Amiri" w:hAnsi="Amiri" w:eastAsia="Amiri" w:cs="Amiri"/>
          <w:color w:val="111111"/>
          <w:sz w:val="28"/>
          <w:sz w:val="28"/>
          <w:szCs w:val="28"/>
          <w:rtl w:val="true"/>
          <w:lang w:bidi="ar-SA"/>
        </w:rPr>
        <w:t>نَهْجُ الْبَلَاغَةِ،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 النِّسَاءَ نَوَاقِصُ الْإِيمَانِ نَوَاقِصُ الْعُقُولِ نَوَاقِصُ الْحُظُوظِ فَأَمَّا نُقْصَانُ إِيمَانِهِنَّ فَقُعُودُهُنَّ عَنِ الصَّلَاةِ وَ الصِّيَامِ فِي أَيَّامِ حَيْضِهِنَّ وَ أَمَّا نُقْصَانُ عُقُولِهِنَّ فَشَهَادَةُ الِامْرَأَتَيْنِ كَشَهَادَةِ الرَّجُلِ الْوَاحِدِ وَ أَمَّا نُقْصَانُ حُظُوظِهِنَّ فَمَوَارِيثُهُنَّ عَلَي الْأَنْصَافِ مِنْ مَوَارِيثِ الرِّجَالِ‌</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7" w:name="__RefHeading___Toc605772_1934241801"/>
      <w:bookmarkStart w:id="938" w:name="_Toc430"/>
      <w:bookmarkEnd w:id="937"/>
      <w:r>
        <w:rPr>
          <w:rtl w:val="true"/>
        </w:rPr>
        <w:t>«</w:t>
      </w:r>
      <w:r>
        <w:rPr/>
        <w:t>26</w:t>
      </w:r>
      <w:r>
        <w:rPr>
          <w:rtl w:val="true"/>
        </w:rPr>
        <w:t>»</w:t>
      </w:r>
      <w:bookmarkEnd w:id="938"/>
    </w:p>
    <w:p>
      <w:pPr>
        <w:pStyle w:val="BookText"/>
        <w:rPr/>
      </w:pPr>
      <w:r>
        <w:rPr>
          <w:rFonts w:ascii="Amiri" w:hAnsi="Amiri" w:eastAsia="Amiri" w:cs="Amiri"/>
          <w:color w:val="111111"/>
          <w:sz w:val="28"/>
          <w:sz w:val="28"/>
          <w:szCs w:val="28"/>
          <w:rtl w:val="true"/>
          <w:lang w:bidi="ar-SA"/>
        </w:rPr>
        <w:t>الْمَحَاسِنُ، عَنْ صَفْوَانَ بْنِ يَحْيَي عَنْ عَبْدِ الرَّحْمَنِ بْنِ الْحَجَّاجِ عَنْ أَبَانِ بْنِ تَغْلِبَ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السُّنَّةَ لَا تُقَاسُ أَ لَا تَرَي أَنَّ الْمَرْأَةَ تَقْضِي صَوْمَهَا وَ لَا تَقْضِي صَلَاتَهَا الْحَدِيثَ‌</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9" w:name="__RefHeading___Toc605774_1934241801"/>
      <w:bookmarkStart w:id="940" w:name="_Toc431"/>
      <w:bookmarkEnd w:id="939"/>
      <w:r>
        <w:rPr>
          <w:rtl w:val="true"/>
        </w:rPr>
        <w:t>«</w:t>
      </w:r>
      <w:r>
        <w:rPr/>
        <w:t>27</w:t>
      </w:r>
      <w:r>
        <w:rPr>
          <w:rtl w:val="true"/>
        </w:rPr>
        <w:t>»</w:t>
      </w:r>
      <w:bookmarkEnd w:id="940"/>
    </w:p>
    <w:p>
      <w:pPr>
        <w:pStyle w:val="BookText"/>
        <w:rPr/>
      </w:pPr>
      <w:r>
        <w:rPr>
          <w:rFonts w:ascii="Amiri" w:hAnsi="Amiri" w:eastAsia="Amiri" w:cs="Amiri"/>
          <w:color w:val="111111"/>
          <w:sz w:val="28"/>
          <w:sz w:val="28"/>
          <w:szCs w:val="28"/>
          <w:rtl w:val="true"/>
          <w:lang w:bidi="ar-SA"/>
        </w:rPr>
        <w:t>الْعِلَلُ، عَنْ أَبِيهِ عَنْ مُحَمَّدِ بْنِ يَحْيَي عَنْ مُحَمَّدِ بْنِ أَحْمَدَ عَنْ إِبْرَاهِيمَ بْنِ هَاشِمٍ عَنْ أَحْمَدَ بْنِ عَبْدِ اللَّهِ الْعَقِيلِيِّ عَنْ عِيسَي بْنِ عَبْدِ اللَّهِ الْقُرَشِيِّ رَفَعَهُ عَنْ أَبِي عَبْدِ اللَّهِ عليه السلام فِي حَدِيثٍ أَنَّهُ قَالَ لِأَبِي حَنِيفَةَ أَيُّهُمَا أَعْظَمُ الصَّلَاةُ أَمِ الصَّوْمُ قَالَ الصَّلَاةُ قَالَ فَمَا بَالُ الْحَائِضِ تَقْضِي الصِّيَامَ وَ لَا تَقْضِي الصَّلَاةَ فَاتَّقِ اللَّهَ وَ لَا تَقِسْ‌</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أبيه و محمد بن الحسن عن سعد بن عبد الله عن أحمد بن أبي عبد الله عن شبيب بن أنس عن رجل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أحمد بن الحسن القطان عن عبد الرحمن بن أبي حاتم عن أبي زرعة عن هشام بن عمار عن محمد بن عبد الله القرشي عن ابن شبرمة عن</w:t>
      </w:r>
    </w:p>
    <w:p>
      <w:pPr>
        <w:pStyle w:val="BookText"/>
        <w:rPr/>
      </w:pPr>
      <w:r>
        <w:rPr>
          <w:rFonts w:ascii="IRNazanin" w:hAnsi="IRNazanin" w:eastAsia="IRNazanin"/>
          <w:color w:val="111111"/>
          <w:sz w:val="28"/>
          <w:sz w:val="28"/>
          <w:szCs w:val="28"/>
          <w:rtl w:val="true"/>
          <w:lang w:bidi="fa-IR"/>
        </w:rPr>
        <w:t>جدیدی بر زن واجب می گردد، در حالی که روزه چنین نیست که در هر روز بر او واجب گردد، ولی هر زمان که وقت نماز فرا رسد نماز خواندن بر او واجب می گردد</w:t>
      </w:r>
      <w:r>
        <w:rPr>
          <w:rFonts w:eastAsia="IRNazanin" w:cs="IRNazanin"/>
          <w:color w:val="111111"/>
          <w:sz w:val="28"/>
          <w:szCs w:val="28"/>
          <w:rtl w:val="true"/>
          <w:lang w:bidi="fa-IR"/>
        </w:rPr>
        <w:t>.</w:t>
      </w:r>
      <w:r>
        <w:rPr>
          <w:rStyle w:val="FootnoteAnchor"/>
          <w:rtl w:val="true"/>
        </w:rPr>
        <w:footnoteReference w:id="511"/>
      </w:r>
    </w:p>
    <w:p>
      <w:pPr>
        <w:pStyle w:val="Heading5"/>
        <w:numPr>
          <w:ilvl w:val="4"/>
          <w:numId w:val="1"/>
        </w:numPr>
        <w:rPr/>
      </w:pPr>
      <w:bookmarkStart w:id="941" w:name="__RefHeading___Toc605776_1934241801"/>
      <w:bookmarkStart w:id="942" w:name="_Toc432"/>
      <w:bookmarkEnd w:id="941"/>
      <w:r>
        <w:rPr>
          <w:rtl w:val="true"/>
        </w:rPr>
        <w:t xml:space="preserve">روایت </w:t>
      </w:r>
      <w:r>
        <w:rPr/>
        <w:t>25</w:t>
      </w:r>
      <w:bookmarkEnd w:id="942"/>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همانا زنان در ایمان و عقل و بهره وری ناقص اند، امّا نقصان ایمان بانوان، برکنار بودن از نماز و روزه در ایام عادت حیض آنان است، و نقصان عقلشان با مردان بدان جهت است که شهادت دو زن برابر شهادت یک مرد است، و علّت نقصان در بهره وری از اموال آن است که ارث بانوان نصف ارث مردان است</w:t>
      </w:r>
      <w:r>
        <w:rPr>
          <w:rFonts w:eastAsia="IRNazanin" w:cs="IRNazanin"/>
          <w:color w:val="111111"/>
          <w:sz w:val="28"/>
          <w:szCs w:val="28"/>
          <w:rtl w:val="true"/>
          <w:lang w:bidi="fa-IR"/>
        </w:rPr>
        <w:t>.</w:t>
      </w:r>
      <w:r>
        <w:rPr>
          <w:rStyle w:val="FootnoteAnchor"/>
          <w:rtl w:val="true"/>
        </w:rPr>
        <w:footnoteReference w:id="512"/>
      </w:r>
    </w:p>
    <w:p>
      <w:pPr>
        <w:pStyle w:val="Heading5"/>
        <w:numPr>
          <w:ilvl w:val="4"/>
          <w:numId w:val="1"/>
        </w:numPr>
        <w:rPr/>
      </w:pPr>
      <w:bookmarkStart w:id="943" w:name="__RefHeading___Toc605778_1934241801"/>
      <w:bookmarkStart w:id="944" w:name="_Toc433"/>
      <w:bookmarkEnd w:id="943"/>
      <w:r>
        <w:rPr>
          <w:rtl w:val="true"/>
        </w:rPr>
        <w:t xml:space="preserve">روایت </w:t>
      </w:r>
      <w:r>
        <w:rPr/>
        <w:t>26</w:t>
      </w:r>
      <w:bookmarkEnd w:id="944"/>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سنّت قابل قیاس نیست، آیا نمی بینی که زن قضای روزه اش را به جا می آورد ولی قضای نمازش را به جا نمی آورد، حدیث</w:t>
      </w:r>
      <w:r>
        <w:rPr>
          <w:rFonts w:eastAsia="IRNazanin" w:cs="IRNazanin"/>
          <w:color w:val="111111"/>
          <w:sz w:val="28"/>
          <w:szCs w:val="28"/>
          <w:rtl w:val="true"/>
          <w:lang w:bidi="fa-IR"/>
        </w:rPr>
        <w:t>.</w:t>
      </w:r>
      <w:r>
        <w:rPr>
          <w:rStyle w:val="FootnoteAnchor"/>
          <w:rtl w:val="true"/>
        </w:rPr>
        <w:footnoteReference w:id="513"/>
      </w:r>
    </w:p>
    <w:p>
      <w:pPr>
        <w:pStyle w:val="Heading5"/>
        <w:numPr>
          <w:ilvl w:val="4"/>
          <w:numId w:val="1"/>
        </w:numPr>
        <w:rPr/>
      </w:pPr>
      <w:bookmarkStart w:id="945" w:name="__RefHeading___Toc605780_1934241801"/>
      <w:bookmarkStart w:id="946" w:name="_Toc434"/>
      <w:bookmarkEnd w:id="945"/>
      <w:r>
        <w:rPr>
          <w:rtl w:val="true"/>
        </w:rPr>
        <w:t xml:space="preserve">روایت </w:t>
      </w:r>
      <w:r>
        <w:rPr/>
        <w:t>27</w:t>
      </w:r>
      <w:bookmarkEnd w:id="946"/>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عبدالله قرشی در حدیثی از امام صادق علیه السلام روایت کرده است که ایشان به ابوحنیفه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با عظمت تر هستند نماز یا روزه؟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حائض قضای روزه را به جا می آورد ولی قضای نماز را به جا نمی آورد؟ تقوای خدا پیشه ساز و قیاس نکن</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شبیب بن أنس به نقل از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نظیر این حدیث را روایت کرده است</w:t>
      </w:r>
      <w:r>
        <w:rPr>
          <w:rFonts w:eastAsia="IRNazanin" w:cs="IRNazanin"/>
          <w:color w:val="111111"/>
          <w:sz w:val="28"/>
          <w:szCs w:val="28"/>
          <w:rtl w:val="true"/>
          <w:lang w:bidi="fa-IR"/>
        </w:rPr>
        <w:t>.</w:t>
      </w:r>
      <w:r>
        <w:rPr>
          <w:rStyle w:val="FootnoteAnchor"/>
          <w:rtl w:val="true"/>
        </w:rPr>
        <w:footnoteReference w:id="51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محمد بن عبدالله قرشی از ابن شبرمه از </w:t>
      </w:r>
      <w:bookmarkStart w:id="947" w:name="pg13517_329139"/>
    </w:p>
    <w:p>
      <w:pPr>
        <w:pStyle w:val="BookText"/>
        <w:rPr/>
      </w:pPr>
      <w:bookmarkEnd w:id="947"/>
      <w:r>
        <w:rPr>
          <w:rFonts w:ascii="Amiri" w:hAnsi="Amiri" w:eastAsia="Amiri" w:cs="Amiri"/>
          <w:color w:val="111111"/>
          <w:sz w:val="28"/>
          <w:sz w:val="28"/>
          <w:szCs w:val="28"/>
          <w:rtl w:val="true"/>
          <w:lang w:bidi="ar-SA"/>
        </w:rPr>
        <w:t>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8" w:name="__RefHeading___Toc605782_1934241801"/>
      <w:bookmarkStart w:id="949" w:name="_Toc435"/>
      <w:bookmarkEnd w:id="948"/>
      <w:r>
        <w:rPr>
          <w:rtl w:val="true"/>
        </w:rPr>
        <w:t>«</w:t>
      </w:r>
      <w:r>
        <w:rPr/>
        <w:t>28</w:t>
      </w:r>
      <w:r>
        <w:rPr>
          <w:rtl w:val="true"/>
        </w:rPr>
        <w:t>»</w:t>
      </w:r>
      <w:bookmarkEnd w:id="949"/>
    </w:p>
    <w:p>
      <w:pPr>
        <w:pStyle w:val="BookText"/>
        <w:rPr/>
      </w:pPr>
      <w:r>
        <w:rPr>
          <w:rFonts w:ascii="Amiri" w:hAnsi="Amiri" w:eastAsia="Amiri" w:cs="Amiri"/>
          <w:color w:val="111111"/>
          <w:sz w:val="28"/>
          <w:sz w:val="28"/>
          <w:szCs w:val="28"/>
          <w:rtl w:val="true"/>
          <w:lang w:bidi="ar-SA"/>
        </w:rPr>
        <w:t>الْعُيُونُ، عَنْ أَبِيهِ عَنْ عَلِيِّ بْنِ إِبْرَاهِيمَ عَنْ أَبِيهِ عَنْ عُثْمَانَ بْنِ عِيسَي عَنْ بَعْضِ أَصْحَابِهِ عَنْ مُوسَي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لِأَبِي يُوسُفَ فِي حَدِيثِ تَظْلِيلِ الْمُحْرِمِ مَا تَقُولُ فِي الْحَائِضِ تَقْضِي الصَّلَاةَ قَالَ لَا قَالَ تَقْضِي الصِّيَامَ قَالَ نَعَمْ قَالَ وَ لِمَ قَالَ هَكَذَا جَاءَ فَقَالَ أَبُو الْحَسَنِ عليه السلام وَ هَكَذَا جَاءَ هَذَا</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0" w:name="__RefHeading___Toc605784_1934241801"/>
      <w:bookmarkStart w:id="951" w:name="_Toc436"/>
      <w:bookmarkEnd w:id="950"/>
      <w:r>
        <w:rPr>
          <w:rtl w:val="true"/>
        </w:rPr>
        <w:t>«</w:t>
      </w:r>
      <w:r>
        <w:rPr/>
        <w:t>29</w:t>
      </w:r>
      <w:r>
        <w:rPr>
          <w:rtl w:val="true"/>
        </w:rPr>
        <w:t>»</w:t>
      </w:r>
      <w:bookmarkEnd w:id="951"/>
    </w:p>
    <w:p>
      <w:pPr>
        <w:pStyle w:val="BookText"/>
        <w:rPr/>
      </w:pPr>
      <w:r>
        <w:rPr>
          <w:rFonts w:ascii="Amiri" w:hAnsi="Amiri" w:eastAsia="Amiri" w:cs="Amiri"/>
          <w:color w:val="111111"/>
          <w:sz w:val="28"/>
          <w:sz w:val="28"/>
          <w:szCs w:val="28"/>
          <w:rtl w:val="true"/>
          <w:lang w:bidi="ar-SA"/>
        </w:rPr>
        <w:t>رِجَالُ الْكَشِّيِّ، عَنْ مُحَمَّدِ بْنِ مَسْعُودٍ عَنِ ابْنِ الْمُغِيرَةِ عَنِ الْفَضْلِ بْنِ شَاذَانَ عَنِ ابْنِ أَبِي عُمَيْرٍ عَنْ حَمَّادٍ عَنْ حَرِيزٍ عَنْ زُرَارَةَ أَنَّ أَبَا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الْكُوفَةِ لَمْ يَزَلْ فِيهِمْ كَذَّابٌ ثُمَّ ذَكَرَ الْمُغِيرَةَ فَقَالَ إِنَّهُ كَانَ يَكْذِبُ عَلَي أَبِي حَدِيثاً إِنَّ نِسَاءَ آلِ مُحَمَّدٍ حِضْنَ فَقَضَيْنَ الصَّلَاةَ وَ كَذَبَ لَعَنَهُ اللَّهُ مَا كَانَ شَيْ‌ءٌ مِنْ ذَلِكَ وَ لَا حَدَّثَهُ‌</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2" w:name="__RefHeading___Toc605786_1934241801"/>
      <w:bookmarkStart w:id="953" w:name="_Toc437"/>
      <w:bookmarkEnd w:id="952"/>
      <w:r>
        <w:rPr>
          <w:rtl w:val="true"/>
        </w:rPr>
        <w:t>«</w:t>
      </w:r>
      <w:r>
        <w:rPr/>
        <w:t>30</w:t>
      </w:r>
      <w:r>
        <w:rPr>
          <w:rtl w:val="true"/>
        </w:rPr>
        <w:t>»</w:t>
      </w:r>
      <w:bookmarkEnd w:id="953"/>
    </w:p>
    <w:p>
      <w:pPr>
        <w:pStyle w:val="BookText"/>
        <w:rPr/>
      </w:pPr>
      <w:r>
        <w:rPr>
          <w:rFonts w:ascii="Amiri" w:hAnsi="Amiri" w:eastAsia="Amiri" w:cs="Amiri"/>
          <w:color w:val="111111"/>
          <w:sz w:val="28"/>
          <w:sz w:val="28"/>
          <w:szCs w:val="28"/>
          <w:rtl w:val="true"/>
          <w:lang w:bidi="ar-SA"/>
        </w:rPr>
        <w:t>الْمَحَاسِنُ، عَنْ أَبِيهِ عَنْ صَفْوَانَ عَنْ مَنْصُورِ بْنِ حَازِمٍ عَمَّنْ ذَكَرَهُ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صلي الله عليه و آله قَالَ لِبَعْضِ نِسَائِهِ أَوْ لِجَارِيَةٍ لَهُ نَاوِلِينِي الْخُمْرَةَ</w:t>
      </w:r>
      <w:r>
        <w:rPr>
          <w:rStyle w:val="FootnoteAnchor"/>
          <w:rtl w:val="true"/>
        </w:rPr>
        <w:footnoteReference w:id="519"/>
      </w:r>
      <w:r>
        <w:rPr>
          <w:rFonts w:ascii="Amiri" w:hAnsi="Amiri" w:eastAsia="Amiri" w:cs="Amiri"/>
          <w:color w:val="111111"/>
          <w:sz w:val="28"/>
          <w:sz w:val="28"/>
          <w:szCs w:val="28"/>
          <w:rtl w:val="true"/>
          <w:lang w:bidi="ar-SA"/>
        </w:rPr>
        <w:t>أَسْجُدْ عَلَيْهَا قَالَتْ إِنِّي حَائِضٌ قَالَ أَ حَيْضُكِ فِي يَدِكِ‌</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4" w:name="__RefHeading___Toc605788_1934241801"/>
      <w:bookmarkStart w:id="955" w:name="_Toc438"/>
      <w:bookmarkEnd w:id="954"/>
      <w:r>
        <w:rPr>
          <w:rtl w:val="true"/>
        </w:rPr>
        <w:t>بيان</w:t>
      </w:r>
      <w:bookmarkEnd w:id="955"/>
    </w:p>
    <w:p>
      <w:pPr>
        <w:pStyle w:val="BookText"/>
        <w:rPr/>
      </w:pPr>
      <w:r>
        <w:rPr>
          <w:rFonts w:ascii="Amiri" w:hAnsi="Amiri" w:eastAsia="Amiri" w:cs="Amiri"/>
          <w:color w:val="111111"/>
          <w:sz w:val="28"/>
          <w:sz w:val="28"/>
          <w:szCs w:val="28"/>
          <w:rtl w:val="true"/>
          <w:lang w:bidi="ar-SA"/>
        </w:rPr>
        <w:t>قال في المنتهي بدن الحائض و الجنب ليس بنجس فلو أصاب أحدهم بيده ثوبا رطبا لم ينجس و حكي عن أبي سعيد أنه قال بدن الحائض و الجنب نجس حتي لو أدخل الجنب رجله في ماء قليل صار نجسا و ليس بشي‌ء لقوله صلي الله عليه و آله لعائشة ليست حيضتك في يدك</w:t>
      </w:r>
      <w:r>
        <w:rPr>
          <w:rFonts w:eastAsia="Amiri" w:cs="Amiri" w:ascii="Amiri" w:hAnsi="Amiri"/>
          <w:color w:val="111111"/>
          <w:sz w:val="28"/>
          <w:szCs w:val="28"/>
          <w:rtl w:val="true"/>
          <w:lang w:bidi="ar-SA"/>
        </w:rPr>
        <w:t>.</w:t>
      </w:r>
    </w:p>
    <w:p>
      <w:pPr>
        <w:pStyle w:val="Heading5"/>
        <w:numPr>
          <w:ilvl w:val="4"/>
          <w:numId w:val="1"/>
        </w:numPr>
        <w:rPr/>
      </w:pPr>
      <w:bookmarkStart w:id="956" w:name="__RefHeading___Toc605790_1934241801"/>
      <w:bookmarkStart w:id="957" w:name="_Toc439"/>
      <w:bookmarkEnd w:id="956"/>
      <w:r>
        <w:rPr>
          <w:rtl w:val="true"/>
        </w:rPr>
        <w:t>«</w:t>
      </w:r>
      <w:r>
        <w:rPr/>
        <w:t>31</w:t>
      </w:r>
      <w:r>
        <w:rPr>
          <w:rtl w:val="true"/>
        </w:rPr>
        <w:t>»</w:t>
      </w:r>
      <w:bookmarkEnd w:id="957"/>
    </w:p>
    <w:p>
      <w:pPr>
        <w:pStyle w:val="BookText"/>
        <w:rPr/>
      </w:pPr>
      <w:r>
        <w:rPr>
          <w:rFonts w:ascii="Amiri" w:hAnsi="Amiri" w:eastAsia="Amiri" w:cs="Amiri"/>
          <w:color w:val="111111"/>
          <w:sz w:val="28"/>
          <w:sz w:val="28"/>
          <w:szCs w:val="28"/>
          <w:rtl w:val="true"/>
          <w:lang w:bidi="ar-SA"/>
        </w:rPr>
        <w:t>الْمُقْنِعَةُ،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أَخْبَارٌ مُعْتَمَدَةٌ فِي أَنَّ أَقْصَي مُدَّةِ النِّفَاسِ مُدَّةُ</w:t>
      </w:r>
    </w:p>
    <w:p>
      <w:pPr>
        <w:pStyle w:val="BookText"/>
        <w:rPr/>
      </w:pPr>
      <w:r>
        <w:rPr>
          <w:rFonts w:ascii="IRNazanin" w:hAnsi="IRNazanin" w:eastAsia="IRNazanin"/>
          <w:color w:val="111111"/>
          <w:sz w:val="28"/>
          <w:sz w:val="28"/>
          <w:szCs w:val="28"/>
          <w:rtl w:val="true"/>
          <w:lang w:bidi="fa-IR"/>
        </w:rPr>
        <w:t>امام صادق علیه السلام نظیر این حدیث را روایت کرده است</w:t>
      </w:r>
      <w:r>
        <w:rPr>
          <w:rFonts w:eastAsia="IRNazanin" w:cs="IRNazanin"/>
          <w:color w:val="111111"/>
          <w:sz w:val="28"/>
          <w:szCs w:val="28"/>
          <w:rtl w:val="true"/>
          <w:lang w:bidi="fa-IR"/>
        </w:rPr>
        <w:t>.</w:t>
      </w:r>
      <w:r>
        <w:rPr>
          <w:rStyle w:val="FootnoteAnchor"/>
          <w:rtl w:val="true"/>
        </w:rPr>
        <w:footnoteReference w:id="521"/>
      </w:r>
    </w:p>
    <w:p>
      <w:pPr>
        <w:pStyle w:val="Heading5"/>
        <w:numPr>
          <w:ilvl w:val="4"/>
          <w:numId w:val="1"/>
        </w:numPr>
        <w:rPr/>
      </w:pPr>
      <w:bookmarkStart w:id="958" w:name="__RefHeading___Toc605792_1934241801"/>
      <w:bookmarkStart w:id="959" w:name="_Toc440"/>
      <w:bookmarkEnd w:id="958"/>
      <w:r>
        <w:rPr>
          <w:rtl w:val="true"/>
        </w:rPr>
        <w:t xml:space="preserve">روایت </w:t>
      </w:r>
      <w:r>
        <w:rPr/>
        <w:t>28</w:t>
      </w:r>
      <w:bookmarkEnd w:id="959"/>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روایت شده است که در ضمن حدیث تظلیل مُحرِم به ابویوسف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 زن حائض چیست؟ آیا قضای نماز را به جا می آورد؟ ابویوسف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قضای روزه را به جا می آورد؟ ابویوسف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ابویوسف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روایت شده است، پس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چنین روایت شده است</w:t>
      </w:r>
      <w:r>
        <w:rPr>
          <w:rFonts w:eastAsia="IRNazanin" w:cs="IRNazanin"/>
          <w:color w:val="111111"/>
          <w:sz w:val="28"/>
          <w:szCs w:val="28"/>
          <w:rtl w:val="true"/>
          <w:lang w:bidi="fa-IR"/>
        </w:rPr>
        <w:t>.</w:t>
      </w:r>
      <w:r>
        <w:rPr>
          <w:rStyle w:val="FootnoteAnchor"/>
          <w:rtl w:val="true"/>
        </w:rPr>
        <w:footnoteReference w:id="522"/>
      </w:r>
    </w:p>
    <w:p>
      <w:pPr>
        <w:pStyle w:val="Heading5"/>
        <w:numPr>
          <w:ilvl w:val="4"/>
          <w:numId w:val="1"/>
        </w:numPr>
        <w:rPr/>
      </w:pPr>
      <w:bookmarkStart w:id="960" w:name="__RefHeading___Toc605794_1934241801"/>
      <w:bookmarkStart w:id="961" w:name="_Toc441"/>
      <w:bookmarkEnd w:id="960"/>
      <w:r>
        <w:rPr>
          <w:rtl w:val="true"/>
        </w:rPr>
        <w:t xml:space="preserve">روایت </w:t>
      </w:r>
      <w:r>
        <w:rPr/>
        <w:t>29</w:t>
      </w:r>
      <w:bookmarkEnd w:id="961"/>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شده است که امام صادق علیه 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اهل کوفه پیوسته انسان هایی کذاب وجود داشته اند، سپس به ذکر مغیره پرداخت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دروغ حدیثی را به پدرم نسبت می داد به این ترتیب که زنان آل محمّد دچار حیض می شدند و نماز را قضا می کردند، خداوند او را لعنت کند که دروغ گفت، چنین چیزی روی نداده و پدرم نیز آن را نقل نکرده است</w:t>
      </w:r>
      <w:r>
        <w:rPr>
          <w:rFonts w:eastAsia="IRNazanin" w:cs="IRNazanin"/>
          <w:color w:val="111111"/>
          <w:sz w:val="28"/>
          <w:szCs w:val="28"/>
          <w:rtl w:val="true"/>
          <w:lang w:bidi="fa-IR"/>
        </w:rPr>
        <w:t>.</w:t>
      </w:r>
      <w:r>
        <w:rPr>
          <w:rStyle w:val="FootnoteAnchor"/>
          <w:rtl w:val="true"/>
        </w:rPr>
        <w:footnoteReference w:id="523"/>
      </w:r>
    </w:p>
    <w:p>
      <w:pPr>
        <w:pStyle w:val="Heading5"/>
        <w:numPr>
          <w:ilvl w:val="4"/>
          <w:numId w:val="1"/>
        </w:numPr>
        <w:rPr/>
      </w:pPr>
      <w:bookmarkStart w:id="962" w:name="__RefHeading___Toc605796_1934241801"/>
      <w:bookmarkStart w:id="963" w:name="_Toc442"/>
      <w:bookmarkEnd w:id="962"/>
      <w:r>
        <w:rPr>
          <w:rtl w:val="true"/>
        </w:rPr>
        <w:t xml:space="preserve">روایت </w:t>
      </w:r>
      <w:r>
        <w:rPr/>
        <w:t>30</w:t>
      </w:r>
      <w:bookmarkEnd w:id="963"/>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است که پیامبر صلی الله علیه و آله به یکی از همسران یا کنیزان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حصیر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من بده که بر آن نماز بگزارم، همسر یا کنیز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درحال حیض هستم،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حیضِ تو در دستانت قراردارد؟</w:t>
      </w:r>
      <w:r>
        <w:rPr>
          <w:rStyle w:val="FootnoteAnchor"/>
          <w:rtl w:val="true"/>
        </w:rPr>
        <w:footnoteReference w:id="524"/>
      </w:r>
    </w:p>
    <w:p>
      <w:pPr>
        <w:pStyle w:val="Heading5"/>
        <w:numPr>
          <w:ilvl w:val="4"/>
          <w:numId w:val="1"/>
        </w:numPr>
        <w:rPr/>
      </w:pPr>
      <w:bookmarkStart w:id="964" w:name="__RefHeading___Toc605798_1934241801"/>
      <w:bookmarkStart w:id="965" w:name="_Toc443"/>
      <w:bookmarkEnd w:id="964"/>
      <w:r>
        <w:rPr>
          <w:rtl w:val="true"/>
        </w:rPr>
        <w:t>توضیح</w:t>
      </w:r>
      <w:bookmarkEnd w:id="965"/>
    </w:p>
    <w:p>
      <w:pPr>
        <w:pStyle w:val="BookText"/>
        <w:rPr/>
      </w:pPr>
      <w:r>
        <w:rPr>
          <w:rFonts w:ascii="IRNazanin" w:hAnsi="IRNazanin" w:eastAsia="IRNazanin"/>
          <w:color w:val="111111"/>
          <w:sz w:val="28"/>
          <w:sz w:val="28"/>
          <w:szCs w:val="28"/>
          <w:rtl w:val="true"/>
          <w:lang w:bidi="fa-IR"/>
        </w:rPr>
        <w:t>شیخ درالنهایه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حائض و جُنُب نجس نیست، پس اگر یکی از آن ها با دستش لباس خیسی را لمس کند لباس نجس نمی شود، ولی از ابوسعید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حائض و جنب نجس است تا جائی که اگر جنب پایش را درآب اندکی بگذارد نجس می شود؛ امّا چنین نیست چرا که پیامبرصلی الله و علیه و آله به عایشه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 تو در دستت نیست</w:t>
      </w:r>
      <w:r>
        <w:rPr>
          <w:rFonts w:eastAsia="IRNazanin" w:cs="IRNazanin"/>
          <w:color w:val="111111"/>
          <w:sz w:val="28"/>
          <w:szCs w:val="28"/>
          <w:rtl w:val="true"/>
          <w:lang w:bidi="fa-IR"/>
        </w:rPr>
        <w:t>.</w:t>
      </w:r>
    </w:p>
    <w:p>
      <w:pPr>
        <w:pStyle w:val="Heading5"/>
        <w:numPr>
          <w:ilvl w:val="4"/>
          <w:numId w:val="1"/>
        </w:numPr>
        <w:rPr/>
      </w:pPr>
      <w:bookmarkStart w:id="966" w:name="__RefHeading___Toc605800_1934241801"/>
      <w:bookmarkStart w:id="967" w:name="_Toc444"/>
      <w:bookmarkEnd w:id="966"/>
      <w:r>
        <w:rPr>
          <w:rtl w:val="true"/>
        </w:rPr>
        <w:t xml:space="preserve">روایت </w:t>
      </w:r>
      <w:r>
        <w:rPr/>
        <w:t>31</w:t>
      </w:r>
      <w:bookmarkEnd w:id="96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قابل اعتمادی روایت شده است مبنی بر اینکه بیشترین مدّت نفاس، همان بیشترین مدّت حیض یعنی ده روز می باشد</w:t>
      </w:r>
      <w:r>
        <w:rPr>
          <w:rFonts w:eastAsia="IRNazanin" w:cs="IRNazanin"/>
          <w:color w:val="111111"/>
          <w:sz w:val="28"/>
          <w:szCs w:val="28"/>
          <w:rtl w:val="true"/>
          <w:lang w:bidi="fa-IR"/>
        </w:rPr>
        <w:t>.</w:t>
      </w:r>
      <w:r>
        <w:rPr>
          <w:rStyle w:val="FootnoteAnchor"/>
          <w:rtl w:val="true"/>
        </w:rPr>
        <w:footnoteReference w:id="525"/>
      </w:r>
      <w:bookmarkStart w:id="968" w:name="pg13517_329140"/>
    </w:p>
    <w:p>
      <w:pPr>
        <w:pStyle w:val="BookText"/>
        <w:rPr/>
      </w:pPr>
      <w:bookmarkEnd w:id="968"/>
      <w:r>
        <w:rPr>
          <w:rFonts w:ascii="Amiri" w:hAnsi="Amiri" w:eastAsia="Amiri" w:cs="Amiri"/>
          <w:color w:val="111111"/>
          <w:sz w:val="28"/>
          <w:sz w:val="28"/>
          <w:szCs w:val="28"/>
          <w:rtl w:val="true"/>
          <w:lang w:bidi="ar-SA"/>
        </w:rPr>
        <w:t>الْحَيْضِ عَشَرَةُ أَيَّامٍ‌</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9" w:name="__RefHeading___Toc605802_1934241801"/>
      <w:bookmarkStart w:id="970" w:name="_Toc445"/>
      <w:bookmarkEnd w:id="969"/>
      <w:r>
        <w:rPr>
          <w:rtl w:val="true"/>
        </w:rPr>
        <w:t>«</w:t>
      </w:r>
      <w:r>
        <w:rPr/>
        <w:t>32</w:t>
      </w:r>
      <w:r>
        <w:rPr>
          <w:rtl w:val="true"/>
        </w:rPr>
        <w:t>»</w:t>
      </w:r>
      <w:bookmarkEnd w:id="970"/>
    </w:p>
    <w:p>
      <w:pPr>
        <w:pStyle w:val="BookText"/>
        <w:rPr/>
      </w:pPr>
      <w:r>
        <w:rPr>
          <w:rFonts w:ascii="Amiri" w:hAnsi="Amiri" w:eastAsia="Amiri" w:cs="Amiri"/>
          <w:color w:val="111111"/>
          <w:sz w:val="28"/>
          <w:sz w:val="28"/>
          <w:szCs w:val="28"/>
          <w:rtl w:val="true"/>
          <w:lang w:bidi="ar-SA"/>
        </w:rPr>
        <w:t>مُنْتَقَي الْجُمَانِ، مِنْ كِتَابِ الْأَغْسَالِ لِأَحْمَدَ بْنِ مُحَمَّدِ بْنِ عَيَّاشٍ الْجَوْهَرِيِّ عَنْ أَحْمَدَ بْنِ مُحَمَّدِ بْنِ يَحْيَي عَنْ سَعْدِ بْنِ عَبْدِ اللَّهِ عَنْ إِبْرَاهِيمَ بْنِ هَاشِمٍ عَنْ عُثْمَانَ بْنِ عِيسَي عَنْ عُمَرَ بْنِ أُذَيْنَةَ 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امْرَأَةُ مُحَمَّدِ بْنِ مُسْلِمٍ وَ كَانَتْ وَلُوداً أَقْرِئْ أَبَا جَعْفَرٍ السَّلَامَ وَ أَخْبِرْهُ أَنِّي كُنْتُ أَقْعُدُ فِي نِفَاسِي أَرْبَعِينَ يَوْماً وَ أَنَّ أَصْحَابَنَا ضَيَّقُوا عَلَيَّ فَجَعَلُوهَا ثَمَانِيَةَ عَشَرَ يَوْماً فَقَالَ أَبُو جَعْفَرٍ عليه السلام مَنْ أَفْتَاهَا بِثَمَانِيَةَ عَشَرَ يَوْماً قَالَ قُلْتُ الرِّوَايَةُ الَّتِي رَوَوْهَا فِي أَسْمَاءَ بِنْتِ عُمَيْسٍ أَنَّهَا نَفِسَتْ بِمُحَمَّدِ بْنِ أَبِي بَكْرٍ بِذِي الْحُلَيْفَةِ فَقَالَتْ يَا رَسُولَ اللَّهِ صلي الله عليه و آله كَيْفَ أَصْنَعُ فَقَالَ اغْتَسِلِي وَ احْتَشِي وَ أَهِلِّي بِالْحَجِّ فَاغْتَسَلَتْ وَ احْتَشَتْ وَ دَخَلَتْ مَكَّةَ وَ لَمْ تَطُفْ وَ لَمْ تَسْعَ حَتَّي انْقَضَي الْحَجَّ فَرَجَعَتْ إِلَي مَكَّةَ فَأَتَتْ رَسُولَ اللَّهِ صلي الله عليه و آله فَقَالَتْ يَا رَسُولَ اللَّهِ صلي الله عليه و آله أَحْرَمْتُ وَ لَمْ أَطُفْ وَ لَمْ أَسْعَ فَقَالَ لَهَا رَسُولُ اللَّهِ وَ كَمْ لَكِ الْيَوْمَ فَقَالَتْ ثَمَانِيَةَ عَشَرَ يَوْماً فَقَالَ أَمَّا الْآنَ فَاخْرُجِي السَّاعَةَ فَاغْتَسِلِي وَ احْتَشِي وَ طُوفِي وَ اسْعَيْ فَاغْتَسَلَتْ وَ طَافَتْ وَ سَعَتْ وَ أَحَلَّتْ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 إِنَّهَا لَوْ سَأَلَتْ رَسُولَ اللَّهِ صلي الله عليه و آله قَبْلَ ذَلِكَ وَ أَخْبَرَتْهُ لَأَمَرَهَا بِمَا أَمَرَهَا بِهِ قُلْتُ فَمَا حَدُّ النُّفَسَاءِ فَقَالَ تَقْعُدُ أَيَّامَهَا الَّتِي كَانَتْ تَطْمَثُ فِيهِنَّ أَيَّامَ قُرْئِهَا فَإِنْ هِيَ طَهُرَتْ وَ إِلَّا اسْتَظْهَرَتْ بِيَوْمَيْنِ أَوْ ثَلَاثَةَ أَيَّامٍ ثُمَّ اغْتَسَلَتْ وَ احْتَشَتْ فَإِنْ كَانَ انْقَطَعَ الدَّمُ فَقَدْ طَهُرَتْ وَ إِنْ لَمْ يَنْقَطِعْ فَهِيَ بِمَنْزِلَةِ الْمُسْتَحَاضَةِ تَغْتَسِلُ لِكُلِّ صَلَاتَيْنِ وَ تُصَلِّي‌</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1" w:name="__RefHeading___Toc605804_1934241801"/>
      <w:bookmarkStart w:id="972" w:name="_Toc446"/>
      <w:bookmarkEnd w:id="971"/>
      <w:r>
        <w:rPr>
          <w:rtl w:val="true"/>
        </w:rPr>
        <w:t>بيان</w:t>
      </w:r>
      <w:bookmarkEnd w:id="972"/>
    </w:p>
    <w:p>
      <w:pPr>
        <w:pStyle w:val="BookText"/>
        <w:rPr/>
      </w:pPr>
      <w:r>
        <w:rPr>
          <w:rFonts w:ascii="Amiri" w:hAnsi="Amiri" w:eastAsia="Amiri" w:cs="Amiri"/>
          <w:color w:val="111111"/>
          <w:sz w:val="28"/>
          <w:sz w:val="28"/>
          <w:szCs w:val="28"/>
          <w:rtl w:val="true"/>
          <w:lang w:bidi="ar-SA"/>
        </w:rPr>
        <w:t>قال المؤلف المحقق قدس سره بعد إيراد أخبار هذا الباب و اعلم أن المعتمد من هذه الأخبار ما دل علي الرجوع إلي العادة في الحيض لبعده عن التأويل و اشتراك سائر الأخبار في الصلاحية للحمل علي التقية و</w:t>
      </w:r>
    </w:p>
    <w:p>
      <w:pPr>
        <w:pStyle w:val="Heading5"/>
        <w:numPr>
          <w:ilvl w:val="4"/>
          <w:numId w:val="1"/>
        </w:numPr>
        <w:rPr/>
      </w:pPr>
      <w:bookmarkStart w:id="973" w:name="__RefHeading___Toc605806_1934241801"/>
      <w:bookmarkStart w:id="974" w:name="_Toc447"/>
      <w:bookmarkEnd w:id="973"/>
      <w:r>
        <w:rPr>
          <w:rtl w:val="true"/>
        </w:rPr>
        <w:t xml:space="preserve">روایت </w:t>
      </w:r>
      <w:r>
        <w:rPr/>
        <w:t>32</w:t>
      </w:r>
      <w:bookmarkEnd w:id="974"/>
    </w:p>
    <w:p>
      <w:pPr>
        <w:pStyle w:val="BookText"/>
        <w:rPr/>
      </w:pPr>
      <w:r>
        <w:rPr>
          <w:rFonts w:ascii="IRNazanin" w:hAnsi="IRNazanin" w:eastAsia="IRNazanin"/>
          <w:color w:val="111111"/>
          <w:sz w:val="28"/>
          <w:sz w:val="28"/>
          <w:szCs w:val="28"/>
          <w:rtl w:val="true"/>
          <w:lang w:bidi="fa-IR"/>
        </w:rPr>
        <w:t>منتقی الجُمان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الأغسال جوهریّ از حمران بن أعین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محمد بن مسلم درحالی که زایمان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خدمت امام باقر علیه السلام برسان و ایشان را آگاه ساز که من در دوره نفاس چهل روز از نماز خواندن دست می کشیدم، ولی یاران ما بر من فشار آورده و در تنگنایم گذاشتند و این مدّت را به هجده روز تبدیل کردند، 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به هجده روز فتوی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روایتی که در مورد أسماء دختر عمیس روایت کرده اند مبنی بر اینکه وی در ذوالخلیفه محمّد بن ابی بکر را به دنیا آورد،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چه کاری انجام دهم؟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کن و خود را وارسی کرده و مطهّر گردان و آماده حج شو؛ پس أسماء غسل کرد و خود را مطهّر گرداند و وارد مکّه شد، ولی طواف نکرد و 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نداد تا اینکه مناسک حجّ به پایان رسید و به سوی مدینه بازگشت، پس نزد رسول خدا صلّی الله علیه و آله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احرام نمودم ولی طواف و سعی را انجام ندادم، 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است که زایمان کرده ای؟ 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روز،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خارج شو وغسل کن و خود را پاک گردان، سپس طواف و سعی را انجام بده؛ پس اسماء غسل کرد و طواف و سعی را انجام داد و از انجام مناسک فارغ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اسماء قبل از آن از رسول خدا صلّی الله و علیه و آله سؤال می پرسید و ایشان را از وضعیت خود آگاه می کرد، آنچه را به او امر فرمود امر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حُکم نفساء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زائو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ایّامی که در دوران عادت ماهیانه خود دچار حیض می شود از عبادت دست می کشد، پس اگر پاک شد عبادت را از سر می گیرد، در غیر این صورت به مدّت دو یا سه روز استظهار می کند، سپس غسل نموده و خود را پاک می گرداند، پس اگر خونریزی قطع شده باشد پاک شده است و اگر قطع نشده باشد به منزله زن مستحاضه است که برای هر دو نماز یک غسل واحد را انجام می دهد و نماز می خواند</w:t>
      </w:r>
      <w:r>
        <w:rPr>
          <w:rFonts w:eastAsia="IRNazanin" w:cs="IRNazanin"/>
          <w:color w:val="111111"/>
          <w:sz w:val="28"/>
          <w:szCs w:val="28"/>
          <w:rtl w:val="true"/>
          <w:lang w:bidi="fa-IR"/>
        </w:rPr>
        <w:t>.</w:t>
      </w:r>
      <w:r>
        <w:rPr>
          <w:rStyle w:val="FootnoteAnchor"/>
          <w:rtl w:val="true"/>
        </w:rPr>
        <w:footnoteReference w:id="528"/>
      </w:r>
    </w:p>
    <w:p>
      <w:pPr>
        <w:pStyle w:val="Heading5"/>
        <w:numPr>
          <w:ilvl w:val="4"/>
          <w:numId w:val="1"/>
        </w:numPr>
        <w:rPr/>
      </w:pPr>
      <w:bookmarkStart w:id="975" w:name="__RefHeading___Toc605808_1934241801"/>
      <w:bookmarkStart w:id="976" w:name="_Toc448"/>
      <w:bookmarkEnd w:id="975"/>
      <w:r>
        <w:rPr>
          <w:rtl w:val="true"/>
        </w:rPr>
        <w:t>توضیح</w:t>
      </w:r>
      <w:bookmarkEnd w:id="97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محقّق ای کتاب قدّس سرّه بعد از ذکر احادیث این باب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احادیث قابل اعتماد آن هایی هستند که بر بازگشت به عادت در دوران حیض دلالت می کنند، به خاطر اینکه از تأویل به دور هستند و سایر احادیث در صلاحیت حمل نمودن بر تقیّه، اشتراک دارند، </w:t>
      </w:r>
    </w:p>
    <w:p>
      <w:pPr>
        <w:pStyle w:val="BookText"/>
        <w:rPr/>
      </w:pPr>
      <w:r>
        <w:rPr>
          <w:rFonts w:ascii="Amiri" w:hAnsi="Amiri" w:eastAsia="Amiri" w:cs="Amiri"/>
          <w:color w:val="111111"/>
          <w:sz w:val="28"/>
          <w:sz w:val="28"/>
          <w:szCs w:val="28"/>
          <w:rtl w:val="true"/>
          <w:lang w:bidi="ar-SA"/>
        </w:rPr>
        <w:t>هو أقرب الوجوه التي ذكرها الشيخ للجمع فقال إن كل من يخالفنا يذهب إلي أن أيام النفاس أكثر مما نقوله قال و لهذا اختلفت ألفاظ الأحاديث كاختلاف العامة في مذاهبهم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جماعة من الأصحاب أولهم الشيخ رحمه الله في تأويل ما تضمن قصة أسماء أنها محمولة علي تأخر سؤالها النبي صلي الله عليه و آله حتي انقضت المدة المذكورة فيكون أمرها بعد الثمانية عشر وقع اتفاقا لا تقديرا و استشهدوا له بهذا الخبر و غيره و الحق أن هذا التأويل بعيد عن أكثر الأخبار المتضمنة لقضية أسماء فاعتماد الحمل علي التقية 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يعترض بعدم ظهور القائل بمضمونها من العامة فيجاب بأن القضية لما كانت متقررة مضبوطة معروفة و ليس للإنكار فيها مجال كان التمسك بها في محل الحاجة مناسبا إذ فيه عدول عن إظهار المذهب و تقليل لمخالفته فلذلك تكررت حكايتها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اختار العلامة في المختلف العمل بمضمونها في المبتدئة نظرا إلي أن المعارض لها مخصوص بالمعتادة و نوقش في ذلك بأن أسماء تزوجت بأبي بكر بعد موت جعفر بن أبي طالب رضي الله عنه و كان قد ولدت منه عدة أولاد و يبعد جدا أن لا يكون لها في تلك المدة كلها عادة في الحيض و هو 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أيضا مناقشة أخري و هي أن الحكم بالرجوع إلي العادة يدل علي ارتباط النفاس بالحيض و اختلاف عادات الحيض لا يقتضي أكثر من احتمال كون مدة حيض المبتدئة أقصي العادات و هي لا تزيد علي العشرة فالقدر المذكور من التفاوت بين المبتدئة و ذات العادة لا يساعد عليه الاعتبار الذي هو للجمع معيار و لو استبعد كون التفصيل المذكور في قضية أسماء بكماله منزلا علي التقية لأمكن المصير إلي أن القدر الذي يستبعد ذلك فيه منسوخ لأنه متقدم و الحكم بالرجوع إلي العادة متأخر و إذا تعذر الجمع تعين النسخ و يكون تقرير الحكم بعد نسخه محمولا علي التقية لما قلناه من أن في ذلك تقليلا</w:t>
      </w:r>
    </w:p>
    <w:p>
      <w:pPr>
        <w:pStyle w:val="BookText"/>
        <w:rPr/>
      </w:pPr>
      <w:r>
        <w:rPr>
          <w:rFonts w:ascii="IRNazanin" w:hAnsi="IRNazanin" w:eastAsia="IRNazanin"/>
          <w:color w:val="111111"/>
          <w:sz w:val="28"/>
          <w:sz w:val="28"/>
          <w:szCs w:val="28"/>
          <w:rtl w:val="true"/>
          <w:lang w:bidi="fa-IR"/>
        </w:rPr>
        <w:t>و آن نزدیک ترین وجه از وجوهی است که شیخ برای جمع ذکر کرده است، 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کسانی که مخالف ما هستند بر این باورند که ایّام نفاس بیش از چیزی است که ما می گوییم، به همین خاطر الفاظ احادیث مختلف است همان گونه که عامّه در نظراتشان متفاوت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فقها و در رأس آن ها شیخ رحمه الله در تأویل آنچه داستان اسماء در بردارد چنین گفته اند که آن داستان بر تأخیر سؤال پرسیدن اسماء از پیامبر صلّی الله علیه و آله تا زمان پایان مدّت مذکور حمل می شود، پس دست کشیدن اسماء از نماز گزاردن به مدت هجده روز به صورت اتفاقی و نه از روی اندازه گیری روی داده است، و این حدیث و غیر آن را به عنوان شاهد بر نظر خود ذکر کرده اند، واقعیت آن است که این تأویل از بیشتر احادیثی که داستان اسماء را نقل کرده اند دور است، پس اگر داستان را محمول بر تقیّه بدانیم شایسته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این نظر به دلیل عدم وجود کسی که در میان عامّه قائل به آن باشد مورد اعتراض قرار گیرد، پس پاسخ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داستان اسماء قطعی، ثابت شده و معروف است و مجالی برای انکار آن وجود ندارد، تمسّک به آن در موقع نیاز مناسب است، چه که در آن، از اظهار مذهب عدول شده و برای مخالفت با آن کاهشی وجود دارد، بنابراین نقل این داستان در احادیث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در المختلف عمل به مضمون این داستان را در مورد زن مبتدئه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برای بار اوّل دچار حیض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است، نظر به اینکه مخالف این داستان آن را درخصوص زن دارای عادت به کار برده است، و این نظر چنین مورد بحث و مناقشه قرار گرفته است که اسماء بعد از وفات جعفر بن ابی طالب رضی الله عنه با ابوبکر ازدواج کرد و چند فرزند از او برایش به دنیا آمد، و خیلی بعید است که در تمام آن مدّت در ایّام حیض دچار عادت نشده باشد، واین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بحث و مناقشه دیگری نیز بر سر آن وجود دارد به این ترتیب که حُکم دادن به رجوع به عادت بر ارتباط بین نفاس با حیض دلالت می کند، و اختلاف عادت های حیض بیش از این احتمال را اقتضا نمی کند که مدت حیض مبتدئه کمترین عادات است که از ده روز تجاوز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مقدار مذکور از تفاوت بین مبتدئه و دارای عادت، اعتباری که برای جمع معیار است آن را تأیید نمی کند؛ و اگر بعید شمرده شود که تفصیل مذکور در قضیه اسماء با همه کمال آن، بر اساس تقیه باشد می توان به این سو رفت که مقداری که بعید شمرده شده منسوخ است چون متقدم است وحکم رجوع به عادت، متأخر است و اگر نتوان جمع کرد نسخ لازم می آید و تقریر حکم بعد از نسخ آن محمول بر تقیه است، چرا که گفتیم در این کار تقلیل </w:t>
      </w:r>
      <w:bookmarkStart w:id="977" w:name="pg13517_329142"/>
    </w:p>
    <w:p>
      <w:pPr>
        <w:pStyle w:val="BookText"/>
        <w:rPr/>
      </w:pPr>
      <w:bookmarkEnd w:id="977"/>
      <w:r>
        <w:rPr>
          <w:rFonts w:ascii="Amiri" w:hAnsi="Amiri" w:eastAsia="Amiri" w:cs="Amiri"/>
          <w:color w:val="111111"/>
          <w:sz w:val="28"/>
          <w:sz w:val="28"/>
          <w:szCs w:val="28"/>
          <w:rtl w:val="true"/>
          <w:lang w:bidi="ar-SA"/>
        </w:rPr>
        <w:t>للمخالفة و مع تأدي التقية بالأدني لا يتخطي إلي الأعلي انتهي كلامه رفع الله مقامه و هو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القول بالتخيير و الاستظهار إلي ثمانية عشر أظهر و الحمل علي غير ذات العادة أيضا غير بعيد و الله يعلم</w:t>
      </w:r>
      <w:r>
        <w:rPr>
          <w:rFonts w:eastAsia="Amiri" w:cs="Amiri" w:ascii="Amiri" w:hAnsi="Amiri"/>
          <w:color w:val="111111"/>
          <w:sz w:val="28"/>
          <w:szCs w:val="28"/>
          <w:rtl w:val="true"/>
          <w:lang w:bidi="ar-SA"/>
        </w:rPr>
        <w:t>.</w:t>
      </w:r>
    </w:p>
    <w:p>
      <w:pPr>
        <w:pStyle w:val="Heading5"/>
        <w:numPr>
          <w:ilvl w:val="4"/>
          <w:numId w:val="1"/>
        </w:numPr>
        <w:rPr/>
      </w:pPr>
      <w:bookmarkStart w:id="978" w:name="__RefHeading___Toc605810_1934241801"/>
      <w:bookmarkStart w:id="979" w:name="_Toc449"/>
      <w:bookmarkEnd w:id="978"/>
      <w:r>
        <w:rPr>
          <w:rtl w:val="true"/>
        </w:rPr>
        <w:t>«</w:t>
      </w:r>
      <w:r>
        <w:rPr/>
        <w:t>33</w:t>
      </w:r>
      <w:r>
        <w:rPr>
          <w:rtl w:val="true"/>
        </w:rPr>
        <w:t>»</w:t>
      </w:r>
      <w:bookmarkEnd w:id="979"/>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رَأَتِ الْحُبْلَي الدَّمَ فَعَلَيْهَا أَنْ تَقْعُدَ أَيَّامَهَا لِلْحَيْضِ فَإِذَا زَادَ عَلَي الْأَيَّامِ الدَّمُ اسْتَظْهَرَتْ بِثَلَاثَةِ أَيَّامٍ ثُمَّ هِيَ مُسْتَحَاضَةٌ وَ إِنْ وَلَدَتِ الْمَرْأَةُ قَعَدَتْ عَنِ الصَّلَاةِ عَشَرَةَ أَيَّامٍ إِلَّا أَنْ تَطْهُرَ قَبْلَ ذَلِكَ فَإِنِ اسْتَمَرَّ بِهَا الدَّمُ تَرَكَتِ الصَّلَاةَ عَشَرَةَ أَيَّامٍ فَإِذَا كَانَ الْيَوْمُ الْحَادِيَ عَشَرَ اغْتَسَلَتْ وَ احْتَشَتْ وَ اسْتَثْفَرَتْ وَ عَمِلَتْ بِمَا تَعْمَلُ الْمُسْتَحَاضَةُ وَ قَدْ رُوِيَ أَنَّهَا تَقْعُدُ ثَمَانِيَةَ عَشَرَ يَوْماً وَ رُوِيَ عَنْ أَبِي عَبْدِ اللَّهِ الصَّادِقِ عليه السلام أَنَّهُ قَالَ إِنَّ نِسَاءَكُمْ لَسْنَ كَالنِّسَاءِ الْأُوَلِ إِنَّ نِسَاءَكُمْ أَكْبَرُ لَحْماً وَ أَكْثَرُ دَماً فَلْتَقْعُدْ حَتَّي تَطْهُرَ وَ قَدْ رُوِيَ أَنَّهَا تَقْعُدُ مَا بَيْنَ أَرْبَعِينَ يَوْماً إِلَي خَمْسِينَ يَوْماً</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0" w:name="__RefHeading___Toc605812_1934241801"/>
      <w:bookmarkStart w:id="981" w:name="_Toc450"/>
      <w:bookmarkEnd w:id="980"/>
      <w:r>
        <w:rPr>
          <w:rtl w:val="true"/>
        </w:rPr>
        <w:t>بيان</w:t>
      </w:r>
      <w:bookmarkEnd w:id="981"/>
    </w:p>
    <w:p>
      <w:pPr>
        <w:pStyle w:val="BookText"/>
        <w:rPr/>
      </w:pPr>
      <w:r>
        <w:rPr>
          <w:rFonts w:ascii="Amiri" w:hAnsi="Amiri" w:eastAsia="Amiri" w:cs="Amiri"/>
          <w:color w:val="111111"/>
          <w:sz w:val="28"/>
          <w:sz w:val="28"/>
          <w:szCs w:val="28"/>
          <w:rtl w:val="true"/>
          <w:lang w:bidi="ar-SA"/>
        </w:rPr>
        <w:t>لا ريب في أن الأخبار المشتملة علي ما زاد علي أحد و عشرين يوما محمولة علي التقية</w:t>
      </w:r>
      <w:r>
        <w:rPr>
          <w:rFonts w:eastAsia="Amiri" w:cs="Amiri" w:ascii="Amiri" w:hAnsi="Amiri"/>
          <w:color w:val="111111"/>
          <w:sz w:val="28"/>
          <w:szCs w:val="28"/>
          <w:rtl w:val="true"/>
          <w:lang w:bidi="ar-SA"/>
        </w:rPr>
        <w:t>.</w:t>
      </w:r>
    </w:p>
    <w:p>
      <w:pPr>
        <w:pStyle w:val="Heading5"/>
        <w:numPr>
          <w:ilvl w:val="4"/>
          <w:numId w:val="1"/>
        </w:numPr>
        <w:rPr/>
      </w:pPr>
      <w:bookmarkStart w:id="982" w:name="__RefHeading___Toc605814_1934241801"/>
      <w:bookmarkStart w:id="983" w:name="_Toc451"/>
      <w:bookmarkEnd w:id="982"/>
      <w:r>
        <w:rPr>
          <w:rtl w:val="true"/>
        </w:rPr>
        <w:t>«</w:t>
      </w:r>
      <w:r>
        <w:rPr/>
        <w:t>34</w:t>
      </w:r>
      <w:r>
        <w:rPr>
          <w:rtl w:val="true"/>
        </w:rPr>
        <w:t>»</w:t>
      </w:r>
      <w:bookmarkEnd w:id="983"/>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الْحَيْضِ عَشَرَةُ أَيَّامٍ وَ أَكْثَرُ النِّفَاسِ أَرْبَعُونَ يَوْماً</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لِيَجْعَلَ مَعَ حَمْلٍ حَيْضاً فَإِذَا رَأَتِ الْمَرْأَةُ الدَّمَ وَ هِيَ حُبْلَي لَمْ تَدَعِ الصَّلَاةَ</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4" w:name="__RefHeading___Toc605816_1934241801"/>
      <w:bookmarkStart w:id="985" w:name="_Toc452"/>
      <w:bookmarkEnd w:id="984"/>
      <w:r>
        <w:rPr>
          <w:rtl w:val="true"/>
        </w:rPr>
        <w:t>بيان</w:t>
      </w:r>
      <w:bookmarkEnd w:id="985"/>
    </w:p>
    <w:p>
      <w:pPr>
        <w:pStyle w:val="BookText"/>
        <w:rPr/>
      </w:pPr>
      <w:r>
        <w:rPr>
          <w:rFonts w:ascii="Amiri" w:hAnsi="Amiri" w:eastAsia="Amiri" w:cs="Amiri"/>
          <w:color w:val="111111"/>
          <w:sz w:val="28"/>
          <w:sz w:val="28"/>
          <w:szCs w:val="28"/>
          <w:rtl w:val="true"/>
          <w:lang w:bidi="ar-SA"/>
        </w:rPr>
        <w:t>في بعض النسخ تدع الصلاة فهو استفهام علي الإنكار أو المراد بصدر الحديث أنه لم يكن فيما مضي يرين الدم فأما إذا رأين تركن الصلاة</w:t>
      </w:r>
      <w:r>
        <w:rPr>
          <w:rFonts w:eastAsia="Amiri" w:cs="Amiri" w:ascii="Amiri" w:hAnsi="Amiri"/>
          <w:color w:val="111111"/>
          <w:sz w:val="28"/>
          <w:szCs w:val="28"/>
          <w:rtl w:val="true"/>
          <w:lang w:bidi="ar-SA"/>
        </w:rPr>
        <w:t>.</w:t>
      </w:r>
    </w:p>
    <w:p>
      <w:pPr>
        <w:pStyle w:val="Heading5"/>
        <w:numPr>
          <w:ilvl w:val="4"/>
          <w:numId w:val="1"/>
        </w:numPr>
        <w:rPr/>
      </w:pPr>
      <w:bookmarkStart w:id="986" w:name="__RefHeading___Toc605818_1934241801"/>
      <w:bookmarkStart w:id="987" w:name="_Toc453"/>
      <w:bookmarkEnd w:id="986"/>
      <w:r>
        <w:rPr>
          <w:rtl w:val="true"/>
        </w:rPr>
        <w:t>«</w:t>
      </w:r>
      <w:r>
        <w:rPr/>
        <w:t>35</w:t>
      </w:r>
      <w:r>
        <w:rPr>
          <w:rtl w:val="true"/>
        </w:rPr>
        <w:t>»</w:t>
      </w:r>
      <w:bookmarkEnd w:id="987"/>
    </w:p>
    <w:p>
      <w:pPr>
        <w:pStyle w:val="BookText"/>
        <w:rPr/>
      </w:pPr>
      <w:r>
        <w:rPr>
          <w:rFonts w:ascii="Amiri" w:hAnsi="Amiri" w:eastAsia="Amiri" w:cs="Amiri"/>
          <w:color w:val="111111"/>
          <w:sz w:val="28"/>
          <w:sz w:val="28"/>
          <w:szCs w:val="28"/>
          <w:rtl w:val="true"/>
          <w:lang w:bidi="ar-SA"/>
        </w:rPr>
        <w:t>الْمُعْتَبَرُ، قَالَ ابْنُ أَبِي عَقِيلٍ فِي كِتَابِهِ الْمُتَمَسَّكِ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أَيَّامُهَا عِنْدَ آلِ</w:t>
      </w:r>
    </w:p>
    <w:p>
      <w:pPr>
        <w:pStyle w:val="BookText"/>
        <w:rPr/>
      </w:pPr>
      <w:r>
        <w:rPr>
          <w:rFonts w:ascii="IRNazanin" w:hAnsi="IRNazanin" w:eastAsia="IRNazanin"/>
          <w:color w:val="111111"/>
          <w:sz w:val="28"/>
          <w:sz w:val="28"/>
          <w:szCs w:val="28"/>
          <w:rtl w:val="true"/>
          <w:lang w:bidi="fa-IR"/>
        </w:rPr>
        <w:t>مخالفت است و با اجرای تقیه با کمترین میزان، به بالاترین میزان تجاوز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ایشان که متین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قول به تخییر و استظهار تا هجده روز، ظاهرتر باشد و حمل آن بر غیر صاحب عادت نیز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p>
    <w:p>
      <w:pPr>
        <w:pStyle w:val="Heading5"/>
        <w:numPr>
          <w:ilvl w:val="4"/>
          <w:numId w:val="1"/>
        </w:numPr>
        <w:rPr/>
      </w:pPr>
      <w:bookmarkStart w:id="988" w:name="__RefHeading___Toc605820_1934241801"/>
      <w:bookmarkStart w:id="989" w:name="_Toc454"/>
      <w:bookmarkEnd w:id="988"/>
      <w:r>
        <w:rPr>
          <w:rtl w:val="true"/>
        </w:rPr>
        <w:t xml:space="preserve">روایت </w:t>
      </w:r>
      <w:r>
        <w:rPr/>
        <w:t>33</w:t>
      </w:r>
      <w:bookmarkEnd w:id="989"/>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باردار خونریزی کند بر او واجب است که به مقدار ایّام حیض از انجام عبادت خودداری کند، و اگر خونریزی بیشتر از ایّام حیض طول بکشد به مدّت سه روز استظهار می کند و پس از آن حُکم او مانند حُکم زن مستحاضه خواهد بود؛ همچنین اگر زن زایمان کند، ده روز نماز خواندن را ترک می کند مگرآنکه قبل از این ایّام پاک گردد، و اگر خونریزی او ادامه پیدا کند به مدّت ده روز نماز خواندن را ترک می کند و در روز یازدهم غسل می کند و پنبه می گذارد و خرقه می بندد، و کارهایی را انجام می دهد که زن مستحاضه انجام می دهد، و روایت شده است که هجده روز نماز خواندن را ترک می کند، همچنین 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زنان شما مانند زنان نخستین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شما دارای گوشت بزرگ تر و خون بیشتر هستند، پس باید تا زمان پاک شدن از عبادت کناره گیری کنند، و روایت شده است که آنان بین چهل تا پنجاه روز از عبادت کناره می گرفتند</w:t>
      </w:r>
      <w:r>
        <w:rPr>
          <w:rFonts w:eastAsia="IRNazanin" w:cs="IRNazanin"/>
          <w:color w:val="111111"/>
          <w:sz w:val="28"/>
          <w:szCs w:val="28"/>
          <w:rtl w:val="true"/>
          <w:lang w:bidi="fa-IR"/>
        </w:rPr>
        <w:t>.</w:t>
      </w:r>
      <w:r>
        <w:rPr>
          <w:rStyle w:val="FootnoteAnchor"/>
          <w:rtl w:val="true"/>
        </w:rPr>
        <w:footnoteReference w:id="532"/>
      </w:r>
    </w:p>
    <w:p>
      <w:pPr>
        <w:pStyle w:val="Heading5"/>
        <w:numPr>
          <w:ilvl w:val="4"/>
          <w:numId w:val="1"/>
        </w:numPr>
        <w:rPr/>
      </w:pPr>
      <w:bookmarkStart w:id="990" w:name="__RefHeading___Toc605822_1934241801"/>
      <w:bookmarkStart w:id="991" w:name="_Toc455"/>
      <w:bookmarkEnd w:id="990"/>
      <w:r>
        <w:rPr>
          <w:rtl w:val="true"/>
        </w:rPr>
        <w:t>توضیح</w:t>
      </w:r>
      <w:bookmarkEnd w:id="991"/>
    </w:p>
    <w:p>
      <w:pPr>
        <w:pStyle w:val="BookText"/>
        <w:rPr/>
      </w:pPr>
      <w:r>
        <w:rPr>
          <w:rFonts w:ascii="IRNazanin" w:hAnsi="IRNazanin" w:eastAsia="IRNazanin"/>
          <w:color w:val="111111"/>
          <w:sz w:val="28"/>
          <w:sz w:val="28"/>
          <w:szCs w:val="28"/>
          <w:rtl w:val="true"/>
          <w:lang w:bidi="fa-IR"/>
        </w:rPr>
        <w:t>هیچ تردیدی وجود ندارد که احادیثی که مدّت زمان نفاس را بیشتر از بیست و یک روز می دانند محمول بر تقیّه هستند</w:t>
      </w:r>
      <w:r>
        <w:rPr>
          <w:rFonts w:eastAsia="IRNazanin" w:cs="IRNazanin"/>
          <w:color w:val="111111"/>
          <w:sz w:val="28"/>
          <w:szCs w:val="28"/>
          <w:rtl w:val="true"/>
          <w:lang w:bidi="fa-IR"/>
        </w:rPr>
        <w:t>.</w:t>
      </w:r>
    </w:p>
    <w:p>
      <w:pPr>
        <w:pStyle w:val="Heading5"/>
        <w:numPr>
          <w:ilvl w:val="4"/>
          <w:numId w:val="1"/>
        </w:numPr>
        <w:rPr/>
      </w:pPr>
      <w:bookmarkStart w:id="992" w:name="__RefHeading___Toc605824_1934241801"/>
      <w:bookmarkStart w:id="993" w:name="_Toc456"/>
      <w:bookmarkEnd w:id="992"/>
      <w:r>
        <w:rPr>
          <w:rtl w:val="true"/>
        </w:rPr>
        <w:t xml:space="preserve">روایت </w:t>
      </w:r>
      <w:r>
        <w:rPr/>
        <w:t>34</w:t>
      </w:r>
      <w:bookmarkEnd w:id="993"/>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از پدرانش نقل می کند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دوره حیض ده روز و بیشترین دوره نفاس چهل روز است</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و به استناد همین حدیث از پیامبر صلّی الله و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دوره حیض را همزمان با دوره بارداری قرار نداده است، پس اگر زن در حال بارداری خونی مشاهده کرد نماز خواندن را ترک نمی کند</w:t>
      </w:r>
      <w:r>
        <w:rPr>
          <w:rFonts w:eastAsia="IRNazanin" w:cs="IRNazanin"/>
          <w:color w:val="111111"/>
          <w:sz w:val="28"/>
          <w:szCs w:val="28"/>
          <w:rtl w:val="true"/>
          <w:lang w:bidi="fa-IR"/>
        </w:rPr>
        <w:t>.</w:t>
      </w:r>
      <w:r>
        <w:rPr>
          <w:rStyle w:val="FootnoteAnchor"/>
          <w:rtl w:val="true"/>
        </w:rPr>
        <w:footnoteReference w:id="534"/>
      </w:r>
    </w:p>
    <w:p>
      <w:pPr>
        <w:pStyle w:val="Heading5"/>
        <w:numPr>
          <w:ilvl w:val="4"/>
          <w:numId w:val="1"/>
        </w:numPr>
        <w:rPr/>
      </w:pPr>
      <w:bookmarkStart w:id="994" w:name="__RefHeading___Toc605826_1934241801"/>
      <w:bookmarkStart w:id="995" w:name="_Toc457"/>
      <w:bookmarkEnd w:id="994"/>
      <w:r>
        <w:rPr>
          <w:rtl w:val="true"/>
        </w:rPr>
        <w:t>توضیح</w:t>
      </w:r>
      <w:bookmarkEnd w:id="995"/>
    </w:p>
    <w:p>
      <w:pPr>
        <w:pStyle w:val="BookText"/>
        <w:rPr/>
      </w:pPr>
      <w:r>
        <w:rPr>
          <w:rFonts w:ascii="IRNazanin" w:hAnsi="IRNazanin" w:eastAsia="IRNazanin"/>
          <w:color w:val="111111"/>
          <w:sz w:val="28"/>
          <w:sz w:val="28"/>
          <w:szCs w:val="28"/>
          <w:rtl w:val="true"/>
          <w:lang w:bidi="fa-IR"/>
        </w:rPr>
        <w:t>در یکی از نسخه 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تدع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را ترک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شیوه استفهام انکاری است، یا منظور از صدر حدیث این است که زنانِ پیشین در دوره بارداری خونریزی نمی کردند، امّا اگر خونریزی می کردند نماز خواندن را ترک می کردند</w:t>
      </w:r>
      <w:r>
        <w:rPr>
          <w:rFonts w:eastAsia="IRNazanin" w:cs="IRNazanin"/>
          <w:color w:val="111111"/>
          <w:sz w:val="28"/>
          <w:szCs w:val="28"/>
          <w:rtl w:val="true"/>
          <w:lang w:bidi="fa-IR"/>
        </w:rPr>
        <w:t>.</w:t>
      </w:r>
    </w:p>
    <w:p>
      <w:pPr>
        <w:pStyle w:val="Heading5"/>
        <w:numPr>
          <w:ilvl w:val="4"/>
          <w:numId w:val="1"/>
        </w:numPr>
        <w:rPr/>
      </w:pPr>
      <w:bookmarkStart w:id="996" w:name="__RefHeading___Toc605828_1934241801"/>
      <w:bookmarkStart w:id="997" w:name="_Toc458"/>
      <w:bookmarkEnd w:id="996"/>
      <w:r>
        <w:rPr>
          <w:rtl w:val="true"/>
        </w:rPr>
        <w:t xml:space="preserve">روایت </w:t>
      </w:r>
      <w:r>
        <w:rPr/>
        <w:t>35</w:t>
      </w:r>
      <w:bookmarkEnd w:id="99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عقیل در کتاب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اهل بیت </w:t>
      </w:r>
      <w:bookmarkStart w:id="998" w:name="pg13517_329143"/>
    </w:p>
    <w:p>
      <w:pPr>
        <w:pStyle w:val="BookText"/>
        <w:rPr/>
      </w:pPr>
      <w:bookmarkEnd w:id="998"/>
      <w:r>
        <w:rPr>
          <w:rFonts w:ascii="Amiri" w:hAnsi="Amiri" w:eastAsia="Amiri" w:cs="Amiri"/>
          <w:color w:val="111111"/>
          <w:sz w:val="28"/>
          <w:sz w:val="28"/>
          <w:szCs w:val="28"/>
          <w:rtl w:val="true"/>
          <w:lang w:bidi="ar-SA"/>
        </w:rPr>
        <w:t>الرَّسُولِ عليهم السلام أَيَّامُ حَيْضِهَا وَ أَكْثَرُهُ أَحَدٌ وَ عِشْرُونَ يَوْماً فَإِنِ انْقَطَعَ دَمُهَا فِي تَمَامِ حَيْضِهَا صَلَّتْ وَ صَامَتْ وَ إِنْ لَمْ يَنْقَطِعْ صَبَرَتْ ثَمَانِيَةَ عَشَرَ يَوْماً ثُمَّ اسْتَظْهَرَتْ بِيَوْمٍ أَوْ يَوْمَيْنِ وَ إِنْ كَانَتْ كَثِيرَةَ الدَّمِ صَبَرَتْ ثَلَاثَةَ أَيَّامٍ ثُمَّ اغْتَسَلَتْ وَ احْتَشَتْ وَ اسْتَثْفَرَتْ وَ 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الْمُحَقِّقُ وَ قَدْ رَوَي ذَلِكَ الْبَزَنْطِيُّ فِي كِتَابِهِ عَنْ جَمِيلٍ عَنْ زُرَارَةَ وَ مُحَمَّدِ بْنِ مُسْلِمٍ عَنْ أَبِي عَبْدِ اللَّهِ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999" w:name="__RefHeading___Toc605830_1934241801"/>
      <w:bookmarkStart w:id="1000" w:name="_Toc459"/>
      <w:bookmarkEnd w:id="999"/>
      <w:r>
        <w:rPr>
          <w:rtl w:val="true"/>
        </w:rPr>
        <w:t>«</w:t>
      </w:r>
      <w:r>
        <w:rPr/>
        <w:t>36</w:t>
      </w:r>
      <w:r>
        <w:rPr>
          <w:rtl w:val="true"/>
        </w:rPr>
        <w:t>»</w:t>
      </w:r>
      <w:bookmarkEnd w:id="1000"/>
    </w:p>
    <w:p>
      <w:pPr>
        <w:pStyle w:val="BookText"/>
        <w:rPr/>
      </w:pPr>
      <w:r>
        <w:rPr>
          <w:rFonts w:ascii="Amiri" w:hAnsi="Amiri" w:eastAsia="Amiri" w:cs="Amiri"/>
          <w:color w:val="111111"/>
          <w:sz w:val="28"/>
          <w:sz w:val="28"/>
          <w:szCs w:val="28"/>
          <w:rtl w:val="true"/>
          <w:lang w:bidi="ar-SA"/>
        </w:rPr>
        <w:t>مِصْبَاحُ الْأَنْوَارِ، لِبَعْضِ الْأَصْحَابِ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سُئِلَ مَا الْبَتُولُ فَإِنَّا سَمِعْنَاكَ يَا رَسُولَ اللَّهِ تَقُولُ إِنَّ مَرْيَمَ بَتُولٌ وَ إِنَّ فَاطِمَةُ بَتُولٌ فَقَالَ الْبَتُولُ الَّتِي لَمْ تَرَ حُمْرَةً أَيْ لَمْ تَحِضْ فَإِنَّهُ مَكْرُوهٌ فِي بَنَاتِ الْأَنْبِيَاءِ</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1" w:name="__RefHeading___Toc605832_1934241801"/>
      <w:bookmarkStart w:id="1002" w:name="_Toc460"/>
      <w:bookmarkEnd w:id="1001"/>
      <w:r>
        <w:rPr>
          <w:rtl w:val="true"/>
        </w:rPr>
        <w:t>«</w:t>
      </w:r>
      <w:r>
        <w:rPr/>
        <w:t>37</w:t>
      </w:r>
      <w:r>
        <w:rPr>
          <w:rtl w:val="true"/>
        </w:rPr>
        <w:t>»</w:t>
      </w:r>
      <w:bookmarkEnd w:id="1002"/>
    </w:p>
    <w:p>
      <w:pPr>
        <w:pStyle w:val="BookText"/>
        <w:rPr/>
      </w:pPr>
      <w:r>
        <w:rPr>
          <w:rFonts w:ascii="Amiri" w:hAnsi="Amiri" w:eastAsia="Amiri" w:cs="Amiri"/>
          <w:color w:val="111111"/>
          <w:sz w:val="28"/>
          <w:sz w:val="28"/>
          <w:szCs w:val="28"/>
          <w:rtl w:val="true"/>
          <w:lang w:bidi="ar-SA"/>
        </w:rPr>
        <w:t>كِتَابُ دَلَائِلِ الْإِمَامَةِ لِلطَّبَرِيِّ الْإِمَامِيِّ، عَنِ الْحُسَيْنِ بْنِ إِبْرَاهِيمَ الْقُمِّيِّ عَنْ عَلِيِّ بْنِ مُحَمَّدٍ الْعَسْكَرِيِّ عَنْ صَعْصَعَةَ بْنِ نَاجِيَةَ عَنْ زَيْدِ بْنِ مُوسَي عَنْ أَبِيهِ عَنْ جَدِّهِ جَعْفَرِ بْنِ مُحَمَّدٍ عَنْ أَبِيهِ عَنْ عَمِّهِ زَيْدِ بْنِ عَلِيٍّ عَنْ أَبِيهِ عَنْ سُكَيْنَةَ وَ زَيْنَبَ ابْنَتِي عَلِيٍّ عَنْ عَلِيٍّ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خُلِقَتْ حُورِيَّةً فِي صُورَةِ إِنْسِيَّةٍ وَ إِنَّ بَنَاتِ الْأَنْبِيَاءِ لَا يَحِضْنَ‌</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بِإِسْنَادِهِ 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صلي الله عليه و آله وَ قَدْ كُنْتُ شَهِدْتُ فَاطِمَةَ وَ قَدْ وَلَدَتْ بَعْضَ وُلْدِهَا فَلَمْ نَرَ لَهَا دَماً فَقُلْتُ يَا رَسُولَ اللَّهِ إِنَّ فَاطِمَةَ وَلَدَتْ فَلَمْ نَرَ لَهَا دَماً فَقَالَ رَسُولُ اللَّهِ صلي الله عليه و آله يَا أَسْمَاءُ إِنَّ فَاطِمَةَ خُلِقَتْ حُورِيَّةً إِنْسِيَّةً</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3" w:name="__RefHeading___Toc605834_1934241801"/>
      <w:bookmarkStart w:id="1004" w:name="_Toc461"/>
      <w:bookmarkEnd w:id="1003"/>
      <w:r>
        <w:rPr>
          <w:rtl w:val="true"/>
        </w:rPr>
        <w:t>«</w:t>
      </w:r>
      <w:r>
        <w:rPr/>
        <w:t>38</w:t>
      </w:r>
      <w:r>
        <w:rPr>
          <w:rtl w:val="true"/>
        </w:rPr>
        <w:t>»</w:t>
      </w:r>
      <w:bookmarkEnd w:id="1004"/>
    </w:p>
    <w:p>
      <w:pPr>
        <w:pStyle w:val="BookText"/>
        <w:rPr/>
      </w:pPr>
      <w:r>
        <w:rPr>
          <w:rFonts w:ascii="Amiri" w:hAnsi="Amiri" w:eastAsia="Amiri" w:cs="Amiri"/>
          <w:color w:val="111111"/>
          <w:sz w:val="28"/>
          <w:sz w:val="28"/>
          <w:szCs w:val="28"/>
          <w:rtl w:val="true"/>
          <w:lang w:bidi="ar-SA"/>
        </w:rPr>
        <w:t>الْعِلَلُ، عَنْ أَبِيهِ عَنْ سَعْدِ بْنِ عَبْدِ اللَّهِ عَنْ أَحْمَدَ بْنِ إِدْرِيسَ عَنْ مُحَمَّدِ بْنِ أَحْمَدَ عَنْ مُحَمَّدِ بْنِ عَبْدِ الْجَبَّارِ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امْرَأَةٌ</w:t>
      </w:r>
    </w:p>
    <w:p>
      <w:pPr>
        <w:pStyle w:val="BookText"/>
        <w:rPr/>
      </w:pPr>
      <w:r>
        <w:rPr>
          <w:rFonts w:ascii="IRNazanin" w:hAnsi="IRNazanin" w:eastAsia="IRNazanin"/>
          <w:color w:val="111111"/>
          <w:sz w:val="28"/>
          <w:sz w:val="28"/>
          <w:szCs w:val="28"/>
          <w:rtl w:val="true"/>
          <w:lang w:bidi="fa-IR"/>
        </w:rPr>
        <w:t xml:space="preserve">رسول علیهم السلام تعداد ایّام نفاس برای زن همان تعداد ایّام حیض او است، و بیشترین ایّام نفاس بیست و یک روز می باشد، پس اگر خونریزی زن در مدّت زمان کامل ایّام 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برسد نماز می خواند و روزه می گیرد، ولی اگر قطع نشود هجده روز صبر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از عبادت می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مدّت یک یا دو روز استظهار می کند و اگر خونریزی زیاد باشد سه روز صبر می کند و سپس از آن غسل می کند و پنبه می گذارد و خرقه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بندد و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محقّق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البزنطیّ این حدیث را در کتابش از امام صادق علیه السلام نقل کرده است</w:t>
      </w:r>
      <w:r>
        <w:rPr>
          <w:rFonts w:eastAsia="IRNazanin" w:cs="IRNazanin"/>
          <w:color w:val="111111"/>
          <w:sz w:val="28"/>
          <w:szCs w:val="28"/>
          <w:rtl w:val="true"/>
          <w:lang w:bidi="fa-IR"/>
        </w:rPr>
        <w:t>.</w:t>
      </w:r>
    </w:p>
    <w:p>
      <w:pPr>
        <w:pStyle w:val="Heading5"/>
        <w:numPr>
          <w:ilvl w:val="4"/>
          <w:numId w:val="1"/>
        </w:numPr>
        <w:rPr/>
      </w:pPr>
      <w:bookmarkStart w:id="1005" w:name="__RefHeading___Toc605836_1934241801"/>
      <w:bookmarkStart w:id="1006" w:name="_Toc462"/>
      <w:bookmarkEnd w:id="1005"/>
      <w:r>
        <w:rPr>
          <w:rtl w:val="true"/>
        </w:rPr>
        <w:t xml:space="preserve">روایت </w:t>
      </w:r>
      <w:r>
        <w:rPr/>
        <w:t>36</w:t>
      </w:r>
      <w:bookmarkEnd w:id="1006"/>
    </w:p>
    <w:p>
      <w:pPr>
        <w:pStyle w:val="BookText"/>
        <w:rPr/>
      </w:pP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از امیرالمؤمنین علیه السلام روایت می کند که از پیامبرصلّی الله علیه و آله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است؟ ای رسول خدا، ما از شما شنیده ایم که می 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مریم بتول، و إنّ فاطمة 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مریم و فاطمه بتول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بتول زنی است که سرخی ندیده است، یعنی دچارحیض نشده است، چه که حیض شدن در میان دختران انبیاء ناپسند و مکروه است</w:t>
      </w:r>
      <w:r>
        <w:rPr>
          <w:rFonts w:eastAsia="IRNazanin" w:cs="IRNazanin"/>
          <w:color w:val="111111"/>
          <w:sz w:val="28"/>
          <w:szCs w:val="28"/>
          <w:rtl w:val="true"/>
          <w:lang w:bidi="fa-IR"/>
        </w:rPr>
        <w:t>.</w:t>
      </w:r>
      <w:r>
        <w:rPr>
          <w:rStyle w:val="FootnoteAnchor"/>
          <w:rtl w:val="true"/>
        </w:rPr>
        <w:footnoteReference w:id="538"/>
      </w:r>
    </w:p>
    <w:p>
      <w:pPr>
        <w:pStyle w:val="Heading5"/>
        <w:numPr>
          <w:ilvl w:val="4"/>
          <w:numId w:val="1"/>
        </w:numPr>
        <w:rPr/>
      </w:pPr>
      <w:bookmarkStart w:id="1007" w:name="__RefHeading___Toc605838_1934241801"/>
      <w:bookmarkStart w:id="1008" w:name="_Toc463"/>
      <w:bookmarkEnd w:id="1007"/>
      <w:r>
        <w:rPr>
          <w:rtl w:val="true"/>
        </w:rPr>
        <w:t xml:space="preserve">روایت </w:t>
      </w:r>
      <w:r>
        <w:rPr/>
        <w:t>37</w:t>
      </w:r>
      <w:bookmarkEnd w:id="1008"/>
    </w:p>
    <w:p>
      <w:pPr>
        <w:pStyle w:val="BookText"/>
        <w:rPr/>
      </w:pPr>
      <w:r>
        <w:rPr>
          <w:rFonts w:ascii="IRNazanin" w:hAnsi="IRNazanin" w:eastAsia="IRNazanin"/>
          <w:color w:val="111111"/>
          <w:sz w:val="28"/>
          <w:sz w:val="28"/>
          <w:szCs w:val="28"/>
          <w:rtl w:val="true"/>
          <w:lang w:bidi="fa-IR"/>
        </w:rPr>
        <w:t>کتاب دلائل الإمامة للطبریّ الإمامیّ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و زینب از امام علی علیه السلام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فاطمه حوریّه ای است که به شکل انسان آفریده شده است، و دختران انبیاء دچار حیض نمی شوند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و از همین کتاب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دختر عُمَیس روایت شده است که رسول خدا صلّی الله علیه و آله به من فرمود و من شاهد به دنیا آمدن یکی از فرزاندان فاطمه بودم، پس هیچ خونی از او ندیدم،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فرزندی به دنیا آورد و هیچ خونی از او ندیدیم؟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 همانا فاطمه حوریّه ای است که به شکل انسان آفریده شده است</w:t>
      </w:r>
      <w:r>
        <w:rPr>
          <w:rFonts w:eastAsia="IRNazanin" w:cs="IRNazanin"/>
          <w:color w:val="111111"/>
          <w:sz w:val="28"/>
          <w:szCs w:val="28"/>
          <w:rtl w:val="true"/>
          <w:lang w:bidi="fa-IR"/>
        </w:rPr>
        <w:t>.</w:t>
      </w:r>
      <w:r>
        <w:rPr>
          <w:rStyle w:val="FootnoteAnchor"/>
          <w:rtl w:val="true"/>
        </w:rPr>
        <w:footnoteReference w:id="540"/>
      </w:r>
    </w:p>
    <w:p>
      <w:pPr>
        <w:pStyle w:val="Heading5"/>
        <w:numPr>
          <w:ilvl w:val="4"/>
          <w:numId w:val="1"/>
        </w:numPr>
        <w:rPr/>
      </w:pPr>
      <w:bookmarkStart w:id="1009" w:name="__RefHeading___Toc605840_1934241801"/>
      <w:bookmarkStart w:id="1010" w:name="_Toc464"/>
      <w:bookmarkEnd w:id="1009"/>
      <w:r>
        <w:rPr>
          <w:rtl w:val="true"/>
        </w:rPr>
        <w:t xml:space="preserve">روایت </w:t>
      </w:r>
      <w:r>
        <w:rPr/>
        <w:t>38</w:t>
      </w:r>
      <w:bookmarkEnd w:id="101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مهزیار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w:t>
      </w:r>
      <w:bookmarkStart w:id="1011" w:name="pg13517_329144"/>
    </w:p>
    <w:p>
      <w:pPr>
        <w:pStyle w:val="BookText"/>
        <w:rPr/>
      </w:pPr>
      <w:bookmarkEnd w:id="1011"/>
      <w:r>
        <w:rPr>
          <w:rFonts w:ascii="Amiri" w:hAnsi="Amiri" w:eastAsia="Amiri" w:cs="Amiri"/>
          <w:color w:val="111111"/>
          <w:sz w:val="28"/>
          <w:sz w:val="28"/>
          <w:szCs w:val="28"/>
          <w:rtl w:val="true"/>
          <w:lang w:bidi="ar-SA"/>
        </w:rPr>
        <w:t>طَهُرَتْ مِنْ حَيْضِهَا أَوْ مِنْ دَمِ نِفَاسِهَا فِي أَوَّلِ يَوْمٍ مِنْ شَهْرِ رَمَضَانَ ثُمَّ اسْتَحَاضَتْ فَصَلَّتْ وَ صَامَتْ شَهْرَ رَمَضَانَ كُلَّهُ مِنْ غَيْرِ أَنْ تَعْمَلَ كَمَا تَعْمَلُ الْمُسْتَحَاضَةُ مِنَ الْغُسْلِ لِكُلِّ صَلَاتَيْنِ هَلْ يَجُوزُ صَوْمُهَا وَ صَلَاتُهَا أَمْ لَا فَكَتَبَ تَقْضِي صَوْمَهَا وَ لَا تَقْضِي صَلَاتَهَا لِأَنَّ رَسُولَ اللَّهِ صلي الله عليه و آله كَانَ يَأْمُرُ الْمُؤْمِنَاتِ مِنْ نِسَائِهِ بِذَلِكَ‌</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2" w:name="__RefHeading___Toc605842_1934241801"/>
      <w:bookmarkStart w:id="1013" w:name="_Toc465"/>
      <w:bookmarkEnd w:id="1012"/>
      <w:r>
        <w:rPr>
          <w:rtl w:val="true"/>
        </w:rPr>
        <w:t>رفع إشكال و تبيين إجمال</w:t>
      </w:r>
      <w:bookmarkEnd w:id="1013"/>
    </w:p>
    <w:p>
      <w:pPr>
        <w:pStyle w:val="BookText"/>
        <w:rPr/>
      </w:pPr>
      <w:r>
        <w:rPr>
          <w:rFonts w:ascii="Amiri" w:hAnsi="Amiri" w:eastAsia="Amiri" w:cs="Amiri"/>
          <w:color w:val="111111"/>
          <w:sz w:val="28"/>
          <w:sz w:val="28"/>
          <w:szCs w:val="28"/>
          <w:rtl w:val="true"/>
          <w:lang w:bidi="ar-SA"/>
        </w:rPr>
        <w:t>اعلم أن هذا الخبر من مشكلات الأخبار و قد تحير في حله العلماء الأخيار و إن بني عليه الأصحاب الحكم بقضاء الصوم بترك الأغسال و اشتراط صوم المستحاضة بها كما هو المعروف من مذهبهم و أشكل عليهم الحكم بعدم قضاء الصلاة مع الحكم بقضاء الصوم مع أن العكس كان أنسب و أوفق بالأصول إذ الصلاة مشروطة بالطهارة بخلاف الصوم فإنه قد يجتمع مع الحدث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الشيخ رحمه الله في المبسوط التوقف في هذا الحكم حيث أسنده إلي رواية الأصحاب و هو في محله لكن جل الأصحاب عملوا بالحكم الأول و تركوا الثاني و في نسخ الكافي‌</w:t>
      </w:r>
      <w:r>
        <w:rPr>
          <w:rStyle w:val="FootnoteAnchor"/>
          <w:rtl w:val="true"/>
        </w:rPr>
        <w:footnoteReference w:id="542"/>
      </w:r>
      <w:r>
        <w:rPr>
          <w:rFonts w:ascii="Amiri" w:hAnsi="Amiri" w:eastAsia="Amiri" w:cs="Amiri"/>
          <w:color w:val="111111"/>
          <w:sz w:val="28"/>
          <w:sz w:val="28"/>
          <w:szCs w:val="28"/>
          <w:rtl w:val="true"/>
          <w:lang w:bidi="ar-SA"/>
        </w:rPr>
        <w:t>كان يأمر فاطمة صلوات الله عليها و المؤمنات من نسائه بذلك فزيد فيه إشكال آخر لأنه قد ورد في الأخبار الكثيرة كما سيأتي أنها عليها السلام لم تر حمرة قط و ربما يؤول بأنه كان يأمرها أن تأمر المؤمنات بذلك و ربما يقال المراد بفاطمة فاطمة بنت أبي حبيش فإنها كانت مشتهرة بكثرة الاستحاضة و السؤال عن مسائلها فيكون قوله صلوات الله عليها زيد من النساخ أو الرواة بتوهم أنها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اختلفوا في دفع الإشكال الأول علي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ما ذكره الشيخ في التهذيب‌</w:t>
      </w:r>
      <w:r>
        <w:rPr>
          <w:rStyle w:val="FootnoteAnchor"/>
          <w:rtl w:val="true"/>
        </w:rPr>
        <w:footnoteReference w:id="543"/>
      </w:r>
      <w:r>
        <w:rPr>
          <w:rFonts w:ascii="Amiri" w:hAnsi="Amiri" w:eastAsia="Amiri" w:cs="Amiri"/>
          <w:color w:val="111111"/>
          <w:sz w:val="28"/>
          <w:sz w:val="28"/>
          <w:szCs w:val="28"/>
          <w:rtl w:val="true"/>
          <w:lang w:bidi="ar-SA"/>
        </w:rPr>
        <w:t>حيث قال لم يأمرها بقضاء</w:t>
      </w:r>
    </w:p>
    <w:p>
      <w:pPr>
        <w:pStyle w:val="BookText"/>
        <w:rPr/>
      </w:pPr>
      <w:r>
        <w:rPr>
          <w:rFonts w:ascii="IRNazanin" w:hAnsi="IRNazanin" w:eastAsia="IRNazanin"/>
          <w:color w:val="111111"/>
          <w:sz w:val="28"/>
          <w:sz w:val="28"/>
          <w:szCs w:val="28"/>
          <w:rtl w:val="true"/>
          <w:lang w:bidi="fa-IR"/>
        </w:rPr>
        <w:t>در روز اوّل ماه رمضان از خون حیض یا نفاس پاک می گردد، سپس استحاضه می شود پس نماز می خواند و ماه رمضان را به صورت کامل روزه می گیرد بدون اینکه مانند زن مستحاضه برای هر دو نماز یک غسل واحد انجام دهد، آیا روزه و نمازش مقبول است یا خیر؟ امام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روزه اش را به جا می آورد ولی لازم نیست قضای نمازش را به جا آورد، به خاطر اینکه رسول خدا صلّی الله علیه و آله زنان مؤمن خویش را چنین امر می فرمود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رفع اشکال و تبین اجمال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این حدیث از احادیث مشکل و پیچیده است و دانشمندان برگزیده نیز در حلّ آن حیران مانده اند، اگر چه فقها حُکم وجوب قضای روزه در صورت ترک غسل همچنین شرط پذیرش روزه زن مستحاضه در صورت داشتن غسل را بر اساس این حدیث بنیان نهاده اند، آن گونه که از مذهب آنان شناخته شده است، با حُکم دادن به عدم قضای نماز و قضای روزه امر برآنان مشتبه و دشوار شده است، با وجود اینکه عکس این حکم مناسب تراست و با اصول سازگاری بیشتری دارد، چه که نماز مشروط به طهارت است درحالی که ممکن است روزه با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همزمان جمع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رحمه الله در المبسوط بر این حکم توقّف کرده است به این ترتیب که آن را به روایت فقها اسناد داده است، و آن در محلّ خویش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بیشتر فقها به حکم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روزه و عدم قضای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نموده  و حکم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حکم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کرده اند، و در نسخه های الکافی نیز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یأمر فاطمة صلوات الله علیها و المؤمنات من نسائه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فاطمه صلوات الله علیها و همسران مؤمن خویش را چنین فرمان می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ابهام و پیچیدگی دیگری به حدیث افزوده می شود، چرا که آن گونه که ذکرخواهد شد در احادیث بسیاری روایت شده که فاطمه علیها السلام هرگز دچار حیض نشده است، و چه بسا چنین تأویل شود که پیامبر فاطمه را امر می فرمود که زنان مؤمن را به انجام آن حُکم فرمان دهد، همچنین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فاطمه، فاطمه دختر أبو حبیش بوده است، چرا که وی به کثرتِ استحاضه و سؤال پرسیدن از مسائل مربوط به آن شهرت داشت،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نسخه برداران یا راویانی که گمان کرده اند منظور فاطمه زهراء علیها السلام بوده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فقهاء بر سر از میان برداشتن اشکال و ابهام نخست دچار اختلاف شده اند بنا بر وجوه زیر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شیخ در التهذیب</w:t>
      </w:r>
      <w:r>
        <w:rPr>
          <w:rStyle w:val="FootnoteAnchor"/>
          <w:rtl w:val="true"/>
        </w:rPr>
        <w:footnoteReference w:id="545"/>
      </w:r>
      <w:r>
        <w:rPr>
          <w:rFonts w:ascii="IRNazanin" w:hAnsi="IRNazanin" w:eastAsia="IRNazanin"/>
          <w:color w:val="111111"/>
          <w:sz w:val="28"/>
          <w:sz w:val="28"/>
          <w:szCs w:val="28"/>
          <w:rtl w:val="true"/>
          <w:lang w:bidi="fa-IR"/>
        </w:rPr>
        <w:t>ذکر کرده آن گاه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w:t>
      </w:r>
    </w:p>
    <w:p>
      <w:pPr>
        <w:pStyle w:val="BookText"/>
        <w:rPr/>
      </w:pPr>
      <w:r>
        <w:rPr>
          <w:rFonts w:ascii="Amiri" w:hAnsi="Amiri" w:eastAsia="Amiri" w:cs="Amiri"/>
          <w:color w:val="111111"/>
          <w:sz w:val="28"/>
          <w:sz w:val="28"/>
          <w:szCs w:val="28"/>
          <w:rtl w:val="true"/>
          <w:lang w:bidi="ar-SA"/>
        </w:rPr>
        <w:t>الصلاة إذا لم تعلم أن عليها لكل صلاتين غسلا أو لا تعلم ما يلزم المستحاضة فأما مع العلم بذلك و الترك له علي العمد يلزمها القضاء و أورد عليه أنه إن بقي الفرق بين الصوم و الصلاة فالإشكال بحاله و إن حكم بالمساواة بينهما و نزل قضاء الصوم علي حالة العلم و عدم قضاء الصلاة علي حالة الجهل فتعسف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ما ذكره المحقق الأردبيلي قدس الله روحه حيث قال الفرق بين الصلاة و الصوم مع شدة العناية بحالها مشكل و لا يبعد أن يكون المقصود تقضي صوم الشهر كله و لا تقضي الصلاة كذلك إذ تعد بعض أيامه أيام الحيض و لا تقضي صلاة تلك الأيام و المؤيد أنه موجود في بعض الروايات الأمر بقضاء صوم أيام الحيض بدون الصلاة و قال فيه إن رسول الله صلي الله عليه و آله كان يأمر بذلك فاطمة عليها السلام و كانت تأمر بذلك 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ما ذكره المحقق المذكور أيضا حيث قال و يمكن تأويل آخر و هو أن يكون المراد لا تقضي صلاة أيام الحيض و تقضي صوم أيامها و هذا هو الموافق لأخبار أخر و أصل المذهب من أمر فاطمة عليها السلام فإنها لا تترك عمل أيام المستحاضة و لا تقضي صومها إلا أن يكون المراد أمرها بأن تأمر غيرها من المؤمنات و يأمر أيضا المؤمنات بنفسه من نسائه و غيرهن أو يكون ذلك منه صلي الله عليه و آله لها في أول الأحكام و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الفاضل الأسترآبادي السائل سأل عن حكم المستحاضة التي صلت و صامت في شهر رمضان و لم تعمل أعمال المستحاضة و الإمام ذكر حكم الحائض و عدل عن جواب السائل من باب التقية لأن المستحاضة من باب الحدث الأصغر عند العامة فلا توجب غسلا عندهم و أما ما أفاده الشيخ فلم يظهر له وجه بل أقول لو كان الجهل عذرا لكان عذرا في الصوم أيضا مع أن سياق كلامهم عليهم السلام الوارد في حكم الأحداث يقتضي أن لا يكون فرق بين الجاهل بحكمها و بين العالم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زنانی را که ندانند باید برای هر دو نماز یک غسل داشته باشند و همچنین از احکامی که اجرای آن بر زن مستحاضه لازم است آگاهی نداشته باشند امر نفرموده است، امّا در صورت آگاهی از این امور و ترک عمدی آن ها به جا آوردن قضای نماز بر آن ها واجب می گردد، و بر این حُکم چنین ایراد گرفته اند که اگر فرق بین نماز و روزه باقی باشد اشکال و ابهام همچنان به حال خود باقی است، و اگر حُکم به تساوی بین نماز و روزه داده شود و قضای روزه درصورت داشتن آگاهی و عدم قضای نماز در صورت نداشتن آگاهی واجب شود، نسنجیدگی آشکاری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محقّق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آن گاه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گذاشتن بین نماز و روزه با توجه به شدّت عنایت به نماز مشکل است، و بعید نیست که مقصود چنین باشد که زن مستحاضه قضای روزه ماه رمضان را به صورت کامل به جا می آورد در حالی که قضای نماز را چنان به جا نمی آورد، چرا که برخی از ایّام ماه جزء ایّام حیض به شمار می آیند و قضای نماز در آن ایّام واجب نیست، و مؤیّد این نظر روایتی است که در آن به قضای روزه ایام حیض بدون قضای نماز فرمان داده شده است، و در آن روایت آمده است که رسول خدا صلّی الله علیه و آله فاطمه علیها السلام را به این حُکم امر می فرمود و فاطمه نیز زنان مؤمن را به آن امر می فرمود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محقّق اردبیلی دوباره ذکر کرده آن گاه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و تفسیر دیگری نیز امکان پذیراست به این ترتیب که مقصود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 نماز ایّام حیض را به جا نمی آورد ولی قضای روزه این ایّام را به جا می آورد، و این تفسیر با احادیث دیگر نیز سازگاری دارد، امّا در مورد فاطمه علیها السلام واضح است که ایشان اعمال ایّام استحاضه را ترک نکرده و قضای روزه آن ایّام را نیز به جا نیاورده است، بلکه منظور این است که پیامبر فاطمه را امر فرموده است که سایر زنان مؤمن را به این احکام فرمان دهد، همچنین خود پیامبر نیز همسران خویش و سایر زنان را به اجرای این احکام فرمان می داد، و ممکن است که این احکام از جمله احکامی بوده باشد که پیامبر صلّی الله علیه و آله در ابتدای ظهور احکام و اسلام به فاطمه علیها السلام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استرآبادی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حُکم زن مستحاضه ای پرسیده است که در ماه رمضان و بدون اینکه اعمال مخصوص زن مستحاضه را به جا بیاورد، نمازخوانده و روزه گرفته است، امّا امام حُکم زن حائض را بیان فرموده و از سر تقیّه از پاسخ به سؤالِ سؤال کننده طفره رفته است، چرا که به نظر عامّه استحاضه در حُکم حدث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بول و مدفوع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نزد آنان باعث وجوب غسل نمی شود، امّا برای آنچه شیخ بیان کرده است پایه و مأخذی وجود ندارد، بلکه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عدم آگاهی عذر باشد در مورد روزه نیز عذر محسوب می شود، با توجه به اینکه سیاق کلام امامان علیهم السلام دربارة حُکم حدث ها نیز چنین اقتضاء می کند که فرقی بین جاهل به آن احکام و عالم به آن ها وجود نداشته باشد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الرابع أن يكون عليه السلام كتب تحت قول السائل صومها لا تقضي و تحت قوله صلاتها تقضي فاشتبه علي الراوي و عكس أو كان حكم الحائض أيضا مذكورا في السؤال و كان هذا الجواب متعلقا به فاشتبه علي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أفضل المدققين في المنتقي الذي يختلج بخاطري أن الجواب الواقع في الحديث غير متعلق بالسؤال المذكور فيه و الانتقال إلي ذلك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قوله فيه إن رسول الله صلي الله عليه و آله كان يأمر فاطمة إلي آخره فإن مثل هذه العبارة إنما تستعمل فيما يكثر وقوعه و يتكرر و كيف يعقل كون تركهن لما تعمله المستحاضة في شهر رمضان جهلا كما ذكره الشيخ أو مطلقا مما يكثر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 هذه العبارة بعينها مضت في حديث من أخبار الحيض في كتاب الطهارة مرادا بها قضاء الحائض للصوم دون الصلاة إلي أن قال و لا يخفي أن للعبارة بذلك الحكم مناسبة ظاهرة تشهد به السليقة لكثرة وقوع الحيض و تكرره و الرجوع إليه صلي الله عليه و آله 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فارتباطها بهذا الحكم و منافرتها لقضية الاستحاضة مما لا يرتاب فيه أهل الذوق السليم و ليس بمستبعد أن يبلغ الوهم إلي موضوع الجواب مع غير سؤاله فإن من شأن الكتابة في الغالب أن تجمع الأسئلة المتعددة فإذا لم ينعم الناقل نظره فيها يقع له نحو هذا 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ما ذكره بعض الأفاضل حيث قال خطر لي احتمال لعله قريب لمن تأمله بنظر صائب و هو أنه لما كان السؤال مكاتبة وقع عليه السلام تحت قول السائل فصلت تقضي صلاتها و تحت قوله صامت تقضي صومها ولاء أي متواليا و القول بالتوالي و لو علي وجه الاستحباب موجود و دليله كذلك و هذا من جملته و ذلك كما هو متعارف في التوقيع من الكتابة تحت كل مسألة ما يكون جوابا لها حتي أنه قد يكتفي بنحو لا و نعم بين السطور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عليه السلام كتب ذلك تحت قوله هل يجوز صومها و صلاتها و هذا</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امام علیه السلام در زیرسؤالِ سؤال کننده 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قضای روزه را به جا نمی آورد ولی قضای نماز را به جا می آورد، پس این پاسخ بر راوی مشتبه شده و بر عکسِ این حُکم را روایت کرده باشد؛ یا حُکم زن حائض نیز در این سؤال ذکر شده باشد و جواب امام متعلّق به حائض باشد، و امر بر راوی مشتبه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کاوشگران درالمنتقی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خاطر من می گذرد این است که جواب ذکر شده در حدیث با سؤال ذکر شده در آن ارتباطی ندارد، و انتقال به این جواب از دو جنبه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 امام که در حدیث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صلّی الله علیه و آله کان یأمر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های این چنینی در مورد اعمالی به کارگرفته می شود که به کثرت اتفاق افتاده و تکرار می شوند، و چگونه معقول است که زنان به خاطر جهل، آن گونه که شیخ ذکر کرده است، یا به به صورت مطلق آن گونه که بسیار اتفاق می افتد، اعمالی که زن مستحاضه در ماه رمضان انجام می دهد را ترک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عبارت در یکی از احادیثِ مربوط به حیض که در کتاب طهارت نقل شده ذکر شد، و منظور از این عبارت انجام قضای روزه و عدم انجام قضای نماز از سوی حائض است، تا جایی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پنهان نیست که میان این عبارت و حُکم مذکور مناسبت آشکاری وجود دارد که ذوق و سلیقه به وجود آن شهادت می دهد، و این به خاطر کثرت وقوع حیض و تکرار آن و کثرت رجوع به پیامبر صلّی الله علیه و آله و سؤال در مورد آن ا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اهل ذوق سلیم در ارتباط میان این عبارت و حکم مذکور و همچنین عدم تناسب آن با قضیّه استحاضه شک به خود راه نمی دهند، و بعید نیست که جواب از روی اشتباه و توهّم در زیر سؤال غیر مرتبط با آن قرار گرفته باشد، چه که غالباً در کتابت اتفاق می افتد که سؤالات متعدّد با هم جمع می شوند، پس اگر نقل کننده سؤال و جواب به دقت به سؤال ها وجواب ها نگاه نیاندازد دچار توهّم این چنینی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یکی از فاضلان ذکر کرده آن گاه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احتمالی به ذهن من خطور کرده که ممکن است نزدیک به واقعیت باشد البته برای کسی که با نظر صائب در آن تأمل کند، به این ترتیت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سؤال در خلال نامه مطرح شده است، امام علیه السلام زیر این سخن سؤال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تقضی صلاتها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نمازش را به جا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زیر این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تقضی صیامها 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روزه اش را به صورت متوالی به جا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سخن از توالی هر چند از روی استحباب باشد به میان آمده است و دلیل آن چنین است، و این عبارت از جمله سخنان امام است، و آن گونه که در مورد توقیع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افزودن چیزی به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متعارف است زیر هر مسأله جواب آن وجود دارد، حتّی سؤال کننده به جواب خیر و آری که در بین سطور ذکر می شود نیز اکتفا می کند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امام علیه السلام جواب خود را زیر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صومها و صلاتها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که این </w:t>
      </w:r>
      <w:bookmarkStart w:id="1014" w:name="pg13517_329147"/>
    </w:p>
    <w:p>
      <w:pPr>
        <w:pStyle w:val="BookText"/>
        <w:rPr/>
      </w:pPr>
      <w:bookmarkEnd w:id="1014"/>
      <w:r>
        <w:rPr>
          <w:rFonts w:ascii="Amiri" w:hAnsi="Amiri" w:eastAsia="Amiri" w:cs="Amiri"/>
          <w:color w:val="111111"/>
          <w:sz w:val="28"/>
          <w:sz w:val="28"/>
          <w:szCs w:val="28"/>
          <w:rtl w:val="true"/>
          <w:lang w:bidi="ar-SA"/>
        </w:rPr>
        <w:t>أنسب بكتابة التوقيع و بالترتيب من غير تقديم و تأخير و الراوي نقل ما كتبه عليه السلام و لم يكن فيه واو لعطف تقضي صلاتها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كان تقضي صومها ولاء و تقضي صلاتها بواو العطف من غير إثبات همزة فتوهمت زيادة الهمزة التي التبست الواو بها و أنه و لا تقضي صلاتها علي معني النهي فتركت الواو لذلك و إذا كان التوقيع تحت كل مسألة كان ترك الهمزة أو المد في خطه عليه السلام وجهه ظاهر لو كان فإن قوله تقضي صومها ولاء مع انفصاله لا يحتاج فيه إلي ذلك فليفهم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ذكر توجيه الواو احتمال أن يكون عليه السلام جمع في التوقيع بالعطف أو أن الراوي ذكر كلامه عليه السلام و عطف الثاني علي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أن يحمل علي الاستفهام الإنكاري و لا يخفي بعده في المكاتبة لا سيما مع التعليل المذكور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أن يحمل علي أنها كانت اغتسلت للفجر و تركت الغسل لسائر الصلوات بقرينة قوله من الغسل لكل صلاتين فإنها تقضي صومها للإخلال بسائر الأغسال النهارية و لا تقضي صلاة الفجر و المراد بصلاتها صلاة الفجر أو المراد نفي قضاء جميع الصلوات و لا يخفي بعده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أن يقرأ تقضي في الموضعين بتشديد الضاد من باب التفعل أي انقضي حكم صومها و ليس عليها القضاء إما لعدم اشتراط الصوم بالطهارة مطلقا أو لأن الجاهل معذور فيه بخلاف الصلاة للاشتراط مطلقا</w:t>
      </w:r>
      <w:r>
        <w:rPr>
          <w:rFonts w:eastAsia="Amiri" w:cs="Amiri" w:ascii="Amiri" w:hAnsi="Amiri"/>
          <w:color w:val="111111"/>
          <w:sz w:val="28"/>
          <w:szCs w:val="28"/>
          <w:rtl w:val="true"/>
          <w:lang w:bidi="ar-SA"/>
        </w:rPr>
        <w:t>.</w:t>
      </w:r>
    </w:p>
    <w:p>
      <w:pPr>
        <w:pStyle w:val="Heading5"/>
        <w:numPr>
          <w:ilvl w:val="4"/>
          <w:numId w:val="1"/>
        </w:numPr>
        <w:rPr/>
      </w:pPr>
      <w:bookmarkStart w:id="1015" w:name="__RefHeading___Toc605844_1934241801"/>
      <w:bookmarkStart w:id="1016" w:name="_Toc466"/>
      <w:bookmarkEnd w:id="1015"/>
      <w:r>
        <w:rPr>
          <w:rtl w:val="true"/>
        </w:rPr>
        <w:t>«</w:t>
      </w:r>
      <w:r>
        <w:rPr/>
        <w:t>39</w:t>
      </w:r>
      <w:r>
        <w:rPr>
          <w:rtl w:val="true"/>
        </w:rPr>
        <w:t>»</w:t>
      </w:r>
      <w:bookmarkEnd w:id="1016"/>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الرَّجُلُ عَلَي امْرَأَتِهِ وَ هِيَ حَائِضٌ فَإِنَّ عَلَيْهِ أَنْ يَتَصَدَّقَ عَلَي مِسْكِينٍ بِقَدْرِ شِبَعِهِ وَ رُوِيَ أَنَّهُ إِذَا جَامَعَهَا فِي أَوَّلِ الْحَيْضِ فَعَلَيْهِ أَنْ يَتَصَدَّقَ بِدِينَارٍ وَ إِنْ كَانَ فِي نِصْفِهِ فَنِصْفُ دِينَارٍ وَ إِنْ كَانَ فِي آخِرِهِ فَرُبُعُ دِينَارٍ وَ إِنْ جَامَعْتَ أَمَتَكَ وَ هِيَ حَائِضٌ تَصَدَّقْتَ بِثَلَاثَةِ أَمْدَادٍ مِنْ طَعَامٍ‌</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7" w:name="__RefHeading___Toc605846_1934241801"/>
      <w:bookmarkStart w:id="1018" w:name="_Toc467"/>
      <w:bookmarkEnd w:id="1017"/>
      <w:r>
        <w:rPr>
          <w:rtl w:val="true"/>
        </w:rPr>
        <w:t>توضيح</w:t>
      </w:r>
      <w:bookmarkEnd w:id="1018"/>
    </w:p>
    <w:p>
      <w:pPr>
        <w:pStyle w:val="BookText"/>
        <w:rPr/>
      </w:pPr>
      <w:r>
        <w:rPr>
          <w:rFonts w:ascii="Amiri" w:hAnsi="Amiri" w:eastAsia="Amiri" w:cs="Amiri"/>
          <w:color w:val="111111"/>
          <w:sz w:val="28"/>
          <w:sz w:val="28"/>
          <w:szCs w:val="28"/>
          <w:rtl w:val="true"/>
          <w:lang w:bidi="ar-SA"/>
        </w:rPr>
        <w:t>لا خلاف بين الأصحاب في رجحان الكفارة علي الواطئ و إنما</w:t>
      </w:r>
    </w:p>
    <w:p>
      <w:pPr>
        <w:pStyle w:val="BookText"/>
        <w:rPr/>
      </w:pPr>
      <w:r>
        <w:rPr>
          <w:rFonts w:ascii="IRNazanin" w:hAnsi="IRNazanin" w:eastAsia="IRNazanin"/>
          <w:color w:val="111111"/>
          <w:sz w:val="28"/>
          <w:sz w:val="28"/>
          <w:szCs w:val="28"/>
          <w:rtl w:val="true"/>
          <w:lang w:bidi="fa-IR"/>
        </w:rPr>
        <w:t xml:space="preserve">امر با شیوه نوشتن توقیع و ترتیب بدون تقدیم و تأخیر سازگاری بیشتری دارد، و راوی آنچه را که امام علیه السلام نوشته نقل کرده است و در جواب،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عطف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تقضی صومها 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تقضی صلاتها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جواب امام چنین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تقضی صومها ولاء، و تقضی صلاتها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و بدون اثبات همزه موجود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توهّم اضافه بودن همزه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ملتبس گشته ایجاد شده و عبارت چنین پنداشته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تقضی صلاتها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نهی از انجام قضای نماز، و به همین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تقضی حذف شده است، و از آنجا که توقیع در زیر هر مسأله ای نگاشته می شود که در نامه وجود دارد، اگر همزه با مدّ در خط جواب امام علیه السلام حذف می شد از ظاهرآن مشخص می بود، پس 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تقضی صومها 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منفصل بودن از جمله قبل از آن، نیازی به این تأویل ندارد، باشد که بفهمد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احتمال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را توجیه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امام علیه السلام در توقیع نامه دو جمله را به هم عطف داده باشد، و دیگر اینکه راوی کلام امام علیه السلام را ذکر کرده و جمله دوم را به اوّل عطف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بر استفهام انکاری حمل شود، و بعید بودن صحّت این وجه در مکاتبه بر کسی پوشیده نیست، مخصوصاً با وجود تعلیلی که بعد از آن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بر این نکته حمل شود که زن مستحاضه برای نماز صبح غسل نموده و برای نمازهای دیگر غسل کردن را ترک کند، با وجود این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الغسل لکلّ صلاتین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او قضای روزه اش را به خاطر اخلال در سایر غسل های روزانه به جا می آورد ولی قضای نماز صبح را به جا نمی آورد،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می باشد، یا منظور نفی قضای تمام نمازها می باشد که بعید بودن این وجه نیز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قسمت از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که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روزه زن مستحاضه منقضی گشت و قضای آن بر او واجب نیست، و این امر به دو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خاطر عدم وابستگی مطلق روزه به طهارت، و یا به خاطر اینکه زن مستحاضه  نا آگاه از احکام، در عدم انجام آن ها معذوراست؛ بر خلاف نماز که به صورت مطلق به طهارت بستگی دارد</w:t>
      </w:r>
      <w:r>
        <w:rPr>
          <w:rFonts w:eastAsia="IRNazanin" w:cs="IRNazanin"/>
          <w:color w:val="111111"/>
          <w:sz w:val="28"/>
          <w:szCs w:val="28"/>
          <w:rtl w:val="true"/>
          <w:lang w:bidi="fa-IR"/>
        </w:rPr>
        <w:t>.</w:t>
      </w:r>
    </w:p>
    <w:p>
      <w:pPr>
        <w:pStyle w:val="Heading5"/>
        <w:numPr>
          <w:ilvl w:val="4"/>
          <w:numId w:val="1"/>
        </w:numPr>
        <w:rPr/>
      </w:pPr>
      <w:bookmarkStart w:id="1019" w:name="__RefHeading___Toc605848_1934241801"/>
      <w:bookmarkStart w:id="1020" w:name="_Toc468"/>
      <w:bookmarkEnd w:id="1019"/>
      <w:r>
        <w:rPr>
          <w:rtl w:val="true"/>
        </w:rPr>
        <w:t xml:space="preserve">روایت </w:t>
      </w:r>
      <w:r>
        <w:rPr/>
        <w:t>39</w:t>
      </w:r>
      <w:bookmarkEnd w:id="1020"/>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با همسر خود که در حال حیض است نزدیکی کند بر او واجب است به اندازة سیر شدن یک مسکین به او صدقه بدهد، و روایت شده که اگر مرد در اوایل ایّام حیض با همسرش نزدیکی کند پرداخت یک دینار، اگر در اواسط ایام حیض باشد پرداخت نیم دینار و اگر در پایان ایام حیض باشد پرداخت ربع دینار بر او واجب می گردد؛ و اگر با کنیز خویش که در حال حیض است نزدیکی کنی باید سه پیمانه از یک وعده غذایی را به عنوان صدقه پرداخت نمایی</w:t>
      </w:r>
      <w:r>
        <w:rPr>
          <w:rFonts w:eastAsia="IRNazanin" w:cs="IRNazanin"/>
          <w:color w:val="111111"/>
          <w:sz w:val="28"/>
          <w:szCs w:val="28"/>
          <w:rtl w:val="true"/>
          <w:lang w:bidi="fa-IR"/>
        </w:rPr>
        <w:t>.</w:t>
      </w:r>
      <w:r>
        <w:rPr>
          <w:rStyle w:val="FootnoteAnchor"/>
          <w:rtl w:val="true"/>
        </w:rPr>
        <w:footnoteReference w:id="547"/>
      </w:r>
    </w:p>
    <w:p>
      <w:pPr>
        <w:pStyle w:val="Heading5"/>
        <w:numPr>
          <w:ilvl w:val="4"/>
          <w:numId w:val="1"/>
        </w:numPr>
        <w:rPr/>
      </w:pPr>
      <w:bookmarkStart w:id="1021" w:name="__RefHeading___Toc605850_1934241801"/>
      <w:bookmarkStart w:id="1022" w:name="_Toc469"/>
      <w:bookmarkEnd w:id="1021"/>
      <w:r>
        <w:rPr>
          <w:rtl w:val="true"/>
        </w:rPr>
        <w:t>توضیح</w:t>
      </w:r>
      <w:bookmarkEnd w:id="102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اختلاف نظری در بین فقها بر سر برتری داشتن پرداخت کفّاره از سوی نزدیکی کننده وجود ندارد، و بلکه </w:t>
      </w:r>
    </w:p>
    <w:p>
      <w:pPr>
        <w:pStyle w:val="BookText"/>
        <w:rPr/>
      </w:pPr>
      <w:r>
        <w:rPr>
          <w:rFonts w:ascii="Amiri" w:hAnsi="Amiri" w:eastAsia="Amiri" w:cs="Amiri"/>
          <w:color w:val="111111"/>
          <w:sz w:val="28"/>
          <w:sz w:val="28"/>
          <w:szCs w:val="28"/>
          <w:rtl w:val="true"/>
          <w:lang w:bidi="ar-SA"/>
        </w:rPr>
        <w:t xml:space="preserve">الخلاف في وجوبها و استحبابها و أكثر القدماء علي الأول و أكثر المتأخرين علي الثاني و لعله أقرب جمعا بين الأدلة علي أن الأخبار الواردة بالكفارة مختلفة و فيه تأييد للاستحباب ففي بعضها أنه يتصدق بدينار و في بعضها أن عليه نصف دينار و في بعضها أنه يتصدق علي مسكين بقدر شبعه و اختاره الصدوق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ما جعله الصدوق رواية و هي ما رواه الشَّيْخُ‌</w:t>
      </w:r>
      <w:r>
        <w:rPr>
          <w:rStyle w:val="FootnoteAnchor"/>
          <w:rtl w:val="true"/>
        </w:rPr>
        <w:footnoteReference w:id="548"/>
      </w:r>
      <w:r>
        <w:rPr>
          <w:rFonts w:ascii="Amiri" w:hAnsi="Amiri" w:eastAsia="Amiri" w:cs="Amiri"/>
          <w:color w:val="111111"/>
          <w:sz w:val="28"/>
          <w:sz w:val="28"/>
          <w:szCs w:val="28"/>
          <w:rtl w:val="true"/>
          <w:lang w:bidi="ar-SA"/>
        </w:rPr>
        <w:t>بِسَنَدٍ فِيهِ ضَعْفٌ عَلَي الْمَشْهُورِ عَنْ دَاوُدَ بْنِ فَرْقَدٍ عَنْ أَبِي عَبْدِ اللَّهِ عليه السلام فِي كَفَّارَةِ الطَّمْثِ أَنَّهُ يَتَصَدَّقُ وَ إِذَا كَانَ فِي أَوَّلِهِ بِدِينَارٍ وَ فِي أَوْسَطِهِ نِصْفُ دِينَارٍ وَ فِي آخِرِهِ رُبُعُ دِينَارٍ قُلْتُ فَإِنْ لَمْ يَكُنْ عِنْدَهُ مَا يُكَفِّرُ قَالَ فَلْيَتَصَدَّقْ عَلَي مِسْكِينٍ وَاحِدٍ وَ إِلَّا اسْتَغْفَرَ اللَّهَ وَ لَا يَعُودُ فَإِنَّ الِاسْتِغْفَارَ تَوْبَةٌ وَ كَفَّارَةٌ لِكُلِّ مَنْ لَمْ يَجِدِ السَّبِيلَ إِلَي شَيْ‌ءٍ مِنَ الْكَفَّارَةِ و علي هذه الرواية حملوا الأخبار الواردة مطلقا بالتصدق بدينار و نصف دينار و يمكن الجمع بالتخيير و الحمل علي اختلاف مراتب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عندي أنه يمكن حمل أخبار الكفارة علي التقية لاشتهار الكفارة بينهم و إن اختلفوا في الوجوب و الاستحباب و بعض التفاصيل المذكورة في أخبارنا موجودة في أخبارهم و يؤيده ما رواه الشَّيْخُ فِي الْمُوَثَّقِ‌</w:t>
      </w:r>
      <w:r>
        <w:rPr>
          <w:rStyle w:val="FootnoteAnchor"/>
          <w:rtl w:val="true"/>
        </w:rPr>
        <w:footnoteReference w:id="549"/>
      </w:r>
      <w:r>
        <w:rPr>
          <w:rFonts w:ascii="Amiri" w:hAnsi="Amiri" w:eastAsia="Amiri" w:cs="Amiri"/>
          <w:color w:val="111111"/>
          <w:sz w:val="28"/>
          <w:sz w:val="28"/>
          <w:szCs w:val="28"/>
          <w:rtl w:val="true"/>
          <w:lang w:bidi="ar-SA"/>
        </w:rPr>
        <w:t>عَنْ عَبْدِ الْمَلِكِ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أَتَي جَارِيَتَهُ وَ هِيَ طَامِثٌ قَالَ يَسْتَغْفِرُ رَبَّهُ قَالَ عَبْدُ الْمَلِكِ فَإِنَّ النَّاسَ يَقُولُونَ عَلَيْهِ نِصْفُ دِينَارٍ أَوْ دِينَارٌ فَقَالَ أَبُو عَبْدِ اللَّهِ عليه السلام فَلْيَتَصَدَّقْ عَلَي عَشَرَةِ 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المشهور أن الأول و الوسط و الآخر يختلف بحسب العادة و ذهب الراوندي إلي أنها تعتبر بالنسبة إلي العشرة فعنده قد يخلو بعض العادات من الوسط و الآخر و نسب إليه أيضا أنه جمع بين الأخبار بالحمل علي المضطر و غيره و الشاب و غيره و أيضا المشهور أنه لا فرق في الزوجة بين الدائمة و المنقطعة و الحرة و الأمة</w:t>
      </w:r>
    </w:p>
    <w:p>
      <w:pPr>
        <w:pStyle w:val="BookText"/>
        <w:rPr/>
      </w:pPr>
      <w:r>
        <w:rPr>
          <w:rFonts w:ascii="IRNazanin" w:hAnsi="IRNazanin" w:eastAsia="IRNazanin"/>
          <w:color w:val="111111"/>
          <w:sz w:val="28"/>
          <w:sz w:val="28"/>
          <w:szCs w:val="28"/>
          <w:rtl w:val="true"/>
          <w:lang w:bidi="fa-IR"/>
        </w:rPr>
        <w:t>اختلاف فقها بر سر وجوب و یا استحباب پرداخت کفّاره است، بیشتر فقهای قدیم به وجوب اعتقاد دارند ولی بیشتر فقهای متأخر قائل به استحباب هستند، و شاید این نظر نزدیک ترین جمع بین دلایل باشد، بر این اساس که احادیث روایت شده در مورد پرداخت کفّاره متفاوت هستند و در آن تأییدی بر استحباب وجود دارد، پس بر اساس برخی از آن احادیث، شوهرِ زن حائض که با او نزدیکی کرده باید یک دینار و بر اساس برخی دیگر نصف دینار را به عنوان صدقه پرداخت کند، و در بعضی از احادیث نیز ذکر شده که وی باید به اندازه سیر شدن یک مسکین به او صدقه بدهد؛ صدوق نیز این نظر را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 مشهور آن است که صدوق به عنوان روایت نقل کرده است و آن روایتی است که شیخ</w:t>
      </w:r>
      <w:r>
        <w:rPr>
          <w:rStyle w:val="FootnoteAnchor"/>
          <w:rtl w:val="true"/>
        </w:rPr>
        <w:footnoteReference w:id="550"/>
      </w:r>
      <w:r>
        <w:rPr>
          <w:rFonts w:ascii="IRNazanin" w:hAnsi="IRNazanin" w:eastAsia="IRNazanin"/>
          <w:color w:val="111111"/>
          <w:sz w:val="28"/>
          <w:sz w:val="28"/>
          <w:szCs w:val="28"/>
          <w:rtl w:val="true"/>
          <w:lang w:bidi="fa-IR"/>
        </w:rPr>
        <w:t xml:space="preserve">با سندی که در آن ضعف وجود دارد از داوود بن فَرقَد و او نیز از امام صادق علیه السلام در مورد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حائض نقل کرده است، به این ترتیب که اگر مرد در ابتدای ایّام حیض با همسرش نزدیکی کند باید یک دینار، در وسط ایّام حیض نصف دینار و در پایان آن ربع دینار را به عنوان صدقه پرداخت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او چیزی برای کفّاره دادن وجود نداشته باشد باید چه کاری انجام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یک نیازمند صدقه بدهد و اگر توان صدقه دادن به مسکین را نیز نداشته باشد باید استغفار کند و آن کار را تکرار نکند، به راستی که استغفار به منزله توبه و کفّاره است برای کسی که راهی برای پرداخت کفّاره نمی یابد، و احادیث روایت شده در مورد صدقه دادن یک و یا نصف دینار را به صورت مطلق بر این روایت حمل کرده اند، همچنین می توان بین اخبار جمع کرد با حکم دادن به تخییر و حمل بر اختلاف مراتب فضیلت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ممکن است که احادیث روایت شده در مورد کفّاره را به خاطر مشهور بودن کفّاره در بین مخالفان بر تقیّه حمل نمود، اگر چه بر سر وجوب و یا استحباب آن اختلاف نظر دارند، و برخی از تفاصیل ذکر شده در احادیث ما،در احادیث آنان نیز وجود دارد، و آنچه شیخ درالموثّق از عبدالملک بن عمرو روایت کرده است این نظر را تأیید می کند، آن گاه که 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دربارة مردی پرسیدم که با همسرش در حال حیض نزدیکی می کند ،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پروردگارش طلب بخشش می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 که پرداخت نصف دینار یا یک دینار بر او واجب است، 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ده مسکین نیازمند صدقه بدهد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نظر مشهور آن است که ابتدا، وسط و انتهای حیض بر حسب عادت فرق می کند، راوندی بر این باور است که این امر بر اساس ده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سنجیده می شود، بنابراین به نظر او بعضی از عادت ها فارغ از وسط و آخر هستند، همچنین به راوندی نسبت داده شده که وی با حمل نمودن احادیث بر مضطرّ و غیر مضطرّ و جوان و غیر جوان بین احادیث تلفیق ایجاد کرده است، همچنین مشهور است که فرقی میان همسر دائم و منقطع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آزاد و کنیز وجود ندارد، </w:t>
      </w:r>
      <w:bookmarkStart w:id="1023" w:name="pg13517_329149"/>
    </w:p>
    <w:p>
      <w:pPr>
        <w:pStyle w:val="BookText"/>
        <w:rPr/>
      </w:pPr>
      <w:bookmarkEnd w:id="1023"/>
      <w:r>
        <w:rPr>
          <w:rFonts w:ascii="Amiri" w:hAnsi="Amiri" w:eastAsia="Amiri" w:cs="Amiri"/>
          <w:color w:val="111111"/>
          <w:sz w:val="28"/>
          <w:sz w:val="28"/>
          <w:szCs w:val="28"/>
          <w:rtl w:val="true"/>
          <w:lang w:bidi="ar-SA"/>
        </w:rPr>
        <w:t>و في لزوم الكفارة في الأجنبية المشتبهة و المزني بها خلاف و الإلحاق لا يخلو من قوة و اختار الصدوق أن في وطء الأمة المملوكة ثلاثة أمداد من طعام و اختاره الشيخ أيضا استنادا إلي بعض الروايات و اختلفوا في تكرر الكفارة بتكرر الموجب علي أقوال التكرر مطلقا عدمه مطلقا تكررها إن اختلف الزمان كما إذا كان بعضه في أول الحيض و بعضه في وسطه أو تخلل التكفير و هو مختار أكثر المحققين و لعله أقرب و إن كان الأول أحوط</w:t>
      </w:r>
      <w:r>
        <w:rPr>
          <w:rFonts w:eastAsia="Amiri" w:cs="Amiri" w:ascii="Amiri" w:hAnsi="Amiri"/>
          <w:color w:val="111111"/>
          <w:sz w:val="28"/>
          <w:szCs w:val="28"/>
          <w:rtl w:val="true"/>
          <w:lang w:bidi="ar-SA"/>
        </w:rPr>
        <w:t>.</w:t>
      </w:r>
    </w:p>
    <w:p>
      <w:pPr>
        <w:pStyle w:val="Heading5"/>
        <w:numPr>
          <w:ilvl w:val="4"/>
          <w:numId w:val="1"/>
        </w:numPr>
        <w:rPr/>
      </w:pPr>
      <w:bookmarkStart w:id="1024" w:name="__RefHeading___Toc605852_1934241801"/>
      <w:bookmarkStart w:id="1025" w:name="_Toc470"/>
      <w:bookmarkEnd w:id="1024"/>
      <w:r>
        <w:rPr>
          <w:rtl w:val="true"/>
        </w:rPr>
        <w:t>«</w:t>
      </w:r>
      <w:r>
        <w:rPr/>
        <w:t>40</w:t>
      </w:r>
      <w:r>
        <w:rPr>
          <w:rtl w:val="true"/>
        </w:rPr>
        <w:t>»</w:t>
      </w:r>
      <w:bookmarkEnd w:id="1025"/>
    </w:p>
    <w:p>
      <w:pPr>
        <w:pStyle w:val="BookText"/>
        <w:rPr/>
      </w:pPr>
      <w:r>
        <w:rPr>
          <w:rFonts w:ascii="Amiri" w:hAnsi="Amiri" w:eastAsia="Amiri" w:cs="Amiri"/>
          <w:color w:val="111111"/>
          <w:sz w:val="28"/>
          <w:sz w:val="28"/>
          <w:szCs w:val="28"/>
          <w:rtl w:val="true"/>
          <w:lang w:bidi="ar-SA"/>
        </w:rPr>
        <w:t>السَّرَائِرُ، نَقْلًا مِنْ كِتَابِ مُحَمَّدِ بْنِ عَلِيِّ بْنِ مَحْبُوبٍ عَنْ مُحَمَّدِ بْنِ الْحُسَيْنِ عَنْ مُحَمَّدِ بْنِ يَحْيَي الْخَزَّازِ عَنْ غِيَاثِ بْنِ إِبْرَاهِيمَ عَنْ جَعْفَرِ بْنِ مُحَمَّدٍ عَنْ أَبِيهِ عَنْ عَلِيٍّ عَلَيْهِمُ الصَّلَاةُ وَ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تَقْضِي الْحَائِضُ الصَّلَاةَ وَ لَا تَسْجُدُ إِذَا سَمِعَتِ السَّجْدَةَ</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6" w:name="__RefHeading___Toc605854_1934241801"/>
      <w:bookmarkStart w:id="1027" w:name="_Toc471"/>
      <w:bookmarkEnd w:id="1026"/>
      <w:r>
        <w:rPr>
          <w:rtl w:val="true"/>
        </w:rPr>
        <w:t>توضيح</w:t>
      </w:r>
      <w:bookmarkEnd w:id="1027"/>
    </w:p>
    <w:p>
      <w:pPr>
        <w:pStyle w:val="BookText"/>
        <w:rPr/>
      </w:pPr>
      <w:r>
        <w:rPr>
          <w:rFonts w:ascii="Amiri" w:hAnsi="Amiri" w:eastAsia="Amiri" w:cs="Amiri"/>
          <w:color w:val="111111"/>
          <w:sz w:val="28"/>
          <w:sz w:val="28"/>
          <w:szCs w:val="28"/>
          <w:rtl w:val="true"/>
          <w:lang w:bidi="ar-SA"/>
        </w:rPr>
        <w:t>يدل علي عدم وجوب السجدة علي الحائض إذا سمعت السجدة بناء علي اشتراط الطهارة فيه كما اختاره الشيخ في التهذيب و نقل عليه الإجماع و المشهور عدم الاشتراط كما يدل عليه الأخبار الصحيحة و ربما يحمل الخبر علي السماع الذي لا يكون معه استماع بناء علي ما ذهب إليه بعض الأصحاب من اشتراط الإصغاء في الوجوب أو علي السجدات المستحبة و الأظهر حمله علي التقية لأن الراوي عامي و لأن المنع مختار أكثر العامة كالشافعي و أبي حنيفة و أحمد و الأظهر الوجوب</w:t>
      </w:r>
      <w:r>
        <w:rPr>
          <w:rFonts w:eastAsia="Amiri" w:cs="Amiri" w:ascii="Amiri" w:hAnsi="Amiri"/>
          <w:color w:val="111111"/>
          <w:sz w:val="28"/>
          <w:szCs w:val="28"/>
          <w:rtl w:val="true"/>
          <w:lang w:bidi="ar-SA"/>
        </w:rPr>
        <w:t>.</w:t>
      </w:r>
    </w:p>
    <w:p>
      <w:pPr>
        <w:pStyle w:val="Heading5"/>
        <w:numPr>
          <w:ilvl w:val="4"/>
          <w:numId w:val="1"/>
        </w:numPr>
        <w:rPr/>
      </w:pPr>
      <w:bookmarkStart w:id="1028" w:name="__RefHeading___Toc605856_1934241801"/>
      <w:bookmarkStart w:id="1029" w:name="_Toc472"/>
      <w:bookmarkEnd w:id="1028"/>
      <w:r>
        <w:rPr>
          <w:rtl w:val="true"/>
        </w:rPr>
        <w:t>«</w:t>
      </w:r>
      <w:r>
        <w:rPr/>
        <w:t>41</w:t>
      </w:r>
      <w:r>
        <w:rPr>
          <w:rtl w:val="true"/>
        </w:rPr>
        <w:t>»</w:t>
      </w:r>
      <w:bookmarkEnd w:id="1029"/>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أَهْلِ الْبَيْتِ صَلَوَاتُ اللَّهِ عَلَيْهِمْ أَنَّ الْمَرْأَةَ إِذَا حَاضَتْ أَوْ نَفِسَتْ حَرُمَ عَلَيْهَا أَنْ تُصَلِّيَ وَ تَصُومَ وَ حَرُمَ عَلَي زَوْجِهَا وَطْؤُهَا حَتَّي تَطْهُرَ مِنَ الدَّمِ وَ تَغْتَسِلَ بِالْمَاءِ أَوْ تَتَيَمَّمَ إِنْ لَمْ تَجِدِ الْمَاءَ فَإِذَا طَهُرَتْ كَذَلِكَ قَضَتِ الصَّوْمَ وَ لَمْ تَقْضِ الصَّلَاةَ وَ حَلَّتْ لِزَوْجِهَا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رَخَّصَ فِي مُبَاشَرَةِ الْحَائِضِ وَ قَالَ تَتَّزِرُ بِإِزَارٍ مِنْ دُونِ السُّرَّةِ إِلَي الرُّكْبَتَيْنِ وَ لِزَوْجِهَا مِنْهَا مَا فَوْقَ الْإِزَارِ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سر لزوم پرداخت کفّاره به هنگام مرتکب شدن نزدیکی با زن اجنبی که مشتبه شده نیز اختلاف نظر وجود دارد، و إلحاق حکم خالی از قوّت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صدوق این نظر را برگزیده است که در نزدیکی با کنیزِ تحت مالکیت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سه پیمانه غذا به عنوان صدقه پرداخت شود، شیخ نیز این نظر را با استناد به یکی از روایات برگزیده است؛ فقها بر سر تکرار پرداخت کفّاره با توجه به تکرار موجِب آن دچار اختلاف شده اند بنا بر وجوه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مطلق پرداخت کفّاره، عدم تکرار مطلق پرداخت کفّاره، تکرار پرداخت کفّاره اگر زمان نزدیکی ها مختلف باشد به این ترتیب که نزدیکی یک بار در آغاز ایّام حیض و بار دیگر در وسط آن ایّام صورت پذیرد، و سرانجام تخلّل در پرداخت کفّاره که نظر برگزیده بیشتر محققّان است و شاید به صحّت نزدیک تر باشد، اگر چه احوط تکرار مطلق پرداخت کفّاره است</w:t>
      </w:r>
      <w:r>
        <w:rPr>
          <w:rFonts w:eastAsia="IRNazanin" w:cs="IRNazanin"/>
          <w:color w:val="111111"/>
          <w:sz w:val="28"/>
          <w:szCs w:val="28"/>
          <w:rtl w:val="true"/>
          <w:lang w:bidi="fa-IR"/>
        </w:rPr>
        <w:t>.</w:t>
      </w:r>
    </w:p>
    <w:p>
      <w:pPr>
        <w:pStyle w:val="Heading5"/>
        <w:numPr>
          <w:ilvl w:val="4"/>
          <w:numId w:val="1"/>
        </w:numPr>
        <w:rPr/>
      </w:pPr>
      <w:bookmarkStart w:id="1030" w:name="__RefHeading___Toc605858_1934241801"/>
      <w:bookmarkStart w:id="1031" w:name="_Toc473"/>
      <w:bookmarkEnd w:id="1030"/>
      <w:r>
        <w:rPr>
          <w:rtl w:val="true"/>
        </w:rPr>
        <w:t xml:space="preserve">روایت </w:t>
      </w:r>
      <w:r>
        <w:rPr/>
        <w:t>40</w:t>
      </w:r>
      <w:bookmarkEnd w:id="1031"/>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محمد بن علی بن محبوب 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 قضای نماز را به جا نمی آورد و هنگامی که آیه سجده را بشنود، سجده نمی گزارد</w:t>
      </w:r>
      <w:r>
        <w:rPr>
          <w:rFonts w:eastAsia="IRNazanin" w:cs="IRNazanin"/>
          <w:color w:val="111111"/>
          <w:sz w:val="28"/>
          <w:szCs w:val="28"/>
          <w:rtl w:val="true"/>
          <w:lang w:bidi="fa-IR"/>
        </w:rPr>
        <w:t>.</w:t>
      </w:r>
      <w:r>
        <w:rPr>
          <w:rStyle w:val="FootnoteAnchor"/>
          <w:rtl w:val="true"/>
        </w:rPr>
        <w:footnoteReference w:id="552"/>
      </w:r>
    </w:p>
    <w:p>
      <w:pPr>
        <w:pStyle w:val="Heading5"/>
        <w:numPr>
          <w:ilvl w:val="4"/>
          <w:numId w:val="1"/>
        </w:numPr>
        <w:rPr/>
      </w:pPr>
      <w:bookmarkStart w:id="1032" w:name="__RefHeading___Toc605860_1934241801"/>
      <w:bookmarkStart w:id="1033" w:name="_Toc474"/>
      <w:bookmarkEnd w:id="1032"/>
      <w:r>
        <w:rPr>
          <w:rtl w:val="true"/>
        </w:rPr>
        <w:t>توضیح</w:t>
      </w:r>
      <w:bookmarkEnd w:id="1033"/>
    </w:p>
    <w:p>
      <w:pPr>
        <w:pStyle w:val="BookText"/>
        <w:rPr/>
      </w:pPr>
      <w:r>
        <w:rPr>
          <w:rFonts w:ascii="IRNazanin" w:hAnsi="IRNazanin" w:eastAsia="IRNazanin"/>
          <w:color w:val="111111"/>
          <w:sz w:val="28"/>
          <w:sz w:val="28"/>
          <w:szCs w:val="28"/>
          <w:rtl w:val="true"/>
          <w:lang w:bidi="fa-IR"/>
        </w:rPr>
        <w:t xml:space="preserve">این حدیث بر عدم وجوب سجده برای زن حائض به هنگام شنیدن آیه سجده دلالت دارد، چرا که سجده به هنگام محقّق شدن شرط طهارت واجب می گردد، چنان که شیخ نیز در التهذیب این نظر را برگزیده و نقل کرده که اجماع فقها بر آن متّفقند، ولی آن گونه که احادیث صحیح نیز دلالت می کنند نظر مشهور عدم لزوم شرط طهارت برای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شنیدن آیات دارای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چه بسا که حدیث مذکور بر شنیدن آیۀ سجده و نه گوش دادن با دقت به آن حمل می شود، مبنی بر اینکه عدّه ای از فقها محقق شدن شرط إصغاء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دادن با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وجوب سجده لازم دانسته اند، و یا حدیث بر سجده های مستحبّ حمل شود، امّا صحیح تر آن است که حدیث حمل بر تقیّه شود، چرا که راوی شخصی عامّی است، و به خاطر اینکه منع سجده برای حائض نظر برگزیدۀ اغلب عامّه مانند شافعی، ابوحنیفه و احمد است، ولی صحیح تر وجوب آن است</w:t>
      </w:r>
      <w:r>
        <w:rPr>
          <w:rFonts w:eastAsia="IRNazanin" w:cs="IRNazanin"/>
          <w:color w:val="111111"/>
          <w:sz w:val="28"/>
          <w:szCs w:val="28"/>
          <w:rtl w:val="true"/>
          <w:lang w:bidi="fa-IR"/>
        </w:rPr>
        <w:t>.</w:t>
      </w:r>
    </w:p>
    <w:p>
      <w:pPr>
        <w:pStyle w:val="Heading5"/>
        <w:numPr>
          <w:ilvl w:val="4"/>
          <w:numId w:val="1"/>
        </w:numPr>
        <w:rPr/>
      </w:pPr>
      <w:bookmarkStart w:id="1034" w:name="__RefHeading___Toc605862_1934241801"/>
      <w:bookmarkStart w:id="1035" w:name="_Toc475"/>
      <w:bookmarkEnd w:id="1034"/>
      <w:r>
        <w:rPr>
          <w:rtl w:val="true"/>
        </w:rPr>
        <w:t xml:space="preserve">روایت </w:t>
      </w:r>
      <w:r>
        <w:rPr/>
        <w:t>41</w:t>
      </w:r>
      <w:bookmarkEnd w:id="103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علیهم السلام برای ما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 آن گاه که دچار حیض یا نفاس می شود حرام است که نماز بگزارد یا روزه بگیرد، همچنین بر شوهرش حرام است که با او نزدیکی کند، مگر بعد از آنکه از خونریزی پاک شود و با آب غسل نماید و یا در صورت عدم وجود آب تیمّم کند؛ پس بعد از پاک شدن به طریق مذکور، قضای روزه را به جا می آورد ولی قضای نماز را به جا نمی آورد و نزدیکی با او برای شوهرش حلال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جعفر بن محمّد علیه السلام روایت شده است که مباشرت با زن حائض را جایز شمرده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 ما بین ناف تا زانوهای خویش را با پوششی می پوشاند، در این حالت کام جوییِ شوهر از او از روی پوشش منعی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اشکال دارد </w:t>
      </w:r>
    </w:p>
    <w:p>
      <w:pPr>
        <w:pStyle w:val="BookText"/>
        <w:rPr/>
      </w:pPr>
      <w:r>
        <w:rPr>
          <w:rFonts w:ascii="Amiri" w:hAnsi="Amiri" w:eastAsia="Amiri" w:cs="Amiri"/>
          <w:color w:val="111111"/>
          <w:sz w:val="28"/>
          <w:sz w:val="28"/>
          <w:szCs w:val="28"/>
          <w:rtl w:val="true"/>
          <w:lang w:bidi="ar-SA"/>
        </w:rPr>
        <w:t>وَ رُوِّينَا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أَتَي حَائِضاً فَقَدْ أَتَي مَا لَا يَحِلُّ لَهُ وَ عَلَيْهِ أَنْ يَسْتَغْفِرَ اللَّهَ مِنْ خَطِيئَتِهِ وَ إِنْ تَصَدَّقَ بِصَدَقَةٍ مَعَ ذَلِكَ فَقَدْ أَحْسَنَ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اسْتَمَرَّ الدَّمُ بِالْمَرْأَةِ فَهِيَ مُسْتَحَاضَةٌ وَ دَمُ الْحَيْضِ كَدِرٌ غَلِيظٌ مُنْتِنٌ وَ دَمُ الِاسْتِحَاضَةِ دَمٌ رَقِيقٌ فَإِذَا جَاءَ دَمُ الْحَيْضِ صَنَعَتْ مَا تَصْنَعُ الْحَائِضُ وَ إِذَا ذَهَبَ تَطَهَّرَتْ ثُمَّ احْتَشَتْ بِخِرَقٍ أَوْ قُطْنٍ وَ تَوَضَّأَتْ لِكُلِّ صَلَاةٍ وَ حَلَّتْ لِزَوْجِهَا</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وَ عَلَيْهَا أَنْ تَغْتَسِلَ لِكُلِّ صَلَاتَيْنِ‌</w:t>
      </w:r>
      <w:r>
        <w:rPr>
          <w:rStyle w:val="FootnoteAnchor"/>
          <w:rtl w:val="true"/>
        </w:rPr>
        <w:footnoteReference w:id="554"/>
      </w:r>
      <w:r>
        <w:rPr>
          <w:rFonts w:ascii="Amiri" w:hAnsi="Amiri" w:eastAsia="Amiri" w:cs="Amiri"/>
          <w:color w:val="111111"/>
          <w:sz w:val="28"/>
          <w:sz w:val="28"/>
          <w:szCs w:val="28"/>
          <w:rtl w:val="true"/>
          <w:lang w:bidi="ar-SA"/>
        </w:rPr>
        <w:t>تَغْتَسِلُ لِلظُّهْرِ فَتُصَلِّي الظُّهْرَ وَ الْعَصْرَ وَ تَغْتَسِلُ وَ تُصَلِّي الْمَغْرِبَ وَ الْعِشَاءَ الْآخِرَةَ وَ تَغْتَسِلُ وَ تُصَلِّي الْفَجْرَ وَ قَالُوا مَا فَعَلَتْ هَذَا امْرَأَةٌ مُؤْمِنَةٌ مُسْتَحَاضَةٌ احْتِسَاباً إِلَّا أَذْهَبَ اللَّهُ عَنْهَا ذَلِكَ الدَّاءَ وَ كَذَلِكَ قَالُوا فِي الْمَرْأَةِ تَرَي الدَّمَ أَيَّامَ طُهْرِهَا إِنْ كَانَ دَمَ الْحَيْضِ فَهِيَ بِمَنْزِلَةِ الْحَائِضِ وَ عَلَيْهَا مِنْهُ الْغُسْلُ وَ إِنْ كَانَ دَماً رَقِيقاً فَتِلْكَ رَكْضَةٌ مِنَ الشَّيْطَانِ تَتَوَضَّأُ مِنْهُ وَ تُصَلِّي وَ يَأْتِيهَا زَوْجُهَا وَ كَذَلِكَ الْحَامِلُ تَرَي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نَأْمُرُ نِسَاءَنَا الْحُيَّضَ أَنْ يَتَوَضَّأْنَ عِنْدَ كُلِّ صَلَاةٍ فَيُسْبِغْنَ الْوُضُوءَ وَ يَحْتَشِينَ بِخِرَقٍ ثُمَّ يَسْتَقْبِلْنَ الْقِبْلَةَ مِنْ غَيْرِ أَنْ يَفْرِضْنَ صَلَاةً فَيُسَبِّحْنَ وَ يُكَبِّرْنَ وَ يُهَلِّلْنَ وَ لَا يَقْرَبْنَ مَسْجِداً وَ لَا يَقْرَأْنَ قُرْآناً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لِأَبِي جَعْفَرٍ عليه السلام فَإِنَّ الْمُغِيرَةَ زَعَمَ أَنَّكَ قُلْتَ يَقْضِينَ الصَّلَاةَ فَقَالَ كَذَبَ الْمُغِيرَةُ مَا صَلَّتِ امْرَأَةٌ مِنْ نِسَاءِ رَسُولِ اللَّهِ صلي الله عليه و آله وَ لَا مِنْ نِسَائِنَا وَ هِيَ حَائِضٌ وَ إِنَّمَا يُؤْمَرْنَ بِذِكْرِ اللَّهِ كَمَا ذَكَرْنَا تَرْغِيباً فِي الْفَضْلِ وَ اسْتِحْبَاباً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تَقْرَأِ الْحَائِضُ قُرْآناً وَ لَا تَدْخُلْ مَسْجِداً وَ</w:t>
      </w:r>
    </w:p>
    <w:p>
      <w:pPr>
        <w:pStyle w:val="BookText"/>
        <w:rPr/>
      </w:pPr>
      <w:r>
        <w:rPr>
          <w:rFonts w:ascii="IRNazanin" w:hAnsi="IRNazanin" w:eastAsia="IRNazanin"/>
          <w:color w:val="111111"/>
          <w:sz w:val="28"/>
          <w:sz w:val="28"/>
          <w:szCs w:val="28"/>
          <w:rtl w:val="true"/>
          <w:lang w:bidi="fa-IR"/>
        </w:rPr>
        <w:t>همچنین از اهل بیت علیهم السلام برای ما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که با زن حائض نزدیکی کند مرتکب کار حرام شده است، و بر او واجب است که از گناه خود به درگاه خداوند طلب استغفار کند، واگر خونریزی در زن ادامه پیدا کند، مستحاضه می باشد؛ و خون حیض تیره، غلیظ و بد بو است امّا خون استحاضه رقیق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خون حیض از زن جاری شد باید اعمال مربوط به حائض را انجام دهد، و آن گاه که ایّام حیض سپری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خونریزی همچنان ادامه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حائض خود را مطهّر می گرداند سپس با یک تکه پارچه یا پنبه خود را وارسی می کند، و برای هر نماز وضو می گیرد و نزدیکی با او برای شوهرش حلال می گردد</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و بر زن مستحاضه واجب است که برای دو نماز یک غسل داشته باشد، پس برای ادای نماز ظهر غسل می نماید و نماز ظهر و عصر را با هم به جا می آورد، سپس دوباره غسل می نماید و نماز مغرب و عشاء را با هم به جا می آورد، و برای به جا آوردن نماز صبح نیز غسل می نماید، همچنین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مؤمن مستحاضه این اعمال را به منظور کسب رضایت خداوند انجام دهد، خداوند حتماً مریضی او را برطرف خواهد کرد؛ همچنین در مورد زنی که در ایّام پاکی خونی مشاهده می کند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توصیفات خون حیض را داشته باشد، آن زن به منزله زن حائض است و باید برای پاک شدن از آن خون غسل نماید، ولی اگر خون رقیق باشد حرکتی بوده است از جانب شیطان، پس برای پاک شدن ار آن وضو می گیرد و نماز را به جا می آورد و جایز است شوهرش با او نزدیکی کند، همچنین ممکن است که زن باردار نیز شاهد خونریزی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به همسران حائض خود فرمان می دهیم که هنگام هر نماز وضو بگیرند، پس وضو را کامل می کنند و دستمالی را به خود می گیرند، سپس رو به قبله بنشینند بدون آنکه نماز بخوانند، و شروع به تسبیح و تکبیر و تهلیل کنند، همچنین به مسجد نزدیک نشوند و قرآن را نیز قرائت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باقر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گمان می کند که شما فرموده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ما در حال حیض نماز را به جا می آورند؛ 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دروغ گفته است، هیچ زنی از همسران رسول الله صلّی الله علیه و آله و یا همسران ما در حال حیض نماز نگزارده اند، و چنان که ذکر کردیم فقط به انجام ذکر خدا فرمان داده شده اند، آن هم به خاطر تشویق آنان به کسب فضیلت و استحباب ذکر خداوند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علی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حائض قرآن نمی خواند، وارد مسجد نمی شود، </w:t>
      </w:r>
      <w:bookmarkStart w:id="1036" w:name="pg13517_329151"/>
    </w:p>
    <w:p>
      <w:pPr>
        <w:pStyle w:val="BookText"/>
        <w:rPr/>
      </w:pPr>
      <w:bookmarkEnd w:id="1036"/>
      <w:r>
        <w:rPr>
          <w:rFonts w:ascii="Amiri" w:hAnsi="Amiri" w:eastAsia="Amiri" w:cs="Amiri"/>
          <w:color w:val="111111"/>
          <w:sz w:val="28"/>
          <w:sz w:val="28"/>
          <w:szCs w:val="28"/>
          <w:rtl w:val="true"/>
          <w:lang w:bidi="ar-SA"/>
        </w:rPr>
        <w:t>لَا تَقْرَبِ الصَّلَاةَ وَ لَا تُجَامَعْ حَتَّي 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حَاضَتِ الْمُعْتَكِفَةُ خَرَجَتْ مِنَ الْمَسْجِدِ حَتَّي 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طَهُرَتِ الْمَرْأَةُ لِوَقْتِ صَلَاةٍ فَضَيَّعَتِ الْغُسْلَ كَانَ عَلَيْهَا قَضَاءُ تِلْكَ الصَّلَاةِ وَ مَا ضَيَّعَتْ بَعْدَهَا وَ عَلَامَةُ الطُّهْرِ أَنْ تَسْتَدْخِلَ قُطْنَةً فَلَا يَعْلَقَ بِهَا شَيْ‌ءٌ فَإِذَا كَانَ ذَلِكَ فَقَدْ طَهُرَتْ وَ عَلَيْهَا أَنْ تَغْتَسِلَ حِينَئِذٍ وَ تُصَلِّيَ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مِنَ الْحَيْضِ كَالْغُسْلِ مِنَ الْجَنَابَةِ وَ إِذَا حَاضَتِ الْمَرْأَةُ وَ هِيَ جُنُبٌ اكْتَفَتْ بِغُسْلٍ وَاحِدٍ</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7" w:name="__RefHeading___Toc605864_1934241801"/>
      <w:bookmarkStart w:id="1038" w:name="_Toc476"/>
      <w:bookmarkEnd w:id="1037"/>
      <w:r>
        <w:rPr>
          <w:rtl w:val="true"/>
        </w:rPr>
        <w:t>بيان</w:t>
      </w:r>
      <w:bookmarkEnd w:id="1038"/>
    </w:p>
    <w:p>
      <w:pPr>
        <w:pStyle w:val="BookText"/>
        <w:rPr/>
      </w:pPr>
      <w:r>
        <w:rPr>
          <w:rFonts w:ascii="Amiri" w:hAnsi="Amiri" w:eastAsia="Amiri" w:cs="Amiri"/>
          <w:color w:val="111111"/>
          <w:sz w:val="28"/>
          <w:sz w:val="28"/>
          <w:szCs w:val="28"/>
          <w:rtl w:val="true"/>
          <w:lang w:bidi="ar-SA"/>
        </w:rPr>
        <w:t>قال في النهاية في حديث المستحاضة إنما هي ركضة من الشيطان، أصله الضرب بالرجل و الإصابة بها كما تركض الدابة و تصاب بالرجل أراد الإضرار بها و الأذي يعني أن الشيطان، قد وجد به طريقا إلي التلبيس عليها في أمر دينها و طهرها و صلاتها حتي أنساها ذلك عادتها و صار في التقدير بآلة من ركضاته انتهي‌</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المغرب في الاستحاضة إنما هي ركضة من ركضات الشيطان، فإنما جعلها كذلك لأنه آفة عارض و الضرب و الإيلام من أسباب ذلك و إنما أضيفت إلي الشيطان، و إن كانت من فعل الله لأنها ضرر و سببه من نفسك أي بفعلك و مثل هذا يكون بوسوسة الشيطان،</w:t>
      </w:r>
      <w:r>
        <w:rPr>
          <w:rFonts w:eastAsia="Amiri" w:cs="Amiri" w:ascii="Amiri" w:hAnsi="Amiri"/>
          <w:color w:val="111111"/>
          <w:sz w:val="28"/>
          <w:szCs w:val="28"/>
          <w:rtl w:val="true"/>
          <w:lang w:bidi="ar-SA"/>
        </w:rPr>
        <w:t>.</w:t>
      </w:r>
    </w:p>
    <w:p>
      <w:pPr>
        <w:pStyle w:val="Heading5"/>
        <w:numPr>
          <w:ilvl w:val="4"/>
          <w:numId w:val="1"/>
        </w:numPr>
        <w:rPr/>
      </w:pPr>
      <w:bookmarkStart w:id="1039" w:name="__RefHeading___Toc605866_1934241801"/>
      <w:bookmarkStart w:id="1040" w:name="_Toc477"/>
      <w:bookmarkEnd w:id="1039"/>
      <w:r>
        <w:rPr>
          <w:rtl w:val="true"/>
        </w:rPr>
        <w:t>«</w:t>
      </w:r>
      <w:r>
        <w:rPr/>
        <w:t>42</w:t>
      </w:r>
      <w:r>
        <w:rPr>
          <w:rtl w:val="true"/>
        </w:rPr>
        <w:t>»</w:t>
      </w:r>
      <w:bookmarkEnd w:id="1040"/>
    </w:p>
    <w:p>
      <w:pPr>
        <w:pStyle w:val="BookText"/>
        <w:rPr/>
      </w:pPr>
      <w:r>
        <w:rPr>
          <w:rFonts w:ascii="Amiri" w:hAnsi="Amiri" w:eastAsia="Amiri" w:cs="Amiri"/>
          <w:color w:val="111111"/>
          <w:sz w:val="28"/>
          <w:sz w:val="28"/>
          <w:szCs w:val="28"/>
          <w:rtl w:val="true"/>
          <w:lang w:bidi="ar-SA"/>
        </w:rPr>
        <w:t>الْعِلَلُ لِمُحَمَّدِ بْنِ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فِي فَسَادِ مَوَالِيدِ</w:t>
      </w:r>
    </w:p>
    <w:p>
      <w:pPr>
        <w:pStyle w:val="BookText"/>
        <w:rPr/>
      </w:pPr>
      <w:r>
        <w:rPr>
          <w:rFonts w:ascii="IRNazanin" w:hAnsi="IRNazanin" w:eastAsia="IRNazanin"/>
          <w:color w:val="111111"/>
          <w:sz w:val="28"/>
          <w:sz w:val="28"/>
          <w:szCs w:val="28"/>
          <w:rtl w:val="true"/>
          <w:lang w:bidi="fa-IR"/>
        </w:rPr>
        <w:t>به نماز نزدیک نمی شود و با شوهرش نزدیکی نمی کند تا زمانی که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بن محمد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زن معتکف دچار حیض شد باید از مسجد خارج شود تا زمانی که پاک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حائض هنگام فرا رسیدن وقت نماز پاک شود ولی غسل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غسل کردن نیابد یا عمداً غسل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قضای آن نماز و نمازهای از دست رفته بعد از آن را به جا آورد، و نشانه پاک شدن آن است که زن یک تکه پنبه را در فرج خود وارد نماید و به چیزی آغشته نشود، اگر چنین شد او پاک شده است و واجب است که غسل نماید و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حیض مانند غسل جنابت است، و اگر زن در حال جنابت دچار حیض شود، یک غسل واحد او را کفایت می کند</w:t>
      </w:r>
      <w:r>
        <w:rPr>
          <w:rFonts w:eastAsia="IRNazanin" w:cs="IRNazanin"/>
          <w:color w:val="111111"/>
          <w:sz w:val="28"/>
          <w:szCs w:val="28"/>
          <w:rtl w:val="true"/>
          <w:lang w:bidi="fa-IR"/>
        </w:rPr>
        <w:t>.</w:t>
      </w:r>
      <w:r>
        <w:rPr>
          <w:rStyle w:val="FootnoteAnchor"/>
          <w:rtl w:val="true"/>
        </w:rPr>
        <w:footnoteReference w:id="558"/>
      </w:r>
    </w:p>
    <w:p>
      <w:pPr>
        <w:pStyle w:val="Heading5"/>
        <w:numPr>
          <w:ilvl w:val="4"/>
          <w:numId w:val="1"/>
        </w:numPr>
        <w:rPr/>
      </w:pPr>
      <w:bookmarkStart w:id="1041" w:name="__RefHeading___Toc605868_1934241801"/>
      <w:bookmarkStart w:id="1042" w:name="_Toc478"/>
      <w:bookmarkEnd w:id="1041"/>
      <w:r>
        <w:rPr>
          <w:rtl w:val="true"/>
        </w:rPr>
        <w:t>توضیح</w:t>
      </w:r>
      <w:bookmarkEnd w:id="1042"/>
    </w:p>
    <w:p>
      <w:pPr>
        <w:pStyle w:val="BookText"/>
        <w:rPr/>
      </w:pPr>
      <w:r>
        <w:rPr>
          <w:rFonts w:ascii="IRNazanin" w:hAnsi="IRNazanin" w:eastAsia="IRNazanin"/>
          <w:color w:val="111111"/>
          <w:sz w:val="28"/>
          <w:sz w:val="28"/>
          <w:szCs w:val="28"/>
          <w:rtl w:val="true"/>
          <w:lang w:bidi="fa-IR"/>
        </w:rPr>
        <w:t>علّامه در النهایة در تفسیر حدیث مستحاضه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هی رکضة 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کوبیدنِ پا و برخوردن آن به چیزی است، آن گونه که چهارپا برای به تاخت درآمدن با پا زده می شود، ولی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زیان و آزار رساندن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شیطان به وسیله این خونریزی راهی یافته است که در امور دین، طهارت و نمازِ زن مستحاضه او را دچار اختلاط و التباس کند، تا بدین وسیله باعث شود زن ایّام عادت خود را فراموش کرده و دچار اشتباه شود، و تقدیر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بآلة من رَکَضاته وسیله ای بر ضربه وارد کردن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المغرب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استحاضه حرکتی از حرکت های شیطان وجود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استحاضه را چنین قرار داده است، چرا که زیان و ضرری عارضی است و زدن و آزار رساندن از اسباب آن است، و آن به شیطان نسبت داده شده است اگر چه از جمله افعال و کارهایی است که خداوند مسبّب آن است، به خاطر اینکه استحاضه ضرر و زیان است و سبب آن از درون خودت سرچشمه می گیرد، یعنی به واسطه فعل تو روی می دهد، و چنین کارهایی به وسیله وسوسه شیطان انجام می پذیرد </w:t>
      </w:r>
      <w:r>
        <w:rPr>
          <w:rFonts w:eastAsia="IRNazanin" w:cs="IRNazanin"/>
          <w:color w:val="111111"/>
          <w:sz w:val="28"/>
          <w:szCs w:val="28"/>
          <w:rtl w:val="true"/>
          <w:lang w:bidi="fa-IR"/>
        </w:rPr>
        <w:t>.</w:t>
      </w:r>
    </w:p>
    <w:p>
      <w:pPr>
        <w:pStyle w:val="Heading5"/>
        <w:numPr>
          <w:ilvl w:val="4"/>
          <w:numId w:val="1"/>
        </w:numPr>
        <w:rPr/>
      </w:pPr>
      <w:bookmarkStart w:id="1043" w:name="__RefHeading___Toc605870_1934241801"/>
      <w:bookmarkStart w:id="1044" w:name="_Toc479"/>
      <w:bookmarkEnd w:id="1043"/>
      <w:r>
        <w:rPr>
          <w:rtl w:val="true"/>
        </w:rPr>
        <w:t xml:space="preserve">روایت </w:t>
      </w:r>
      <w:r>
        <w:rPr/>
        <w:t>42</w:t>
      </w:r>
      <w:bookmarkEnd w:id="104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العلل محمد بن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فاسد شدن </w:t>
      </w:r>
      <w:bookmarkStart w:id="1045" w:name="pg13517_329152"/>
    </w:p>
    <w:p>
      <w:pPr>
        <w:pStyle w:val="BookText"/>
        <w:rPr/>
      </w:pPr>
      <w:bookmarkEnd w:id="1045"/>
      <w:r>
        <w:rPr>
          <w:rFonts w:ascii="Amiri" w:hAnsi="Amiri" w:eastAsia="Amiri" w:cs="Amiri"/>
          <w:color w:val="111111"/>
          <w:sz w:val="28"/>
          <w:sz w:val="28"/>
          <w:szCs w:val="28"/>
          <w:rtl w:val="true"/>
          <w:lang w:bidi="ar-SA"/>
        </w:rPr>
        <w:t>الْخَلْقِ أَنَّهُ لَا يَجِبُ‌</w:t>
      </w:r>
      <w:r>
        <w:rPr>
          <w:rStyle w:val="FootnoteAnchor"/>
          <w:rtl w:val="true"/>
        </w:rPr>
        <w:footnoteReference w:id="559"/>
      </w:r>
      <w:r>
        <w:rPr>
          <w:rFonts w:ascii="Amiri" w:hAnsi="Amiri" w:eastAsia="Amiri" w:cs="Amiri"/>
          <w:color w:val="111111"/>
          <w:sz w:val="28"/>
          <w:sz w:val="28"/>
          <w:szCs w:val="28"/>
          <w:rtl w:val="true"/>
          <w:lang w:bidi="ar-SA"/>
        </w:rPr>
        <w:t xml:space="preserve">أَنْ يَأْتِيَ أَهْلَهُ وَ هُوَ جُنُبٌ وَ لَا سَكْرَانُ وَ لَا إِذَا كَانَتِ امْرَأَتُهُ حَائِضاً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الْعِلَّةُ فِي قَضَاءِ الْمَرْأَةِ الصَّوْمَ وَ لَا تَقْضِي الصَّلَاةَ إِنَّ الصَّلَاةَ فِي كُلِّ يَوْمٍ وَ لَيْلَةٍ خَمْسُ مَرَّاتٍ وَ الصَّوْمَ فِي السَّنَةِ شَهْرٌ وَاحِدٌ</w:t>
      </w:r>
      <w:r>
        <w:rPr>
          <w:rFonts w:eastAsia="Amiri" w:cs="Amiri" w:ascii="Amiri" w:hAnsi="Amiri"/>
          <w:color w:val="111111"/>
          <w:sz w:val="28"/>
          <w:szCs w:val="28"/>
          <w:rtl w:val="true"/>
          <w:lang w:bidi="ar-SA"/>
        </w:rPr>
        <w:t>.</w:t>
      </w:r>
    </w:p>
    <w:p>
      <w:pPr>
        <w:pStyle w:val="Heading5"/>
        <w:numPr>
          <w:ilvl w:val="4"/>
          <w:numId w:val="1"/>
        </w:numPr>
        <w:rPr/>
      </w:pPr>
      <w:bookmarkStart w:id="1046" w:name="__RefHeading___Toc605872_1934241801"/>
      <w:bookmarkStart w:id="1047" w:name="_Toc480"/>
      <w:bookmarkEnd w:id="1046"/>
      <w:r>
        <w:rPr>
          <w:rtl w:val="true"/>
        </w:rPr>
        <w:t>أقول</w:t>
      </w:r>
      <w:bookmarkEnd w:id="1047"/>
    </w:p>
    <w:p>
      <w:pPr>
        <w:pStyle w:val="BookText"/>
        <w:rPr/>
      </w:pPr>
      <w:r>
        <w:rPr>
          <w:rFonts w:ascii="Amiri" w:hAnsi="Amiri" w:eastAsia="Amiri" w:cs="Amiri"/>
          <w:color w:val="111111"/>
          <w:sz w:val="28"/>
          <w:sz w:val="28"/>
          <w:szCs w:val="28"/>
          <w:rtl w:val="true"/>
          <w:lang w:bidi="ar-SA"/>
        </w:rPr>
        <w:t>قد مر من العلل في باب أحكام الجنب ما يدل علي حكم اللبث في المسجد و القراءة و أن غشيان المرأة في أيام حيضها يوجب البرص و منعها عن غسل الجنابة في أيام حيضها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فرزندان متولد شده بشر آن است که مرد نباید درحال جنابت یا مستیِ خود و همچنین حیض بودن همسرش با او نزدیکی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به جا آوردن قضای روزه و عدم به جا آوردن قضای نماز آن است که نماز در طول شبانه روز پنج مرتبه تکرار می شود در حالی که روزه در هر سال یک ماه طول می کشد</w:t>
      </w:r>
      <w:r>
        <w:rPr>
          <w:rFonts w:eastAsia="IRNazanin" w:cs="IRNazanin"/>
          <w:color w:val="111111"/>
          <w:sz w:val="28"/>
          <w:szCs w:val="28"/>
          <w:rtl w:val="true"/>
          <w:lang w:bidi="fa-IR"/>
        </w:rPr>
        <w:t>.</w:t>
      </w:r>
    </w:p>
    <w:p>
      <w:pPr>
        <w:pStyle w:val="Heading5"/>
        <w:numPr>
          <w:ilvl w:val="4"/>
          <w:numId w:val="1"/>
        </w:numPr>
        <w:rPr/>
      </w:pPr>
      <w:bookmarkStart w:id="1048" w:name="__RefHeading___Toc605874_1934241801"/>
      <w:bookmarkStart w:id="1049" w:name="_Toc481"/>
      <w:bookmarkEnd w:id="1048"/>
      <w:r>
        <w:rPr>
          <w:rtl w:val="true"/>
        </w:rPr>
        <w:t>می گویم</w:t>
      </w:r>
      <w:bookmarkEnd w:id="104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احکام جُنب دلایلی ذکر شد که بر حکم توقف جُنب در مسجد و قرائت قرآن دلالت می کند، و اینکه نزدیکی با زن در ایّام حیض باعث بیماری پیسی می گردد، همچنین منع زن از غسل جنابت در ایّام حیض نیز ذکر شده است </w:t>
      </w:r>
      <w:r>
        <w:rPr>
          <w:rFonts w:eastAsia="IRNazanin" w:cs="IRNazanin"/>
          <w:color w:val="111111"/>
          <w:sz w:val="28"/>
          <w:szCs w:val="28"/>
          <w:rtl w:val="true"/>
          <w:lang w:bidi="fa-IR"/>
        </w:rPr>
        <w:t xml:space="preserve">. </w:t>
      </w:r>
      <w:bookmarkStart w:id="1050" w:name="pg13517_329153"/>
    </w:p>
    <w:p>
      <w:pPr>
        <w:pStyle w:val="Heading3"/>
        <w:numPr>
          <w:ilvl w:val="2"/>
          <w:numId w:val="1"/>
        </w:numPr>
        <w:rPr/>
      </w:pPr>
      <w:bookmarkStart w:id="1051" w:name="__RefHeading___Toc605876_1934241801"/>
      <w:bookmarkStart w:id="1052" w:name="_Toc482"/>
      <w:bookmarkEnd w:id="1050"/>
      <w:bookmarkEnd w:id="1051"/>
      <w:r>
        <w:rPr>
          <w:rtl w:val="true"/>
        </w:rPr>
        <w:t xml:space="preserve">باب </w:t>
      </w:r>
      <w:r>
        <w:rPr/>
        <w:t>5</w:t>
      </w:r>
      <w:r>
        <w:rPr>
          <w:rtl w:val="true"/>
        </w:rPr>
        <w:t xml:space="preserve"> </w:t>
      </w:r>
      <w:r>
        <w:rPr>
          <w:rtl w:val="true"/>
        </w:rPr>
        <w:t>فضل غسل الجمعة و آدابها و أحكامها</w:t>
      </w:r>
      <w:bookmarkEnd w:id="1052"/>
    </w:p>
    <w:p>
      <w:pPr>
        <w:pStyle w:val="Heading4"/>
        <w:numPr>
          <w:ilvl w:val="3"/>
          <w:numId w:val="1"/>
        </w:numPr>
        <w:rPr/>
      </w:pPr>
      <w:bookmarkStart w:id="1053" w:name="__RefHeading___Toc605878_1934241801"/>
      <w:bookmarkStart w:id="1054" w:name="_Toc483"/>
      <w:bookmarkEnd w:id="1053"/>
      <w:r>
        <w:rPr>
          <w:rtl w:val="true"/>
        </w:rPr>
        <w:t>روايات</w:t>
      </w:r>
      <w:bookmarkEnd w:id="1054"/>
    </w:p>
    <w:p>
      <w:pPr>
        <w:pStyle w:val="Heading5"/>
        <w:numPr>
          <w:ilvl w:val="4"/>
          <w:numId w:val="1"/>
        </w:numPr>
        <w:rPr/>
      </w:pPr>
      <w:bookmarkStart w:id="1055" w:name="__RefHeading___Toc605880_1934241801"/>
      <w:bookmarkStart w:id="1056" w:name="_Toc484"/>
      <w:bookmarkEnd w:id="1055"/>
      <w:r>
        <w:rPr>
          <w:rtl w:val="true"/>
        </w:rPr>
        <w:t>«</w:t>
      </w:r>
      <w:r>
        <w:rPr/>
        <w:t>1</w:t>
      </w:r>
      <w:r>
        <w:rPr>
          <w:rtl w:val="true"/>
        </w:rPr>
        <w:t>»</w:t>
      </w:r>
      <w:bookmarkEnd w:id="1056"/>
    </w:p>
    <w:p>
      <w:pPr>
        <w:pStyle w:val="BookText"/>
        <w:rPr/>
      </w:pPr>
      <w:r>
        <w:rPr>
          <w:rFonts w:ascii="Amiri" w:hAnsi="Amiri" w:eastAsia="Amiri" w:cs="Amiri"/>
          <w:color w:val="111111"/>
          <w:sz w:val="28"/>
          <w:sz w:val="28"/>
          <w:szCs w:val="28"/>
          <w:rtl w:val="true"/>
          <w:lang w:bidi="ar-SA"/>
        </w:rPr>
        <w:t>قُرْبُ الْإِسْنَادِ، عَنْ مُحَمَّدِ بْنِ الْوَلِيدِ عَنِ ابْنِ بُكَيْرٍ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فِي أَغْسَالِ لَيَالِي شَهْرِ رَمَضَانَ فَإِنْ نَامَ بَعْدَ الْغُسْلِ قَالَ فَقَالَ أَ لَيْسَ هُوَ مِثْلَ غُسْلِ الْجُمُعَةِ إِذَا اغْتَسَلْتَ بَعْدَ الْفَجْرِ كَفَاكَ‌</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7" w:name="__RefHeading___Toc605882_1934241801"/>
      <w:bookmarkStart w:id="1058" w:name="_Toc485"/>
      <w:bookmarkEnd w:id="1057"/>
      <w:r>
        <w:rPr>
          <w:rtl w:val="true"/>
        </w:rPr>
        <w:t>بيان</w:t>
      </w:r>
      <w:bookmarkEnd w:id="1058"/>
    </w:p>
    <w:p>
      <w:pPr>
        <w:pStyle w:val="BookText"/>
        <w:rPr/>
      </w:pPr>
      <w:r>
        <w:rPr>
          <w:rFonts w:ascii="Amiri" w:hAnsi="Amiri" w:eastAsia="Amiri" w:cs="Amiri"/>
          <w:color w:val="111111"/>
          <w:sz w:val="28"/>
          <w:sz w:val="28"/>
          <w:szCs w:val="28"/>
          <w:rtl w:val="true"/>
          <w:lang w:bidi="ar-SA"/>
        </w:rPr>
        <w:t>قال في المنتهي غسل الجمعة مستحب لليوم خلافا لأبي يوسف فلو أحدث بعد الغسل لم يبطل غسله و كفاه الوضوء ثم نسب إلي بعض العامة القول بإعادة الغسل بعد الحدث و استدل علي نفيها بهذا الخبر</w:t>
      </w:r>
      <w:r>
        <w:rPr>
          <w:rFonts w:eastAsia="Amiri" w:cs="Amiri" w:ascii="Amiri" w:hAnsi="Amiri"/>
          <w:color w:val="111111"/>
          <w:sz w:val="28"/>
          <w:szCs w:val="28"/>
          <w:rtl w:val="true"/>
          <w:lang w:bidi="ar-SA"/>
        </w:rPr>
        <w:t>.</w:t>
      </w:r>
    </w:p>
    <w:p>
      <w:pPr>
        <w:pStyle w:val="Heading5"/>
        <w:numPr>
          <w:ilvl w:val="4"/>
          <w:numId w:val="1"/>
        </w:numPr>
        <w:rPr/>
      </w:pPr>
      <w:bookmarkStart w:id="1059" w:name="__RefHeading___Toc605884_1934241801"/>
      <w:bookmarkStart w:id="1060" w:name="_Toc486"/>
      <w:bookmarkEnd w:id="1059"/>
      <w:r>
        <w:rPr>
          <w:rtl w:val="true"/>
        </w:rPr>
        <w:t>«</w:t>
      </w:r>
      <w:r>
        <w:rPr/>
        <w:t>2</w:t>
      </w:r>
      <w:r>
        <w:rPr>
          <w:rtl w:val="true"/>
        </w:rPr>
        <w:t>»</w:t>
      </w:r>
      <w:bookmarkEnd w:id="1060"/>
    </w:p>
    <w:p>
      <w:pPr>
        <w:pStyle w:val="BookText"/>
        <w:rPr/>
      </w:pPr>
      <w:r>
        <w:rPr>
          <w:rFonts w:ascii="Amiri" w:hAnsi="Amiri" w:eastAsia="Amiri" w:cs="Amiri"/>
          <w:color w:val="111111"/>
          <w:sz w:val="28"/>
          <w:sz w:val="28"/>
          <w:szCs w:val="28"/>
          <w:rtl w:val="true"/>
          <w:lang w:bidi="ar-SA"/>
        </w:rPr>
        <w:t>الْخِصَالُ، عَنِ ابْنِ الْوَلِيدِ عَنِ الصَّفَّارِ عَنْ أَحْمَدَ بْنِ مُحَمَّدٍ عَنِ ابْنِ أَبِي نَجْرَانَ وَ الْحُسَيْنِ بْنِ سَعِيدٍ عَنْ حَمَّادٍ عَنْ حَرِيزٍ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فِي الْجُمُعَةِ وَاجِبٌ تَمَامَ الْخَبَرِ</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1" w:name="__RefHeading___Toc605886_1934241801"/>
      <w:bookmarkStart w:id="1062" w:name="_Toc487"/>
      <w:bookmarkEnd w:id="1061"/>
      <w:r>
        <w:rPr>
          <w:rtl w:val="true"/>
        </w:rPr>
        <w:t>بيان</w:t>
      </w:r>
      <w:bookmarkEnd w:id="1062"/>
    </w:p>
    <w:p>
      <w:pPr>
        <w:pStyle w:val="BookText"/>
        <w:rPr/>
      </w:pPr>
      <w:r>
        <w:rPr>
          <w:rFonts w:ascii="Amiri" w:hAnsi="Amiri" w:eastAsia="Amiri" w:cs="Amiri"/>
          <w:color w:val="111111"/>
          <w:sz w:val="28"/>
          <w:sz w:val="28"/>
          <w:szCs w:val="28"/>
          <w:rtl w:val="true"/>
          <w:lang w:bidi="ar-SA"/>
        </w:rPr>
        <w:t>المشهور بين الأصحاب استحباب غسل الجمعة و ذهب الصدوقان إلي الوجوب فمن قال بالاستحباب يحمل الوجوب علي تأكده لعدم العلم بكون الوجوب حقيقة في المعني المصطلح بل الظاهر من الأخبار عدمه و من قال بالوجوب يحمل السنة علي ما يقابل الفرض أي ما ثبت وجوبه بالسنة لا بالقرآن و هذا أيضا يستفاد من الأخبار و الاحتياط عدم الترك</w:t>
      </w:r>
      <w:r>
        <w:rPr>
          <w:rFonts w:eastAsia="Amiri" w:cs="Amiri" w:ascii="Amiri" w:hAnsi="Amiri"/>
          <w:color w:val="111111"/>
          <w:sz w:val="28"/>
          <w:szCs w:val="28"/>
          <w:rtl w:val="true"/>
          <w:lang w:bidi="ar-SA"/>
        </w:rPr>
        <w:t>.</w:t>
      </w:r>
    </w:p>
    <w:p>
      <w:pPr>
        <w:pStyle w:val="Heading5"/>
        <w:numPr>
          <w:ilvl w:val="4"/>
          <w:numId w:val="1"/>
        </w:numPr>
        <w:rPr/>
      </w:pPr>
      <w:bookmarkStart w:id="1063" w:name="__RefHeading___Toc605888_1934241801"/>
      <w:bookmarkStart w:id="1064" w:name="_Toc488"/>
      <w:bookmarkEnd w:id="1063"/>
      <w:r>
        <w:rPr>
          <w:rtl w:val="true"/>
        </w:rPr>
        <w:t>«</w:t>
      </w:r>
      <w:r>
        <w:rPr/>
        <w:t>3</w:t>
      </w:r>
      <w:r>
        <w:rPr>
          <w:rtl w:val="true"/>
        </w:rPr>
        <w:t>»</w:t>
      </w:r>
      <w:bookmarkEnd w:id="1064"/>
    </w:p>
    <w:p>
      <w:pPr>
        <w:pStyle w:val="BookText"/>
        <w:rPr/>
      </w:pPr>
      <w:r>
        <w:rPr>
          <w:rFonts w:ascii="Amiri" w:hAnsi="Amiri" w:eastAsia="Amiri" w:cs="Amiri"/>
          <w:color w:val="111111"/>
          <w:sz w:val="28"/>
          <w:sz w:val="28"/>
          <w:szCs w:val="28"/>
          <w:rtl w:val="true"/>
          <w:lang w:bidi="ar-SA"/>
        </w:rPr>
        <w:t>الْخِصَالُ، عَنْ أَحْمَدَ بْنِ الْحَسَنِ الْقَطَّانِ عَنِ الْحَسَنِ بْنِ عَلِيٍّ الْعَسْكَرِيِّ عَنْ مُحَمَّدِ بْنِ زَكَرِيَّا الْبَصْرِيِّ عَنْ جَعْفَرِ بْنِ مُحَمَّدِ بْنِ عُمَارَةَ عَنْ أَبِيهِ عَنْ جَابِرٍ الْجُعْفِيِّ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المَرْأَةِ غُسْلُ الْجُمُعَةِ فِي السَّفَرِ وَ يَجُوزُ لَهَا تَرْكُهُ</w:t>
      </w:r>
    </w:p>
    <w:p>
      <w:pPr>
        <w:pStyle w:val="Heading3"/>
        <w:numPr>
          <w:ilvl w:val="2"/>
          <w:numId w:val="1"/>
        </w:numPr>
        <w:rPr/>
      </w:pPr>
      <w:bookmarkStart w:id="1065" w:name="__RefHeading___Toc605890_1934241801"/>
      <w:bookmarkStart w:id="1066" w:name="_Toc489"/>
      <w:bookmarkEnd w:id="1065"/>
      <w:r>
        <w:rPr>
          <w:rtl w:val="true"/>
        </w:rPr>
        <w:t xml:space="preserve">باب پنجم </w:t>
      </w:r>
      <w:r>
        <w:rPr>
          <w:rtl w:val="true"/>
        </w:rPr>
        <w:t xml:space="preserve">: </w:t>
      </w:r>
      <w:r>
        <w:rPr>
          <w:rtl w:val="true"/>
        </w:rPr>
        <w:t>فضیلت غسل جمعه و آداب و احکام مربوط به آن</w:t>
      </w:r>
      <w:bookmarkEnd w:id="1066"/>
    </w:p>
    <w:p>
      <w:pPr>
        <w:pStyle w:val="Heading4"/>
        <w:numPr>
          <w:ilvl w:val="3"/>
          <w:numId w:val="1"/>
        </w:numPr>
        <w:rPr/>
      </w:pPr>
      <w:bookmarkStart w:id="1067" w:name="__RefHeading___Toc605892_1934241801"/>
      <w:bookmarkStart w:id="1068" w:name="_Toc490"/>
      <w:bookmarkEnd w:id="1067"/>
      <w:r>
        <w:rPr>
          <w:rtl w:val="true"/>
        </w:rPr>
        <w:t>روایات</w:t>
      </w:r>
      <w:bookmarkEnd w:id="1068"/>
    </w:p>
    <w:p>
      <w:pPr>
        <w:pStyle w:val="Heading5"/>
        <w:numPr>
          <w:ilvl w:val="4"/>
          <w:numId w:val="1"/>
        </w:numPr>
        <w:rPr/>
      </w:pPr>
      <w:bookmarkStart w:id="1069" w:name="__RefHeading___Toc605894_1934241801"/>
      <w:bookmarkStart w:id="1070" w:name="_Toc491"/>
      <w:bookmarkEnd w:id="1069"/>
      <w:r>
        <w:rPr>
          <w:rtl w:val="true"/>
        </w:rPr>
        <w:t xml:space="preserve">روایت </w:t>
      </w:r>
      <w:r>
        <w:rPr/>
        <w:t>1</w:t>
      </w:r>
      <w:bookmarkEnd w:id="107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بکیر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غسل شب های ماه رمضان پرسیدم و اینکه حکم کسی که بعد از غسل بخوابد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غسل ها مانند غسل جمعه نیستند، اگر بعد از طلوع فجر غسل نمایی تو را کفایت می کند</w:t>
      </w:r>
      <w:r>
        <w:rPr>
          <w:rFonts w:eastAsia="IRNazanin" w:cs="IRNazanin"/>
          <w:color w:val="111111"/>
          <w:sz w:val="28"/>
          <w:szCs w:val="28"/>
          <w:rtl w:val="true"/>
          <w:lang w:bidi="fa-IR"/>
        </w:rPr>
        <w:t>.</w:t>
      </w:r>
      <w:r>
        <w:rPr>
          <w:rStyle w:val="FootnoteAnchor"/>
          <w:rtl w:val="true"/>
        </w:rPr>
        <w:footnoteReference w:id="562"/>
      </w:r>
    </w:p>
    <w:p>
      <w:pPr>
        <w:pStyle w:val="Heading5"/>
        <w:numPr>
          <w:ilvl w:val="4"/>
          <w:numId w:val="1"/>
        </w:numPr>
        <w:rPr/>
      </w:pPr>
      <w:bookmarkStart w:id="1071" w:name="__RefHeading___Toc605896_1934241801"/>
      <w:bookmarkStart w:id="1072" w:name="_Toc492"/>
      <w:bookmarkEnd w:id="1071"/>
      <w:r>
        <w:rPr>
          <w:rtl w:val="true"/>
        </w:rPr>
        <w:t>توضیح</w:t>
      </w:r>
      <w:bookmarkEnd w:id="1072"/>
    </w:p>
    <w:p>
      <w:pPr>
        <w:pStyle w:val="BookText"/>
        <w:rPr/>
      </w:pPr>
      <w:r>
        <w:rPr>
          <w:rFonts w:ascii="IRNazanin" w:hAnsi="IRNazanin" w:eastAsia="IRNazanin"/>
          <w:color w:val="111111"/>
          <w:sz w:val="28"/>
          <w:sz w:val="28"/>
          <w:szCs w:val="28"/>
          <w:rtl w:val="true"/>
          <w:lang w:bidi="fa-IR"/>
        </w:rPr>
        <w:t>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جمعه برای تمام روز مستحبّ است، و این برخلاف نظر ابویوسف است، پس اگر حَدَثی بعد از غسل روی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کنننده بول یا مدفوع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غسل او باطل نمی شود و گرفتن وضو او را کفایت می کند، سپس این سخن به یکی از عامّه نسبت داده شده است که بعد از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یا مدفوع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باید تکرار شود، امّا با استدلال به حدیث مذکور این سخن نفی می شود</w:t>
      </w:r>
      <w:r>
        <w:rPr>
          <w:rFonts w:eastAsia="IRNazanin" w:cs="IRNazanin"/>
          <w:color w:val="111111"/>
          <w:sz w:val="28"/>
          <w:szCs w:val="28"/>
          <w:rtl w:val="true"/>
          <w:lang w:bidi="fa-IR"/>
        </w:rPr>
        <w:t>.</w:t>
      </w:r>
    </w:p>
    <w:p>
      <w:pPr>
        <w:pStyle w:val="Heading5"/>
        <w:numPr>
          <w:ilvl w:val="4"/>
          <w:numId w:val="1"/>
        </w:numPr>
        <w:rPr/>
      </w:pPr>
      <w:bookmarkStart w:id="1073" w:name="__RefHeading___Toc605898_1934241801"/>
      <w:bookmarkStart w:id="1074" w:name="_Toc493"/>
      <w:bookmarkEnd w:id="1073"/>
      <w:r>
        <w:rPr>
          <w:rtl w:val="true"/>
        </w:rPr>
        <w:t xml:space="preserve">روایت </w:t>
      </w:r>
      <w:r>
        <w:rPr/>
        <w:t>2</w:t>
      </w:r>
      <w:bookmarkEnd w:id="1074"/>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از امام باقرعلیه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در روز جمعه واجب است، حدیث</w:t>
      </w:r>
      <w:r>
        <w:rPr>
          <w:rFonts w:eastAsia="IRNazanin" w:cs="IRNazanin"/>
          <w:color w:val="111111"/>
          <w:sz w:val="28"/>
          <w:szCs w:val="28"/>
          <w:rtl w:val="true"/>
          <w:lang w:bidi="fa-IR"/>
        </w:rPr>
        <w:t xml:space="preserve">. </w:t>
      </w:r>
      <w:r>
        <w:rPr>
          <w:rStyle w:val="FootnoteAnchor"/>
          <w:rtl w:val="true"/>
        </w:rPr>
        <w:footnoteReference w:id="563"/>
      </w:r>
    </w:p>
    <w:p>
      <w:pPr>
        <w:pStyle w:val="Heading5"/>
        <w:numPr>
          <w:ilvl w:val="4"/>
          <w:numId w:val="1"/>
        </w:numPr>
        <w:rPr/>
      </w:pPr>
      <w:bookmarkStart w:id="1075" w:name="__RefHeading___Toc605900_1934241801"/>
      <w:bookmarkStart w:id="1076" w:name="_Toc494"/>
      <w:bookmarkEnd w:id="1075"/>
      <w:r>
        <w:rPr>
          <w:rtl w:val="true"/>
        </w:rPr>
        <w:t>توضیح</w:t>
      </w:r>
      <w:bookmarkEnd w:id="1076"/>
    </w:p>
    <w:p>
      <w:pPr>
        <w:pStyle w:val="BookText"/>
        <w:rPr/>
      </w:pPr>
      <w:r>
        <w:rPr>
          <w:rFonts w:ascii="IRNazanin" w:hAnsi="IRNazanin" w:eastAsia="IRNazanin"/>
          <w:color w:val="111111"/>
          <w:sz w:val="28"/>
          <w:sz w:val="28"/>
          <w:szCs w:val="28"/>
          <w:rtl w:val="true"/>
          <w:lang w:bidi="fa-IR"/>
        </w:rPr>
        <w:t>نظر مشهور در بین فقها استحباب غسل جمعه است، ولی صدوقان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و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وجوب آن اعتقاد دارند؛ پس هر کسی که قائل به استحباب غسل جمعه است حکم وجوب را بر مؤکّد بودن آن حمل می کند، و این به خاطر این است که دانسته نمی شود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عبارات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معنی مصطلح حقیقت باشد، بلکه آنچه از احادیث آشکار می گردد عدم وجوب آن است، و در سوی مقابل هر کسی که قائل به وجوب است سنّت را بر آنچه در مقابل فرض قرار دارد حمل می کند، یعنی آنچه وجوبش با استناد به سنّت ثابت شده است و نه با قرآن، و این نکته از احادیث نیز برداشت می شود، ولی احتیاط در عدم ترک غسل جمعه است</w:t>
      </w:r>
      <w:r>
        <w:rPr>
          <w:rFonts w:eastAsia="IRNazanin" w:cs="IRNazanin"/>
          <w:color w:val="111111"/>
          <w:sz w:val="28"/>
          <w:szCs w:val="28"/>
          <w:rtl w:val="true"/>
          <w:lang w:bidi="fa-IR"/>
        </w:rPr>
        <w:t>.</w:t>
      </w:r>
    </w:p>
    <w:p>
      <w:pPr>
        <w:pStyle w:val="Heading5"/>
        <w:numPr>
          <w:ilvl w:val="4"/>
          <w:numId w:val="1"/>
        </w:numPr>
        <w:rPr/>
      </w:pPr>
      <w:bookmarkStart w:id="1077" w:name="__RefHeading___Toc605902_1934241801"/>
      <w:bookmarkStart w:id="1078" w:name="_Toc495"/>
      <w:bookmarkEnd w:id="1077"/>
      <w:r>
        <w:rPr>
          <w:rtl w:val="true"/>
        </w:rPr>
        <w:t xml:space="preserve">روایت </w:t>
      </w:r>
      <w:r>
        <w:rPr/>
        <w:t>3</w:t>
      </w:r>
      <w:bookmarkEnd w:id="107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روز جمعه در مسافرت بر زن واجب نیست و جایز است </w:t>
      </w:r>
      <w:bookmarkStart w:id="1079" w:name="pg13517_329154"/>
    </w:p>
    <w:p>
      <w:pPr>
        <w:pStyle w:val="BookText"/>
        <w:rPr/>
      </w:pPr>
      <w:bookmarkEnd w:id="1079"/>
      <w:r>
        <w:rPr>
          <w:rFonts w:ascii="Amiri" w:hAnsi="Amiri" w:eastAsia="Amiri" w:cs="Amiri"/>
          <w:color w:val="111111"/>
          <w:sz w:val="28"/>
          <w:sz w:val="28"/>
          <w:szCs w:val="28"/>
          <w:rtl w:val="true"/>
          <w:lang w:bidi="ar-SA"/>
        </w:rPr>
        <w:t>فِي الْحَضَرِ</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0" w:name="__RefHeading___Toc605904_1934241801"/>
      <w:bookmarkStart w:id="1081" w:name="_Toc496"/>
      <w:bookmarkEnd w:id="1080"/>
      <w:r>
        <w:rPr>
          <w:rtl w:val="true"/>
        </w:rPr>
        <w:t>«</w:t>
      </w:r>
      <w:r>
        <w:rPr/>
        <w:t>4</w:t>
      </w:r>
      <w:r>
        <w:rPr>
          <w:rtl w:val="true"/>
        </w:rPr>
        <w:t>»</w:t>
      </w:r>
      <w:bookmarkEnd w:id="1081"/>
    </w:p>
    <w:p>
      <w:pPr>
        <w:pStyle w:val="BookText"/>
        <w:rPr/>
      </w:pPr>
      <w:r>
        <w:rPr>
          <w:rFonts w:ascii="Amiri" w:hAnsi="Amiri" w:eastAsia="Amiri" w:cs="Amiri"/>
          <w:color w:val="111111"/>
          <w:sz w:val="28"/>
          <w:sz w:val="28"/>
          <w:szCs w:val="28"/>
          <w:rtl w:val="true"/>
          <w:lang w:bidi="ar-SA"/>
        </w:rPr>
        <w:t>الْعِلَلُ، عَنْ أَبِيهِ عَنْ سَعْدِ بْنِ عَبْدِ اللَّهِ عَنْ إِبْرَاهِيمَ بْنِ هَاشِمٍ عَنْ عَلِيِّ بْنِ مَعْبَدٍ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الْأَوَّلَ عليه السلام كَيْفَ صَارَ غُسْلُ الْجُمُعَةِ وَاجِباً قَالَ فَقَالَ إِنَّ اللَّهَ تَبَارَكَ وَ تَعَالَي أَتَمَّ صَلَاةَ الْفَرِيضَةِ بِصَلَاةِ النَّافِلَةِ وَ أَتَمَّ صِيَامَ الْفَرِيضَةِ بِصِيَامِ النَّافِلَةِ وَ أَتَمَّ وُضُوءَ الْفَرِيضَةِ بِغُسْلِ يَوْمِ الْجُمُعَةِ فِيمَا كَانَ مِنْ ذَلِكَ مِنْ سَهْوٍ أَوْ تَقْصِيرٍ أَوْ نِسْيَانٍ‌</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أبي سمينة عن محمد بن أسلم عن الحسين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66"/>
      </w:r>
    </w:p>
    <w:p>
      <w:pPr>
        <w:pStyle w:val="Heading5"/>
        <w:numPr>
          <w:ilvl w:val="4"/>
          <w:numId w:val="1"/>
        </w:numPr>
        <w:rPr/>
      </w:pPr>
      <w:bookmarkStart w:id="1082" w:name="__RefHeading___Toc605906_1934241801"/>
      <w:bookmarkStart w:id="1083" w:name="_Toc497"/>
      <w:bookmarkEnd w:id="1082"/>
      <w:r>
        <w:rPr>
          <w:rtl w:val="true"/>
        </w:rPr>
        <w:t>بيان</w:t>
      </w:r>
      <w:bookmarkEnd w:id="1083"/>
    </w:p>
    <w:p>
      <w:pPr>
        <w:pStyle w:val="BookText"/>
        <w:rPr/>
      </w:pPr>
      <w:r>
        <w:rPr>
          <w:rFonts w:ascii="Amiri" w:hAnsi="Amiri" w:eastAsia="Amiri" w:cs="Amiri"/>
          <w:color w:val="111111"/>
          <w:sz w:val="28"/>
          <w:sz w:val="28"/>
          <w:szCs w:val="28"/>
          <w:rtl w:val="true"/>
          <w:lang w:bidi="ar-SA"/>
        </w:rPr>
        <w:t>ربما يجعل الخبر مؤيدا للاستحباب لكون نظائره كذلك و في الكافي‌</w:t>
      </w:r>
      <w:r>
        <w:rPr>
          <w:rStyle w:val="FootnoteAnchor"/>
          <w:rtl w:val="true"/>
        </w:rPr>
        <w:footnoteReference w:id="567"/>
      </w:r>
      <w:r>
        <w:rPr>
          <w:rFonts w:ascii="Amiri" w:hAnsi="Amiri" w:eastAsia="Amiri" w:cs="Amiri"/>
          <w:color w:val="111111"/>
          <w:sz w:val="28"/>
          <w:sz w:val="28"/>
          <w:szCs w:val="28"/>
          <w:rtl w:val="true"/>
          <w:lang w:bidi="ar-SA"/>
        </w:rPr>
        <w:t>ما كان في ذلك و في التهذيب‌</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ما كان من ذلك</w:t>
      </w:r>
      <w:r>
        <w:rPr>
          <w:rFonts w:eastAsia="Amiri" w:cs="Amiri" w:ascii="Amiri" w:hAnsi="Amiri"/>
          <w:color w:val="111111"/>
          <w:sz w:val="28"/>
          <w:szCs w:val="28"/>
          <w:rtl w:val="true"/>
          <w:lang w:bidi="ar-SA"/>
        </w:rPr>
        <w:t>.</w:t>
      </w:r>
    </w:p>
    <w:p>
      <w:pPr>
        <w:pStyle w:val="Heading5"/>
        <w:numPr>
          <w:ilvl w:val="4"/>
          <w:numId w:val="1"/>
        </w:numPr>
        <w:rPr/>
      </w:pPr>
      <w:bookmarkStart w:id="1084" w:name="__RefHeading___Toc605908_1934241801"/>
      <w:bookmarkStart w:id="1085" w:name="_Toc498"/>
      <w:bookmarkEnd w:id="1084"/>
      <w:r>
        <w:rPr>
          <w:rtl w:val="true"/>
        </w:rPr>
        <w:t>«</w:t>
      </w:r>
      <w:r>
        <w:rPr/>
        <w:t>5</w:t>
      </w:r>
      <w:r>
        <w:rPr>
          <w:rtl w:val="true"/>
        </w:rPr>
        <w:t>»</w:t>
      </w:r>
      <w:bookmarkEnd w:id="1085"/>
    </w:p>
    <w:p>
      <w:pPr>
        <w:pStyle w:val="BookText"/>
        <w:rPr/>
      </w:pPr>
      <w:r>
        <w:rPr>
          <w:rFonts w:ascii="Amiri" w:hAnsi="Amiri" w:eastAsia="Amiri" w:cs="Amiri"/>
          <w:color w:val="111111"/>
          <w:sz w:val="28"/>
          <w:sz w:val="28"/>
          <w:szCs w:val="28"/>
          <w:rtl w:val="true"/>
          <w:lang w:bidi="ar-SA"/>
        </w:rPr>
        <w:t>الْعِلَلُ، عَنْ مُحَمَّدِ بْنِ الْحَسَنِ عَنْ مُحَمَّدِ بْنِ يَحْيَي الْعَطَّارِ عَنْ مُحَمَّدِ بْنِ أَحْمَدَ عَنْ إِبْرَاهِيمَ بْنِ إِسْحَاقَ عَنْ عَبْدِ اللَّهِ بْنِ حَمَّادٍ الْأَنْصَارِيِّ عَنْ صَبَّاحٍ الْمُزَنِيِّ عَنِ الْحَارِثِ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إِذَا أَرَادَ أَنْ يُوَبِّخَ الرَّجُلَ يَقُولُ لَهُ أَنْتَ أَعْجَزُ مِنَ التَّارِكِ الْغُسْلِ لِيَوْمِ الْجُمُعَةِ فَإِنَّهُ لَا يَزَالُ فِي هَمٍّ إِلَي الْجُمُعَةِ الْأُخْرَي‌</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6" w:name="__RefHeading___Toc605910_1934241801"/>
      <w:bookmarkStart w:id="1087" w:name="_Toc499"/>
      <w:bookmarkEnd w:id="1086"/>
      <w:r>
        <w:rPr>
          <w:rtl w:val="true"/>
        </w:rPr>
        <w:t>«</w:t>
      </w:r>
      <w:r>
        <w:rPr/>
        <w:t>6</w:t>
      </w:r>
      <w:r>
        <w:rPr>
          <w:rtl w:val="true"/>
        </w:rPr>
        <w:t>»</w:t>
      </w:r>
      <w:bookmarkEnd w:id="1087"/>
    </w:p>
    <w:p>
      <w:pPr>
        <w:pStyle w:val="BookText"/>
        <w:rPr/>
      </w:pPr>
      <w:r>
        <w:rPr>
          <w:rFonts w:ascii="Amiri" w:hAnsi="Amiri" w:eastAsia="Amiri" w:cs="Amiri"/>
          <w:color w:val="111111"/>
          <w:sz w:val="28"/>
          <w:sz w:val="28"/>
          <w:szCs w:val="28"/>
          <w:rtl w:val="true"/>
          <w:lang w:bidi="ar-SA"/>
        </w:rPr>
        <w:t>الْمُقْنِعَةُ،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لَا يَزَالُ فِي طُهْرٍ إِلَي الْجُمُعَةِ الْأُخْرَي‌</w:t>
      </w:r>
      <w:r>
        <w:rPr>
          <w:rStyle w:val="FootnoteAnchor"/>
          <w:rtl w:val="true"/>
        </w:rPr>
        <w:footnoteReference w:id="570"/>
      </w:r>
    </w:p>
    <w:p>
      <w:pPr>
        <w:pStyle w:val="Heading5"/>
        <w:numPr>
          <w:ilvl w:val="4"/>
          <w:numId w:val="1"/>
        </w:numPr>
        <w:rPr/>
      </w:pPr>
      <w:bookmarkStart w:id="1088" w:name="__RefHeading___Toc605912_1934241801"/>
      <w:bookmarkStart w:id="1089" w:name="_Toc500"/>
      <w:bookmarkEnd w:id="1088"/>
      <w:r>
        <w:rPr>
          <w:rtl w:val="true"/>
        </w:rPr>
        <w:t>بيان</w:t>
      </w:r>
      <w:bookmarkEnd w:id="1089"/>
    </w:p>
    <w:p>
      <w:pPr>
        <w:pStyle w:val="BookText"/>
        <w:rPr/>
      </w:pPr>
      <w:r>
        <w:rPr>
          <w:rFonts w:ascii="Amiri" w:hAnsi="Amiri" w:eastAsia="Amiri" w:cs="Amiri"/>
          <w:color w:val="111111"/>
          <w:sz w:val="28"/>
          <w:sz w:val="28"/>
          <w:szCs w:val="28"/>
          <w:rtl w:val="true"/>
          <w:lang w:bidi="ar-SA"/>
        </w:rPr>
        <w:t>في الكافي‌</w:t>
      </w:r>
      <w:r>
        <w:rPr>
          <w:rStyle w:val="FootnoteAnchor"/>
          <w:rtl w:val="true"/>
        </w:rPr>
        <w:footnoteReference w:id="571"/>
      </w:r>
      <w:r>
        <w:rPr>
          <w:rFonts w:ascii="Amiri" w:hAnsi="Amiri" w:eastAsia="Amiri" w:cs="Amiri"/>
          <w:color w:val="111111"/>
          <w:sz w:val="28"/>
          <w:sz w:val="28"/>
          <w:szCs w:val="28"/>
          <w:rtl w:val="true"/>
          <w:lang w:bidi="ar-SA"/>
        </w:rPr>
        <w:t xml:space="preserve">و التهذيب </w:t>
      </w:r>
      <w:r>
        <w:rPr>
          <w:rStyle w:val="FootnoteAnchor"/>
          <w:rtl w:val="true"/>
        </w:rPr>
        <w:footnoteReference w:id="572"/>
      </w:r>
      <w:r>
        <w:rPr>
          <w:rFonts w:ascii="Amiri" w:hAnsi="Amiri" w:eastAsia="Amiri" w:cs="Amiri"/>
          <w:color w:val="111111"/>
          <w:sz w:val="28"/>
          <w:sz w:val="28"/>
          <w:szCs w:val="28"/>
          <w:rtl w:val="true"/>
          <w:lang w:bidi="ar-SA"/>
        </w:rPr>
        <w:t>كما في المقنعة فالضمير راجع إلي المغتسل</w:t>
      </w:r>
    </w:p>
    <w:p>
      <w:pPr>
        <w:pStyle w:val="BookText"/>
        <w:rPr/>
      </w:pPr>
      <w:r>
        <w:rPr>
          <w:rFonts w:ascii="IRNazanin" w:hAnsi="IRNazanin" w:eastAsia="IRNazanin"/>
          <w:color w:val="111111"/>
          <w:sz w:val="28"/>
          <w:sz w:val="28"/>
          <w:szCs w:val="28"/>
          <w:rtl w:val="true"/>
          <w:lang w:bidi="fa-IR"/>
        </w:rPr>
        <w:t>که در حال اقامت نیز آن را ترک کند</w:t>
      </w:r>
      <w:r>
        <w:rPr>
          <w:rFonts w:eastAsia="IRNazanin" w:cs="IRNazanin"/>
          <w:color w:val="111111"/>
          <w:sz w:val="28"/>
          <w:szCs w:val="28"/>
          <w:rtl w:val="true"/>
          <w:lang w:bidi="fa-IR"/>
        </w:rPr>
        <w:t>.</w:t>
      </w:r>
      <w:r>
        <w:rPr>
          <w:rStyle w:val="FootnoteAnchor"/>
          <w:rtl w:val="true"/>
        </w:rPr>
        <w:footnoteReference w:id="573"/>
      </w:r>
    </w:p>
    <w:p>
      <w:pPr>
        <w:pStyle w:val="Heading5"/>
        <w:numPr>
          <w:ilvl w:val="4"/>
          <w:numId w:val="1"/>
        </w:numPr>
        <w:rPr/>
      </w:pPr>
      <w:bookmarkStart w:id="1090" w:name="__RefHeading___Toc605914_1934241801"/>
      <w:bookmarkStart w:id="1091" w:name="_Toc501"/>
      <w:bookmarkEnd w:id="1090"/>
      <w:r>
        <w:rPr>
          <w:rtl w:val="true"/>
        </w:rPr>
        <w:t xml:space="preserve">روایت </w:t>
      </w:r>
      <w:r>
        <w:rPr/>
        <w:t>4</w:t>
      </w:r>
      <w:bookmarkEnd w:id="1091"/>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جمعه چگونه واجب شده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نماز فرض را با نماز نافله و روزه فرض را با روزه نافله و وضوی فرض را با غسل جمعه کامل گردانده است، به خاطر اینکه ممکن است اشتباه، کوتاهی یا فراموشی در خلال انجام فرایض روی داده باشد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خالد نظیر این حدیث روایت شده است</w:t>
      </w:r>
      <w:r>
        <w:rPr>
          <w:rFonts w:eastAsia="IRNazanin" w:cs="IRNazanin"/>
          <w:color w:val="111111"/>
          <w:sz w:val="28"/>
          <w:szCs w:val="28"/>
          <w:rtl w:val="true"/>
          <w:lang w:bidi="fa-IR"/>
        </w:rPr>
        <w:t xml:space="preserve">. </w:t>
      </w:r>
      <w:r>
        <w:rPr>
          <w:rStyle w:val="FootnoteAnchor"/>
          <w:rtl w:val="true"/>
        </w:rPr>
        <w:footnoteReference w:id="575"/>
      </w:r>
    </w:p>
    <w:p>
      <w:pPr>
        <w:pStyle w:val="Heading5"/>
        <w:numPr>
          <w:ilvl w:val="4"/>
          <w:numId w:val="1"/>
        </w:numPr>
        <w:rPr/>
      </w:pPr>
      <w:bookmarkStart w:id="1092" w:name="__RefHeading___Toc605916_1934241801"/>
      <w:bookmarkStart w:id="1093" w:name="_Toc502"/>
      <w:bookmarkEnd w:id="1092"/>
      <w:r>
        <w:rPr>
          <w:rtl w:val="true"/>
        </w:rPr>
        <w:t>توضیح</w:t>
      </w:r>
      <w:bookmarkEnd w:id="1093"/>
    </w:p>
    <w:p>
      <w:pPr>
        <w:pStyle w:val="BookText"/>
        <w:rPr/>
      </w:pPr>
      <w:r>
        <w:rPr>
          <w:rFonts w:ascii="IRNazanin" w:hAnsi="IRNazanin" w:eastAsia="IRNazanin"/>
          <w:color w:val="111111"/>
          <w:sz w:val="28"/>
          <w:sz w:val="28"/>
          <w:szCs w:val="28"/>
          <w:rtl w:val="true"/>
          <w:lang w:bidi="fa-IR"/>
        </w:rPr>
        <w:t xml:space="preserve">چه بسا که حدیث مذکور استحباب غسل جمعه را تأیید می کند، چرا که نظایر ذکر شده یعنی نماز نافله و روزه نافله مستحبّ هستند،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کان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الکافی</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التهذیب</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Heading5"/>
        <w:numPr>
          <w:ilvl w:val="4"/>
          <w:numId w:val="1"/>
        </w:numPr>
        <w:rPr/>
      </w:pPr>
      <w:bookmarkStart w:id="1094" w:name="__RefHeading___Toc605918_1934241801"/>
      <w:bookmarkStart w:id="1095" w:name="_Toc503"/>
      <w:bookmarkEnd w:id="1094"/>
      <w:r>
        <w:rPr>
          <w:rtl w:val="true"/>
        </w:rPr>
        <w:t xml:space="preserve">روایت </w:t>
      </w:r>
      <w:r>
        <w:rPr/>
        <w:t>5</w:t>
      </w:r>
      <w:bookmarkEnd w:id="1095"/>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أصبغ  بن نباته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هرگاه که می خواست شخصی را توبیخ کند به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کسی که غسل جمعه را ترک می کند عاجزتر هستی، به راستی که او به صورت پیوسته تا جمعه آینده در غم و اندوه است</w:t>
      </w:r>
      <w:r>
        <w:rPr>
          <w:rFonts w:eastAsia="IRNazanin" w:cs="IRNazanin"/>
          <w:color w:val="111111"/>
          <w:sz w:val="28"/>
          <w:szCs w:val="28"/>
          <w:rtl w:val="true"/>
          <w:lang w:bidi="fa-IR"/>
        </w:rPr>
        <w:t>.</w:t>
      </w:r>
      <w:r>
        <w:rPr>
          <w:rStyle w:val="FootnoteAnchor"/>
          <w:rtl w:val="true"/>
        </w:rPr>
        <w:footnoteReference w:id="578"/>
      </w:r>
    </w:p>
    <w:p>
      <w:pPr>
        <w:pStyle w:val="Heading5"/>
        <w:numPr>
          <w:ilvl w:val="4"/>
          <w:numId w:val="1"/>
        </w:numPr>
        <w:rPr/>
      </w:pPr>
      <w:bookmarkStart w:id="1096" w:name="__RefHeading___Toc605920_1934241801"/>
      <w:bookmarkStart w:id="1097" w:name="_Toc504"/>
      <w:bookmarkEnd w:id="1096"/>
      <w:r>
        <w:rPr>
          <w:rtl w:val="true"/>
        </w:rPr>
        <w:t xml:space="preserve">روایت </w:t>
      </w:r>
      <w:r>
        <w:rPr/>
        <w:t>6</w:t>
      </w:r>
      <w:bookmarkEnd w:id="1097"/>
    </w:p>
    <w:p>
      <w:pPr>
        <w:pStyle w:val="BookText"/>
        <w:rPr/>
      </w:pP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به صورت مرسل روایت شده است، ولی عبارت پایانی این گونه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لایزال فی طهره إلی الجمعة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تا جمعه دیگر در پاکی به سر می برد</w:t>
      </w:r>
      <w:r>
        <w:rPr>
          <w:rFonts w:eastAsia="IRNazanin" w:cs="IRNazanin"/>
          <w:color w:val="111111"/>
          <w:sz w:val="28"/>
          <w:szCs w:val="28"/>
          <w:rtl w:val="true"/>
          <w:lang w:bidi="fa-IR"/>
        </w:rPr>
        <w:t>.</w:t>
      </w:r>
      <w:r>
        <w:rPr>
          <w:rStyle w:val="FootnoteAnchor"/>
          <w:rtl w:val="true"/>
        </w:rPr>
        <w:footnoteReference w:id="579"/>
      </w:r>
    </w:p>
    <w:p>
      <w:pPr>
        <w:pStyle w:val="Heading5"/>
        <w:numPr>
          <w:ilvl w:val="4"/>
          <w:numId w:val="1"/>
        </w:numPr>
        <w:rPr/>
      </w:pPr>
      <w:bookmarkStart w:id="1098" w:name="__RefHeading___Toc605922_1934241801"/>
      <w:bookmarkStart w:id="1099" w:name="_Toc505"/>
      <w:bookmarkEnd w:id="1098"/>
      <w:r>
        <w:rPr>
          <w:rtl w:val="true"/>
        </w:rPr>
        <w:t>توضیح</w:t>
      </w:r>
      <w:bookmarkEnd w:id="1099"/>
    </w:p>
    <w:p>
      <w:pPr>
        <w:pStyle w:val="BookText"/>
        <w:rPr/>
      </w:pPr>
      <w:r>
        <w:rPr>
          <w:rFonts w:ascii="IRNazanin" w:hAnsi="IRNazanin" w:eastAsia="IRNazanin"/>
          <w:color w:val="111111"/>
          <w:sz w:val="28"/>
          <w:sz w:val="28"/>
          <w:szCs w:val="28"/>
          <w:rtl w:val="true"/>
          <w:lang w:bidi="fa-IR"/>
        </w:rPr>
        <w:t>حدیث در الکافی</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و التهذیب</w:t>
      </w:r>
      <w:r>
        <w:rPr>
          <w:rStyle w:val="FootnoteAnchor"/>
          <w:rtl w:val="true"/>
        </w:rPr>
        <w:footnoteReference w:id="581"/>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همان صورتی که در المقنعة ذکر شده روایت شده است،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غسل کننده </w:t>
      </w:r>
      <w:bookmarkStart w:id="1100" w:name="pg13517_329155"/>
    </w:p>
    <w:p>
      <w:pPr>
        <w:pStyle w:val="BookText"/>
        <w:rPr/>
      </w:pPr>
      <w:bookmarkEnd w:id="1100"/>
      <w:r>
        <w:rPr>
          <w:rFonts w:ascii="Amiri" w:hAnsi="Amiri" w:eastAsia="Amiri" w:cs="Amiri"/>
          <w:color w:val="111111"/>
          <w:sz w:val="28"/>
          <w:sz w:val="28"/>
          <w:szCs w:val="28"/>
          <w:rtl w:val="true"/>
          <w:lang w:bidi="ar-SA"/>
        </w:rPr>
        <w:t>و علي ما في العلل إلي التارك</w:t>
      </w:r>
      <w:r>
        <w:rPr>
          <w:rFonts w:eastAsia="Amiri" w:cs="Amiri" w:ascii="Amiri" w:hAnsi="Amiri"/>
          <w:color w:val="111111"/>
          <w:sz w:val="28"/>
          <w:szCs w:val="28"/>
          <w:rtl w:val="true"/>
          <w:lang w:bidi="ar-SA"/>
        </w:rPr>
        <w:t>.</w:t>
      </w:r>
    </w:p>
    <w:p>
      <w:pPr>
        <w:pStyle w:val="Heading5"/>
        <w:numPr>
          <w:ilvl w:val="4"/>
          <w:numId w:val="1"/>
        </w:numPr>
        <w:rPr/>
      </w:pPr>
      <w:bookmarkStart w:id="1101" w:name="__RefHeading___Toc605924_1934241801"/>
      <w:bookmarkStart w:id="1102" w:name="_Toc506"/>
      <w:bookmarkEnd w:id="1101"/>
      <w:r>
        <w:rPr>
          <w:rtl w:val="true"/>
        </w:rPr>
        <w:t>«</w:t>
      </w:r>
      <w:r>
        <w:rPr/>
        <w:t>7</w:t>
      </w:r>
      <w:r>
        <w:rPr>
          <w:rtl w:val="true"/>
        </w:rPr>
        <w:t>»</w:t>
      </w:r>
      <w:bookmarkEnd w:id="1102"/>
    </w:p>
    <w:p>
      <w:pPr>
        <w:pStyle w:val="BookText"/>
        <w:rPr/>
      </w:pPr>
      <w:r>
        <w:rPr>
          <w:rFonts w:ascii="Amiri" w:hAnsi="Amiri" w:eastAsia="Amiri" w:cs="Amiri"/>
          <w:color w:val="111111"/>
          <w:sz w:val="28"/>
          <w:sz w:val="28"/>
          <w:szCs w:val="28"/>
          <w:rtl w:val="true"/>
          <w:lang w:bidi="ar-SA"/>
        </w:rPr>
        <w:t>الْعِلَلُ، عَنْ أَبِيهِ عَنْ سَعْدِ بْنِ عَبْدِ اللَّهِ عَنْ أَحْمَدَ بْنِ مُحَمَّدِ بْنِ عِيسَي عَنْ عُثْمَانَ بْنِ عِيسَي عَنْ مُحَمَّدِ بْنِ عَبْدِ اللَّهِ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الْأَنْصَارُ تَعْمَلُ فِي نَوَاضِحِهَا وَ أَمْوَالِهَا فَإِذَا كَانَ يَوْمُ الْجُمُعَةِ جَاءُوا فَتَأَذَّي النَّاسُ بِأَرْوَاحِ آبَاطِهِمْ وَ أَجْسَادِهِمْ فَأَمَرَهُمْ رَسُولُ اللَّهِ صلي الله عليه و آله بِالْغُسْلِ يَوْمَ الْجُمُعَةِ فَجَرَتْ بِذَلِكَ السَّنَّةُ</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3" w:name="__RefHeading___Toc605926_1934241801"/>
      <w:bookmarkStart w:id="1104" w:name="_Toc507"/>
      <w:bookmarkEnd w:id="1103"/>
      <w:r>
        <w:rPr>
          <w:rtl w:val="true"/>
        </w:rPr>
        <w:t>«</w:t>
      </w:r>
      <w:r>
        <w:rPr/>
        <w:t>8</w:t>
      </w:r>
      <w:r>
        <w:rPr>
          <w:rtl w:val="true"/>
        </w:rPr>
        <w:t>»</w:t>
      </w:r>
      <w:bookmarkEnd w:id="1104"/>
    </w:p>
    <w:p>
      <w:pPr>
        <w:pStyle w:val="BookText"/>
        <w:rPr/>
      </w:pPr>
      <w:r>
        <w:rPr>
          <w:rFonts w:ascii="Amiri" w:hAnsi="Amiri" w:eastAsia="Amiri" w:cs="Amiri"/>
          <w:color w:val="111111"/>
          <w:sz w:val="28"/>
          <w:sz w:val="28"/>
          <w:szCs w:val="28"/>
          <w:rtl w:val="true"/>
          <w:lang w:bidi="ar-SA"/>
        </w:rPr>
        <w:t>الْعِلَلُ، عَنْ أَبِيهِ عَنْ مُحَمَّدِ بْنِ يَحْيَي الْعَطَّارِ عَنْ مُحَمَّدِ بْنِ أَحْمَدَ بْنِ يَحْيَي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الْجُمُعَةِ وَاجِبٌ عَلَي الرِّجَالِ وَ النِّسَاءِ فِي السَّفَرِ وَ الْحَضَرِ إِلَّا أَنَّهُ رُخِّصَ لِلنِّسَاءِ فِي السَّفَرِ لِقِلَّةِ الْمَاءِ</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5" w:name="__RefHeading___Toc605928_1934241801"/>
      <w:bookmarkStart w:id="1106" w:name="_Toc508"/>
      <w:bookmarkEnd w:id="1105"/>
      <w:r>
        <w:rPr>
          <w:rtl w:val="true"/>
        </w:rPr>
        <w:t>بيان</w:t>
      </w:r>
      <w:bookmarkEnd w:id="1106"/>
    </w:p>
    <w:p>
      <w:pPr>
        <w:pStyle w:val="BookText"/>
        <w:rPr/>
      </w:pPr>
      <w:r>
        <w:rPr>
          <w:rFonts w:ascii="Amiri" w:hAnsi="Amiri" w:eastAsia="Amiri" w:cs="Amiri"/>
          <w:color w:val="111111"/>
          <w:sz w:val="28"/>
          <w:sz w:val="28"/>
          <w:szCs w:val="28"/>
          <w:rtl w:val="true"/>
          <w:lang w:bidi="ar-SA"/>
        </w:rPr>
        <w:t>يحتمل كونه علة للسقوط رأسا في السفر عنهن أو تقييدا للسقوط بقلة الماء قال في المنتهي غسل الجمعة مستحب للرجال و النساء الحاضرين و المسافرين و العبيد و الأحرار سواء في ذلك و قال أحمد لا يستحب لمن لا يأتي الجمعة فليس علي النساء غسل و علي قياسهن الصبيان و المسافر و المريض كذلك ثم استدل بما رواه الشَّيْخُ فِي الْحَسَنِ‌</w:t>
      </w:r>
      <w:r>
        <w:rPr>
          <w:rStyle w:val="FootnoteAnchor"/>
          <w:rtl w:val="true"/>
        </w:rPr>
        <w:footnoteReference w:id="585"/>
      </w:r>
      <w:r>
        <w:rPr>
          <w:rFonts w:ascii="Amiri" w:hAnsi="Amiri" w:eastAsia="Amiri" w:cs="Amiri"/>
          <w:color w:val="111111"/>
          <w:sz w:val="28"/>
          <w:sz w:val="28"/>
          <w:szCs w:val="28"/>
          <w:rtl w:val="true"/>
          <w:lang w:bidi="ar-SA"/>
        </w:rPr>
        <w:t>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النِّسَاءِ عَلَيْهِنَّ غُسْلُ الْجُمُعَةِ قَالَ نَعَمْ</w:t>
      </w:r>
      <w:r>
        <w:rPr>
          <w:rFonts w:eastAsia="Amiri" w:cs="Amiri" w:ascii="Amiri" w:hAnsi="Amiri"/>
          <w:color w:val="111111"/>
          <w:sz w:val="28"/>
          <w:szCs w:val="28"/>
          <w:rtl w:val="true"/>
          <w:lang w:bidi="ar-SA"/>
        </w:rPr>
        <w:t>.</w:t>
      </w:r>
    </w:p>
    <w:p>
      <w:pPr>
        <w:pStyle w:val="Heading5"/>
        <w:numPr>
          <w:ilvl w:val="4"/>
          <w:numId w:val="1"/>
        </w:numPr>
        <w:rPr/>
      </w:pPr>
      <w:bookmarkStart w:id="1107" w:name="__RefHeading___Toc605930_1934241801"/>
      <w:bookmarkStart w:id="1108" w:name="_Toc509"/>
      <w:bookmarkEnd w:id="1107"/>
      <w:r>
        <w:rPr>
          <w:rtl w:val="true"/>
        </w:rPr>
        <w:t>«</w:t>
      </w:r>
      <w:r>
        <w:rPr/>
        <w:t>9</w:t>
      </w:r>
      <w:r>
        <w:rPr>
          <w:rtl w:val="true"/>
        </w:rPr>
        <w:t>»</w:t>
      </w:r>
      <w:bookmarkEnd w:id="1108"/>
    </w:p>
    <w:p>
      <w:pPr>
        <w:pStyle w:val="BookText"/>
        <w:rPr/>
      </w:pPr>
      <w:r>
        <w:rPr>
          <w:rFonts w:ascii="Amiri" w:hAnsi="Amiri" w:eastAsia="Amiri" w:cs="Amiri"/>
          <w:color w:val="111111"/>
          <w:sz w:val="28"/>
          <w:sz w:val="28"/>
          <w:szCs w:val="28"/>
          <w:rtl w:val="true"/>
          <w:lang w:bidi="ar-SA"/>
        </w:rPr>
        <w:t>مَجَالِسُ ابْنِ الشَّيْخِ، عَنْ أَبِيهِ عَنِ الْمُفِيدِ عَنْ مُحَمَّدِ بْنِ مَخْلَدٍ عَنِ الْحَارِثِ بْنِ مُحَمَّدٍ عَنْ يَزِيدَ بْنِ هَارُونَ عَنْ مُحَمَّدِ بْنِ إِسْحَاقَ عَنْ نَافِعٍ عَنِ ابْنِ عُمَرَ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إِلَي الْجُمُعَةِ فَلْيَغْتَسِلْ‌</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 اساس آنچه در علل الشرایع ذکر شده به ترک کننده غسل باز می گردد</w:t>
      </w:r>
      <w:r>
        <w:rPr>
          <w:rFonts w:eastAsia="IRNazanin" w:cs="IRNazanin"/>
          <w:color w:val="111111"/>
          <w:sz w:val="28"/>
          <w:szCs w:val="28"/>
          <w:rtl w:val="true"/>
          <w:lang w:bidi="fa-IR"/>
        </w:rPr>
        <w:t>.</w:t>
      </w:r>
    </w:p>
    <w:p>
      <w:pPr>
        <w:pStyle w:val="Heading5"/>
        <w:numPr>
          <w:ilvl w:val="4"/>
          <w:numId w:val="1"/>
        </w:numPr>
        <w:rPr/>
      </w:pPr>
      <w:bookmarkStart w:id="1109" w:name="__RefHeading___Toc605932_1934241801"/>
      <w:bookmarkStart w:id="1110" w:name="_Toc510"/>
      <w:bookmarkEnd w:id="1109"/>
      <w:r>
        <w:rPr>
          <w:rtl w:val="true"/>
        </w:rPr>
        <w:t xml:space="preserve">روایت </w:t>
      </w:r>
      <w:r>
        <w:rPr/>
        <w:t>7</w:t>
      </w:r>
      <w:bookmarkEnd w:id="1110"/>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در زمین های زراعتی و اموال مربوط به خود کار می کردند، و هنگامی که روز جمعه فرا رسید بازگشتند، پس مردم از بوی زیر بغل ها و بدن های آنان آزرده شدند، بنابراین رسول خدا صلّی الله علیه و آله آنان را به غسل روز جمعه امر فرمود، و به این ترتیب تبدیل به سنّت گشت</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به صورت مرسل روایت شده است</w:t>
      </w:r>
      <w:r>
        <w:rPr>
          <w:rFonts w:eastAsia="IRNazanin" w:cs="IRNazanin"/>
          <w:color w:val="111111"/>
          <w:sz w:val="28"/>
          <w:szCs w:val="28"/>
          <w:rtl w:val="true"/>
          <w:lang w:bidi="fa-IR"/>
        </w:rPr>
        <w:t>.</w:t>
      </w:r>
      <w:r>
        <w:rPr>
          <w:rStyle w:val="FootnoteAnchor"/>
          <w:rtl w:val="true"/>
        </w:rPr>
        <w:footnoteReference w:id="588"/>
      </w:r>
    </w:p>
    <w:p>
      <w:pPr>
        <w:pStyle w:val="Heading5"/>
        <w:numPr>
          <w:ilvl w:val="4"/>
          <w:numId w:val="1"/>
        </w:numPr>
        <w:rPr/>
      </w:pPr>
      <w:bookmarkStart w:id="1111" w:name="__RefHeading___Toc605934_1934241801"/>
      <w:bookmarkStart w:id="1112" w:name="_Toc511"/>
      <w:bookmarkEnd w:id="1111"/>
      <w:r>
        <w:rPr>
          <w:rtl w:val="true"/>
        </w:rPr>
        <w:t xml:space="preserve">روایت </w:t>
      </w:r>
      <w:r>
        <w:rPr/>
        <w:t>8</w:t>
      </w:r>
      <w:bookmarkEnd w:id="1112"/>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یحیی ضمن روایت حدیثی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جمعه بر تمام مردان و زنان چه در سفر و چه در حال اقامت واجب است، جز اینکه زنان در سفر اجازه دارند به خاطر کمبود آب غسل را ترک کنند</w:t>
      </w:r>
      <w:r>
        <w:rPr>
          <w:rFonts w:eastAsia="IRNazanin" w:cs="IRNazanin"/>
          <w:color w:val="111111"/>
          <w:sz w:val="28"/>
          <w:szCs w:val="28"/>
          <w:rtl w:val="true"/>
          <w:lang w:bidi="fa-IR"/>
        </w:rPr>
        <w:t>.</w:t>
      </w:r>
      <w:r>
        <w:rPr>
          <w:rStyle w:val="FootnoteAnchor"/>
          <w:rtl w:val="true"/>
        </w:rPr>
        <w:footnoteReference w:id="589"/>
      </w:r>
    </w:p>
    <w:p>
      <w:pPr>
        <w:pStyle w:val="Heading5"/>
        <w:numPr>
          <w:ilvl w:val="4"/>
          <w:numId w:val="1"/>
        </w:numPr>
        <w:rPr/>
      </w:pPr>
      <w:bookmarkStart w:id="1113" w:name="__RefHeading___Toc605936_1934241801"/>
      <w:bookmarkStart w:id="1114" w:name="_Toc512"/>
      <w:bookmarkEnd w:id="1113"/>
      <w:r>
        <w:rPr>
          <w:rtl w:val="true"/>
        </w:rPr>
        <w:t>توضیح</w:t>
      </w:r>
      <w:bookmarkEnd w:id="1114"/>
    </w:p>
    <w:p>
      <w:pPr>
        <w:pStyle w:val="BookText"/>
        <w:rPr/>
      </w:pPr>
      <w:r>
        <w:rPr>
          <w:rFonts w:ascii="IRNazanin" w:hAnsi="IRNazanin" w:eastAsia="IRNazanin"/>
          <w:color w:val="111111"/>
          <w:sz w:val="28"/>
          <w:sz w:val="28"/>
          <w:szCs w:val="28"/>
          <w:rtl w:val="true"/>
          <w:lang w:bidi="fa-IR"/>
        </w:rPr>
        <w:t>ممکن است که محضِ حضور در سفر باعث ساقط شدن غسل جمعه از گردن زنان باشد و یا اینکه ساقط شدن به خاطر کمبود آب باشد،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جمعه برای مردان و زنان مقیم، مسافر، برده و آزاد به صورت یکسان مستحبّ است، و احمد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برای کسی که در نماز جمعه حاضر نمی شود مستحبّ نیست، بنابراین غسل بر زنان مستحبّ نیست، و به قیاس زنان می توان این حکم را برای کودکان، انسان مسافر و مریض نیز صادق دانست، سپس به روایتی که شیخ در حدیث حسن</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از علی بن یقطین روایت کرده استدلال کرده است آن گاه که علی بن یقطین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غسل جمعه بر زنان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Heading5"/>
        <w:numPr>
          <w:ilvl w:val="4"/>
          <w:numId w:val="1"/>
        </w:numPr>
        <w:rPr/>
      </w:pPr>
      <w:bookmarkStart w:id="1115" w:name="__RefHeading___Toc605938_1934241801"/>
      <w:bookmarkStart w:id="1116" w:name="_Toc513"/>
      <w:bookmarkEnd w:id="1115"/>
      <w:r>
        <w:rPr>
          <w:rtl w:val="true"/>
        </w:rPr>
        <w:t xml:space="preserve">روایت </w:t>
      </w:r>
      <w:r>
        <w:rPr/>
        <w:t>9</w:t>
      </w:r>
      <w:bookmarkEnd w:id="111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عمر روایت شده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به نماز جمعه می آید باید غسل کند</w:t>
      </w:r>
      <w:r>
        <w:rPr>
          <w:rFonts w:eastAsia="IRNazanin" w:cs="IRNazanin"/>
          <w:color w:val="111111"/>
          <w:sz w:val="28"/>
          <w:szCs w:val="28"/>
          <w:rtl w:val="true"/>
          <w:lang w:bidi="fa-IR"/>
        </w:rPr>
        <w:t>.</w:t>
      </w:r>
      <w:r>
        <w:rPr>
          <w:rStyle w:val="FootnoteAnchor"/>
          <w:rtl w:val="true"/>
        </w:rPr>
        <w:footnoteReference w:id="591"/>
      </w:r>
      <w:bookmarkStart w:id="1117" w:name="pg13517_329156"/>
    </w:p>
    <w:p>
      <w:pPr>
        <w:pStyle w:val="BookText"/>
        <w:rPr/>
      </w:pPr>
      <w:bookmarkEnd w:id="1117"/>
      <w:r>
        <w:rPr>
          <w:rFonts w:ascii="Amiri" w:hAnsi="Amiri" w:eastAsia="Amiri" w:cs="Amiri"/>
          <w:color w:val="111111"/>
          <w:sz w:val="28"/>
          <w:sz w:val="28"/>
          <w:szCs w:val="28"/>
          <w:rtl w:val="true"/>
          <w:lang w:bidi="ar-SA"/>
        </w:rPr>
        <w:t>و بالإسناد عن ابن مخلد عن عمر بن الحسن الشيباني عن موسي بن سهل الوشاء عن إسماعيل بن علية عن أيوب عن نافع عن ابن عمر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8" w:name="__RefHeading___Toc605940_1934241801"/>
      <w:bookmarkStart w:id="1119" w:name="_Toc514"/>
      <w:bookmarkEnd w:id="1118"/>
      <w:r>
        <w:rPr>
          <w:rtl w:val="true"/>
        </w:rPr>
        <w:t>«</w:t>
      </w:r>
      <w:r>
        <w:rPr/>
        <w:t>10</w:t>
      </w:r>
      <w:r>
        <w:rPr>
          <w:rtl w:val="true"/>
        </w:rPr>
        <w:t>»</w:t>
      </w:r>
      <w:bookmarkEnd w:id="1119"/>
    </w:p>
    <w:p>
      <w:pPr>
        <w:pStyle w:val="BookText"/>
        <w:rPr/>
      </w:pPr>
      <w:r>
        <w:rPr>
          <w:rFonts w:ascii="Amiri" w:hAnsi="Amiri" w:eastAsia="Amiri" w:cs="Amiri"/>
          <w:color w:val="111111"/>
          <w:sz w:val="28"/>
          <w:sz w:val="28"/>
          <w:szCs w:val="28"/>
          <w:rtl w:val="true"/>
          <w:lang w:bidi="ar-SA"/>
        </w:rPr>
        <w:t>فِقْهُ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غُسْلَ الْجُمُعَةِ سُنَّةٌ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تَدَعْهَا فِي السَّفَرِ وَ لَا فِي الْحَضَرِ وَ يُجْزِيكَ إِذَا اغْتَسَلْتَ بَعْدَ طُلُوعِ الْفَجْرِ وَ كُلَّمَا قَرُبَ مِنَ الزَّوَالِ فَهُوَ أَفْضَلُ فَإِذَا فَرَغْتَ مِنْهُ فَقُلِ اللَّهُمَّ طَهِّرْنِي وَ طَهِّرْ قَلْبِي وَ أَنْقِ غُسْلِي وَ أَجْرِ عَلَي لِسَانِي ذِكْرَكَ وَ ذِكْرَ نَبِيِّكَ مُحَمَّدٍ وَ اجْعَلْنِي مِنَ التَّوَّابِينَ وَ الْمُتَطَهِّرِينَ‌</w:t>
      </w:r>
      <w:r>
        <w:rPr>
          <w:rStyle w:val="FootnoteAnchor"/>
          <w:rtl w:val="true"/>
        </w:rPr>
        <w:footnoteReference w:id="593"/>
      </w:r>
      <w:r>
        <w:rPr>
          <w:rFonts w:ascii="Amiri" w:hAnsi="Amiri" w:eastAsia="Amiri" w:cs="Amiri"/>
          <w:color w:val="111111"/>
          <w:sz w:val="28"/>
          <w:sz w:val="28"/>
          <w:szCs w:val="28"/>
          <w:rtl w:val="true"/>
          <w:lang w:bidi="ar-SA"/>
        </w:rPr>
        <w:t>وَ إِنْ نَسِيتَ الْغُسْلَ ثُمَّ ذَكَرْتَ وَقْتَ الْعَصْرِ أَوْ مِنَ الْغَدِ فَاغْتَسِلْ‌</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بِالسُّنَنِ يَوْمَ الْجُمُعَةِ وَ هِيَ سَبْعَةٌ إِتْيَانُ النِّسَاءِ وَ غَسْلُ الرَّأْسِ وَ اللِّحْيَةِ بِالْخِطْمِيِّ وَ أَخْذُ الشَّارِبِ وَ تَقْلِيمُ الْأَظَافِيرِ وَ تَغْيِيرُ الثِّيَابِ وَ مَسُّ الطِّيبِ فَمَنْ أَتَي بِوَاحِدَةٍ مِنْ هَذِهِ السُّنَنِ نَابَتْ عَنْهُنَّ وَ هِيَ الْغُسْلُ وَ أَفْضَلُ أَوْقَاتِهِ قَبْلَ الزَّوَالِ وَ لَا تَدَعْ فِي سَفَرٍ وَ لَا حَضَرٍ وَ إِنْ كُنْتَ مُسَافِراً وَ تَخَوَّفْتَ عَدَمَ الْمَاءِ يَوْمَ الْجُمُعَةِ اغْتَسِلْ يَوْمَ الْخَمِيسِ فَإِنْ فَاتَكَ الْغُسْلُ يَوْمَ الْجُمُعَةِ قَضَيْتَ يَوْمَ السَّبْتِ أَوْ بَعْدَهُ مِنْ أَيَّامِ الْجُمُعَةِ وَ إِنَّمَا سُنَّ الْغُسْلُ يَوْمَ الْجُمُعَةِ تَتْمِيماً لِمَا يَلْحَقُ الطَّهُورَ فِي سَائِرِ الْأَيَّامِ مِنَ النُّقْصَانِ‌</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0" w:name="__RefHeading___Toc605942_1934241801"/>
      <w:bookmarkStart w:id="1121" w:name="_Toc515"/>
      <w:bookmarkEnd w:id="1120"/>
      <w:r>
        <w:rPr>
          <w:rtl w:val="true"/>
        </w:rPr>
        <w:t>بيان</w:t>
      </w:r>
      <w:bookmarkEnd w:id="1121"/>
    </w:p>
    <w:p>
      <w:pPr>
        <w:pStyle w:val="BookText"/>
        <w:rPr/>
      </w:pPr>
      <w:r>
        <w:rPr>
          <w:rFonts w:ascii="Amiri" w:hAnsi="Amiri" w:eastAsia="Amiri" w:cs="Amiri"/>
          <w:color w:val="111111"/>
          <w:sz w:val="28"/>
          <w:sz w:val="28"/>
          <w:szCs w:val="28"/>
          <w:rtl w:val="true"/>
          <w:lang w:bidi="ar-SA"/>
        </w:rPr>
        <w:t>يدل علي أن أول وقت الأداء طلوع الفجر و لا خلاف فيه و آخره الزوال علي المشهور بل نقل المحقق الإجماع علي اختصاص الاستحباب بما قبل الزوال و قال الشيخ في موضع من الخلاف وقته إلي أن يصلي الجمعة و يظهر من بعض الأخبار امتداد وقته إلي آخر اليوم و لو لم ينو بعد الزوال الأداء و القضاء كان أحسن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اسناد از ابن مخلّد، ابن عمر نظیر این حدیث را از پیامبر صلّی الله علیه و آله روایت کرده است</w:t>
      </w:r>
      <w:r>
        <w:rPr>
          <w:rFonts w:eastAsia="IRNazanin" w:cs="IRNazanin"/>
          <w:color w:val="111111"/>
          <w:sz w:val="28"/>
          <w:szCs w:val="28"/>
          <w:rtl w:val="true"/>
          <w:lang w:bidi="fa-IR"/>
        </w:rPr>
        <w:t>.</w:t>
      </w:r>
      <w:r>
        <w:rPr>
          <w:rStyle w:val="FootnoteAnchor"/>
          <w:rtl w:val="true"/>
        </w:rPr>
        <w:footnoteReference w:id="596"/>
      </w:r>
    </w:p>
    <w:p>
      <w:pPr>
        <w:pStyle w:val="Heading5"/>
        <w:numPr>
          <w:ilvl w:val="4"/>
          <w:numId w:val="1"/>
        </w:numPr>
        <w:rPr/>
      </w:pPr>
      <w:bookmarkStart w:id="1122" w:name="__RefHeading___Toc605944_1934241801"/>
      <w:bookmarkStart w:id="1123" w:name="_Toc516"/>
      <w:bookmarkEnd w:id="1122"/>
      <w:r>
        <w:rPr>
          <w:rtl w:val="true"/>
        </w:rPr>
        <w:t xml:space="preserve">روایت </w:t>
      </w:r>
      <w:r>
        <w:rPr/>
        <w:t>10</w:t>
      </w:r>
      <w:bookmarkEnd w:id="1123"/>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غسل جمعه سنّت واجبی است که آن را در سفر و در حال اقامت ترک نمی کنی، و اگر بعد از طلوع فجر غسل نمایی تو را کفایت می کند، و هرچه زمان غسل به زوال آفتاب نزدیک تر باشد بهتر است، پس آن گاه که از غسل کردن فارغ گشتی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طَهِّرْنِی وَ طَهِّرْ قَلْبِی وَ أَنْقِ غُسْلِی وَ أَجْرِ عَلَی لِسَانِی ذِکْرَکَ وَ ذِکْرَ نَبِیِّکَ مُحَمَّدٍ وَ اجْعَلْنِی مِنَ التَّوَّابِینَ وَ الْمُتَطَهِّرِینَ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و قلبم را پاک گردان و غسلم را پاکیزه و بی آلایش ساز و ذکر و یاد خود و پیامبرت را بر زبانم جاری ساز، و مرا از جمله توبه کنندگان و پاکان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غسل را فراموش کردی و هنگام عصر و یا فردا به یادآوردی، قضای آن را انجام ده</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امام رضا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سنّت های روز جمعه را به جا آورید، و آن سنّت ها هفت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کردن با زنان، شستن سر و ریش با گیاه خطمی، کوتاه کردن سبیل، گرفتن ناخن، عوض کردن لباسها و استعمال عطر، پس هر کسی که یک مورد از این سنّت ها یعنی غسل را انجام دهد جایگزین سایر سنّت ها می شود، و بهترین زمان انجام غسل جمعه قبل از زوال آفتاب است، چه در مسافرت و چه در حال اقامت این غسل را ترک نکن، اگر مسافر بودی و از کمبود آب در روز جمعه بیم داشتی روز پنج شنبه غسل کن، پس اگر روز جمعه را از دست دادی روز شنبه یا روزهای بعد از آن قضای غسل را به جا آور، و به راستی که غسل روز جمعه به منظور کامل کردن نقص هایی که در اعمال پاک  کننده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وضو و سایر غسل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ایّام هفته انجام می گیرد، به عنوان سنّت مطرح شده است</w:t>
      </w:r>
      <w:r>
        <w:rPr>
          <w:rFonts w:eastAsia="IRNazanin" w:cs="IRNazanin"/>
          <w:color w:val="111111"/>
          <w:sz w:val="28"/>
          <w:szCs w:val="28"/>
          <w:rtl w:val="true"/>
          <w:lang w:bidi="fa-IR"/>
        </w:rPr>
        <w:t>.</w:t>
      </w:r>
      <w:r>
        <w:rPr>
          <w:rStyle w:val="FootnoteAnchor"/>
          <w:rtl w:val="true"/>
        </w:rPr>
        <w:footnoteReference w:id="598"/>
      </w:r>
    </w:p>
    <w:p>
      <w:pPr>
        <w:pStyle w:val="Heading5"/>
        <w:numPr>
          <w:ilvl w:val="4"/>
          <w:numId w:val="1"/>
        </w:numPr>
        <w:rPr/>
      </w:pPr>
      <w:bookmarkStart w:id="1124" w:name="__RefHeading___Toc605946_1934241801"/>
      <w:bookmarkStart w:id="1125" w:name="_Toc517"/>
      <w:bookmarkEnd w:id="1124"/>
      <w:r>
        <w:rPr>
          <w:rtl w:val="true"/>
        </w:rPr>
        <w:t>توضیح</w:t>
      </w:r>
      <w:bookmarkEnd w:id="112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بر این نکته دلالت می کند که اوّلین زمان به جا آوردن غسل جمعه هنگام طلوع فجر است، و در این امر هیچ اختلاف نظری وجود ندارد، و بنا به روایت مشهور آخرین زمانِ انجام غسل جمعه هنگام زوال آفتاب است، بلکه محقّق نظر اجماع فقها را بر این نکته نقل کرده که استحباب این غسل به قبل از زوال آفتاب اختصاص دارد، و شیخ در قسمتی از کتاب الخلاف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غسل جمعه تا زمان به جا آوردن نماز جمعه است، و از بعضی از احادیث چنین برمی آید که وقت آن تا پایان روز ادامه می یابد، و اگر شخص بعد از زوال آفتاب قصد انجام اداء و یا قضای غسل جمعه را نداشته باشد بهتر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 كلما قرب من الزوال كان أفضل ذكره الصدوق في الفقيه‌</w:t>
      </w:r>
      <w:r>
        <w:rPr>
          <w:rStyle w:val="FootnoteAnchor"/>
          <w:rtl w:val="true"/>
        </w:rPr>
        <w:footnoteReference w:id="599"/>
      </w:r>
      <w:r>
        <w:rPr>
          <w:rFonts w:ascii="Amiri" w:hAnsi="Amiri" w:eastAsia="Amiri" w:cs="Amiri"/>
          <w:color w:val="111111"/>
          <w:sz w:val="28"/>
          <w:sz w:val="28"/>
          <w:szCs w:val="28"/>
          <w:rtl w:val="true"/>
          <w:lang w:bidi="ar-SA"/>
        </w:rPr>
        <w:t>أيضا و حكم به أكثر الأصحاب و توقف فيه بعض المتأخرين لعدم النص و لعل هذا الخبر مع الشهرة بين القدماء يكفي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القضاء بعد الزوال و يوم السبت فهو المشهور بين الأصحاب و ظاهر الأكثر عدم الفرق بين كون الفوات عمدا أو نسيانا لعذر أو غيره و ظاهر الصدوق في الفقيه اشتراطه بالنسيان أو العذر و ظاهر صدر هذه الرواية اشتراطه بالنسيان كمرسلة حَرِيزٌ</w:t>
      </w:r>
      <w:r>
        <w:rPr>
          <w:rStyle w:val="FootnoteAnchor"/>
          <w:rtl w:val="true"/>
        </w:rPr>
        <w:footnoteReference w:id="600"/>
      </w:r>
      <w:r>
        <w:rPr>
          <w:rFonts w:ascii="Amiri" w:hAnsi="Amiri" w:eastAsia="Amiri" w:cs="Amiri"/>
          <w:color w:val="111111"/>
          <w:sz w:val="28"/>
          <w:sz w:val="28"/>
          <w:szCs w:val="28"/>
          <w:rtl w:val="true"/>
          <w:lang w:bidi="ar-SA"/>
        </w:rPr>
        <w:t>عَنْ بَعْضِ أَصْحَابِهِ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غُسْلِ يَوْمِ الْجُمُعَةِ فِي السَّفَرِ وَ الْحَضَرِ وَ مَنْ نَسِيَ فَلْيُعِدْ مِنَ الْغَدِ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الكليني بعد إيراد تلك الرواية و روي فيه رخصة للعليل فظاهره اختيار مذهب الصدوق و عدم الاشتراط لعله أقوي لإطلاق سائر الروايات المعتبرة ثم إن ظاهر الأكثر استحباب القضاء ليلة السبت أيضا و الأخبار خالية عنه و إن أمكن أن يراد بيوم السبت ما يشمل الليل لكن لا يمكن الاستدلال به و الأولوية ممنوعة لاحتمال اشتراط المماثلة و ما ورد في هذا الخبر من القضاء في سائر أيام الأسبوع فلم أر به قائلا و لا رواية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التقديم يوم الخميس لمن خاف عوز الماء يوم الجمعة فهو المشهور بين الأصحاب و وردت به روايتان أخريان‌</w:t>
      </w:r>
      <w:r>
        <w:rPr>
          <w:rStyle w:val="FootnoteAnchor"/>
          <w:rtl w:val="true"/>
        </w:rPr>
        <w:footnoteReference w:id="601"/>
      </w:r>
      <w:r>
        <w:rPr>
          <w:rFonts w:ascii="Amiri" w:hAnsi="Amiri" w:eastAsia="Amiri" w:cs="Amiri"/>
          <w:color w:val="111111"/>
          <w:sz w:val="28"/>
          <w:sz w:val="28"/>
          <w:szCs w:val="28"/>
          <w:rtl w:val="true"/>
          <w:lang w:bidi="ar-SA"/>
        </w:rPr>
        <w:t>و الشيخ عمم الحكم لخائف فوت الأداء مطلقا و تبعه بعض المتأخرين و مستنده غير واضح و الوجه عدم التعدي عن المنصوص و قيل الظاهر أن ليلة الجمعة كيوم الخميس و به قطع الشيخ في الخلاف مدعيا عليه الإجماع و فيه إشكال إذ المذكور في الرواية يوم الخميس فالتعدي منه إلي غيره يحتاج إلي دليل و الأولوية ممنوعة كما عرفت و لو تمكن من قدم غسله يوم الخميس من الغسل يوم الجمعة استحب له ذلك لعموم الأدلة</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فرموده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قرب من الزوال کان أفضل، هرچه به وقت زوال نزدیک تر باشد فضیلتش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شیخ صدوق نیز در الفقیه</w:t>
      </w:r>
      <w:r>
        <w:rPr>
          <w:rStyle w:val="FootnoteAnchor"/>
          <w:rtl w:val="true"/>
        </w:rPr>
        <w:footnoteReference w:id="602"/>
      </w:r>
      <w:r>
        <w:rPr>
          <w:rFonts w:ascii="IRNazanin" w:hAnsi="IRNazanin" w:eastAsia="IRNazanin"/>
          <w:color w:val="111111"/>
          <w:sz w:val="28"/>
          <w:sz w:val="28"/>
          <w:szCs w:val="28"/>
          <w:rtl w:val="true"/>
          <w:lang w:bidi="fa-IR"/>
        </w:rPr>
        <w:t>ذکر کرده و بیشتر فقها نیز به آن حکم داده اند، امّا عدّه ای از فقهای معاصر به دلیل عدم وجود نصّ در این عبارت تأمّل و درنگ کرده اند، و شاید این حدیث با وجود مشهور بودن در بین پیشینیان برای صدور چنین حکمی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جا آوردن قضای غسل روز جمعه بعد از زوال آفتاب یا در روز شنبه، امری است که در بین فقها مشهور است، و از ظاهر کلام بیشتر آنان چنین پیداست که فرقی بین اینکه از دست دادن غسل جمعه عمدی بوده است یا از سر فراموشی یا از روی داشتن عذر و یا غیرآن، وجود ندارد، ولی از کلام شیخ صدوق در الفقیه</w:t>
      </w:r>
      <w:r>
        <w:rPr>
          <w:rStyle w:val="FootnoteAnchor"/>
          <w:rtl w:val="true"/>
        </w:rPr>
        <w:footnoteReference w:id="603"/>
      </w:r>
      <w:r>
        <w:rPr>
          <w:rFonts w:ascii="IRNazanin" w:hAnsi="IRNazanin" w:eastAsia="IRNazanin"/>
          <w:color w:val="111111"/>
          <w:sz w:val="28"/>
          <w:sz w:val="28"/>
          <w:szCs w:val="28"/>
          <w:rtl w:val="true"/>
          <w:lang w:bidi="fa-IR"/>
        </w:rPr>
        <w:t>چنین</w:t>
      </w:r>
    </w:p>
    <w:p>
      <w:pPr>
        <w:pStyle w:val="BookText"/>
        <w:rPr/>
      </w:pPr>
      <w:r>
        <w:rPr>
          <w:rFonts w:ascii="IRNazanin" w:hAnsi="IRNazanin" w:eastAsia="IRNazanin"/>
          <w:color w:val="111111"/>
          <w:sz w:val="28"/>
          <w:sz w:val="28"/>
          <w:szCs w:val="28"/>
          <w:rtl w:val="true"/>
          <w:lang w:bidi="fa-IR"/>
        </w:rPr>
        <w:t>بر می آید که وی انجام قضای جمعه را مشروط به فراموشی یا داشتن عذر می داند، چنانکه ظاهر صدر این روایت نیز بر شرط بودن نسیان دلالت دارد، آن گونه که مرسلة حریز از یکی از یارانش روایت کرده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جمعه باید چه در سفر و چه در حال اقامت انجام پذیرد، و هرکسی که آن را فراموش کند باید فردای روز جمعه قضای غسل را به جا آورد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کلینی بعد از ذکر این روایت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رخصتی برای عدم غسل نمودن شخص علیل در روز جمعه وجود دارد، پس از ظاهر کلام چنین برمی آید که نظر صدوق را برگزیده است، و شاید عدم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 یا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انجام قضای غسل جمعه قوی تر باشد، به خاطر اینکه سایر روایت های معتبر انجام قضای غسل روز جمعه را به صورت مطلق و بی قید و شرط مطرح کرده اند، سپس از کلام بیشتر فقها چنین پیداست که نظر به استحباب قضای غسل جمعه در شب شنبه دارند، ولی احادیث فارغ از این نظر هستند اگرچه ممکن است که روز شنبه که در حدیث ذکر شده شب شنبه را نیز شامل شود، ولی امکان استدلال به این نکته وجود ندارد، و اولویت، ممنوع است چون احتمال دارد مماثله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هر دو در روز و قبل از زوال انجام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باشد، و آنچه در این حدیث مبنی بر انجام قضای غسل روز جمعه در سایر روزهای هفته ذکر شده است را در کلام هیچ کسی و در هیچ روایتی جز این مشاهده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پیش انداختن روز پنج شنبه برای کسی که بیم کمبود آب در روز جمعه را دارد در بین فقها امر مشهوری است و دو روایت دیگر</w:t>
      </w:r>
      <w:r>
        <w:rPr>
          <w:rStyle w:val="FootnoteAnchor"/>
          <w:rtl w:val="true"/>
        </w:rPr>
        <w:footnoteReference w:id="605"/>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آن را ذکر کرده اند، و شیخ این حکم را برای هر کسی که به صورت مطلق بیم از دست دادن غسل جمعه را داشته باشد را تعمیم داده است، عدّه ای از متأخرین نیز از شیخ پیروی کرده اند، امّا مستندات شیخ در صدور این حکم واضح نیست و صحیح، عدم نادیده گرفتن نصّ روایت شده می باشد،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آشکار است این است که شب جمعه مانند روز پنج شنبه می باشد، و شیخ در الخلاف این نظر را به صورت قطعی بیان کرده و مدّعی وجود اجماع بر آن شده است، امّا در این امر اشکال و ابهامی وجود دارد، چرا که در روایت، روز پنج شنبه ذکر شده است و تغییر آن به روز یا شبی دیگر نیازمند دلیل است، و چنان که می دانی اولویّت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روز پنج شنبه ذکر شده به طریق اولی شب جمعه هم مستحب است چون به روز جمعه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است؛ و اگر شرایط غسل در روز جمعه برای کسی که پیشاپیش غسل را در روز پنج شنبه انجام داده فراهم شود، با استناد به عموم ادلّه برای او مستحبّ است که این غسل را انجام دهد، </w:t>
      </w:r>
      <w:bookmarkStart w:id="1126" w:name="pg13517_329158"/>
    </w:p>
    <w:p>
      <w:pPr>
        <w:pStyle w:val="BookText"/>
        <w:rPr/>
      </w:pPr>
      <w:bookmarkEnd w:id="1126"/>
      <w:r>
        <w:rPr>
          <w:rFonts w:ascii="Amiri" w:hAnsi="Amiri" w:eastAsia="Amiri" w:cs="Amiri"/>
          <w:color w:val="111111"/>
          <w:sz w:val="28"/>
          <w:sz w:val="28"/>
          <w:szCs w:val="28"/>
          <w:rtl w:val="true"/>
          <w:lang w:bidi="ar-SA"/>
        </w:rPr>
        <w:t>و به صرح الصدوق و غيره</w:t>
      </w:r>
      <w:r>
        <w:rPr>
          <w:rFonts w:eastAsia="Amiri" w:cs="Amiri" w:ascii="Amiri" w:hAnsi="Amiri"/>
          <w:color w:val="111111"/>
          <w:sz w:val="28"/>
          <w:szCs w:val="28"/>
          <w:rtl w:val="true"/>
          <w:lang w:bidi="ar-SA"/>
        </w:rPr>
        <w:t>.</w:t>
      </w:r>
    </w:p>
    <w:p>
      <w:pPr>
        <w:pStyle w:val="Heading5"/>
        <w:numPr>
          <w:ilvl w:val="4"/>
          <w:numId w:val="1"/>
        </w:numPr>
        <w:rPr/>
      </w:pPr>
      <w:bookmarkStart w:id="1127" w:name="__RefHeading___Toc605948_1934241801"/>
      <w:bookmarkStart w:id="1128" w:name="_Toc518"/>
      <w:bookmarkEnd w:id="1127"/>
      <w:r>
        <w:rPr>
          <w:rtl w:val="true"/>
        </w:rPr>
        <w:t>«</w:t>
      </w:r>
      <w:r>
        <w:rPr/>
        <w:t>11</w:t>
      </w:r>
      <w:r>
        <w:rPr>
          <w:rtl w:val="true"/>
        </w:rPr>
        <w:t>»</w:t>
      </w:r>
      <w:bookmarkEnd w:id="1128"/>
    </w:p>
    <w:p>
      <w:pPr>
        <w:pStyle w:val="BookText"/>
        <w:rPr/>
      </w:pPr>
      <w:r>
        <w:rPr>
          <w:rFonts w:ascii="Amiri" w:hAnsi="Amiri" w:eastAsia="Amiri" w:cs="Amiri"/>
          <w:color w:val="111111"/>
          <w:sz w:val="28"/>
          <w:sz w:val="28"/>
          <w:szCs w:val="28"/>
          <w:rtl w:val="true"/>
          <w:lang w:bidi="ar-SA"/>
        </w:rPr>
        <w:t>الْمُقْنِعَةُ، قَالَ رُوِيَ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الْجُمُعَةِ وَ الْفِطْرِ سُنَّةٌ فِي السَّفَرِ وَ الْحَضَرِ</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الْعَبْدِ الصَّالِحِ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غُسْلُ الْجُمُعَةِ عَلَي كُلِّ ذَكَرٍ وَ أُنْثَي مِنْ حُرٍّ أَوْ عَبْدٍ</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9" w:name="__RefHeading___Toc605950_1934241801"/>
      <w:bookmarkStart w:id="1130" w:name="_Toc519"/>
      <w:bookmarkEnd w:id="1129"/>
      <w:r>
        <w:rPr>
          <w:rtl w:val="true"/>
        </w:rPr>
        <w:t>«</w:t>
      </w:r>
      <w:r>
        <w:rPr/>
        <w:t>12</w:t>
      </w:r>
      <w:r>
        <w:rPr>
          <w:rtl w:val="true"/>
        </w:rPr>
        <w:t>»</w:t>
      </w:r>
      <w:bookmarkEnd w:id="1130"/>
    </w:p>
    <w:p>
      <w:pPr>
        <w:pStyle w:val="BookText"/>
        <w:rPr/>
      </w:pPr>
      <w:r>
        <w:rPr>
          <w:rFonts w:ascii="Amiri" w:hAnsi="Amiri" w:eastAsia="Amiri" w:cs="Amiri"/>
          <w:color w:val="111111"/>
          <w:sz w:val="28"/>
          <w:sz w:val="28"/>
          <w:szCs w:val="28"/>
          <w:rtl w:val="true"/>
          <w:lang w:bidi="ar-SA"/>
        </w:rPr>
        <w:t>قُرْبُ الْإِسْنَادِ، عَنْ أَحْمَدَ بْنِ مُحَمَّدِ بْنِ عِيسَي عَنْ أَحْمَدَ بْنِ مُحَمَّدِ بْنِ أَبِي نَصْرٍ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يَغْتَسِلُ لِلْجُمُعَةِ عِنْدَ الرَّوَاحِ‌</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1" w:name="__RefHeading___Toc605952_1934241801"/>
      <w:bookmarkStart w:id="1132" w:name="_Toc520"/>
      <w:bookmarkEnd w:id="1131"/>
      <w:r>
        <w:rPr>
          <w:rtl w:val="true"/>
        </w:rPr>
        <w:t>بيان</w:t>
      </w:r>
      <w:bookmarkEnd w:id="1132"/>
    </w:p>
    <w:p>
      <w:pPr>
        <w:pStyle w:val="BookText"/>
        <w:rPr/>
      </w:pPr>
      <w:r>
        <w:rPr>
          <w:rFonts w:ascii="Amiri" w:hAnsi="Amiri" w:eastAsia="Amiri" w:cs="Amiri"/>
          <w:color w:val="111111"/>
          <w:sz w:val="28"/>
          <w:sz w:val="28"/>
          <w:szCs w:val="28"/>
          <w:rtl w:val="true"/>
          <w:lang w:bidi="ar-SA"/>
        </w:rPr>
        <w:t>الرواح العشي أو من الزوال إلي الليل ذكره الفيروزآبادي</w:t>
      </w:r>
      <w:r>
        <w:rPr>
          <w:rFonts w:eastAsia="Amiri" w:cs="Amiri" w:ascii="Amiri" w:hAnsi="Amiri"/>
          <w:color w:val="111111"/>
          <w:sz w:val="28"/>
          <w:szCs w:val="28"/>
          <w:rtl w:val="true"/>
          <w:lang w:bidi="ar-SA"/>
        </w:rPr>
        <w:t>.</w:t>
      </w:r>
    </w:p>
    <w:p>
      <w:pPr>
        <w:pStyle w:val="Heading5"/>
        <w:numPr>
          <w:ilvl w:val="4"/>
          <w:numId w:val="1"/>
        </w:numPr>
        <w:rPr/>
      </w:pPr>
      <w:bookmarkStart w:id="1133" w:name="__RefHeading___Toc605954_1934241801"/>
      <w:bookmarkStart w:id="1134" w:name="_Toc521"/>
      <w:bookmarkEnd w:id="1133"/>
      <w:r>
        <w:rPr>
          <w:rtl w:val="true"/>
        </w:rPr>
        <w:t>«</w:t>
      </w:r>
      <w:r>
        <w:rPr/>
        <w:t>13</w:t>
      </w:r>
      <w:r>
        <w:rPr>
          <w:rtl w:val="true"/>
        </w:rPr>
        <w:t>»</w:t>
      </w:r>
      <w:bookmarkEnd w:id="1134"/>
    </w:p>
    <w:p>
      <w:pPr>
        <w:pStyle w:val="BookText"/>
        <w:rPr/>
      </w:pPr>
      <w:r>
        <w:rPr>
          <w:rFonts w:ascii="Amiri" w:hAnsi="Amiri" w:eastAsia="Amiri" w:cs="Amiri"/>
          <w:color w:val="111111"/>
          <w:sz w:val="28"/>
          <w:sz w:val="28"/>
          <w:szCs w:val="28"/>
          <w:rtl w:val="true"/>
          <w:lang w:bidi="ar-SA"/>
        </w:rPr>
        <w:t>رِسَالَةُ أَعْمَالِ الْجُمُعَةِ، لِلشَّهِيدِ الثَّانِي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يَوْمَ الْجُمُعَةِ وَ مَسَّ مِنْ طِيبِ امْرَأَتِهِ إِنْ كَانَ لَهَا وَ لَبِسَ مِنْ صَالِحِ ثِيَابِهِ ثُمَّ لَمْ يَتَخَطَّ رِقَابَ النَّاسِ وَ لَمْ يَلْغُ عِنْدَ الْمَوْعِظَةِ كَانَ كَفَّارَةً لِمَا بَيْنَهُمَا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مِنْكُمُ الْجُمُعَةَ فَلْيَغْتَسِلْ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يَوْمَ الْجُمُعَةِ مُحِيَتْ ذُنُوبُهُ وَ خَطَايَاهُ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يَوْمَ الْجُمُعَةِ وَاجِبٌ عَلَي 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يَغْتَسِلُ رَجُلٌ يَوْمَ الْجُمُعَةِ وَ يَتَطَهَّرُ مَا اسْتَطَاعَ مِنْ طُهْرٍ وَ يَتَدَهَّنُ بِدُهْنٍ مِنْ دُهْنِهِ وَ يَمَسُّ مِنْ طِيبِ بَيْتِهِ وَ يَخْرُجُ فَلَا يُفَرِّقُ بَيْنَ اثْنَيْنِ ثُمَّ يُصَلِّي مَا كُتِبَ لَهُ ثُمَّ يُنْصِتُ إِذَا تَكَلَّمَ الْإِمَامُ إِلَّا غُفِرَ لَهُ مَا بَيْنَهُ وَ بَيْنَ الْجُمُعَةِ الْأُخْرَي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يَوْمَ الْجُمُعَةِ غُسْلَ الْجَنَابَةِ ثُمَّ رَاحَ فَكَأَنَّمَا قَرَّبَ بَدَنَةً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يَوْمَ الْجُمُعَةِ ثُمَّ بَكَّرَ وَ ابْتَكَرَ وَ مَشَي وَ لَمْ يَرْكَبْ وَ دَنَا مِنَ الْإِمَامِ وَ اسْتَمَعَ وَ لَمْ يَلْغُ كَانَ لَهُ بِكُلِّ خُطْوَةٍ عَمَلُ سَنَةٍ أَجْرُ صِيَامِهَا وَ قِيَامِهَا</w:t>
      </w:r>
      <w:r>
        <w:rPr>
          <w:rFonts w:eastAsia="Amiri" w:cs="Amiri" w:ascii="Amiri" w:hAnsi="Amiri"/>
          <w:color w:val="111111"/>
          <w:sz w:val="28"/>
          <w:szCs w:val="28"/>
          <w:rtl w:val="true"/>
          <w:lang w:bidi="ar-SA"/>
        </w:rPr>
        <w:t>.</w:t>
      </w:r>
    </w:p>
    <w:p>
      <w:pPr>
        <w:pStyle w:val="Heading5"/>
        <w:numPr>
          <w:ilvl w:val="4"/>
          <w:numId w:val="1"/>
        </w:numPr>
        <w:rPr/>
      </w:pPr>
      <w:bookmarkStart w:id="1135" w:name="__RefHeading___Toc605956_1934241801"/>
      <w:bookmarkStart w:id="1136" w:name="_Toc522"/>
      <w:bookmarkEnd w:id="1135"/>
      <w:r>
        <w:rPr>
          <w:rtl w:val="true"/>
        </w:rPr>
        <w:t>«</w:t>
      </w:r>
      <w:r>
        <w:rPr/>
        <w:t>14</w:t>
      </w:r>
      <w:r>
        <w:rPr>
          <w:rtl w:val="true"/>
        </w:rPr>
        <w:t>»</w:t>
      </w:r>
      <w:bookmarkEnd w:id="1136"/>
    </w:p>
    <w:p>
      <w:pPr>
        <w:pStyle w:val="BookText"/>
        <w:rPr/>
      </w:pPr>
      <w:r>
        <w:rPr>
          <w:rFonts w:ascii="Amiri" w:hAnsi="Amiri" w:eastAsia="Amiri" w:cs="Amiri"/>
          <w:color w:val="111111"/>
          <w:sz w:val="28"/>
          <w:sz w:val="28"/>
          <w:szCs w:val="28"/>
          <w:rtl w:val="true"/>
          <w:lang w:bidi="ar-SA"/>
        </w:rPr>
        <w:t>الْهِدَايَةُ،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الْجُمُعَةِ سُنَّةٌ وَاجِبَةٌ عَلَي الرِّجَالِ</w:t>
      </w:r>
    </w:p>
    <w:p>
      <w:pPr>
        <w:pStyle w:val="BookText"/>
        <w:rPr/>
      </w:pPr>
      <w:r>
        <w:rPr>
          <w:rFonts w:ascii="IRNazanin" w:hAnsi="IRNazanin" w:eastAsia="IRNazanin"/>
          <w:color w:val="111111"/>
          <w:sz w:val="28"/>
          <w:sz w:val="28"/>
          <w:szCs w:val="28"/>
          <w:rtl w:val="true"/>
          <w:lang w:bidi="fa-IR"/>
        </w:rPr>
        <w:t>و شیخ صدوق و دیگران هم به این نکته تصریح کرده اند</w:t>
      </w:r>
      <w:r>
        <w:rPr>
          <w:rFonts w:eastAsia="IRNazanin" w:cs="IRNazanin"/>
          <w:color w:val="111111"/>
          <w:sz w:val="28"/>
          <w:szCs w:val="28"/>
          <w:rtl w:val="true"/>
          <w:lang w:bidi="fa-IR"/>
        </w:rPr>
        <w:t>.</w:t>
      </w:r>
    </w:p>
    <w:p>
      <w:pPr>
        <w:pStyle w:val="Heading5"/>
        <w:numPr>
          <w:ilvl w:val="4"/>
          <w:numId w:val="1"/>
        </w:numPr>
        <w:rPr/>
      </w:pPr>
      <w:bookmarkStart w:id="1137" w:name="__RefHeading___Toc605958_1934241801"/>
      <w:bookmarkStart w:id="1138" w:name="_Toc523"/>
      <w:bookmarkEnd w:id="1137"/>
      <w:r>
        <w:rPr>
          <w:rtl w:val="true"/>
        </w:rPr>
        <w:t xml:space="preserve">روایت </w:t>
      </w:r>
      <w:r>
        <w:rPr/>
        <w:t>11</w:t>
      </w:r>
      <w:bookmarkEnd w:id="1138"/>
    </w:p>
    <w:p>
      <w:pPr>
        <w:pStyle w:val="BookText"/>
        <w:rPr/>
      </w:pP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جمعه و عید فطر در مسافرت و در حال اقامت سنّت است</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و از امام موسی کاظم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جمعه بر هر مرد و زنی چه آزاد باشد چه برده واجب است</w:t>
      </w:r>
      <w:r>
        <w:rPr>
          <w:rFonts w:eastAsia="IRNazanin" w:cs="IRNazanin"/>
          <w:color w:val="111111"/>
          <w:sz w:val="28"/>
          <w:szCs w:val="28"/>
          <w:rtl w:val="true"/>
          <w:lang w:bidi="fa-IR"/>
        </w:rPr>
        <w:t>.</w:t>
      </w:r>
    </w:p>
    <w:p>
      <w:pPr>
        <w:pStyle w:val="Heading5"/>
        <w:numPr>
          <w:ilvl w:val="4"/>
          <w:numId w:val="1"/>
        </w:numPr>
        <w:rPr/>
      </w:pPr>
      <w:bookmarkStart w:id="1139" w:name="__RefHeading___Toc605960_1934241801"/>
      <w:bookmarkStart w:id="1140" w:name="_Toc524"/>
      <w:bookmarkEnd w:id="1139"/>
      <w:r>
        <w:rPr>
          <w:rtl w:val="true"/>
        </w:rPr>
        <w:t xml:space="preserve">روایت </w:t>
      </w:r>
      <w:r>
        <w:rPr/>
        <w:t>12</w:t>
      </w:r>
      <w:bookmarkEnd w:id="114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هنگام 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جمعه را به جا می آورد</w:t>
      </w:r>
      <w:r>
        <w:rPr>
          <w:rFonts w:eastAsia="IRNazanin" w:cs="IRNazanin"/>
          <w:color w:val="111111"/>
          <w:sz w:val="28"/>
          <w:szCs w:val="28"/>
          <w:rtl w:val="true"/>
          <w:lang w:bidi="fa-IR"/>
        </w:rPr>
        <w:t>.</w:t>
      </w:r>
      <w:r>
        <w:rPr>
          <w:rStyle w:val="FootnoteAnchor"/>
          <w:rtl w:val="true"/>
        </w:rPr>
        <w:footnoteReference w:id="610"/>
      </w:r>
    </w:p>
    <w:p>
      <w:pPr>
        <w:pStyle w:val="Heading5"/>
        <w:numPr>
          <w:ilvl w:val="4"/>
          <w:numId w:val="1"/>
        </w:numPr>
        <w:rPr/>
      </w:pPr>
      <w:bookmarkStart w:id="1141" w:name="__RefHeading___Toc605962_1934241801"/>
      <w:bookmarkStart w:id="1142" w:name="_Toc525"/>
      <w:bookmarkEnd w:id="1141"/>
      <w:r>
        <w:rPr>
          <w:rtl w:val="true"/>
        </w:rPr>
        <w:t>توضیح</w:t>
      </w:r>
      <w:bookmarkEnd w:id="1142"/>
    </w:p>
    <w:p>
      <w:pPr>
        <w:pStyle w:val="BookText"/>
        <w:rPr/>
      </w:pP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شامگاه یا از زوال آفتاب تا شب</w:t>
      </w:r>
      <w:r>
        <w:rPr>
          <w:rFonts w:eastAsia="IRNazanin" w:cs="IRNazanin"/>
          <w:color w:val="111111"/>
          <w:sz w:val="28"/>
          <w:szCs w:val="28"/>
          <w:rtl w:val="true"/>
          <w:lang w:bidi="fa-IR"/>
        </w:rPr>
        <w:t>.</w:t>
      </w:r>
    </w:p>
    <w:p>
      <w:pPr>
        <w:pStyle w:val="Heading5"/>
        <w:numPr>
          <w:ilvl w:val="4"/>
          <w:numId w:val="1"/>
        </w:numPr>
        <w:rPr/>
      </w:pPr>
      <w:bookmarkStart w:id="1143" w:name="__RefHeading___Toc605964_1934241801"/>
      <w:bookmarkStart w:id="1144" w:name="_Toc526"/>
      <w:bookmarkEnd w:id="1143"/>
      <w:r>
        <w:rPr>
          <w:rtl w:val="true"/>
        </w:rPr>
        <w:t xml:space="preserve">روایت </w:t>
      </w:r>
      <w:r>
        <w:rPr/>
        <w:t>13</w:t>
      </w:r>
      <w:bookmarkEnd w:id="1144"/>
    </w:p>
    <w:p>
      <w:pPr>
        <w:pStyle w:val="BookText"/>
        <w:rPr/>
      </w:pPr>
      <w:r>
        <w:rPr>
          <w:rFonts w:ascii="IRNazanin" w:hAnsi="IRNazanin" w:eastAsia="IRNazanin"/>
          <w:color w:val="111111"/>
          <w:sz w:val="28"/>
          <w:sz w:val="28"/>
          <w:szCs w:val="28"/>
          <w:rtl w:val="true"/>
          <w:lang w:bidi="fa-IR"/>
        </w:rPr>
        <w:t>رسالة أعمال الجمعة از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روز جمعه غسل نماید و از عطر همسرش، اگر داشته باشد، استشمام کند و لباس های نیکوی خود را بپوشد، سپس به هنگام نماز جمعه از روی مردم که در صفوف نشسته اند عبور نکند و هنگام موعظه سخنی نگوید، این اعمال باعث کفّاره گناهان او تا جمعه آینده خواهد شد، تا آخر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پیامبر صلّی الله علیه و آله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شما که به نماز جمعه می آید باید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و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روز جمعه غسل نماید، گناهان و خطاهایش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و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روز جمعه بر هر مسلمانی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و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غسل روز جمعه را به جا آورد، در حدّ توان خود را پاکیزه و مطهّر گرداند، روغن های در دسترس را بر خود بمالد، و از عطر موجود در خانه اش استعمال کند و از خانه خارج شود و هنگام وارد شدن به صفوف جماعت از میان دو نفر عبور نکند، سپس نماز فرض را به  جا آورد و هنگام خطبه خواندن امام به او گوش قرار دهد، یقیناً خداوند در فاصله زمانی بین این جمعه تا جمعه آینده گناهان او را 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و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غسل روز جمعه را به شیوه غسل جنابت انجام دهد، سپس خود را خوشبو گرداند، گویی که یک ماده شتر یا ماده گاو فربه را قربانی کرده است، تا آخرحدیث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و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روز جمعه غسل نماید سپس زود و با شتاب و پیاده برای ادای نماز جمعه به سوی نماز برود و بر هیچ مرکبی سوار نشود و به امام جمعه نزدیک شود و به دقّت به سخنان او گوش قرار دهد و سخن نگوید، به ازای هر قدمی که برداشته است ثواب روزه و قیام یک سال برای او محاسبه می شود</w:t>
      </w:r>
      <w:r>
        <w:rPr>
          <w:rFonts w:eastAsia="IRNazanin" w:cs="IRNazanin"/>
          <w:color w:val="111111"/>
          <w:sz w:val="28"/>
          <w:szCs w:val="28"/>
          <w:rtl w:val="true"/>
          <w:lang w:bidi="fa-IR"/>
        </w:rPr>
        <w:t>.</w:t>
      </w:r>
    </w:p>
    <w:p>
      <w:pPr>
        <w:pStyle w:val="Heading5"/>
        <w:numPr>
          <w:ilvl w:val="4"/>
          <w:numId w:val="1"/>
        </w:numPr>
        <w:rPr/>
      </w:pPr>
      <w:bookmarkStart w:id="1145" w:name="__RefHeading___Toc605966_1934241801"/>
      <w:bookmarkStart w:id="1146" w:name="_Toc527"/>
      <w:bookmarkEnd w:id="1145"/>
      <w:r>
        <w:rPr>
          <w:rtl w:val="true"/>
        </w:rPr>
        <w:t xml:space="preserve">روایت </w:t>
      </w:r>
      <w:r>
        <w:rPr/>
        <w:t>14</w:t>
      </w:r>
      <w:bookmarkEnd w:id="114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روز جمعه سنّتی است که انجام آن بر مردان </w:t>
      </w:r>
      <w:bookmarkStart w:id="1147" w:name="pg13517_329159"/>
    </w:p>
    <w:p>
      <w:pPr>
        <w:pStyle w:val="BookText"/>
        <w:rPr/>
      </w:pPr>
      <w:bookmarkEnd w:id="1147"/>
      <w:r>
        <w:rPr>
          <w:rFonts w:ascii="Amiri" w:hAnsi="Amiri" w:eastAsia="Amiri" w:cs="Amiri"/>
          <w:color w:val="111111"/>
          <w:sz w:val="28"/>
          <w:sz w:val="28"/>
          <w:szCs w:val="28"/>
          <w:rtl w:val="true"/>
          <w:lang w:bidi="ar-SA"/>
        </w:rPr>
        <w:t>وَ النِّسَاءُ فِي السَّفَرِ وَ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رُخِّصَ فِي تَرْكِهِ لِلنِّسَاءِ فِي السَّفَرِ لِقِلَّةِ الْمَاءِ وَ الْوُضُوءِ فِيهِ قَبْلَ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نَسِيتَ الْغُسْلَ أَوْ فَاتَكَ لِعِلَّةٍ فَاغْتَسِلْ بَعْدَ الْعَصْرِ أَوْ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 أَحَدُكُمْ يَوْمَ الْجُمُعَةِ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التَّوَّابِينَ وَ اجْعَلْنِي مِنَ الْمُتَطَهِّرِينَ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الْجُمُعَةِ طَهُورٌ وَ كَفَّارَةٌ لِمَا بَيْنَهُمَا مِنَ الذُّنُوبِ مِنَ الْجُمُعَةِ إِلَي الْجُمُعَةِ</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8" w:name="__RefHeading___Toc605968_1934241801"/>
      <w:bookmarkStart w:id="1149" w:name="_Toc528"/>
      <w:bookmarkEnd w:id="1148"/>
      <w:r>
        <w:rPr>
          <w:rtl w:val="true"/>
        </w:rPr>
        <w:t>«</w:t>
      </w:r>
      <w:r>
        <w:rPr/>
        <w:t>15</w:t>
      </w:r>
      <w:r>
        <w:rPr>
          <w:rtl w:val="true"/>
        </w:rPr>
        <w:t>»</w:t>
      </w:r>
      <w:bookmarkEnd w:id="1149"/>
    </w:p>
    <w:p>
      <w:pPr>
        <w:pStyle w:val="BookText"/>
        <w:rPr/>
      </w:pPr>
      <w:r>
        <w:rPr>
          <w:rFonts w:ascii="Amiri" w:hAnsi="Amiri" w:eastAsia="Amiri" w:cs="Amiri"/>
          <w:color w:val="111111"/>
          <w:sz w:val="28"/>
          <w:sz w:val="28"/>
          <w:szCs w:val="28"/>
          <w:rtl w:val="true"/>
          <w:lang w:bidi="ar-SA"/>
        </w:rPr>
        <w:t>الْبَلَدُ الْأَمِينُ، قَالَ رَأَيْتُ فِي كِتَابِ الْأَغْسَالِ لِأَبِي الْعَبَّاسِ أَحْمَدَ بْنِ مُحَمَّدِ بْنِ أَبِي عَيَّاشٍ سَبْعَةَ أَحَادِيثَ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غُسْلَ الْجُمُعَةِ وَاجِبٌ عَلَي الرِّجَالِ وَ النِّسَاءِ وَ ذَكَرَ فِي رِوَايَاتٍ مِنْهَا وُجُوبَهُ عَلَي الرِّجَالِ وَ النِّسَاءِ فِي السَّفَرِ وَ الْحَضَرِ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الْكِتَابِ الْمَذْكُورِ أَنَّ عَلِيّاً عليه السلام كَانَ إِذَا وَبَّخَ الرَّجُلَ قَالَ لَهُ وَ اللَّهِ لَأَنْتَ أَعْجَزُ مِنْ تَارِكِ غُسْلِ الْجُمُعَةِ فَإِنَّهُ لَا يَزَالُ فِي طُهْرٍ إِلَي الْجُمُعَةِ الْأُخْرَي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بَعْدَ غُسْلِهِ أَشْهَدُ أَنْ لَا إِلَهَ إِلَّا اللَّهُ وَحْدَهُ لَا شَرِيكَ لَهُ وَ أَشْهَدُ أَنَّ مُحَمَّداً عَبْدُهُ وَ رَسُولُهُ اللَّهُمَّ صَلِّ عَلَي مُحَمَّدٍ وَ آلِ مُحَمَّدٍ وَ اجْعَلْنِي مِنَ التَّوَّابِينَ وَ اجْعَلْنِي مِنَ الْمُتَطَهِّرِينَ وَ الْحَمْدُ لِلَّهِ رَبِّ الْعَالَمِينَ فَهُوَ طُهْرٌ لَهُ مِنَ الْجُمُعَةِ إِلَي الْجُمُعَةِ</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الْغُسْلَ فَلْيَقُلْ وَ ذَكَرَ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رَوَاهُ الشَّيْخُ فِي التَّهْذِيبِ‌</w:t>
      </w:r>
      <w:r>
        <w:rPr>
          <w:rStyle w:val="FootnoteAnchor"/>
          <w:rtl w:val="true"/>
        </w:rPr>
        <w:footnoteReference w:id="613"/>
      </w:r>
      <w:r>
        <w:rPr>
          <w:rFonts w:ascii="Amiri" w:hAnsi="Amiri" w:eastAsia="Amiri" w:cs="Amiri"/>
          <w:color w:val="111111"/>
          <w:sz w:val="28"/>
          <w:sz w:val="28"/>
          <w:szCs w:val="28"/>
          <w:rtl w:val="true"/>
          <w:lang w:bidi="ar-SA"/>
        </w:rPr>
        <w:t>بِسَنَدِهِ عَنْ أَبِي وَلَّادٍ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يَوْمَ الْجُمُعَةِ فَقَالَ إِلَي قَوْلِهِ مِنَ الْمُتَطَهِّرِينَ كَانَ طُهْراً لَهُ مِنَ الْجُمُعَةِ إِلَي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زنان چه در سفر باشند و چه در حال اقامت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اجازه ترک غسل جمعه در سفر به خاطر کمبود آب به زنان داده شده است، و در آن وضو قبل از غسل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غسل جمعه را فراموش کردی و یا انجام آن را به علّتی از دست دادی بعد از عصر و یا روز شنبه قضای آن را به جا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در روز جمعه غسل نمود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اجْعَلْنِی مِنَ التَّوَّابِینَ وَ اجْعَلْنِی مِنَ الْمُتَطَهِّرِینَ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مرا از جمله توبه کنندگان و پاکان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جمعه پاک کننده و کفّاره گناهان انجام شده از یک جمعه تا جمعه دیگر است</w:t>
      </w:r>
      <w:r>
        <w:rPr>
          <w:rFonts w:eastAsia="IRNazanin" w:cs="IRNazanin"/>
          <w:color w:val="111111"/>
          <w:sz w:val="28"/>
          <w:szCs w:val="28"/>
          <w:rtl w:val="true"/>
          <w:lang w:bidi="fa-IR"/>
        </w:rPr>
        <w:t>.</w:t>
      </w:r>
      <w:r>
        <w:rPr>
          <w:rStyle w:val="FootnoteAnchor"/>
          <w:rtl w:val="true"/>
        </w:rPr>
        <w:footnoteReference w:id="614"/>
      </w:r>
    </w:p>
    <w:p>
      <w:pPr>
        <w:pStyle w:val="Heading5"/>
        <w:numPr>
          <w:ilvl w:val="4"/>
          <w:numId w:val="1"/>
        </w:numPr>
        <w:rPr/>
      </w:pPr>
      <w:bookmarkStart w:id="1150" w:name="__RefHeading___Toc605970_1934241801"/>
      <w:bookmarkStart w:id="1151" w:name="_Toc529"/>
      <w:bookmarkEnd w:id="1150"/>
      <w:r>
        <w:rPr>
          <w:rtl w:val="true"/>
        </w:rPr>
        <w:t xml:space="preserve">روایت </w:t>
      </w:r>
      <w:r>
        <w:rPr/>
        <w:t>15</w:t>
      </w:r>
      <w:bookmarkEnd w:id="1151"/>
    </w:p>
    <w:p>
      <w:pPr>
        <w:pStyle w:val="BookText"/>
        <w:rPr/>
      </w:pP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الأغسال ابو عبّاس احمد بن محمد ابن أبی عیاش هفت حدیث از امام صادق علیه السلام مشاهده کردم به این مضمون که غسل جمعه بر مردان و زنان واجب است ودر روایاتی از آن وجوبش بر مردان و زنان در سفر و اقامت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 مذکور نقل شده است که امام علی علیه السلام هنگامی که قصد توبیخ کسی را داشت به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تو از تارک غسل جمعه نیز عاجزتری، و او پیوسته تا جمعه بعدی در طهارت و پاکی به سر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غسل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شَرِیکَ لَهُ وَ أَشْهَدُ أَنَّ مُحَمَّداً عَبْدُهُ وَ رَسُولُهُ اللَّهُمَّ صَلِّ عَلَی مُحَمَّدٍ وَ آلِ مُحَمَّدٍ وَ اجْعَلْنِی مِنَ التَّوَّابِینَ وَ اجْعَلْنِی مِنَ الْمُتَطَهِّرِینَ وَ 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 دهم که جز الله خدایی وجود ندارد، تنهاست و هیچ شریکی ندارد، و شهادت می دهم که محمّد بنده و فرستاده خداوند است؛ خداوندا، بر محمّد و آل محمّد درود بفرست، و مرا از جمله توبه کنندگان و پاکان قرار ده، و سپاس و ستایش مخصوص خداوند 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کلام باعث طهارت و پاکی او از یک جمعه تا جمعه بعدی است</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خواست غسل کند پس بگوید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،و دعای ذکر شده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التهذیب</w:t>
      </w:r>
      <w:r>
        <w:rPr>
          <w:rStyle w:val="FootnoteAnchor"/>
          <w:rtl w:val="true"/>
        </w:rPr>
        <w:footnoteReference w:id="61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استناد به ابو ولّاد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غسل روز جمعه را به جا آورد و بگوید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امام دعای مذکور را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المتطهّرین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پاکی و طهارت او از جمعه تا جمعه بعدی است </w:t>
      </w:r>
      <w:r>
        <w:rPr>
          <w:rFonts w:eastAsia="IRNazanin" w:cs="IRNazanin"/>
          <w:color w:val="111111"/>
          <w:sz w:val="28"/>
          <w:szCs w:val="28"/>
          <w:rtl w:val="true"/>
          <w:lang w:bidi="fa-IR"/>
        </w:rPr>
        <w:t xml:space="preserve">. </w:t>
      </w:r>
      <w:bookmarkStart w:id="1152" w:name="pg13517_329160"/>
    </w:p>
    <w:p>
      <w:pPr>
        <w:pStyle w:val="Heading5"/>
        <w:numPr>
          <w:ilvl w:val="4"/>
          <w:numId w:val="1"/>
        </w:numPr>
        <w:rPr/>
      </w:pPr>
      <w:bookmarkStart w:id="1153" w:name="__RefHeading___Toc605972_1934241801"/>
      <w:bookmarkStart w:id="1154" w:name="_Toc530"/>
      <w:bookmarkEnd w:id="1152"/>
      <w:bookmarkEnd w:id="1153"/>
      <w:r>
        <w:rPr>
          <w:rtl w:val="true"/>
        </w:rPr>
        <w:t>«</w:t>
      </w:r>
      <w:r>
        <w:rPr/>
        <w:t>16</w:t>
      </w:r>
      <w:r>
        <w:rPr>
          <w:rtl w:val="true"/>
        </w:rPr>
        <w:t>»</w:t>
      </w:r>
      <w:bookmarkEnd w:id="1154"/>
    </w:p>
    <w:p>
      <w:pPr>
        <w:pStyle w:val="BookText"/>
        <w:rPr/>
      </w:pPr>
      <w:r>
        <w:rPr>
          <w:rFonts w:ascii="Amiri" w:hAnsi="Amiri" w:eastAsia="Amiri" w:cs="Amiri"/>
          <w:color w:val="111111"/>
          <w:sz w:val="28"/>
          <w:sz w:val="28"/>
          <w:szCs w:val="28"/>
          <w:rtl w:val="true"/>
          <w:lang w:bidi="ar-SA"/>
        </w:rPr>
        <w:t>الْعِلَلُ، لِمُحَمَّدِ بْنِ عَلِيِّ بْنِ إِبْرَاهِيمَ عَنْ أَبِيهِ عَنْ جَدِّهِ إِبْرَاهِيمَ بْنِ هَاشِمٍ عَنْ عَلِيِّ بْنِ مَعْبَدٍ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كَيْفَ صَارَ غُسْلُ يَوْمِ الْجُمُعَةِ وَاجِباً عَلَي كُلِّ حُرٍّ وَ عَبْدٍ وَ ذَكَرٍ وَ أُنْثَي قَالَ فَقَالَ إِنَّ اللَّهَ تَبَارَكَ وَ تَعَالَي تَمَّمَ صَلَوَاتِ الْفَرَائِضِ بِصَلَوَاتِ النَّوَافِلِ وَ تَمَّمَ صِيَامَ شَهْرِ رَمَضَانَ بِصِيَامِ النَّوَافِلِ وَ تَمَّمَ الْحَجَّ بِالْعُمْرَةِ وَ تَمَّمَ الزَّكَاةَ بِالصَّدَقَةِ وَ تَمَّمَ الْوُضُوءَ بِغُسْلِ يَوْمِ الْجُمُعَةِ</w:t>
      </w:r>
      <w:r>
        <w:rPr>
          <w:rFonts w:eastAsia="Amiri" w:cs="Amiri" w:ascii="Amiri" w:hAnsi="Amiri"/>
          <w:color w:val="111111"/>
          <w:sz w:val="28"/>
          <w:szCs w:val="28"/>
          <w:rtl w:val="true"/>
          <w:lang w:bidi="ar-SA"/>
        </w:rPr>
        <w:t>.</w:t>
      </w:r>
    </w:p>
    <w:p>
      <w:pPr>
        <w:pStyle w:val="Heading5"/>
        <w:numPr>
          <w:ilvl w:val="4"/>
          <w:numId w:val="1"/>
        </w:numPr>
        <w:rPr/>
      </w:pPr>
      <w:bookmarkStart w:id="1155" w:name="__RefHeading___Toc605974_1934241801"/>
      <w:bookmarkStart w:id="1156" w:name="_Toc531"/>
      <w:bookmarkEnd w:id="1155"/>
      <w:r>
        <w:rPr>
          <w:rtl w:val="true"/>
        </w:rPr>
        <w:t>«</w:t>
      </w:r>
      <w:r>
        <w:rPr/>
        <w:t>17</w:t>
      </w:r>
      <w:r>
        <w:rPr>
          <w:rtl w:val="true"/>
        </w:rPr>
        <w:t>»</w:t>
      </w:r>
      <w:bookmarkEnd w:id="1156"/>
    </w:p>
    <w:p>
      <w:pPr>
        <w:pStyle w:val="BookText"/>
        <w:rPr/>
      </w:pPr>
      <w:r>
        <w:rPr>
          <w:rFonts w:ascii="Amiri" w:hAnsi="Amiri" w:eastAsia="Amiri" w:cs="Amiri"/>
          <w:color w:val="111111"/>
          <w:sz w:val="28"/>
          <w:sz w:val="28"/>
          <w:szCs w:val="28"/>
          <w:rtl w:val="true"/>
          <w:lang w:bidi="ar-SA"/>
        </w:rPr>
        <w:t>كِتَابُ الْعَرُوسِ، لِلشَّيْخِ جَعْفَرِ بْنِ أَحْمَدَ الْقُمِّيِّ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يَوْمَ الْجُمُعَةِ إِلَّا أَنْ تَكُونَ مَرِيضاً تَخَافُ عَلَي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غُسْلَ الْجُمُعَةِ إِلَّا فَاسِقٌ وَ مَنْ فَاتَهُ غُسْلُ يَوْمِ الْجُمُعَةِ فَلْيَقْضِهِ يَوْمَ السَّبْتِ</w:t>
      </w:r>
      <w:r>
        <w:rPr>
          <w:rFonts w:eastAsia="Amiri" w:cs="Amiri" w:ascii="Amiri" w:hAnsi="Amiri"/>
          <w:color w:val="111111"/>
          <w:sz w:val="28"/>
          <w:szCs w:val="28"/>
          <w:rtl w:val="true"/>
          <w:lang w:bidi="ar-SA"/>
        </w:rPr>
        <w:t>.</w:t>
      </w:r>
    </w:p>
    <w:p>
      <w:pPr>
        <w:pStyle w:val="Heading5"/>
        <w:numPr>
          <w:ilvl w:val="4"/>
          <w:numId w:val="1"/>
        </w:numPr>
        <w:rPr/>
      </w:pPr>
      <w:bookmarkStart w:id="1157" w:name="__RefHeading___Toc605976_1934241801"/>
      <w:bookmarkStart w:id="1158" w:name="_Toc532"/>
      <w:bookmarkEnd w:id="1157"/>
      <w:r>
        <w:rPr>
          <w:rtl w:val="true"/>
        </w:rPr>
        <w:t>«</w:t>
      </w:r>
      <w:r>
        <w:rPr/>
        <w:t>18</w:t>
      </w:r>
      <w:r>
        <w:rPr>
          <w:rtl w:val="true"/>
        </w:rPr>
        <w:t>»</w:t>
      </w:r>
      <w:bookmarkEnd w:id="1158"/>
    </w:p>
    <w:p>
      <w:pPr>
        <w:pStyle w:val="BookText"/>
        <w:rPr/>
      </w:pPr>
      <w:r>
        <w:rPr>
          <w:rFonts w:ascii="Amiri" w:hAnsi="Amiri" w:eastAsia="Amiri" w:cs="Amiri"/>
          <w:color w:val="111111"/>
          <w:sz w:val="28"/>
          <w:sz w:val="28"/>
          <w:szCs w:val="28"/>
          <w:rtl w:val="true"/>
          <w:lang w:bidi="ar-SA"/>
        </w:rPr>
        <w:t>جَمَالُ الْأُسْبُوعِ، نَقَلْنَا مِنْ خَطِّ أَبِي الْفَرَجِ بْنِ أَبِي قُرَّةَ عَنْ أَحْمَدَ بْنِ مُحَمَّدٍ الْجُنْدِيِّ عَنْ عُثْمَانَ بْنِ أَحْمَدَ السَّمَّاكِ عَنْ أَبِي نَصْرٍ السَّمَرْقَنْدِيِّ عَنْ حُسَيْنِ بْنِ حُمَيْدٍ عَنْ زُهَيْرِ بْنِ عَبَّادٍ عَنْ مُحَمَّدِ بْنِ عَبَّادٍ عَنْ أَبِي الْبَخْتَرِيِّ عَنْ جَعْفَرٍ عَنْ أَبِيهِ عَنْ جَدِّهِ عليهم السلام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لِعَلِيٍّ عليه السلام فِي وَصِيَّتِهِ لَهُ يَا عَلِيُّ عَلَي النَّاسِ كُلَّ سَبْعَةِ أَيَّامٍ الْغُسْلُ فَاغْتَسِلْ فِي كُلِّ جُمُعَةٍ وَ لَوْ أَنَّكَ تَشْتَرِي الْمَاءَ بِقُوتِ يَوْمِكَ وَ تَطْوِيهِ فَإِنَّهُ لَيْسَ شَيْ‌ءٌ مِنَ التَّطَوُّعِ أَعْظَمَ مِنْهُ‌</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الصَّحِيحِ عَنْ هِشَامِ بْنِ الْحَكَمِ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لِيَتَزَيَّنْ أَحَدُكُمْ يَوْمَ الْجُمُعَةِ يَغْتَسِلُ وَ يَتَطَيَّبُ الْخَبَرَ</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9" w:name="__RefHeading___Toc605978_1934241801"/>
      <w:bookmarkStart w:id="1160" w:name="_Toc533"/>
      <w:bookmarkEnd w:id="1159"/>
      <w:r>
        <w:rPr>
          <w:rtl w:val="true"/>
        </w:rPr>
        <w:t>«</w:t>
      </w:r>
      <w:r>
        <w:rPr/>
        <w:t>19</w:t>
      </w:r>
      <w:r>
        <w:rPr>
          <w:rtl w:val="true"/>
        </w:rPr>
        <w:t>»</w:t>
      </w:r>
      <w:bookmarkEnd w:id="1160"/>
    </w:p>
    <w:p>
      <w:pPr>
        <w:pStyle w:val="BookText"/>
        <w:rPr/>
      </w:pPr>
      <w:r>
        <w:rPr>
          <w:rFonts w:ascii="Amiri" w:hAnsi="Amiri" w:eastAsia="Amiri" w:cs="Amiri"/>
          <w:color w:val="111111"/>
          <w:sz w:val="28"/>
          <w:sz w:val="28"/>
          <w:szCs w:val="28"/>
          <w:rtl w:val="true"/>
          <w:lang w:bidi="ar-SA"/>
        </w:rPr>
        <w:t>غُرَرُ الدُّرَرِ، لِلسَيِّدِ حَيْدَرٍ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إِلَي الْجُمُعَةِ فَلْيَغْتَسِلْ</w:t>
      </w:r>
      <w:r>
        <w:rPr>
          <w:rFonts w:eastAsia="Amiri" w:cs="Amiri" w:ascii="Amiri" w:hAnsi="Amiri"/>
          <w:color w:val="111111"/>
          <w:sz w:val="28"/>
          <w:szCs w:val="28"/>
          <w:rtl w:val="true"/>
          <w:lang w:bidi="ar-SA"/>
        </w:rPr>
        <w:t>.</w:t>
      </w:r>
    </w:p>
    <w:p>
      <w:pPr>
        <w:pStyle w:val="Heading5"/>
        <w:numPr>
          <w:ilvl w:val="4"/>
          <w:numId w:val="1"/>
        </w:numPr>
        <w:rPr/>
      </w:pPr>
      <w:bookmarkStart w:id="1161" w:name="__RefHeading___Toc605980_1934241801"/>
      <w:bookmarkStart w:id="1162" w:name="_Toc534"/>
      <w:bookmarkEnd w:id="1161"/>
      <w:r>
        <w:rPr>
          <w:rtl w:val="true"/>
        </w:rPr>
        <w:t>«</w:t>
      </w:r>
      <w:r>
        <w:rPr/>
        <w:t>20</w:t>
      </w:r>
      <w:r>
        <w:rPr>
          <w:rtl w:val="true"/>
        </w:rPr>
        <w:t>»</w:t>
      </w:r>
      <w:bookmarkEnd w:id="1162"/>
    </w:p>
    <w:p>
      <w:pPr>
        <w:pStyle w:val="BookText"/>
        <w:rPr/>
      </w:pPr>
      <w:r>
        <w:rPr>
          <w:rFonts w:ascii="Amiri" w:hAnsi="Amiri" w:eastAsia="Amiri" w:cs="Amiri"/>
          <w:color w:val="111111"/>
          <w:sz w:val="28"/>
          <w:sz w:val="28"/>
          <w:szCs w:val="28"/>
          <w:rtl w:val="true"/>
          <w:lang w:bidi="ar-SA"/>
        </w:rPr>
        <w:t>كِتَابُ مُحَمَّدِ بْنِ الْمُثَنَّي، عَنْ جَعْفَرِ بْنِ مُحَمَّدِ بْنِ شُرَيْحٍ عَنْ ذَرِيحٍ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 يَقْضِي الرَّجُلُ غُسْلَ الْجُمُعَةِ قَالَ لَا</w:t>
      </w:r>
      <w:r>
        <w:rPr>
          <w:rFonts w:eastAsia="Amiri" w:cs="Amiri" w:ascii="Amiri" w:hAnsi="Amiri"/>
          <w:color w:val="111111"/>
          <w:sz w:val="28"/>
          <w:szCs w:val="28"/>
          <w:rtl w:val="true"/>
          <w:lang w:bidi="ar-SA"/>
        </w:rPr>
        <w:t>.</w:t>
      </w:r>
    </w:p>
    <w:p>
      <w:pPr>
        <w:pStyle w:val="Heading5"/>
        <w:numPr>
          <w:ilvl w:val="4"/>
          <w:numId w:val="1"/>
        </w:numPr>
        <w:rPr/>
      </w:pPr>
      <w:bookmarkStart w:id="1163" w:name="__RefHeading___Toc605982_1934241801"/>
      <w:bookmarkStart w:id="1164" w:name="_Toc535"/>
      <w:bookmarkEnd w:id="1163"/>
      <w:r>
        <w:rPr>
          <w:rtl w:val="true"/>
        </w:rPr>
        <w:t>بيان</w:t>
      </w:r>
      <w:bookmarkEnd w:id="1164"/>
    </w:p>
    <w:p>
      <w:pPr>
        <w:pStyle w:val="BookText"/>
        <w:rPr/>
      </w:pPr>
      <w:r>
        <w:rPr>
          <w:rFonts w:ascii="Amiri" w:hAnsi="Amiri" w:eastAsia="Amiri" w:cs="Amiri"/>
          <w:color w:val="111111"/>
          <w:sz w:val="28"/>
          <w:sz w:val="28"/>
          <w:szCs w:val="28"/>
          <w:rtl w:val="true"/>
          <w:lang w:bidi="ar-SA"/>
        </w:rPr>
        <w:t>لعله محمول علي عدم تأكد الاستحباب أو علي أنه لا يؤخر حتي</w:t>
      </w:r>
    </w:p>
    <w:p>
      <w:pPr>
        <w:pStyle w:val="Heading5"/>
        <w:numPr>
          <w:ilvl w:val="4"/>
          <w:numId w:val="1"/>
        </w:numPr>
        <w:rPr/>
      </w:pPr>
      <w:bookmarkStart w:id="1165" w:name="__RefHeading___Toc605984_1934241801"/>
      <w:bookmarkStart w:id="1166" w:name="_Toc536"/>
      <w:bookmarkEnd w:id="1165"/>
      <w:r>
        <w:rPr>
          <w:rtl w:val="true"/>
        </w:rPr>
        <w:t xml:space="preserve">روایت </w:t>
      </w:r>
      <w:r>
        <w:rPr/>
        <w:t>16</w:t>
      </w:r>
      <w:bookmarkEnd w:id="1166"/>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غسل جمعه بر هر مرد و زن آزاد و برده واجب شده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نمازهای فرض را با نمازهای نافله، روزه ماه رمضان را با روزه های نافله، فریضه حج را با عمره، زکات را با صدقه و وضو را با غسل روز جمعه کامل گردانده است</w:t>
      </w:r>
      <w:r>
        <w:rPr>
          <w:rFonts w:eastAsia="IRNazanin" w:cs="IRNazanin"/>
          <w:color w:val="111111"/>
          <w:sz w:val="28"/>
          <w:szCs w:val="28"/>
          <w:rtl w:val="true"/>
          <w:lang w:bidi="fa-IR"/>
        </w:rPr>
        <w:t>.</w:t>
      </w:r>
    </w:p>
    <w:p>
      <w:pPr>
        <w:pStyle w:val="Heading5"/>
        <w:numPr>
          <w:ilvl w:val="4"/>
          <w:numId w:val="1"/>
        </w:numPr>
        <w:rPr/>
      </w:pPr>
      <w:bookmarkStart w:id="1167" w:name="__RefHeading___Toc605986_1934241801"/>
      <w:bookmarkStart w:id="1168" w:name="_Toc537"/>
      <w:bookmarkEnd w:id="1167"/>
      <w:r>
        <w:rPr>
          <w:rtl w:val="true"/>
        </w:rPr>
        <w:t xml:space="preserve">روایت </w:t>
      </w:r>
      <w:r>
        <w:rPr/>
        <w:t>17</w:t>
      </w:r>
      <w:bookmarkEnd w:id="1168"/>
    </w:p>
    <w:p>
      <w:pPr>
        <w:pStyle w:val="BookText"/>
        <w:rPr/>
      </w:pPr>
      <w:r>
        <w:rPr>
          <w:rFonts w:ascii="IRNazanin" w:hAnsi="IRNazanin" w:eastAsia="IRNazanin"/>
          <w:color w:val="111111"/>
          <w:sz w:val="28"/>
          <w:sz w:val="28"/>
          <w:szCs w:val="28"/>
          <w:rtl w:val="true"/>
          <w:lang w:bidi="fa-IR"/>
        </w:rPr>
        <w:t>کتاب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بن احمد قمی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جمعه را به جا آور مگر در صورتی که مریض بوده و بر سلامتی خود بیمناک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فاسق کسی غسل جمعه را ترک نمی کند، و هر کسی که غسل روز جمعه را از دست دهد باید روز شنبه قضای آن را به جا آورد</w:t>
      </w:r>
      <w:r>
        <w:rPr>
          <w:rFonts w:eastAsia="IRNazanin" w:cs="IRNazanin"/>
          <w:color w:val="111111"/>
          <w:sz w:val="28"/>
          <w:szCs w:val="28"/>
          <w:rtl w:val="true"/>
          <w:lang w:bidi="fa-IR"/>
        </w:rPr>
        <w:t>.</w:t>
      </w:r>
    </w:p>
    <w:p>
      <w:pPr>
        <w:pStyle w:val="Heading5"/>
        <w:numPr>
          <w:ilvl w:val="4"/>
          <w:numId w:val="1"/>
        </w:numPr>
        <w:rPr/>
      </w:pPr>
      <w:bookmarkStart w:id="1169" w:name="__RefHeading___Toc605988_1934241801"/>
      <w:bookmarkStart w:id="1170" w:name="_Toc538"/>
      <w:bookmarkEnd w:id="1169"/>
      <w:r>
        <w:rPr>
          <w:rtl w:val="true"/>
        </w:rPr>
        <w:t xml:space="preserve">روایت </w:t>
      </w:r>
      <w:r>
        <w:rPr/>
        <w:t>18</w:t>
      </w:r>
      <w:bookmarkEnd w:id="1170"/>
    </w:p>
    <w:p>
      <w:pPr>
        <w:pStyle w:val="BookText"/>
        <w:rPr/>
      </w:pP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البختری از امام صادق او از پدرش او از جدش علیهم السلام نقل می فرماید که از پیامبر صلّی الله علیه و آله روایت شده که در خلال سفارشی به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 مردم واجب است که در هر هفته یک بار غسل کنند، پس در هر روز جمعه غسل کن اگرچه با هزینه غذای یک روز مجبور به خریدن آب  شوی و در آن روز گرسنه بمانی، چرا که در میان اعمال مستحب عملی با عظمت تر از غسل جمعه وجود ندارد</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و با اسناد صحیح از هشام بن حکم روایت شده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هر یک از شما در روز جمعه خود را زینت بخشیده و غسل نماید و خود را معطّر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w:t>
      </w:r>
      <w:r>
        <w:rPr>
          <w:rStyle w:val="FootnoteAnchor"/>
          <w:rtl w:val="true"/>
        </w:rPr>
        <w:footnoteReference w:id="620"/>
      </w:r>
    </w:p>
    <w:p>
      <w:pPr>
        <w:pStyle w:val="Heading5"/>
        <w:numPr>
          <w:ilvl w:val="4"/>
          <w:numId w:val="1"/>
        </w:numPr>
        <w:rPr/>
      </w:pPr>
      <w:bookmarkStart w:id="1171" w:name="__RefHeading___Toc605990_1934241801"/>
      <w:bookmarkStart w:id="1172" w:name="_Toc539"/>
      <w:bookmarkEnd w:id="1171"/>
      <w:r>
        <w:rPr>
          <w:rtl w:val="true"/>
        </w:rPr>
        <w:t xml:space="preserve">روایت </w:t>
      </w:r>
      <w:r>
        <w:rPr/>
        <w:t>19</w:t>
      </w:r>
      <w:bookmarkEnd w:id="1172"/>
    </w:p>
    <w:p>
      <w:pPr>
        <w:pStyle w:val="BookText"/>
        <w:rPr/>
      </w:pPr>
      <w:r>
        <w:rPr>
          <w:rFonts w:ascii="IRNazanin" w:hAnsi="IRNazanin" w:eastAsia="IRNazanin"/>
          <w:color w:val="111111"/>
          <w:sz w:val="28"/>
          <w:sz w:val="28"/>
          <w:szCs w:val="28"/>
          <w:rtl w:val="true"/>
          <w:lang w:bidi="fa-IR"/>
        </w:rPr>
        <w:t>غرر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حیدر از پیامبر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به نماز جمعه می آید باید غسل کند</w:t>
      </w:r>
      <w:r>
        <w:rPr>
          <w:rFonts w:eastAsia="IRNazanin" w:cs="IRNazanin"/>
          <w:color w:val="111111"/>
          <w:sz w:val="28"/>
          <w:szCs w:val="28"/>
          <w:rtl w:val="true"/>
          <w:lang w:bidi="fa-IR"/>
        </w:rPr>
        <w:t>.</w:t>
      </w:r>
      <w:r>
        <w:rPr>
          <w:rStyle w:val="FootnoteAnchor"/>
          <w:rtl w:val="true"/>
        </w:rPr>
        <w:footnoteReference w:id="621"/>
      </w:r>
    </w:p>
    <w:p>
      <w:pPr>
        <w:pStyle w:val="Heading5"/>
        <w:numPr>
          <w:ilvl w:val="4"/>
          <w:numId w:val="1"/>
        </w:numPr>
        <w:rPr/>
      </w:pPr>
      <w:bookmarkStart w:id="1173" w:name="__RefHeading___Toc605992_1934241801"/>
      <w:bookmarkStart w:id="1174" w:name="_Toc540"/>
      <w:bookmarkEnd w:id="1173"/>
      <w:r>
        <w:rPr>
          <w:rtl w:val="true"/>
        </w:rPr>
        <w:t xml:space="preserve">روایت </w:t>
      </w:r>
      <w:r>
        <w:rPr/>
        <w:t>20</w:t>
      </w:r>
      <w:bookmarkEnd w:id="1174"/>
    </w:p>
    <w:p>
      <w:pPr>
        <w:pStyle w:val="BookText"/>
        <w:rPr/>
      </w:pPr>
      <w:r>
        <w:rPr>
          <w:rFonts w:ascii="IRNazanin" w:hAnsi="IRNazanin" w:eastAsia="IRNazanin"/>
          <w:color w:val="111111"/>
          <w:sz w:val="28"/>
          <w:sz w:val="28"/>
          <w:szCs w:val="28"/>
          <w:rtl w:val="true"/>
          <w:lang w:bidi="fa-IR"/>
        </w:rPr>
        <w:t>کتاب محمد بن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ذَریح المُحاربیّ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واجب است شخص قضای غسل جمعه را به جا  آورد؟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Heading5"/>
        <w:numPr>
          <w:ilvl w:val="4"/>
          <w:numId w:val="1"/>
        </w:numPr>
        <w:rPr/>
      </w:pPr>
      <w:bookmarkStart w:id="1175" w:name="__RefHeading___Toc605994_1934241801"/>
      <w:bookmarkStart w:id="1176" w:name="_Toc541"/>
      <w:bookmarkEnd w:id="1175"/>
      <w:r>
        <w:rPr>
          <w:rtl w:val="true"/>
        </w:rPr>
        <w:t>توضیح</w:t>
      </w:r>
      <w:bookmarkEnd w:id="117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این حدیث بر عدم مؤکّد بودن استحباب قضای غسل جمعه یا این نکته حمل شود که غسل جمعه به تأخیر انداخته نمی شود تا قضا شود</w:t>
      </w:r>
      <w:r>
        <w:rPr>
          <w:rFonts w:eastAsia="IRNazanin" w:cs="IRNazanin"/>
          <w:color w:val="111111"/>
          <w:sz w:val="28"/>
          <w:szCs w:val="28"/>
          <w:rtl w:val="true"/>
          <w:lang w:bidi="fa-IR"/>
        </w:rPr>
        <w:t xml:space="preserve">. </w:t>
      </w:r>
      <w:bookmarkStart w:id="1177" w:name="pg13517_329161"/>
    </w:p>
    <w:p>
      <w:pPr>
        <w:pStyle w:val="BookText"/>
        <w:rPr/>
      </w:pPr>
      <w:bookmarkEnd w:id="1177"/>
      <w:r>
        <w:rPr>
          <w:rFonts w:ascii="Amiri" w:hAnsi="Amiri" w:eastAsia="Amiri" w:cs="Amiri"/>
          <w:color w:val="111111"/>
          <w:sz w:val="28"/>
          <w:sz w:val="28"/>
          <w:szCs w:val="28"/>
          <w:rtl w:val="true"/>
          <w:lang w:bidi="ar-SA"/>
        </w:rPr>
        <w:t>يصير قضاء</w:t>
      </w:r>
      <w:r>
        <w:rPr>
          <w:rFonts w:eastAsia="Amiri" w:cs="Amiri" w:ascii="Amiri" w:hAnsi="Amiri"/>
          <w:color w:val="111111"/>
          <w:sz w:val="28"/>
          <w:szCs w:val="28"/>
          <w:rtl w:val="true"/>
          <w:lang w:bidi="ar-SA"/>
        </w:rPr>
        <w:t>.</w:t>
      </w:r>
    </w:p>
    <w:p>
      <w:pPr>
        <w:pStyle w:val="Heading5"/>
        <w:numPr>
          <w:ilvl w:val="4"/>
          <w:numId w:val="1"/>
        </w:numPr>
        <w:rPr/>
      </w:pPr>
      <w:bookmarkStart w:id="1178" w:name="__RefHeading___Toc605996_1934241801"/>
      <w:bookmarkStart w:id="1179" w:name="_Toc542"/>
      <w:bookmarkEnd w:id="1178"/>
      <w:r>
        <w:rPr>
          <w:rtl w:val="true"/>
        </w:rPr>
        <w:t>«</w:t>
      </w:r>
      <w:r>
        <w:rPr/>
        <w:t>21</w:t>
      </w:r>
      <w:r>
        <w:rPr>
          <w:rtl w:val="true"/>
        </w:rPr>
        <w:t>»</w:t>
      </w:r>
      <w:bookmarkEnd w:id="1179"/>
    </w:p>
    <w:p>
      <w:pPr>
        <w:pStyle w:val="BookText"/>
        <w:rPr/>
      </w:pPr>
      <w:r>
        <w:rPr>
          <w:rFonts w:ascii="Amiri" w:hAnsi="Amiri" w:eastAsia="Amiri" w:cs="Amiri"/>
          <w:color w:val="111111"/>
          <w:sz w:val="28"/>
          <w:sz w:val="28"/>
          <w:szCs w:val="28"/>
          <w:rtl w:val="true"/>
          <w:lang w:bidi="ar-SA"/>
        </w:rPr>
        <w:t>كِتَابُ النَّوَادِرِ، لِعَلِيِّ بْنِ بَابَوَيْهِ أَوْ غَيْرِهِ عَنْ مُحَمَّدِ بْنِ الْحَسَنِ بْنِ الْوَلِيدِ عَنِ الصَّفَّارِ عَنْ إِبْرَاهِيمَ بْنِ هَاشِمٍ عَنِ النَّوْفَلِيِّ عَنِ السَّكُونِيِّ عَنْ جَعْفَرِ بْنِ مُحَمَّدٍ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الْجُمُعَةِ وَاجِبٌ عَلَي كُلِّ مُحْتَلِمٍ</w:t>
      </w:r>
      <w:r>
        <w:rPr>
          <w:rFonts w:eastAsia="Amiri" w:cs="Amiri" w:ascii="Amiri" w:hAnsi="Amiri"/>
          <w:color w:val="111111"/>
          <w:sz w:val="28"/>
          <w:szCs w:val="28"/>
          <w:rtl w:val="true"/>
          <w:lang w:bidi="ar-SA"/>
        </w:rPr>
        <w:t>.</w:t>
      </w:r>
    </w:p>
    <w:p>
      <w:pPr>
        <w:pStyle w:val="Heading5"/>
        <w:numPr>
          <w:ilvl w:val="4"/>
          <w:numId w:val="1"/>
        </w:numPr>
        <w:rPr/>
      </w:pPr>
      <w:bookmarkStart w:id="1180" w:name="__RefHeading___Toc605998_1934241801"/>
      <w:bookmarkStart w:id="1181" w:name="_Toc543"/>
      <w:bookmarkEnd w:id="1180"/>
      <w:r>
        <w:rPr>
          <w:rtl w:val="true"/>
        </w:rPr>
        <w:t>«</w:t>
      </w:r>
      <w:r>
        <w:rPr/>
        <w:t>22</w:t>
      </w:r>
      <w:r>
        <w:rPr>
          <w:rtl w:val="true"/>
        </w:rPr>
        <w:t>»</w:t>
      </w:r>
      <w:bookmarkEnd w:id="1181"/>
    </w:p>
    <w:p>
      <w:pPr>
        <w:pStyle w:val="BookText"/>
        <w:rPr/>
      </w:pPr>
      <w:r>
        <w:rPr>
          <w:rFonts w:ascii="Amiri" w:hAnsi="Amiri" w:eastAsia="Amiri" w:cs="Amiri"/>
          <w:color w:val="111111"/>
          <w:sz w:val="28"/>
          <w:sz w:val="28"/>
          <w:szCs w:val="28"/>
          <w:rtl w:val="true"/>
          <w:lang w:bidi="ar-SA"/>
        </w:rPr>
        <w:t>الْكَافِي، عَنِ الْعِدَّةِ عَنْ أَحْمَدَ بْنِ مُحَمَّدٍ عَنْ عَلِيِّ بْنِ الْحَكَمِ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غُسْلِ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 قَلْبِي مِنْ كُلِّ آفَةٍ تَمْحَقُ بِهَا دِينِي وَ تُبْطِلُ بِهَا عَمَلِي‌</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2" w:name="__RefHeading___Toc606000_1934241801"/>
      <w:bookmarkStart w:id="1183" w:name="_Toc544"/>
      <w:bookmarkEnd w:id="1182"/>
      <w:r>
        <w:rPr>
          <w:rtl w:val="true"/>
        </w:rPr>
        <w:t xml:space="preserve">روایت </w:t>
      </w:r>
      <w:r>
        <w:rPr/>
        <w:t>21</w:t>
      </w:r>
      <w:bookmarkEnd w:id="1183"/>
    </w:p>
    <w:p>
      <w:pPr>
        <w:pStyle w:val="BookText"/>
        <w:rPr/>
      </w:pPr>
      <w:r>
        <w:rPr>
          <w:rFonts w:ascii="IRNazanin" w:hAnsi="IRNazanin" w:eastAsia="IRNazanin"/>
          <w:color w:val="111111"/>
          <w:sz w:val="28"/>
          <w:sz w:val="28"/>
          <w:szCs w:val="28"/>
          <w:rtl w:val="true"/>
          <w:lang w:bidi="fa-IR"/>
        </w:rPr>
        <w:t>کتاب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از پدرانش علیهم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جمعه بر هر کسی که محتلم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Heading5"/>
        <w:numPr>
          <w:ilvl w:val="4"/>
          <w:numId w:val="1"/>
        </w:numPr>
        <w:rPr/>
      </w:pPr>
      <w:bookmarkStart w:id="1184" w:name="__RefHeading___Toc606002_1934241801"/>
      <w:bookmarkStart w:id="1185" w:name="_Toc545"/>
      <w:bookmarkEnd w:id="1184"/>
      <w:r>
        <w:rPr>
          <w:rtl w:val="true"/>
        </w:rPr>
        <w:t xml:space="preserve">روایت </w:t>
      </w:r>
      <w:r>
        <w:rPr/>
        <w:t>22</w:t>
      </w:r>
      <w:bookmarkEnd w:id="118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حکم از یکی از یاران ما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غسل جمعه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طَهِّرْ قَلْبِی مِنْ کُلِّ آفَةٍ تَمْحَقُ بِهَا دِینِی وَ تُبْطِلُ بِهَا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قلبم را از هر آفتی که به وسیله آن دینم را نابود کرده و عملم را باطل می گردانی پاک ساز</w:t>
      </w:r>
      <w:r>
        <w:rPr>
          <w:rFonts w:eastAsia="IRNazanin" w:cs="IRNazanin"/>
          <w:color w:val="111111"/>
          <w:sz w:val="28"/>
          <w:szCs w:val="28"/>
          <w:rtl w:val="true"/>
          <w:lang w:bidi="fa-IR"/>
        </w:rPr>
        <w:t>.</w:t>
      </w:r>
      <w:r>
        <w:rPr>
          <w:rStyle w:val="FootnoteAnchor"/>
          <w:rtl w:val="true"/>
        </w:rPr>
        <w:footnoteReference w:id="623"/>
      </w:r>
      <w:bookmarkStart w:id="1186" w:name="pg13517_329162"/>
    </w:p>
    <w:p>
      <w:pPr>
        <w:pStyle w:val="Heading3"/>
        <w:numPr>
          <w:ilvl w:val="2"/>
          <w:numId w:val="1"/>
        </w:numPr>
        <w:rPr/>
      </w:pPr>
      <w:bookmarkStart w:id="1187" w:name="__RefHeading___Toc606004_1934241801"/>
      <w:bookmarkStart w:id="1188" w:name="_Toc546"/>
      <w:bookmarkEnd w:id="1186"/>
      <w:bookmarkEnd w:id="1187"/>
      <w:r>
        <w:rPr>
          <w:rtl w:val="true"/>
        </w:rPr>
        <w:t xml:space="preserve">باب </w:t>
      </w:r>
      <w:r>
        <w:rPr/>
        <w:t>6</w:t>
      </w:r>
      <w:r>
        <w:rPr>
          <w:rtl w:val="true"/>
        </w:rPr>
        <w:t xml:space="preserve"> </w:t>
      </w:r>
      <w:r>
        <w:rPr>
          <w:rtl w:val="true"/>
        </w:rPr>
        <w:t>التيمم و آدابه و أحكامه</w:t>
      </w:r>
      <w:bookmarkEnd w:id="1188"/>
    </w:p>
    <w:p>
      <w:pPr>
        <w:pStyle w:val="Heading4"/>
        <w:numPr>
          <w:ilvl w:val="3"/>
          <w:numId w:val="1"/>
        </w:numPr>
        <w:rPr/>
      </w:pPr>
      <w:bookmarkStart w:id="1189" w:name="__RefHeading___Toc606006_1934241801"/>
      <w:bookmarkStart w:id="1190" w:name="_Toc547"/>
      <w:bookmarkEnd w:id="1189"/>
      <w:r>
        <w:rPr>
          <w:rtl w:val="true"/>
        </w:rPr>
        <w:t>الآيات</w:t>
      </w:r>
      <w:bookmarkEnd w:id="1190"/>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تَقْرَبُوا الصَّلاةَ وَ أَنْتُمْ سُكاري حَتَّي تَعْلَمُوا ما تَقُولُونَ وَ لا جُنُباً إِلَّا عابِرِي سَبِيلٍ حَتَّي تَغْتَسِلُوا وَ إِنْ كُنْتُمْ مَرْضي أَوْ عَلي سَفَرٍ أَوْ جاءَ أَحَدٌ مِنْكُمْ مِنَ الْغائِطِ أَوْ لامَسْتُمُ النِّساءَ فَلَمْ تَجِدُوا ماءً فَتَيَمَّمُوا صَعِيداً طَيِّباً فَامْسَحُوا بِوُجُوهِكُمْ وَ أَيْدِيكُمْ إِنَّ اللَّهَ كانَ عَفُوًّا غَفُوراً</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قُمْتُمْ إِلَي الصَّلاةِ فَاغْسِلُوا وُجُوهَكُمْ وَ أَيْدِيَكُمْ إِلَي الْمَرافِقِ وَ امْسَحُوا بِرُؤُسِكُمْ وَ أَرْجُلَكُمْ إِلَي الْكَعْبَيْنِ وَ إِنْ كُنْتُمْ جُنُباً فَاطَّهَّرُوا وَ إِنْ كُنْتُمْ مَرْضي أَوْ عَلي سَفَرٍ أَوْ جاءَ أَحَدٌ مِنْكُمْ مِنَ الْغائِطِ أَوْ لامَسْتُمُ النِّساءَ فَلَمْ تَجِدُوا ماءً فَتَيَمَّمُوا صَعِيداً طَيِّباً فَامْسَحُوا بِوُجُوهِكُمْ وَ أَيْدِيكُمْ مِنْهُ ما يُرِيدُ اللَّهُ لِيَجْعَلَ عَلَيْكُمْ مِنْ حَرَجٍ وَ لكِنْ يُرِيدُ لِيُطَهِّرَكُمْ وَ لِيُتِمَّ نِعْمَتَهُ عَلَيْكُمْ لَعَلَّكُمْ تَشْكُرُونَ‌</w:t>
      </w:r>
      <w:r>
        <w:rPr>
          <w:rStyle w:val="FootnoteAnchor"/>
          <w:rtl w:val="true"/>
        </w:rPr>
        <w:footnoteReference w:id="625"/>
      </w:r>
    </w:p>
    <w:p>
      <w:pPr>
        <w:pStyle w:val="Heading4"/>
        <w:numPr>
          <w:ilvl w:val="3"/>
          <w:numId w:val="1"/>
        </w:numPr>
        <w:rPr/>
      </w:pPr>
      <w:bookmarkStart w:id="1191" w:name="__RefHeading___Toc606008_1934241801"/>
      <w:bookmarkStart w:id="1192" w:name="_Toc548"/>
      <w:bookmarkEnd w:id="1191"/>
      <w:r>
        <w:rPr>
          <w:rtl w:val="true"/>
        </w:rPr>
        <w:t>تفسير</w:t>
      </w:r>
      <w:bookmarkEnd w:id="1192"/>
    </w:p>
    <w:p>
      <w:pPr>
        <w:pStyle w:val="BookText"/>
        <w:rPr/>
      </w:pPr>
      <w:r>
        <w:rPr>
          <w:rFonts w:ascii="Amiri" w:hAnsi="Amiri" w:eastAsia="Amiri" w:cs="Amiri"/>
          <w:color w:val="111111"/>
          <w:sz w:val="28"/>
          <w:sz w:val="28"/>
          <w:szCs w:val="28"/>
          <w:rtl w:val="true"/>
          <w:lang w:bidi="ar-SA"/>
        </w:rPr>
        <w:t>قد تقدم الكلام في صدري الآيتين الكريمتين في مبحثي الوضوء و الغسل و لنذكر هنا ما يتعلق منهما بالتيمم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أنه سبحانه قدم في الآيتين حكم الواجدين للماء القادرين علي استعماله ثم أتبع ذلك بأصحاب الأعذار فقال تعالي وَ إِنْ كُنْتُمْ مَرْضي و حمله الأصحاب علي المرض الذي يضر معه استعمال الماء و الذي يوجب العجز عن السعي إليه أو عن استعماله و ظاهر الآية يشمل كل ما يصدق عليه اسم المرض‌</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ألا تري أن المريض في قوله تعالي في آية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مَرِيضاً أَوْ عَلي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يراد به كل مرض، فان من به قرحة الاثنا عشر مريض يضر به الصوم، و لا يضر به استعمال الماء لا للوضوء و لا للاغتسال؛ و هكذا المريض في آية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مِنْكُمْ مَرِيضاً أَوْ بِهِ أَذيً مِنْ رَأْسِهِ فَفِدْيَةٌ مِنْ صِيامٍ أَوْ صَدَقَةٍ أَوْ 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فالمريض انما هو بالنسبة الي من لا يتحمل و فرة الشعر لقرحة في رأسه يسيل منه اللعاب و يتلبد به الشعر أو صداع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قد كلف بالصوم كفّارة لحلق الرأس، و المريض لا يصحّ منه الصوم؟ فالمريض في كل باب انما يعرف المراد به بعد ملاحظة القرائن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علماؤنا رضي الله عنهم مختلفون في اليسير و مثلوه بالصداع و وجع الضرس و لعله للشك</w:t>
      </w:r>
    </w:p>
    <w:p>
      <w:pPr>
        <w:pStyle w:val="Heading3"/>
        <w:numPr>
          <w:ilvl w:val="2"/>
          <w:numId w:val="1"/>
        </w:numPr>
        <w:rPr/>
      </w:pPr>
      <w:bookmarkStart w:id="1193" w:name="__RefHeading___Toc606010_1934241801"/>
      <w:bookmarkStart w:id="1194" w:name="_Toc549"/>
      <w:bookmarkEnd w:id="1193"/>
      <w:r>
        <w:rPr>
          <w:rtl w:val="true"/>
        </w:rPr>
        <w:t>باب ششم</w:t>
      </w:r>
      <w:r>
        <w:rPr>
          <w:rtl w:val="true"/>
        </w:rPr>
        <w:t xml:space="preserve">: </w:t>
      </w:r>
      <w:r>
        <w:rPr>
          <w:rtl w:val="true"/>
        </w:rPr>
        <w:t>تیمّم و آداب و احکام آن</w:t>
      </w:r>
      <w:bookmarkEnd w:id="1194"/>
    </w:p>
    <w:p>
      <w:pPr>
        <w:pStyle w:val="Heading4"/>
        <w:numPr>
          <w:ilvl w:val="3"/>
          <w:numId w:val="1"/>
        </w:numPr>
        <w:rPr/>
      </w:pPr>
      <w:bookmarkStart w:id="1195" w:name="__RefHeading___Toc606012_1934241801"/>
      <w:bookmarkStart w:id="1196" w:name="_Toc550"/>
      <w:bookmarkEnd w:id="1195"/>
      <w:r>
        <w:rPr>
          <w:rtl w:val="true"/>
        </w:rPr>
        <w:t>آیات</w:t>
      </w:r>
      <w:bookmarkEnd w:id="11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لَا تَقْرَبُوا الصَّلَاةَ وَ أَنْتُمْ سُکَارَی حَتَّی تَعْلَمُوا مَا تَقُولُونَ وَ لَا جُنُبًا إِلَّا عَابِرِی سَبِیلٍ حَتَّی تَغْتَسِلُوا وَ إِنْ کُنْتُمْ مَرْضَی أَوْ عَلَی سَفَرٍ أَوْ جَاءَ أَحَدٌ مِنْکُمْ مِنَ الْغَائِطِ أَوْ لَامَسْتُمُ النِّسَاءَ فَلَمْ تَجِدُوا مَاءً فَتَیَمَّمُوا صَعِیدًا طَیِّبًا مِنْکُمْ مِنَ الْغَائِطِ أَوْ لَامَسْتُمُ النِّسَاءَ فَلَمْ تَجِدُوا مَاءً فَتَیَمَّمُوا صَعِیدًا طَیِّبًا فَامْسَحُوا بِوُجُوهِکُمْ وَ أَیْدِیکُمْ إِنَّ اللَّهَ کَانَ عَفُوًّا غَفُورًا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در حال مستی به نماز نزدیک نشوید تا زمانی که بدانید چه می گویید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جنابت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نماز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راهگذر باشید تا غسل کنید، و اگر بیمارید یا در سفرید یا یکی از شما از قضای حاجت آمد یا با زنان آمیزش کرده اید و آب نیافته اید، پس بر خاکی پاک تیمّم کنید و صورت و دست هایتان را مسح نمایید که خدا بخشنده و آمرزنده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قُمْتُمْ إِلَی الصَّلَاةِ فَاغْسِلُوا وُجُوهَکُمْ وَ أَیْدِیَکُمْ إِلَی الْمَرَافِقِ وَ امْسَحُوا بِرُءُوسِکُمْ وَ أَرْجُلَکُمْ إِلَی الْکَعْبَیْنِ وَ إِنْ کُنْتُمْ جُنُبًا فَاطَّهَّرُوا وَ إِنْ کُنْتُمْ مَرْضَی أَوْ عَلَی سَفَرٍ أَوْ جَاءَ أَحَدٌ مِنْکُمْ مِنَ الْغَائِطِ أَوْ لَامَسْتُمُ النِّسَاءَ فَلَمْ تَجِدُوا مَاءً فَتَیَمَّمُوا صَعِیدًا طَیِّبًا فَامْسَحُوا بِوُجُوهِکُمْ وَ أَیْدِیکُمْ مِنْهُ مَا یُرِیدُ اللَّهُ لِیَجْعَلَ عَلَیْکُمْ مِنْ حَرَجٍ وَ لَکِنْ یُرِیدُ لِیُطَهِّرَکُمْ وَ لِیُتِمَّ نِعْمَتَهُ عَلَیْکُمْ لَعَلَّکُمْ تَشْکُرُونَ</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برخیزید صورت و دست هایتان را تا آرنج بشویید و سر و پاهای خودتان را تا برآمدگی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کنید و اگر جُنب هستید خود را پاک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بیمار یا در سفر بودید یا یکی از شما از قضای حاجت آمد یا با زنان نزدیکی کرده اید و آبی نیافتید، پس با خاک تیمّم کنید و از آن به صورت و دست هایتان بکشید، خدا نمی خواهد بر شما تنگ بگیرد لیکن می خواهد شما را پاک و نعمتش را برشما تمام گرداند، باشد که سپاس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بدارید</w:t>
      </w:r>
      <w:r>
        <w:rPr>
          <w:rFonts w:eastAsia="IRNazanin" w:cs="IRNazanin"/>
          <w:color w:val="111111"/>
          <w:sz w:val="28"/>
          <w:szCs w:val="28"/>
          <w:rtl w:val="true"/>
          <w:lang w:bidi="fa-IR"/>
        </w:rPr>
        <w:t>.}</w:t>
      </w:r>
    </w:p>
    <w:p>
      <w:pPr>
        <w:pStyle w:val="Heading4"/>
        <w:numPr>
          <w:ilvl w:val="3"/>
          <w:numId w:val="1"/>
        </w:numPr>
        <w:rPr/>
      </w:pPr>
      <w:bookmarkStart w:id="1197" w:name="__RefHeading___Toc606014_1934241801"/>
      <w:bookmarkStart w:id="1198" w:name="_Toc551"/>
      <w:bookmarkEnd w:id="1197"/>
      <w:r>
        <w:rPr>
          <w:rtl w:val="true"/>
        </w:rPr>
        <w:t>تفسیر</w:t>
      </w:r>
      <w:bookmarkEnd w:id="1198"/>
    </w:p>
    <w:p>
      <w:pPr>
        <w:pStyle w:val="BookText"/>
        <w:rPr/>
      </w:pPr>
      <w:r>
        <w:rPr>
          <w:rFonts w:ascii="IRNazanin" w:hAnsi="IRNazanin" w:eastAsia="IRNazanin"/>
          <w:color w:val="111111"/>
          <w:sz w:val="28"/>
          <w:sz w:val="28"/>
          <w:szCs w:val="28"/>
          <w:rtl w:val="true"/>
          <w:lang w:bidi="fa-IR"/>
        </w:rPr>
        <w:t>در دو مبحث وضو و غسل سخن درباره قسمت نخست دو آیه کریمه ذکر شد، در اینجا مباحث متعلّق به تیمّم که در این دو آیه موجود می باشد را ذکر می کنیم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 که خداوند سبحان در این دو آیه ابتدا حکم کسانی که به آب دسترسی و توان استعمال آن را دارند را ذکر و سپس احکام مربوط به دارندگان عذر و مشکل را بیان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کنتم 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این آیه را بر بیماری ای حمل کرده اند که استعمال آب برای آن زیان بخش است و شخص را از تلاش برای یافتن آب و یا استعمال آن عاجز می گرداند، و ظاهر آیه شامل هر بیماری ای می شود که اطلاق اسم بیماری بر آن صدق می کند، امّا علمای ما رضی الله عنهم در مورد یسیر اختلاف نظر دارند و آن بیماری را به سردرد و دندان درد تفسیر کرده اند، و شاید این امر به خاطر شک و تردید </w:t>
      </w:r>
    </w:p>
    <w:p>
      <w:pPr>
        <w:pStyle w:val="BookText"/>
        <w:rPr/>
      </w:pPr>
      <w:r>
        <w:rPr>
          <w:rFonts w:ascii="Amiri" w:hAnsi="Amiri" w:eastAsia="Amiri" w:cs="Amiri"/>
          <w:color w:val="111111"/>
          <w:sz w:val="28"/>
          <w:sz w:val="28"/>
          <w:szCs w:val="28"/>
          <w:rtl w:val="true"/>
          <w:lang w:bidi="ar-SA"/>
        </w:rPr>
        <w:t>في تسمية مثل ذلك مرضا عرفا فذهب المحقق و العلامة إلي أنه غير مبيح للتيمم و بعض المتأخرين علي إيجابه له و لعله أقوي فإنه أشد من الشين‌</w:t>
      </w:r>
      <w:r>
        <w:rPr>
          <w:rStyle w:val="FootnoteAnchor"/>
          <w:rtl w:val="true"/>
        </w:rPr>
        <w:footnoteReference w:id="628"/>
      </w:r>
      <w:r>
        <w:rPr>
          <w:rFonts w:ascii="Amiri" w:hAnsi="Amiri" w:eastAsia="Amiri" w:cs="Amiri"/>
          <w:color w:val="111111"/>
          <w:sz w:val="28"/>
          <w:sz w:val="28"/>
          <w:szCs w:val="28"/>
          <w:rtl w:val="true"/>
          <w:lang w:bidi="ar-SA"/>
        </w:rPr>
        <w:t xml:space="preserve">و قد أطبقوا علي إيجابه التيمم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عَلي سَفَرٍ أي متلبسين به‌</w:t>
      </w:r>
      <w:r>
        <w:rPr>
          <w:rStyle w:val="FootnoteAnchor"/>
          <w:rtl w:val="true"/>
        </w:rPr>
        <w:footnoteReference w:id="629"/>
      </w:r>
      <w:r>
        <w:rPr>
          <w:rFonts w:ascii="Amiri" w:hAnsi="Amiri" w:eastAsia="Amiri" w:cs="Amiri"/>
          <w:color w:val="111111"/>
          <w:sz w:val="28"/>
          <w:sz w:val="28"/>
          <w:szCs w:val="28"/>
          <w:rtl w:val="true"/>
          <w:lang w:bidi="ar-SA"/>
        </w:rPr>
        <w:t>إذ الغالب عدم وجود الماء في أكثر الصحاري أَوْ جاءَ أَحَدٌ مِنْكُمْ مِنَ الْغائِطِ هو كناية عن الحدث إذ الغائط المكان المنخفض من الأرض و كانوا يقصدونه للحدث لتغيب فيه أشخاصهم عن الرائين</w:t>
      </w:r>
    </w:p>
    <w:p>
      <w:pPr>
        <w:pStyle w:val="BookText"/>
        <w:rPr/>
      </w:pPr>
      <w:r>
        <w:rPr>
          <w:rFonts w:ascii="IRNazanin" w:hAnsi="IRNazanin" w:eastAsia="IRNazanin"/>
          <w:color w:val="111111"/>
          <w:sz w:val="28"/>
          <w:sz w:val="28"/>
          <w:szCs w:val="28"/>
          <w:rtl w:val="true"/>
          <w:lang w:bidi="fa-IR"/>
        </w:rPr>
        <w:t xml:space="preserve">در گذاشتن اسم بیماری از لحاظ عرفی بر این گونه بیماری باشد، محقّق و علّامه بر این باورند که چنین بیماری هایی تیمّم را مباح نمی سازند، ولی برخی از فقهای متأخر این بیماری ها را موجب تیمّم می دانند، و شاید این نظر قوی تر باشد، چرا که از بیماری 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بیماری پوستی و معیوب شدن خلقت انگشتان براثر سرما یا خشکی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 هستند، در حالی که در مورد اینکه این بیماری موجب تیمّم است اتفاق نظر دارند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حال سفر هستند، چه که غالباً در بیشتر صحراها آب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جاء أحدً منکم من 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کنایه از قضای حاجت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مکان پست و گود موجود در زمین می باشد و مردم برای قضای حاجت به این مکانها می رفتند تا از دید دیگران پنهان بمانند، </w:t>
      </w:r>
    </w:p>
    <w:p>
      <w:pPr>
        <w:pStyle w:val="BookText"/>
        <w:rPr/>
      </w:pPr>
      <w:r>
        <w:rPr>
          <w:rFonts w:ascii="Amiri" w:hAnsi="Amiri" w:eastAsia="Amiri" w:cs="Amiri"/>
          <w:color w:val="111111"/>
          <w:sz w:val="28"/>
          <w:sz w:val="28"/>
          <w:szCs w:val="28"/>
          <w:rtl w:val="true"/>
          <w:lang w:bidi="ar-SA"/>
        </w:rPr>
        <w:t>فكني عن الحدث بالمجي‌ء من مكانه و تسمية الفقهاء العذرة بالغائط من تسمية الحال باسم المحل و قيل إن لفظة أو هاهنا بمعني الواو</w:t>
      </w:r>
      <w:r>
        <w:rPr>
          <w:rStyle w:val="FootnoteAnchor"/>
          <w:rtl w:val="true"/>
        </w:rPr>
        <w:footnoteReference w:id="630"/>
      </w:r>
      <w:r>
        <w:rPr>
          <w:rFonts w:ascii="Amiri" w:hAnsi="Amiri" w:eastAsia="Amiri" w:cs="Amiri"/>
          <w:color w:val="111111"/>
          <w:sz w:val="28"/>
          <w:sz w:val="28"/>
          <w:szCs w:val="28"/>
          <w:rtl w:val="true"/>
          <w:lang w:bidi="ar-SA"/>
        </w:rPr>
        <w:t>و المراد و الله أعلم أو كنتم مسافرين و جاء أحد منكم من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لامَسْتُمُ النِّساءَ المراد جماعهن كما في قوله تعالي وَ إِنْ طَلَّقْتُمُوهُنَّ مِنْ قَبْلِ أَنْ تَمَسُّوهُنَ و اللمس و المس بمعني كما قاله اللغويون و سيأتي الأخبار في تفسير اللمس بالوطء و قد نقل الخاص و العام عن ابن عباس أنه كان يقول إن الله سبحانه حيي كريم يعبر عن مباشرة النساء بملامستهن و ذهب الشافعي إلي أن المراد مطلق اللمس لغير محرم و خصه مالك بما كان عن شهوة و أما أبو حنيفة فقال المراد الوطء لا المس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تعالي فَلَمْ تَجِدُوا ماءً يشمل ما لو وجد ماء لا يكفيه للغسل و هو جنب أو للوضوء و هو محدث حدثا أصغر فعند علمائنا يترك الماء و ينتقل فرضه إلي التيمم و قول بعض العامة يجب عليه أن يستعمله في بعض أعضائه ثم يتيمم لأنه واجد للماء ضعيف إذ وجوده علي هذا التقدير كعدمه و لو صدق عليه أنه واجد للماء لما جاز له التيمم كذا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البهائي قدس الله سره للبحث فيه مجال فقوله سبحانه فَلَمْ تَجِدُوا ماءً يراد به و الله أعلم ما يكفي الطهارة و مما يؤيد ذلك قوله تعالي في كفارة اليمين فَمَنْ لَمْ يَجِدْ فَصِيامُ ثَلاثَةِ أَيَّامٍ‌</w:t>
      </w:r>
      <w:r>
        <w:rPr>
          <w:rStyle w:val="FootnoteAnchor"/>
          <w:rtl w:val="true"/>
        </w:rPr>
        <w:footnoteReference w:id="631"/>
      </w:r>
      <w:r>
        <w:rPr>
          <w:rFonts w:ascii="Amiri" w:hAnsi="Amiri" w:eastAsia="Amiri" w:cs="Amiri"/>
          <w:color w:val="111111"/>
          <w:sz w:val="28"/>
          <w:sz w:val="28"/>
          <w:szCs w:val="28"/>
          <w:rtl w:val="true"/>
          <w:lang w:bidi="ar-SA"/>
        </w:rPr>
        <w:t>أي فمن لم يجد إطعام عشرة مساكين ففرضه الصيام و قد حكم الكل بأنه لو وجد إطعام أقل من عشرة لم يجب عليه ذلك و انتقل فرضه إلي الصوم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الثاني ربما حكي عن الشيخ في بعض أقواله التبعيض و احتمل العلامة في النهاية وجوب صرف الماء إلي بعض أعضاء الجنب لجواز وجود ما يكمل طهارته</w:t>
      </w:r>
    </w:p>
    <w:p>
      <w:pPr>
        <w:pStyle w:val="BookText"/>
        <w:rPr/>
      </w:pPr>
      <w:r>
        <w:rPr>
          <w:rFonts w:ascii="IRNazanin" w:hAnsi="IRNazanin" w:eastAsia="IRNazanin"/>
          <w:color w:val="111111"/>
          <w:sz w:val="28"/>
          <w:sz w:val="28"/>
          <w:szCs w:val="28"/>
          <w:rtl w:val="true"/>
          <w:lang w:bidi="fa-IR"/>
        </w:rPr>
        <w:t xml:space="preserve">پس خداوند متعال سخن از آمدن از مکان قضای حاجت به میان آورده در حالی که مقصود قضای حاجت بوده است، و فقها قضای حاجت را از باب تسمیه حالّ به اسم محلّ، غائط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قضای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مقصود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کنتم مسافرین و جاء أحد منکم من 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لامستم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نزدیکی با زنان است، چنان که در 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طلّقتموهّن مِن قبل أن تمسّوهنّ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قبل از اینکه با آن هم خوابه شوید طلاق شان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ذکر شده است، و آن گونه که لغویّون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معنای واحد هستند، و احادیثی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نزدیکی و جماع تفسیر کرده اند در ادامه ذکر خواهد شد، و خاصّ و عامّ از ابن عباس نقل کرده اند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با حیا و بزرگوار است و برای تعبیر از مفهوم نزدیکی با زنان از عبارت ملامسه استفاده نموده  است؛ شافعی بر این باور است که مقصود از این آیه، لمس کردن نامحرم به صورت مطلق است، و مالک آن را لمس کردنی می داند که از روی شهوت باشد، امّا ابوحنیفه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نزدیکی کردن است نه لمس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تجدوا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حالتی نیز می شود که شخص در حالی که جنب است و یا دچار حدث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یا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آبی را می یابد که برای غسل یا وضو کفایت نمی کند، پس نظر علمای ما چنین است که آن شخص باید آب نا کافی را رها سازد و فرایضش را با تیمّم انجام دهد، و به نظر یکی از عامّه واجب است که آن شخص از آب به منظور پاک ساختن بعضی از اعضای خود استفاده کرده و سپس تیمّم کند، چرا که او آب اندکی یافته است و وجود آب با این اندازه اندک با عدم وجود آن یکسان است، و اگر تصدیق شود که آب یافته است تیمّم برای او جایز نیست، این گونه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بهائی قدّس الله سرّه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بحث در این زمینه وجود دارد، مراد از این فرموده خدواند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تجدوا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است که برای طهارت و پاک گرداندن کفایت می کند، والله أعلم، و آنچه این تفسیر را تأیید می کند این فرموده خداوند متعال درباره کفّاره سوگند خوردن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لَم یجد فصیام ثلاثة أیّام</w:t>
      </w:r>
      <w:r>
        <w:rPr>
          <w:rFonts w:eastAsia="IRNazanin" w:cs="IRNazanin"/>
          <w:color w:val="111111"/>
          <w:sz w:val="28"/>
          <w:szCs w:val="28"/>
          <w:rtl w:val="true"/>
          <w:lang w:bidi="fa-IR"/>
        </w:rPr>
        <w:t>»</w:t>
      </w:r>
      <w:r>
        <w:rPr>
          <w:rStyle w:val="FootnoteAnchor"/>
          <w:rtl w:val="true"/>
        </w:rPr>
        <w:footnoteReference w:id="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اینها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روزه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توانایی اطعام ده فقیر را نداشته باشد واجب است روزه بگیرد، و تمام فقها چنین حُکم داده اند که اگر کسی توانایی اطعام کمتر از ده فقیر را داشته باشد این اطعام بر او واجب نیست و باید به جای آن روزه بگیرد، پایان سخن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در بعضی از اقوال شیخ، تبعیض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و علّامه در النهایه وجوب استفاده از آب برای پاک گرداندن بعضی از اعضای جُنب را محتمل دانسته است، آن هم به خاطر جایز بودن استفاده از چیزی که طهارت و پاکی اش را با آن کامل کند، </w:t>
      </w:r>
    </w:p>
    <w:p>
      <w:pPr>
        <w:pStyle w:val="BookText"/>
        <w:rPr/>
      </w:pPr>
      <w:r>
        <w:rPr>
          <w:rFonts w:ascii="Amiri" w:hAnsi="Amiri" w:eastAsia="Amiri" w:cs="Amiri"/>
          <w:color w:val="111111"/>
          <w:sz w:val="28"/>
          <w:sz w:val="28"/>
          <w:szCs w:val="28"/>
          <w:rtl w:val="true"/>
          <w:lang w:bidi="ar-SA"/>
        </w:rPr>
        <w:t>و سقوط الموالاة بخلاف المحدث‌</w:t>
      </w:r>
      <w:r>
        <w:rPr>
          <w:rStyle w:val="FootnoteAnchor"/>
          <w:rtl w:val="true"/>
        </w:rPr>
        <w:footnoteReference w:id="633"/>
      </w:r>
      <w:r>
        <w:rPr>
          <w:rFonts w:ascii="Amiri" w:hAnsi="Amiri" w:eastAsia="Amiri" w:cs="Amiri"/>
          <w:color w:val="111111"/>
          <w:sz w:val="28"/>
          <w:sz w:val="28"/>
          <w:szCs w:val="28"/>
          <w:rtl w:val="true"/>
          <w:lang w:bidi="ar-SA"/>
        </w:rPr>
        <w:t>و المعتمد ما ذكره في التذكرة و المنتهي من عدم الفرق مسندا ذلك إلي الأصحاب لعدم التمكن من الطهارة المائية فتكون ساقطة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أن البحث إنما هو فيمن هو مكلف بطهارة واحدة أعني الجنب و ذا الحدث الأصغر المذكورين في الآية أما الحائض مثلا فإنها لو وجدت ما لا يكفي لغسلها و وضوئها معا فإنها تستعمله فيما يكفيه و تتيمم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يخفي أن المتبادر من قوله سبحانه فَلَمْ تَجِدُوا ماءً كون المكلف غير واجد للماء بأن يكون في موضع لا ماء فيه فيكون ترخيص من وجد الماء و لم يتمكن من استعماله في التيمم لمرض و نحوه مستفادا من السنة المطهرة و يكون المرضي غير داخلين في خطاب فَلَمْ تَجِدُوا لأنهم يتيممون و إن وجدوا الماء</w:t>
      </w:r>
      <w:r>
        <w:rPr>
          <w:rStyle w:val="FootnoteAnchor"/>
          <w:rtl w:val="true"/>
        </w:rPr>
        <w:footnoteReference w:id="634"/>
      </w:r>
      <w:r>
        <w:rPr>
          <w:rFonts w:ascii="Amiri" w:hAnsi="Amiri" w:eastAsia="Amiri" w:cs="Amiri"/>
          <w:color w:val="111111"/>
          <w:sz w:val="28"/>
          <w:sz w:val="28"/>
          <w:szCs w:val="28"/>
          <w:rtl w:val="true"/>
          <w:lang w:bidi="ar-SA"/>
        </w:rPr>
        <w:t>كذا في كلام بعض المفسرين و يمكن أن يراد بعدم وجدان الماء عدم التمكن من استعماله و إن كان موجودا فيدخل المرضي في خطاب لم تجدوا و يسري الحكم إلي كل من لا يتمكن من استعماله كفاقد الثمن أو الآلة و الخائف من لص أو سبع و نحوهم و هذا التفسير و إن كان فيه تجوز إلا أنه هو المستفاد من كلام محققي المفسرين من الخاصة و العامة كالشيخ الطبرسي و صاحب الكشاف و أيضا فهو غير مستلزم لما هو خلاف الظاهر من تخصيص خطاب فَلَمْ تَجِدُوا بغير المرضي مع ذكر الأربعة علي نسق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الفقهاء اختلفوا فيمن وجد من الماء ما لا يكفيه للطهارة إلا</w:t>
      </w:r>
    </w:p>
    <w:p>
      <w:pPr>
        <w:pStyle w:val="BookText"/>
        <w:rPr/>
      </w:pPr>
      <w:r>
        <w:rPr>
          <w:rFonts w:ascii="IRNazanin" w:hAnsi="IRNazanin" w:eastAsia="IRNazanin"/>
          <w:color w:val="111111"/>
          <w:sz w:val="28"/>
          <w:sz w:val="28"/>
          <w:szCs w:val="28"/>
          <w:rtl w:val="true"/>
          <w:lang w:bidi="fa-IR"/>
        </w:rPr>
        <w:t>هم چنین به خاطر عدم وجوب شرط توالی و پشت سرهم انجام دادن اعمال در غسل، درست بر خلاف شخص بی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موالات را رعایت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نظر قابل اعتماد آن است که علامه در التذکرة و المنتهی مبنی بر عدم وجود فرق بین جُنب و بی وضو و به خاطر عدم توانِ انجام طهارت با آب ذکر کرده است، و این نظر را به فقها نسبت داده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با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ساقط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پوشیده نیست که بحث بر سر کسانی است که مکلّف به انجام یک طهارت واحد هستند، یعنی شخص جنب و شخص بی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گرفتار حدث 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به آنها اشاره شده است، امّا مثلاً حائض اگر به آبی دست یابد که همزمان برای غسل و وضوی او کفایت نکند، پس از آن آب به اندازه کفایت استفاده کرده و در دیگری تیمّم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پنهان نیست آنچه از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تجدوا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می شود این است که شخص مکلّف، به آب دست نیابد به این ترتیب که در مکانی باشد که آب در آن یافت نمی شود؛ بنابراین اجازه تیمّم به کسی که به آب دسترسی دارد ولی به خاطر مریضی و امثال آن توانایی استعمال آب را ندارد، براساس استفاده از سنّت مطهّره است و روی خطاب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اشخاص مریض نیست، چرا که آنها اگر به آب دسترسی نیز داشته باشند تیمّم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کلام یکی از مفسران این گونه ذکر شده است، ولی ممکن است مقصود از عدم دسترسی به آب، عدم توانایی استعمال آن در صورت موجود بودنش باشد، که در این صورت اشخاص مریض نیز در جمله مخاطبان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گیرند و حُکم، تمام کسانی که توان استعمال آب را ندارند نیز شامل می شود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هزینه یا ابزار تهیه آب را ندارد، کسی که از وجود دزد یا حیوانات درّنده و امثال این ها بیمناک است؛ این تفسیر اگر چه مجاز است امّا در آن از کلام دو مفسّر محقّق شیعه و سنی مانند شیخ طبرسی و صاحب تفسیر الکشاف استفاده شده است، همچنین این تفسیر مستلزم مخالفت با ظاهر خطاب و تخصیص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اشخاص غیر مریض نیست؛ در حالی که هر 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مریضی، سفر، قضای حاجت و 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یک شیوه واحد هستند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آگاه باش که فقها دچار اختلاف شده اند در مورد کسی که به آبی دسترسی پیدا می کند که او را برای طهارت و پاک شدن کفایت نمی کند مگر با </w:t>
      </w:r>
    </w:p>
    <w:p>
      <w:pPr>
        <w:pStyle w:val="BookText"/>
        <w:rPr/>
      </w:pPr>
      <w:r>
        <w:rPr>
          <w:rFonts w:ascii="Amiri" w:hAnsi="Amiri" w:eastAsia="Amiri" w:cs="Amiri"/>
          <w:color w:val="111111"/>
          <w:sz w:val="28"/>
          <w:sz w:val="28"/>
          <w:szCs w:val="28"/>
          <w:rtl w:val="true"/>
          <w:lang w:bidi="ar-SA"/>
        </w:rPr>
        <w:t>بمزجه بالمضاف بحيث لا يخرج من الإطلاق هل يجب عليه المزج و الطهارة به أم يجوز له ترك المزج و اختيار التيمم فجماعة من المتأخرين كالعلامة و أتباعه علي الأول و جمع من المتقدمين كالشيخ و أتباعه علي الثاني و لعل ابتناء القولين علي التفسيرين السابقين فالأول علي الثاني و الثاني علي الأول إذ يصدق علي من هذا حاله أنه غير واجد لما يكفيه للطهارة علي الأول فيندرج تحت قوله سبحانه فلم تجدوا ماء بخلاف الثاني فإنه متمكن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المحققين بني القول الأول علي كون الطهارة بالماء واجبا مطلقا فيجب المزج إذ ما لا يتم الواجب المطلق إلا به و هو مقدور واجب و الثاني علي أنها واجب مشروط بوجود الماء و تحصيل مقدمة الواجب المشروط غير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هاهنا إشكالا مشهورا و هو أنه سبحانه جمع بين هذه الأشياء في الشرط المرتب عليه جزاء واحد هو الأمر بالتيمم مع أن سببية الأولين للترخص بالتيمم و الثالث و الرابع لوجوب الطهارة عاطفا بينها بأو المقتضية لاستقلال كل واحد منها في ترتب الجزاء مع أنه ليس كذلك إذ متي لم يجتمع أحد الآخرين مع واحد من الأولين لم يترتب الجزاء و هو وجوب التيمم‌</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فكما أشرنا قبل ذلك، المريض في باب الطهارة هو الذي يضر به الماء و عابر السبيل و من كان علي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تلبس بالضرب في الأرض و هو بعد علي ظهر الطريق و الجنابة هي الحالة التي تتعقب انزال 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بالاحتلام أو الاستمناء أو الجماع، و الذي جاء من الغائط هو الذي راح الي البراز فبال أو خرئ أو أخرج الفسوة من معائه، و اللامس للنساء هو الذي باشر زوجته في القبل بالجماع أنزل أو لم ينزل، بمعني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الانزال خارج عن مفهوم الملامسة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فمعني آية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تَقْرَبُوا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الصلوات بمعني المساجد علي ما عرفت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سُكاري، وَ لا جُنُباً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تَغْتَسِلُوا و تطهروا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حالكونكم عابري سبيل علي ظهر الطريق لا يمكنكم التخلف عن القافلة لاستعمال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من يسافر في السكك الحديدية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لكم الدخول في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أنّه يجب عليكم حينئذ التيمم كما سنبينه بعدئذ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كُنْتُمْ مَرْضي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الذي ذكرنا من حكم الاغتسال و التطهر مخصوص بحال الاختيار، و اما ان كنتم حين الجنابة مرضي يضر بكم استعمال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عَلي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يمهلكم الاستعجال لتخلون و تغتسلون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جاءَ أَحَدٌ مِنْكُمْ مِنَ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هنا يفيد بقرينة المقام الإضراب، حيث ان المجي‌ء من الغائط و هو الحدث الأصغر يقابل الجنابة و هي الحدث الأكبر، فكأنّه أضرب و استأنف عنوان المحدث بالحدث الأصغر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تكونوا جنبا، بل جاء أحد منكم من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لامَسْتُمُ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بالمباشرة و التقاء الختانين فلم تجدوا ماء للتطهير و الوضوء فتيمموا صعيدا 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آية المائدة لكنها أوضح من آية النساء، و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آمنوا إذا قمتم الي الصلاة فتوضئوا و ان كنتم جنبا فاطهروا، فيفيد بالمقابلة أن الوضوء انما يجب علي من لم يكن جنبا، بل كان محدثا بالحدث الأصغر، كما يفهم من ذيل الآية الكريمة مع ما تقدم من نزول آية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كنتم حين الجنابة مرضي أو علي سفر إلي آخر ما مر في ذيل آية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الجنابة غير الملامسة بمعني التقاء الختانين فكما هو ظاهر مفهوم من اللفظ، فهو مسلم من السياق حيث ان الجنابة عدت منفردة كما عدت الملامسة، فلو كانت الملامسة بمعني التقاء الختانين داخلة في مفهوم الجنابة و عنوانها، لكان مستغني عنها، كيف و قد ذكرت في سياق الحدث الأصغر و هو المجي‌ء من الغائط، معطوفة عليه بأو المقتضية لاستقلالها؟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الجنب كما يظهر من الاخبار كان يطلق في عرف العرب و لسانهم علي من أنزل و صار قذرا بعيدا من الطهارة، و لذلك كانوا يغتسلون منها اتباعا لسنة إبراهيم الخليل عليه السّلام و أمّا المباشرة من دون انزال و أقله بالتقاء الختانين و غيبوبة الحشفة فلا يعدونها موجبة للقذارة، و لذلك كانوا يختصمون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الماء من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فعلي هذا لا تكون الملامسة داخلة في مفهوم الجنابة لا لغة و منطوقا، و لا عرفا و اطلاقا فوجب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فحكم الملامسة في حال الاضطرار كالمجي‌ء من الغائط، اذا لم يجدا ماء يجب عليهما التيمم، و اما في حال الاختيار، فالآية الكريمة ساكتة عن ذلك غير أنّها ملحقة بالجنابة بدليل السنة، و سيجي‌ء أخباره في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آمیختن آن با مضاف، البته با علم به این مطلب که این آمیختن آب را از مطلق بودن خارج نمی سازد، آیا بر او واجب است که آب را آمیخته سازد و با آن خود را پاک گرداند یا اینکه جایز است آب قلیل را رها سازد و تیمّم را برگزیند؟ گروهی از فقهای معاصر مانند علّامه و پیروان او به قسمت اول سوال اعتقاد دارند، و گروهی از فقهای پیشین مانند شیخ و پیروان او به قسمت دوّم سوال باور دارند، و شاید این دو نظر مبتنی بر دو تفسیر سابق هستند، نظر اوّل براساس تفسیر دوّم و نظر دوّم براساس تفسیر اوّل، به طوری که براساس نظر اوّل تصدیق می شود که کسی که چنین حالی دارد به آب کافی برای طهارت و پاک گرداندن خود دسترسی ندارد، پس در ذیل این فرموده خداوند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تجدوا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 برخلاف حالت دوّم که توانایی دسترسی به آب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عدّه ا ی از محقّقان نظر نخست را بر این امر بنیان نهاده اند که طهارت با آب مطلقاً واجب می باشد، پس آمیختن آب با چیز دیگر نیز واجب می باشد چرا که آنچه واجب مطلق جز با وجود آن کامل نمی گردد واجب است، و نظر دوّم را نیز براین امر بنیان نهاده اند که طهارت واجبی است که مشروط به وجود آب می باشد و حصول مقدّمه واجب مشروط واجب نیست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که در اینجا اشکال مشهوری وجود دارد به این ترتیب که خداوند سبحان میان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مریضی، سفر، قضای حاجت و 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شرطی که یک جزای واحد بر آن مترتّب است با هم گِرد آورده است و آن جزای واحد، امر به تیمّم است با این که سبب بودن مورد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مریضی و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ترخّص به تیمم و مورد سوم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حاجت و 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وجوب طهارت را با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کرده است که ایجاب می کند هریک از آنها در ترتب اجزاء از یکدیگر مستقل باشند، با این که چنین نیست، زیرا وقتی یکی از دو مورد سوم و چهارم با یکی از دو مورد اول ودوم جمع نشود جزاء که وجوب تیمم است نیز بر آنها مترتب نمی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أجيب عنه بوجوه الأول ما أومأنا إليه سابقا من أن أو في قوله تعالي</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ذکر چند وجه به این ابهام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پیش تر به آن اشاره کردیم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فرموده </w:t>
      </w:r>
    </w:p>
    <w:p>
      <w:pPr>
        <w:pStyle w:val="BookText"/>
        <w:rPr/>
      </w:pPr>
      <w:r>
        <w:rPr>
          <w:rFonts w:ascii="Amiri" w:hAnsi="Amiri" w:eastAsia="Amiri" w:cs="Amiri"/>
          <w:color w:val="111111"/>
          <w:sz w:val="28"/>
          <w:sz w:val="28"/>
          <w:szCs w:val="28"/>
          <w:rtl w:val="true"/>
          <w:lang w:bidi="ar-SA"/>
        </w:rPr>
        <w:t>أَوْ جاءَ بمعني الواو</w:t>
      </w:r>
      <w:r>
        <w:rPr>
          <w:rStyle w:val="FootnoteAnchor"/>
          <w:rtl w:val="true"/>
        </w:rPr>
        <w:footnoteReference w:id="636"/>
      </w:r>
      <w:r>
        <w:rPr>
          <w:rFonts w:ascii="Amiri" w:hAnsi="Amiri" w:eastAsia="Amiri" w:cs="Amiri"/>
          <w:color w:val="111111"/>
          <w:sz w:val="28"/>
          <w:sz w:val="28"/>
          <w:szCs w:val="28"/>
          <w:rtl w:val="true"/>
          <w:lang w:bidi="ar-SA"/>
        </w:rPr>
        <w:t>كما قيل في قوله تعالي وَ أَرْسَلْناهُ إِلي مِائَةِ أَلْفٍ أَوْ يَزِيدُونَ‌</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و هذا القولان الأخيران غير مرضيين عند المحققين، و أجود الأقوال الثاني، انتهي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قال البيضاوي وجه هذا التقسيم أن المترخص بالتيمم إما محدث أو جنب و الحال المقتضية له في غالب الأمر إما مرض أو سفر و الجنب لما سبق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در 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أرسلنا إلی مائة ألفٍ أو یزیدون</w:t>
      </w:r>
      <w:r>
        <w:rPr>
          <w:rFonts w:eastAsia="IRNazanin" w:cs="IRNazanin"/>
          <w:color w:val="111111"/>
          <w:sz w:val="28"/>
          <w:szCs w:val="28"/>
          <w:rtl w:val="true"/>
          <w:lang w:bidi="fa-IR"/>
        </w:rPr>
        <w:t>»</w:t>
      </w:r>
      <w:r>
        <w:rPr>
          <w:rStyle w:val="FootnoteAnchor"/>
          <w:rtl w:val="true"/>
        </w:rPr>
        <w:footnoteReference w:id="6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را به سوی یکصد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از ساکنان 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بیشتر روانه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نمونه ای ذکر شده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 تقسیم بندی آن است که اجازه تیمّم به دو گروه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بی وضو، یا افراد جُنب؛ و در غالب موارد یا در سفر این پیش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مریض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حال جنب به دلیلی که گذشت </w:t>
      </w:r>
    </w:p>
    <w:p>
      <w:pPr>
        <w:pStyle w:val="BookText"/>
        <w:rPr/>
      </w:pPr>
      <w:r>
        <w:rPr>
          <w:rFonts w:ascii="Amiri" w:hAnsi="Amiri" w:eastAsia="Amiri" w:cs="Amiri"/>
          <w:color w:val="111111"/>
          <w:sz w:val="28"/>
          <w:sz w:val="28"/>
          <w:szCs w:val="28"/>
          <w:rtl w:val="true"/>
          <w:lang w:bidi="ar-SA"/>
        </w:rPr>
        <w:t>ذكره اقتصر علي بيان حاله و الحدث لما لم يجر ذكره ذكر من أسبابه ما يحدث بالذات و ما يحدث بالعرض و استغني عن تفصيل أحواله بتفصيل حال الجنب و بيان العذر مجملا و كأنه قيل و إن كنتم جنبا مرضي أو علي سفر أو محدثين جئتم من الغائط أو لامستم النساء فلم تجدوا ماء و هذا الوجه لا يوافق ما ثبت عندنا من أن المراد بالملامسة الجماع‌</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قال في الكشاف جوابا عن هذا الإشكال قلت أراد سبحانه أن يرخص للذين وجب عليهم التطهر و هم عادمون للماء في التيمم بالتراب فخص أولا من بينهم مرضاهم و سفرهم لأنهم المتقدمون في استحقاق بيان الرخصة لهم لكثرة السفر و المرض و غلبتهما علي سائر الأسباب الموجبة للرخصة ثم عم كل من وجب عليه التطهر و أعوزه الماء لخوف عدو أو سبع أو عدم آلة استقاء أو إزهاق في مكان لا ماء فيه أو غير ذلك مما لا يكثر كثرة المرض و السفر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 توضيح كلامه إن القصد إلي الترخيص في التيمم لكل من وجب عليه التطهر و لم يجد الماء فقيد عدم الوجدان راجع إلي الكل و قيد وجوب التطهر المكني عنه بالمجي‌ء من الغائط أو الملامسة اللذين هما من أغلب أسباب وجوب التطهر معتبر في الكل حتي المرضي و المسافرين و ذكرهما تخصيص بعد التعميم بناء علي زيادة استحقاقهما للترخيص و غلبة المرض و السفر علي سائر أسباب الرخصة فكأنه قيل إن جاء أحد منكم من الغائط أو لامستم النساء فلم تجدوا ماء خصوصا المرضي و المسافرين فتيمموا و وجه سببية مضمون الشرط لمضمون الجزاء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ينبغي أن يعتبر عدم وجدان الماء بعدم القدرة علي استعماله ليفيد ترخيص المريض الواجد للماء العاجز عن الاستعمال و يصح أن المرض سبب من الأسباب الغالبة و إلا فهو باعتبار العجز عن الحركة و الوصول إلي الماء</w:t>
      </w:r>
    </w:p>
    <w:p>
      <w:pPr>
        <w:pStyle w:val="BookText"/>
        <w:rPr/>
      </w:pPr>
      <w:r>
        <w:rPr>
          <w:rFonts w:ascii="IRNazanin" w:hAnsi="IRNazanin" w:eastAsia="IRNazanin"/>
          <w:color w:val="111111"/>
          <w:sz w:val="28"/>
          <w:sz w:val="28"/>
          <w:szCs w:val="28"/>
          <w:rtl w:val="true"/>
          <w:lang w:bidi="fa-IR"/>
        </w:rPr>
        <w:t xml:space="preserve">ذکر شده اما حدث به دلیل اینکه ذکر نشده به ذکر اسبابش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بالذات محدث شود ویا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شده، و با بیان تفصیل حال جنب و بیان اجمالی عذر از بیان تفصیل حال محدث بی نیاز شده و گویی که چنین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جنبی بودید که مریض است یا در سفر است یا محدث به مدفوع بودید یا نزدیکی با زنان کردید و آب نیافتید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وجه با آنچه نزد ما ثابت شده است مبنی بر این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و نزدیکی کردن است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در الکشاف در پاسخ به این ابهام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اراده فرموده است به کسانی که پاک بودن و طهارت بر آنان واجب است ولی دسترسی به آب ندارند اجازه دهد که با خاک تیمّم کنند، پس در ابتدا افراد مریض و مسافر را از میان آنان ذکر کرده است، چرا که این دو گروه به خاطر فراوانی مسافرت و مریضی و غلبه این دو سبب بر سایر اسبابی که موجب رخصت تیمّم می گردند، استحقاق آن را دارند که در بیان رخصت پیشگام باشند، سپس به صورت عمومی تمام کسانی را ذکر فرموده که طهارت بر آنان واجب است ولی به خاطر ترس از دشمن یا درندّگان، یا عدم دست یابی به ابزار طلب آب یا قرار گرفتن در مکانی که در آن آب وجود ندارد و یا هر دلیل دیگر از یافتن آب عاجزند، البته واضح است که فراوانی این اسباب به فراوانی مرض و سفر نیست، پایان سخن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کلام صاحب الکشاف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مقصود، اجازه تیمّم به تمام کسانی است که طهارت بر آنان واجب است ولی به آب دسترسی ندارند، پس شرط عدم یافتن آب به همه باز می گردد، و شرط وجوب مطهّر بودن که به کنایه از آن به بازگشت از قضای حاجت یا ملامسه یاد شده و از بیشترین اسباب وجوب طهارت هستند، در مورد همه حتّی افراد مریض و مسافر نیز معتبر است، و ذکر مرض و سفر از باب ذکر خاصّ بعد از عامّ است، بر این اساس که بیشترین استحقاق را برای بیان رخصت تیمّم دارا هستند و بر سائر اسبابی که موجب رخصت تیمّم می شوند غلبه دارند، پس گویی که چنین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یکی از شما مدفوع کرد یا با زنان نزدیکی کرد و آبی نیافت خصوصاً مریض ها و مسافرین باید تیمم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وجه سببیّت مضمون شرط برای مضمون جزا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شایسته است که عدم دست یافتن به آب به عدم داشتن توان در استعمال آن پنداشته شود تا مریضی که به آب دسترسی دارد ولی توان استعمال آن را ندارد شامل شود،و درست است که بیماری یکی از اسباب غالبی است که موجب رخصت تیمّم می شود ولی اگر بیماری را عدم قدرت حرکت و رسیدن به آب به شمار آوریم </w:t>
      </w:r>
    </w:p>
    <w:p>
      <w:pPr>
        <w:pStyle w:val="BookText"/>
        <w:rPr/>
      </w:pPr>
      <w:r>
        <w:rPr>
          <w:rFonts w:ascii="Amiri" w:hAnsi="Amiri" w:eastAsia="Amiri" w:cs="Amiri"/>
          <w:color w:val="111111"/>
          <w:sz w:val="28"/>
          <w:sz w:val="28"/>
          <w:szCs w:val="28"/>
          <w:rtl w:val="true"/>
          <w:lang w:bidi="ar-SA"/>
        </w:rPr>
        <w:t>من الأسباب النادرة لا الغالبة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جعل عدم الوجدان قيدا للجميع لا يخلو من شي‌ء لأنه إذا جمع بين الأشياء في سلك واحد و يكون شي‌ء واحد و هو عدم الوجدان قيدا للجميع كان المناسب أن يكون لكل واحد منها مع قطع النظر عن القيد مناسبة ظاهرة مع الترخيص بالتيمم و ذلك منتف في الآخرين إلا عند جعل عدم الوجدان قيدا مختصا و كلام صاحب الكشاف غير آب عن ذلك فالأحسن أن يقال قوله سبحانه فَلَمْ تَجِدُوا ماءً قيد للأخيرين مختص بهما لكنه في الأولين مراد بمعاونة المقام فإنه سبحانه لما أمر بالوضوء و الغسل كان هاهنا مظنة سؤال يخطر بالبال فكأن سائلا يقول إذا كان الإنسان مسافرا لا يجد الماء أو مريضا يخاف من استعماله الضرر فما حكمه فأجاب جل شأنه ببيان حكمه و ضم سائر المعذورين فكأنه قال و إن كنتم في حال الحدث و الجنابة مرضي تستضرون باستعمال الماء أو مسافرين غير واجدين للماء أو كنتم جنبا أو محدثين غير واجدين للماء و إن لم تكونوا مرضي أو علي سفر فتيمموا صعيدا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التصريح بالجنابة و الحدث ثانيا مع اعتبارهما في المريض و المسافر أيضا لئلا يتوهم اختصاص الحكم المذكور بالجنب لكونه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في قوله سبحانه أو لامستم النساء في موقع كنتم جنبا مع التفنن و الخروج عن التكرار تنبيه علي أن الأمر هاهنا ليس مبنيا علي استيفاء الموجب في ظاهر اللفظ فلا يتوهم أيضا حصر موجب الوضوء في المجي‌ء من الغائط و علي كل حال فيه تنبيه علي أن كونهم محدثين ملحوظ في إيجاب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جل و علا فَتَيَمَّمُوا صَعِيداً طَيِّباً أي اقصدوا صعيدا و اختلف كلام أهل اللغة في الصعيد</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و قد يعبر عنه بما ارتفع من الأرض، فيشتبه علي من لا دراية له في اللغة أن المراد به الموضع المرتفع كالربوة و الاكمة، مع أن المراد به الغبار المرتفع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قول ثعلب و من حذا حذوه بأن المراد بالصعيد مطلق وجه الأرض لكونه نهاية ما يصعد من باطن الأرض، فهو مدخول كدليله، فان باطن الأرض لا يصعد الي ظاهره و هو ظاهر، و نقل الجوهريّ عنه استدلاله بقوله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فَتُصْبِحَ صَعِيداً زَلَقاً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المراد به الرماد الحاصل بعد احتراق الجنة بالصاعقة و ظاهر أن الرماد صعيد كالتراب الا أن التراب صعيد طيب و الرماد صعيد زلق أي غير طيب، و مثله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لَجاعِلُونَ ما عَلَيْها صَعِيداً جُرُزاً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حيث ان المراد بما عليها الاشجار و النباتات و سائر ما اتخذ منها من الجنان، و ان اللّه جاعلها قبل يوم القيامة كالسبخة التي لا تنبت الا الحشيش و الاشواك، و لا يري عليها الا أثر النباتات و أصول الاشجار المجروزة عن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معني التيمم القصد و الطلب للاخذ، و الصعيد هو التراب بعد ارتفاعه من الأرض، لم يكن يقدر المكلف علي طلب الغبار الا بأن يضرب باطن يديه علي الصعيد و هو التراب المنتفش ليصعد الغبار منه، فحينئذ ما يصعد من تحت يديه يعلق بباطن كفيه، و ما صعد من جوانب كفيه يصعد الي الهواء، و لذلك أمر أهل البيت عليهم الصلاة و السلام بأن يضرب المتيمم بباطن كفيه علي الأرض، دون أن يمسح أو يأخذ منه بوجه آخر، فافهم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اسباب نادره خواهد بود نه غالبه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که قرار دادن عدم دست یافتن به آب به عنوان قید و شرط برای همه خالی از اشکال نیست، به خاطر اینکه آن گاه که امور مختلف در یک ردیف و سِلک واحد گِرد هم می آیند و یک امر واحد که عدم دست یافتن به آب است به عنوان قید و شرط برای همه مطرح می شود، مناسب آن است که قید برای هریک از آن امور باشد با قطع نظر از قید و شرط، با اجازه تیمّم تناسب آشکاری داشته باشد، و این مسأله در دو مورد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حاجت و 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است مگر زمانی که عدم دست یافتن به آب به عنوان قید و شرطی مخصوص قرار داده شود، و کلام صاحب الکشاف،آن را رد نمی کند، پس بهتر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تجدوا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قید برای دو مورد اخیر ذکر شده است و مخصوص آن دو می باشد، امّا در دو مورد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مرض و مسافرت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معاونت مقام، اراده شده است؛ بنابراین خداوند سبحان هنگامی که به وضوء و غسل امر می فرماید، در این جا سؤالی به ذهن خطور می کند، پس گویا که سؤال کننده ای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مسافر باشد و به آب دسترسی نداشته باشد و یا بیمار باشد و بیم آن داشته باشد که استعمال آب به او زیان می رساند، حُکم این گونه موارد چیست؟ خداوند متعال با بیان حُکم به این سؤال پاسخ فرموده و سایر کسانی که دارای عذر هستند را نیز در این حکم شریک می گرداند، پس گویا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حالت بی وضویی و جنابت، مریض بودید و بیم آن داشتید که با استعمال آب دچار ضرر می  شوید، و یا مسافر بودید و به آب دسترسی نداشتید، یا جُنب یا بی وضو بودید و به آب دسترسی نداشتید – اگر چه مریض و یا مسافر نباشید – پس با خاک تیمّم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کردن جنابت و بی وضویی برای بار دوّم و با وجود برشمردن آنها به هنگام بیان حکم بیمار و مسافر به این خاطر است که توهّم اختصاص حکم مذکور به جنب ایجاد نشود، چرا که پس از آن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لامستم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وضعیتی که جنب بودید با تنوع و خروج از تکرار، آگاهی دادن به این موضوع است که امر در اینجا بر مبنای استیفای موجب در ظاهر لفظ نیست پس نباید توهم شود که موجب وضو در آمدن از غائط، محصور شده است؛ در هر حال، در آن آگاهی دادنی است بر این که آنها محدث هستند و آن در واجب کردن وضوء لحاظ می 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فتیمّموا صعیداً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تیمّم قصد خاک کنید، و زبان شناسان در مورد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فبعضهم كالجوهري قال هو التراب و وافقه ابن فارس في المجمل و نقل ابن دريد في الجمهرة عن أبي عبيدة أنه التراب الخالص الذي لا يخالطه سبخ و لا رمل و نقل الطبرسي عن الزجاج أن الصعيد ليس هو التراب إنما هو وجه الأرض ترابا كان أو غيره سمي صعيدا لأنه نهاية ما يصعد من باطن الأرض و قريب منه ما نقله الجوهري عن ثعلب و كذا ما نقل المحقق في المعتبر عن الخليل عن ابن الأعرابي و لاختلاف أهل اللغة في الصعيد اختلف فقهاؤنا في التيمم بالحجر لمن تمكن من التراب فمنعه المفيد و أتباعه لعدم دخوله في اسم الصعيد و جوز</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آنان مانند جوهری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است؛ ابن فارس نیز در المجمل با این نظر موافق است، و ابن درید در الجمهرة از ابوعبیده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صعید، خاک خالصی است که شوره زار یا ریگ با آن در نیامیخته باشد، و طبرسی از الزّجاج نقل کرده که صعید به معنای خاک نیست، بلکه به معنای سطح زمین است خواه خاک باشد یا غیرآن؛ و صعید نامیده شده است به خاطر اینکه نهایت آن چیزی است که از دل و باطن زمین به سوی سطح آن صعود می کند؛ آنچه جوهری از ثعلب روایت کرده است نیز به این معنا نزدیک است، و آنچه محقّق در المعتبر از خلیل و او نیز از ابن الإعرابی روایت کرده است نیز به این معنا نزدیک است، و به خاطر اختلاف زبان شناسان بر سر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فقهای ما نیز بر سر جواز تیمّم با سنگ برای کسی  که امکان استفاده از خاک برای او فراهم است دچار اختلاف شده اند، پس شیخ مفید و پیروان او تیمّم با سنگ را به خاطر عدم قرار داشتن سنگ در محدوده معنایی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دانسته اند، </w:t>
      </w:r>
    </w:p>
    <w:p>
      <w:pPr>
        <w:pStyle w:val="BookText"/>
        <w:rPr/>
      </w:pPr>
      <w:r>
        <w:rPr>
          <w:rFonts w:ascii="Amiri" w:hAnsi="Amiri" w:eastAsia="Amiri" w:cs="Amiri"/>
          <w:color w:val="111111"/>
          <w:sz w:val="28"/>
          <w:sz w:val="28"/>
          <w:szCs w:val="28"/>
          <w:rtl w:val="true"/>
          <w:lang w:bidi="ar-SA"/>
        </w:rPr>
        <w:t>الشيخ في المبسوط و المحقق و العلامة التيمم بالحجر نظرا إلي دخوله تحت الصعيد المذكور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المفسرون في المراد بالطيب فيها فبعضهم علي أنه الطاهر و بعضهم علي أنه الحلال و آخرون علي أنه المنبت دون ما لا ينبت كالسبخة و أيدوه بقوله تعالي وَ الْبَلَدُ الطَّيِّبُ يَخْرُجُ نَباتُهُ بِإِذْنِ رَبِّهِ‌</w:t>
      </w:r>
      <w:r>
        <w:rPr>
          <w:rStyle w:val="FootnoteAnchor"/>
          <w:rtl w:val="true"/>
        </w:rPr>
        <w:footnoteReference w:id="641"/>
      </w:r>
      <w:r>
        <w:rPr>
          <w:rFonts w:ascii="Amiri" w:hAnsi="Amiri" w:eastAsia="Amiri" w:cs="Amiri"/>
          <w:color w:val="111111"/>
          <w:sz w:val="28"/>
          <w:sz w:val="28"/>
          <w:szCs w:val="28"/>
          <w:rtl w:val="true"/>
          <w:lang w:bidi="ar-SA"/>
        </w:rPr>
        <w:t>و الأول هو مختار مفسري أصحابنا قدس الله أرواحهم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فَامْسَحُوا بِوُجُوهِكُمْ قد يدعي أن فيه دلالة علي أن أول أفعال التيمم مسح الوجه لعطفه بالفاء التعقيبية علي قصد الصعيد من دون توسط الضرب علي الأرض فيتأيد به ما ذهب إليه العلامة في النهاية من جواز مقارنة نية التيمم لمسح الوجه و أن ضرب اليدين علي الأرض بمنزلة اغتراف الماء في الوضوء و فيه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الباء في قوله سبحانه بِوُجُوهِكُمْ للتبعيض كما مر في حديث زرارة و قد تقدم الكلام في كون الباء للتبعيض في باب كيفية الوضوء</w:t>
      </w:r>
      <w:r>
        <w:rPr>
          <w:rStyle w:val="FootnoteAnchor"/>
          <w:rtl w:val="true"/>
        </w:rPr>
        <w:footnoteReference w:id="642"/>
      </w:r>
      <w:r>
        <w:rPr>
          <w:rFonts w:ascii="Amiri" w:hAnsi="Amiri" w:eastAsia="Amiri" w:cs="Amiri"/>
          <w:color w:val="111111"/>
          <w:sz w:val="28"/>
          <w:sz w:val="28"/>
          <w:szCs w:val="28"/>
          <w:rtl w:val="true"/>
          <w:lang w:bidi="ar-SA"/>
        </w:rPr>
        <w:t xml:space="preserve">فالواجب في التيمم مسح بعض الوجه و بعض اليدين كما ذهب إليه جمهور علمائنا و أكثر الروايات ناطقة به و ذهب علي بن بابويه رحمه الله إلي وجوب استيعاب الوجه و اليدين إلي المرفقين كالوضوء عملا ببعض الأخبار و مال المحقق في المعتبر إلي التخيير بين استيعاب الوجه و اليدين و بين الاكتفاء ببعض كل منهما كالمشهور و مال العلامة في المنتهي إلي استحباب الاستيعاب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العامة فمختلفون أيضا فالشافعي يقول بمقالة علي بن بابويه و ابن حنبل باستيعاب الوجه فقط و الاكتفاء بظاهر الكفين و لأبي حنيفة قولان أحدهما كالشافعي و الآخر الاكتفاء بأكثر أجزاء الوجه و اليدين و ذهب الزهري منهم إلي وجوب مسح اليدين إلي الإبطين لأنهما حدا في الوضوء إلي المرفقين</w:t>
      </w:r>
    </w:p>
    <w:p>
      <w:pPr>
        <w:pStyle w:val="BookText"/>
        <w:rPr/>
      </w:pPr>
      <w:r>
        <w:rPr>
          <w:rFonts w:ascii="IRNazanin" w:hAnsi="IRNazanin" w:eastAsia="IRNazanin"/>
          <w:color w:val="111111"/>
          <w:sz w:val="28"/>
          <w:sz w:val="28"/>
          <w:szCs w:val="28"/>
          <w:rtl w:val="true"/>
          <w:lang w:bidi="fa-IR"/>
        </w:rPr>
        <w:t xml:space="preserve">ولی شیخ در المبسوط و محقّق و علّامه با توجه به قرار داشتن سنگ در محدوده معنایی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ذکر شده است، تیمّم با آن را جایز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بر سر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مذکور چیست اختلاف نظر دارند، برخی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پاک و برخی دیگر به معنای حلال می دانند، عدّه ای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زمین رویاننده گیاه می دانند نه شوره زار که گیاه درآن نمی روید و نظر خود را با این فرموده خداوند متعال تأیید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البلد الطیّب یخرج نباته بإذن ربّه</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زمین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گیاهش به اذن پروردگارش برمی‌آید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مفّسران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نخست را برگزیده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ادّعا  شده است که در این فرموده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فامسحوا بوجوهکم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دلالتی وجود دارد بر اینکه نخستین عملی که در تیمّم انجام می شود مسح صورت است، چرا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تعقیب بلافصل از آن استفاده می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تیمّموا صعیداً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داده شده است بدون اینکه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دو دست 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دو فاصله انداخته باشد، پس نظر علّامه که در النهایة مذکور شده با این تفسیر تأیید می شود آن گاه که حکم به جواز هم زمانی نیّت تیمّم با مسح صورت می دهد و اینکه کوبیدن دو دست بر روی زمین به منزله برداشتن آب با کف دست در وضو می باشد، و در این سخن نظراتی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است، چنان که در حدیث زرارة نیز نقل گردید و در باب کیفیّت وضو گرفتن</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 xml:space="preserve">از اینکه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معنای تبعیض می کند سخن به میان آمد، پس بنا به نظر جمهور علمای ما و بنا بر بیشتر روایاتی که به سخن در این باره پرداخته اند امور واجب در تیمّم، مسح قسمتی از صورت و قسمتی از دست می باشد، ولی علی بن بابویه رحمه الله با عمل به برخی از احادیث به وجوب مسح نمودن کامل صورت و دست ها تا آرنج اعتقاد دارد درست مانند وضو؛ و محقّق در المعتبر به داشتن اختیار در مسح کامل صورت و دستها و یا اکتفا نمودن به قسمتی از صورت و دستها تمایل دارد، علّامه در المنتهی به استحباب مسح کامل تمایل دارد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عامة نیز در این زمینه اختلاف نظر دارند، شافعی به نظر علی بن بابویه اعتقاد دارد، و ابن حنبل فقط به مسح کامل صورت و اکتفاء به مسح پشت دو دست اعتقاد دارد، ولی از ابو جنیفه دو سخن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مانند نظر شافعی ، و دیگری اکتفاء نمودن به مسح بیشتر قسمت های صورت و دو دست؛ در میان آنان الزهریّ به وجوب مسح دو دست تا زیر بغل اعتقاد دارد، چرا که حدود دستها در وضو گرفتن تا آرنج ها مشخص شده است </w:t>
      </w:r>
    </w:p>
    <w:p>
      <w:pPr>
        <w:pStyle w:val="BookText"/>
        <w:rPr/>
      </w:pPr>
      <w:r>
        <w:rPr>
          <w:rFonts w:ascii="Amiri" w:hAnsi="Amiri" w:eastAsia="Amiri" w:cs="Amiri"/>
          <w:color w:val="111111"/>
          <w:sz w:val="28"/>
          <w:sz w:val="28"/>
          <w:szCs w:val="28"/>
          <w:rtl w:val="true"/>
          <w:lang w:bidi="ar-SA"/>
        </w:rPr>
        <w:t>و لم يحدا في التيمم بشي‌ء فوجب استيعاب ما يصدق عليه اليد و هذا القول مما انعقد إجماع الأمة علي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كلمة من في قوله سبحانه منه في الآية الثانية تحتمل أربعة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أنها لابتداء الغاية و الضمير عائد إلي الصعيد فالمعني أن المسح يبتدئ من الصعيد أو من الضرب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للسببية و ضمير منه للحدث المفهوم من الكلام السابق كما يقال تيممت من الجنابة و كقوله تعالي مِمَّا خَطِيئاتِهِمْ أُغْرِقُوا</w:t>
      </w:r>
      <w:r>
        <w:rPr>
          <w:rStyle w:val="FootnoteAnchor"/>
          <w:rtl w:val="true"/>
        </w:rPr>
        <w:footnoteReference w:id="645"/>
      </w:r>
      <w:r>
        <w:rPr>
          <w:rFonts w:ascii="Amiri" w:hAnsi="Amiri" w:eastAsia="Amiri" w:cs="Amiri"/>
          <w:color w:val="111111"/>
          <w:sz w:val="28"/>
          <w:sz w:val="28"/>
          <w:szCs w:val="28"/>
          <w:rtl w:val="true"/>
          <w:lang w:bidi="ar-SA"/>
        </w:rPr>
        <w:t>و قول الشاعر و ذلك من نبإ جاءني و قول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يغضي حياء و يغضي من مهابته و يحتمل إرجاع الضمير إلي عدم وجدان الماء و إلي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أنه خلاف الظاهر و متضمن لإرجاع الضمير إلي الأبعد مع إمكان الإرجاع إلي الأقرب مع استلزامه أن يجعل لفظة منه تأكيدا لا تأسيسا إذ السببية تفهم من الفاء و من جعل المسح في معرض الجزاء و تعليقه بالوصف المناسب المشعر بالعلية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أنها للتبعيض و ضمير منه للصعيد كما تقول أخذت من الدراهم و أكلت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تكون للبدلية كما في قوله تعالي أَ رَضِيتُمْ بِالْحَياةِ الدُّنْيا مِنَ الْآخِرَةِ</w:t>
      </w:r>
      <w:r>
        <w:rPr>
          <w:rStyle w:val="FootnoteAnchor"/>
          <w:rtl w:val="true"/>
        </w:rPr>
        <w:footnoteReference w:id="646"/>
      </w:r>
      <w:r>
        <w:rPr>
          <w:rFonts w:ascii="Amiri" w:hAnsi="Amiri" w:eastAsia="Amiri" w:cs="Amiri"/>
          <w:color w:val="111111"/>
          <w:sz w:val="28"/>
          <w:sz w:val="28"/>
          <w:szCs w:val="28"/>
          <w:rtl w:val="true"/>
          <w:lang w:bidi="ar-SA"/>
        </w:rPr>
        <w:t>و قوله سبحانه لَجَعَلْنا مِنْكُمْ مَلائِكَةً فِي الْأَرْضِ يَخْلُفُونَ‌</w:t>
      </w:r>
      <w:r>
        <w:rPr>
          <w:rStyle w:val="FootnoteAnchor"/>
          <w:rtl w:val="true"/>
        </w:rPr>
        <w:footnoteReference w:id="647"/>
      </w:r>
      <w:r>
        <w:rPr>
          <w:rFonts w:ascii="Amiri" w:hAnsi="Amiri" w:eastAsia="Amiri" w:cs="Amiri"/>
          <w:color w:val="111111"/>
          <w:sz w:val="28"/>
          <w:sz w:val="28"/>
          <w:szCs w:val="28"/>
          <w:rtl w:val="true"/>
          <w:lang w:bidi="ar-SA"/>
        </w:rPr>
        <w:t>و قوله جل شأنه لَنْ تُغْنِيَ عَنْهُمْ أَمْوالُهُمْ وَ لا أَوْلادُهُمْ مِنَ اللَّهِ شَيْئاً</w:t>
      </w:r>
      <w:r>
        <w:rPr>
          <w:rStyle w:val="FootnoteAnchor"/>
          <w:rtl w:val="true"/>
        </w:rPr>
        <w:footnoteReference w:id="648"/>
      </w:r>
      <w:r>
        <w:rPr>
          <w:rFonts w:ascii="Amiri" w:hAnsi="Amiri" w:eastAsia="Amiri" w:cs="Amiri"/>
          <w:color w:val="111111"/>
          <w:sz w:val="28"/>
          <w:sz w:val="28"/>
          <w:szCs w:val="28"/>
          <w:rtl w:val="true"/>
          <w:lang w:bidi="ar-SA"/>
        </w:rPr>
        <w:t>أي بدل طاعته أو رحمته و حينئذ يرجع الضمير إلي الماء و المعني فلم تجدوا ماء فتيمموا الصعيد بدل الماء و هذا أيضا لا يخلو من بعد مع أن قوما من النحاة أنكروا</w:t>
      </w:r>
    </w:p>
    <w:p>
      <w:pPr>
        <w:pStyle w:val="BookText"/>
        <w:rPr/>
      </w:pPr>
      <w:r>
        <w:rPr>
          <w:rFonts w:ascii="IRNazanin" w:hAnsi="IRNazanin" w:eastAsia="IRNazanin"/>
          <w:color w:val="111111"/>
          <w:sz w:val="28"/>
          <w:sz w:val="28"/>
          <w:szCs w:val="28"/>
          <w:rtl w:val="true"/>
          <w:lang w:bidi="fa-IR"/>
        </w:rPr>
        <w:t>ولی در تیمّم حدودی برای آنها مشخص نشده است، بنابراین مسح نمودن تمام قسمتهایی که مفهوم دست برآنها صدق می کند واجب است، و این نظری است که جمهور امّت مخالف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دوّم، چهار وجه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برای بیان ابتدای مکانی 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 پس معنا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از خاک و یا با زدن دست بر روی آن آغاز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سبب و علت 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کلام پیشین برداشت می شود باز می گردد، چنان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تیمّمت مِن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جُنب شدن تیمّم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مانند 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خطیئاتهم أغرقوا</w:t>
      </w:r>
      <w:r>
        <w:rPr>
          <w:rFonts w:eastAsia="IRNazanin" w:cs="IRNazanin"/>
          <w:color w:val="111111"/>
          <w:sz w:val="28"/>
          <w:szCs w:val="28"/>
          <w:rtl w:val="true"/>
          <w:lang w:bidi="fa-IR"/>
        </w:rPr>
        <w:t>»</w:t>
      </w:r>
      <w:r>
        <w:rPr>
          <w:rStyle w:val="FootnoteAnchor"/>
          <w:rtl w:val="true"/>
        </w:rPr>
        <w:footnoteReference w:id="6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گناهانشان غرق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سروده 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مِن نبأ جاءنی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سبب خبری بود که به من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سروده فرزدق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یَغضی حیاء و یُغضَی من مهابته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شرم و حیا چشم بر هم می نهد و به سبب هیبت او چشم فروهشته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ممکن است که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وجدان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دسترسی به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مجموع جملات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احتمال ردّ می شود چرا که بر خلاف ظاهر است و متضمّن ارجاع ضمیر به مرجع دورتر می گردد در حالی که امکان ارجاع به مرجع نزدیک تر وجود دارد؛ به علاوه لازم می آید که لفظ منه تأکیدی باشد نه تأسیسی، زیرا سببیت از فاء فهمیده می شود و از قرار دادن مسح در معرض جزاء و تعلیق آن به وصف که مناسب نشان دهنده علیت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تبعیض 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 چنان که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أخذت من الدراهم و أکلت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درهم ها را گرفتم و قسمتی از غذا را خوردم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بدل باشد، چنان که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رضیتم بالحیاة الدنیا مِن الآخرة</w:t>
      </w:r>
      <w:r>
        <w:rPr>
          <w:rFonts w:eastAsia="IRNazanin" w:cs="IRNazanin"/>
          <w:color w:val="111111"/>
          <w:sz w:val="28"/>
          <w:szCs w:val="28"/>
          <w:rtl w:val="true"/>
          <w:lang w:bidi="fa-IR"/>
        </w:rPr>
        <w:t>»</w:t>
      </w:r>
      <w:r>
        <w:rPr>
          <w:rStyle w:val="FootnoteAnchor"/>
          <w:rtl w:val="true"/>
        </w:rPr>
        <w:footnoteReference w:id="6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جای آخرت به زندگی دنیا دل خوش کرده‌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لجعلنا منکم ملائکة فی  الأرض یخلفون</w:t>
      </w:r>
      <w:r>
        <w:rPr>
          <w:rFonts w:eastAsia="IRNazanin" w:cs="IRNazanin"/>
          <w:color w:val="111111"/>
          <w:sz w:val="28"/>
          <w:szCs w:val="28"/>
          <w:rtl w:val="true"/>
          <w:lang w:bidi="fa-IR"/>
        </w:rPr>
        <w:t>»</w:t>
      </w:r>
      <w:r>
        <w:rPr>
          <w:rStyle w:val="FootnoteAnchor"/>
          <w:rtl w:val="true"/>
        </w:rPr>
        <w:footnoteReference w:id="651"/>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بخواهیم قطعا به جای شما فرشتگانی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تغنی عنهم أموالهم و لا أولادهم مِن الله شیئاً</w:t>
      </w:r>
      <w:r>
        <w:rPr>
          <w:rFonts w:eastAsia="IRNazanin" w:cs="IRNazanin"/>
          <w:color w:val="111111"/>
          <w:sz w:val="28"/>
          <w:szCs w:val="28"/>
          <w:rtl w:val="true"/>
          <w:lang w:bidi="fa-IR"/>
        </w:rPr>
        <w:t>»</w:t>
      </w:r>
      <w:r>
        <w:rPr>
          <w:rStyle w:val="FootnoteAnchor"/>
          <w:rtl w:val="true"/>
        </w:rPr>
        <w:footnoteReference w:id="6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کسانی که کفر ورزیدند اموال و اولادشان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آنان دور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جای طاعت و یا رحمت خداوند؛ براساس این معنا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باز می گردد و معنای آیه چنین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تجدوا ماءً فتیمّموا الصعید بدل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آبی نیافتید به جای آب با خاک تیمّم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این معنا نیز دور از واقعیت به نظر می رسد، با وجود اینکه گروهی از نحویان </w:t>
      </w:r>
    </w:p>
    <w:p>
      <w:pPr>
        <w:pStyle w:val="BookText"/>
        <w:rPr/>
      </w:pPr>
      <w:r>
        <w:rPr>
          <w:rFonts w:ascii="Amiri" w:hAnsi="Amiri" w:eastAsia="Amiri" w:cs="Amiri"/>
          <w:color w:val="111111"/>
          <w:sz w:val="28"/>
          <w:sz w:val="28"/>
          <w:szCs w:val="28"/>
          <w:rtl w:val="true"/>
          <w:lang w:bidi="ar-SA"/>
        </w:rPr>
        <w:t>مجي‌ء من للبدلية فقالوا التقدير أ رضيتم بالحياة الدنيا بدلا من الآخرة فالمفيد للبدلية متعلقها المحذوف و كذا الأخيران و إن كان هذا أيضا يجري هاهنا لكنه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حملها علي التبعيض أقرب من الجميع مع موافقته للأخبار الصحيحة و لذا اختاره صاحب الكشاف الذي هو المقتدي في العربية و خالف الحنفية القائلين بعدم اشتراط العلوق مع توغله في متابعة أقوالهم و تهالكه في نصرة مذاهبهم قال في الكشاف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قولهم إنها لابتداء الغاية قول متعسف فلا يفهم أحد من العرب من قول القائل مسحت برأسه من الدهن و من الماء و من التراب إلا معني التبعيض قلت هو كما تقول و الإذعان للحق أحق من المراء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عدم فهم العرب من هذه الأمثلة إلا ما ذكره قد يكون للغرض المعروف عندهم من التدهين و التنظيف و نحو ذلك مع إمكان المنع عند الإطلاق في قوله من التراب علي أنه يمكن أن يقال إنها في الأمثلة كلها للابتداء كما هو الأصل فيها و أما التبعيض فإنما جاء من لزوم تعلق شي‌ء من الدهن و الماء باليد فيقع المسح به و نحوه التراب إن فهم فلا يلزم مثله في الصعيد الأعم من التراب و الصخر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و الإنصاف أنها إن استعملت فيما يصلح للعلوق و إن كان باعتبار غالب أفراده كان المتبادر منها التبعيض و إن استعملت فيما لا يصلح لذلك كان المفهوم منها الابتدائية و عدم صلاحية المقام لغيرها قرينة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 من أن حملها علي التبعيض غير مستقيم لأن الصعيد يتناول الحجر كما صرح به أئمة اللغة و التفسير و حملها علي الابتداء تعسف و ليس ببعيد حملها علي السببية و قد جعل التعليل من معاني من صاحب مغني اللبيب و علي تقدير أن لا يكون حقيقة فلا أقل من أن يكون مجازا و لا بد من ارتكاب المجاز هنا إما في الصعيد أو في من و لا ريب أن التوسع في حروف</w:t>
      </w:r>
    </w:p>
    <w:p>
      <w:pPr>
        <w:pStyle w:val="BookText"/>
        <w:rPr/>
      </w:pPr>
      <w:r>
        <w:rPr>
          <w:rFonts w:ascii="IRNazanin" w:hAnsi="IRNazanin" w:eastAsia="IRNazanin"/>
          <w:color w:val="111111"/>
          <w:sz w:val="28"/>
          <w:sz w:val="28"/>
          <w:szCs w:val="28"/>
          <w:rtl w:val="true"/>
          <w:lang w:bidi="fa-IR"/>
        </w:rPr>
        <w:t xml:space="preserve">نیز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بدلی را انکار کرده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أرضیتم بالحیاة الدنیا بدلاً من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بدل بودن کند، متعلَّق آن محذوف است و دو آیه پس از آن نیز همین گونه هستند، اگر چه در آیه مورد بحث ما نیز قاعده به همین ترتیب است ولی این امر برخلاف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ظاهراً حمل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تبعیضیّه بودن از تمام موارد دیگر به صحّت و واقعیت نزدیک تر و با احادیث صحیحِ روایت شده سازگاری بیشتری دارد، بنابراین صاحب الکشاف که در زبان عربی پیشوا به حساب می آید این نظر را پذیرفته است ولی با نظر پیروان مذهب حنفی مبنی بر عدم اشتراط چسبیدن خاک به دست، مخالفت کرده است با وجود اینکه عمیقاً به پیگیری اقوال و نظرات آنان پرداخته و در نصرت آراء و نظراتشان کوشیده است، زمخشری در الکشّاف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افاده معنای ابتدای غایت است، سخن بیهوده ای است و احدی از قوم عرب از این 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مسحتُ برأسه مِن الدهن و مِن الماء و مِن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معنای تبعیض را برداشت نمی کند،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چنین است که می گویی، و اذعان به سخن حق از ریا و دورویی شایسته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این مسائل از سوی عرب زبانان فقط به صورتی که وی ذکر کرده است، ممکن است به خاطر غرض شناخته شده ای باشد که از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مالیدن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به ذهن متبادر می شود، اما هنگام اطلاق کلام در گفته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التراب، امکان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ذکر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بر این اساس که ممکن است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مثال ها به معنای ابتدا است، چنان که معنای آن در اصل همین است، امّا معنای تبعیض زمانی محقّق می شود که لزوماً دست به مقداری روغن و یا آب آغشته شود و مسح با آن صورت گیرد، خاک نیز چنین است اگر درک شود، پس چنین امری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اعمّ از خاک و سنگ است لزومی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شرط انصاف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مورد چیزی استعمال شود که قابلیّت چسبندگی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معنای تبعیض از آن برداشت می شود اگر چه به اعتبار غالب افراد آن چیز باشد،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چیزی استعمال شود که چنین قابلیّتی ندارد معنای ابتدائیّه از آن فهمیده می شود، و عدم صلاحیت 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معنایی غیر از معنای ابتدائیّه، قرینه آن می باشد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این که گفته می شود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معنای تبعیض نادرست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گونه که بزرگان علم زبان شناسی و تفسیر بیان کرده اند، معنای سنگ را نیز در بر می گیرد، و حمل آن بر معنای ابتدائیّه نیز نسنجیده است، امّا حمل آن بر معنای سببیّت دور از صحّت نیست، و صاحب مغنی اللبیب نیز معنای تعلیل را بر معنای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فرض کنیم معنا حقیقی نباشد حتماً در معنای مجازی استعمال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ناگزیر باید مجاز را در مورد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نماییم و تردیدی نیست که مجال توسع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حروف </w:t>
      </w:r>
    </w:p>
    <w:p>
      <w:pPr>
        <w:pStyle w:val="BookText"/>
        <w:rPr/>
      </w:pPr>
      <w:r>
        <w:rPr>
          <w:rFonts w:ascii="Amiri" w:hAnsi="Amiri" w:eastAsia="Amiri" w:cs="Amiri"/>
          <w:color w:val="111111"/>
          <w:sz w:val="28"/>
          <w:sz w:val="28"/>
          <w:szCs w:val="28"/>
          <w:rtl w:val="true"/>
          <w:lang w:bidi="ar-SA"/>
        </w:rPr>
        <w:t>الجر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فمندفع لبعد هذا الاحتمال كما عرفت و قرب الحمل علي التبعيض و تبادره إلي الذهن و إن سلمنا استلزامه حمل الصعيد علي المعني المجازي فارتكاب هذا المجاز أولي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ظاهر الآية موافق لما ذهب إليه ابن الجنيد من اشتراط علوق شي‌ء من التراب بالكفين ليمسح به و يتأيد بذلك ما ذهب إليه المفيد و أتباعه من عدم جواز التيمم بالحجر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ختم سبحانه الآية الأولي بقوله إِنَّ اللَّهَ كانَ عَفُوًّا غَفُوراً و يفهم منه التعليل لما سبقه من ترخيص ذوي الأعذار في التيمم فهو واقع موقع قوله جل شأنه في الآية الثانية ما يُرِيدُ اللَّهُ لِيَجْعَلَ عَلَيْكُمْ مِنْ حَرَجٍ يعني أن من عادته العفو عنكم و المغفرة لكم فهو حقيق بالتسهيل عليكم و التخفيف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المفسرون في المراد من التطهير في قوله وَ لكِنْ يُرِيدُ لِيُطَهِّرَكُمْ قيل المراد به التطهير من الحدث بالتراب عند تعذر استعمال الماء و قيل تنظيف الأبدان بالماء فهو راجع إلي الوضوء و الغسل و قيل المراد التطهير من الذنوب بما فرض من الوضوء و الغسل و التيمم و يؤيده ما 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الوضوء يكفر ما قبله و قيل المراد تطهير القلب عن التمرد من طاعة الله سبحانه لأن إمساس هذه الأعضاء بالماء و التراب لا يعقل له فائدة إلا محض الانقياد و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تعالي وَ لِيُتِمَّ نِعْمَتَهُ عَلَيْكُمْ أي بما شرعه لكم مما يتضمن تطهير أجسادكم أو قلوبكم أو تكفير ذنوبكم و اللامات في الأفعال الثلاثة للتعليل و مفعول يريد محذوف في الموضعين و قوله تعالي لَعَلَّكُمْ تَشْكُرُونَ أي علي نعمائه المتكاثرة التي من جملتها ما يترتب علي ما شرعه في هذه الآية الكريمة أو لعلكم تؤدون شكره بالقيام بما كلفكم به فيها و 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يمكن أن يكون الحكمة في تكرار حكم التيمم في الكتاب</w:t>
      </w:r>
    </w:p>
    <w:p>
      <w:pPr>
        <w:pStyle w:val="BookText"/>
        <w:rPr/>
      </w:pPr>
      <w:r>
        <w:rPr>
          <w:rFonts w:ascii="IRNazanin" w:hAnsi="IRNazanin" w:eastAsia="IRNazanin"/>
          <w:color w:val="111111"/>
          <w:sz w:val="28"/>
          <w:sz w:val="28"/>
          <w:szCs w:val="28"/>
          <w:rtl w:val="true"/>
          <w:lang w:bidi="fa-IR"/>
        </w:rPr>
        <w:t xml:space="preserve">جرّ بیشتر است، ردّ می شود زیرا چنان که دانستی این احتمال بعید است و حمل مِن بر تبعیض، قریب است و به ذهن متبادر است؛ و اگر بپذیریم مستلزم این است که صعید را بر معنای مجازی حمل کنیم، چنان که دانستی ارتکاب این مجاز، شایسته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آشکار شد که ظاهر آیه با آنچه ابن جنید مبنی بر محقّق شدن شرط چسبیدن مقداری خاک به دو کف دست و مسح با آن مطرح کرده است، موافق و سازگار می باشد و با استناد به آن، نظر شیخ مفید و پیروان او در مورد عدم جواز تیمّم با سنگ تأیید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سبحان آیه نخست را با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کان عفوّاً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رسانده است و از این فرموده، دلیل جواز تیمّم برای کسانی که دارای عذر هستند فهمیده می شود، و در جایگاه 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یرید الله لیجعل علیکم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 که در آیه دوّم ذکر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خداوند بر عفو و بخشش شماست، پس شایسته ذات اوست که امور را بر شما آسان و سبک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در مورد مقصود خداوند از تطهیر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یرید لیطهّرکم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دارند،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پاک شدن از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غائط، 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خاک است آن گاه که در استعمال آب عذر و بهانه ای وجود داشته باشد؛ همچنین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پاک گردانیدن بدن با آب است چه که مرجع سخن، وضو و غسل می باشد؛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پاک گردانیدن از گناهان با فرایضی مانند وضو، غسل و تیمّم است، و این نظر را روایتی از پیامبر صلّی الله علیه و آله تأیید می کند آن گاه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وضو کفّاره گناهان ماقبل خود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پاک گردانیدن قلب از تمرّد و سرپیچی کردن از اطاعت خداوند سبحان است، چرا که برای مسح نمودن این اعضاء با آب و خاک فائده معقولی تصوّر نمی گردد جز فرمانبرداری و اطاعت محض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لیُتمَّ نعمته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خداوند با وضع نمودن راه و روشی که پاک گردانیدن جسم ها و قلب ها و یا بخشوده شدن گناهان تان را تضمین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خویش را بر شما کامل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لیجعل، لیطهّر، لیُتمّ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تعلیل است، و مفعول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موضع محذوف است؛ 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لعّلکم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خداوند را به خاطر نعمت های فراوانش سپاس گویید، نعمت هایی که نعمت های مترتّب بر قوانین و شرایع وضع شده در این آیه کریمه را نیز شامل می شود، یا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خداوند را با به جا آوردن آنچه شما را بدان مکلّف نموده است سپاس گویید، و الله یعلم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آگاه باش که ممکن است حکمت تکرار حُکم تیمّم در کتاب </w:t>
      </w:r>
      <w:bookmarkStart w:id="1199" w:name="pg13517_329176"/>
    </w:p>
    <w:p>
      <w:pPr>
        <w:pStyle w:val="BookText"/>
        <w:rPr/>
      </w:pPr>
      <w:bookmarkEnd w:id="1199"/>
      <w:r>
        <w:rPr>
          <w:rFonts w:ascii="Amiri" w:hAnsi="Amiri" w:eastAsia="Amiri" w:cs="Amiri"/>
          <w:color w:val="111111"/>
          <w:sz w:val="28"/>
          <w:sz w:val="28"/>
          <w:szCs w:val="28"/>
          <w:rtl w:val="true"/>
          <w:lang w:bidi="ar-SA"/>
        </w:rPr>
        <w:t>العزيز في آيتين متشابهتين و اشتمالهما علي أنواع التأكيد علمه سبحانه بإنكار عمر و أتباعه هذا الحكم بمحض الاستبعاد بل معاندة لله و لرسوله كما سيأتي و بيناه مفصلا في كتاب الفتن في باب بدعه لعنه الله</w:t>
      </w:r>
      <w:r>
        <w:rPr>
          <w:rFonts w:eastAsia="Amiri" w:cs="Amiri" w:ascii="Amiri" w:hAnsi="Amiri"/>
          <w:color w:val="111111"/>
          <w:sz w:val="28"/>
          <w:szCs w:val="28"/>
          <w:rtl w:val="true"/>
          <w:lang w:bidi="ar-SA"/>
        </w:rPr>
        <w:t>.</w:t>
      </w:r>
    </w:p>
    <w:p>
      <w:pPr>
        <w:pStyle w:val="Heading4"/>
        <w:numPr>
          <w:ilvl w:val="3"/>
          <w:numId w:val="1"/>
        </w:numPr>
        <w:rPr/>
      </w:pPr>
      <w:bookmarkStart w:id="1200" w:name="__RefHeading___Toc606016_1934241801"/>
      <w:bookmarkStart w:id="1201" w:name="_Toc552"/>
      <w:bookmarkEnd w:id="1200"/>
      <w:r>
        <w:rPr>
          <w:rtl w:val="true"/>
        </w:rPr>
        <w:t>الأخبار</w:t>
      </w:r>
      <w:bookmarkEnd w:id="1201"/>
    </w:p>
    <w:p>
      <w:pPr>
        <w:pStyle w:val="Heading5"/>
        <w:numPr>
          <w:ilvl w:val="4"/>
          <w:numId w:val="1"/>
        </w:numPr>
        <w:rPr/>
      </w:pPr>
      <w:bookmarkStart w:id="1202" w:name="__RefHeading___Toc606018_1934241801"/>
      <w:bookmarkStart w:id="1203" w:name="_Toc553"/>
      <w:bookmarkEnd w:id="1202"/>
      <w:r>
        <w:rPr>
          <w:rtl w:val="true"/>
        </w:rPr>
        <w:t>«</w:t>
      </w:r>
      <w:r>
        <w:rPr/>
        <w:t>1</w:t>
      </w:r>
      <w:r>
        <w:rPr>
          <w:rtl w:val="true"/>
        </w:rPr>
        <w:t>»</w:t>
      </w:r>
      <w:bookmarkEnd w:id="1203"/>
    </w:p>
    <w:p>
      <w:pPr>
        <w:pStyle w:val="BookText"/>
        <w:rPr/>
      </w:pPr>
      <w:r>
        <w:rPr>
          <w:rFonts w:ascii="Amiri" w:hAnsi="Amiri" w:eastAsia="Amiri" w:cs="Amiri"/>
          <w:color w:val="111111"/>
          <w:sz w:val="28"/>
          <w:sz w:val="28"/>
          <w:szCs w:val="28"/>
          <w:rtl w:val="true"/>
          <w:lang w:bidi="ar-SA"/>
        </w:rPr>
        <w:t>الْعِلَلُ، لِمُحَمَّدِ بْنِ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التَّيَمُّمِ فَوَضَعَ يَدَيْهِ عَلَي التُّرَابِ ثُمَّ نَفَضَهُمَا وَ مَسَحَ وَجْهَهُ وَ يَدَيْهِ فَوْقَ الْكَفِّ وَ الْعِلَّةُ فِي تَرْكِ مَسْحِ الرَّأْسِ وَ الرِّجْلَيْنِ فِي التَّيَمُّمِ أَنَّ اللَّهَ فَرَضَ الطَّهُورَ بِالْمَاءِ فَجَعَلَ غَسْلَ الْوَجْهِ وَ الْيَدَيْنِ وَ مَسْحَ الرَّأْسِ وَ الرِّجْلَيْنِ وَ فَرَضَ الصَّلَاةَ أَرْبَعَ رَكَعَاتٍ ثُمَّ جَعَلَ لِلْمُسَافِرِ رَكْعَتَيْنِ وَ كَذَلِكَ لِلَّذِي لَا يَقْدِرُ عَلَي الْمَاءِ مَسْحَ الْوَجْهِ وَ الْيَدَيْنِ وَ تَرَكَ مَسْحَ الرَّأْسِ وَ الرِّجْلَيْنِ كَمَا تَرَكَ لِلْمُسَافِرِ رَكْعَتَيْنِ</w:t>
      </w:r>
      <w:r>
        <w:rPr>
          <w:rFonts w:eastAsia="Amiri" w:cs="Amiri" w:ascii="Amiri" w:hAnsi="Amiri"/>
          <w:color w:val="111111"/>
          <w:sz w:val="28"/>
          <w:szCs w:val="28"/>
          <w:rtl w:val="true"/>
          <w:lang w:bidi="ar-SA"/>
        </w:rPr>
        <w:t>.</w:t>
      </w:r>
    </w:p>
    <w:p>
      <w:pPr>
        <w:pStyle w:val="Heading5"/>
        <w:numPr>
          <w:ilvl w:val="4"/>
          <w:numId w:val="1"/>
        </w:numPr>
        <w:rPr/>
      </w:pPr>
      <w:bookmarkStart w:id="1204" w:name="__RefHeading___Toc606020_1934241801"/>
      <w:bookmarkStart w:id="1205" w:name="_Toc554"/>
      <w:bookmarkEnd w:id="1204"/>
      <w:r>
        <w:rPr>
          <w:rtl w:val="true"/>
        </w:rPr>
        <w:t>«</w:t>
      </w:r>
      <w:r>
        <w:rPr/>
        <w:t>2</w:t>
      </w:r>
      <w:r>
        <w:rPr>
          <w:rtl w:val="true"/>
        </w:rPr>
        <w:t>»</w:t>
      </w:r>
      <w:bookmarkEnd w:id="1205"/>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جُنُباً أَوْ عَلَي غَيْرِ وُضُوءٍ وَ وَجَبَ الصَّلَاةُ وَ لَمْ يَجِدِ الْمَاءَ فَلْيَتَيَمَّمْ كَمَا قَالَ اللَّهُ فَتَيَمَّمُوا صَعِيداً طَيِّباً وَ الصَّعِيدُ الْمَوْضِعُ الْمُرْتَفِعُ وَ الطَّيِّبُ الَّذِي يَنْحَدِرُ عَنْهُ الْمَاءُ وَ التَّيَمُّمُ هُوَ أَنْ يَضْرِبَ الرَّجُلُ بِيَدَيْهِ عَلَي الْأَرْضِ مَرَّةً وَاحِدَةً وَ يَنْفُضُهُمَا وَ يَمْسَحُ بِهِمَا جَبِينَهُ وَ حَاجِبَيْهِ وَ يَمْسَحُ عَلَي ظَهْرِ 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النَّظَرُ إِلَي الْمَاءِ يَنْقُضُ التَّيَمُّمَ‌</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بَأْسَ بِأَنْ يُصَلِّيَ الرَّجُلُ بِتَيَمُّمٍ وَاحِدٍ صَلَوَاتِ اللَّيْلِ وَ النَّهَارِ كُلَّهَا مَا لَمْ يُحْدِثْ أَوْ يُصِيبَ مَاءً وَ مَنْ تَيَمَّمَ وَ صَلَّي ثُمَّ وَجَدَ الْمَاءَ فَقَدْ مَضَتْ صَلَاتُهُ فَلْيَتَوَضَّأْ لِصَلَاةٍ أُخْرَي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 فِي مَفَازَةٍ وَ لَمْ يَجِدِ الْمَاءَ وَ لَمْ يَقْدِرْ عَلَي التُّرَابِ وَ كَانَ مَعَهُ لِبْدٌ جَافٌّ تَيَمَّمَ مِنْهُ أَوْ مِنْ عُرْفِ دَابَّتِهِ وَ مَنْ أَصَابَتْهُ جَنَابَةٌ فَخَافَ عَلَي نَفْسِهِ التَّلَفَ إِنِ اغْتَسَلَ فَإِنَّهُ إِنْ كَانَ جَامَعَ فَلْيَغْتَسِلْ وَ إِنْ أَصَابَهُ مَا أَصَابَهُ وَ إِنِ احْتَلَمَ فَلْيَتَيَمَّمْ وَ الْمَجْدُورُ إِذَا أَصَابَتْهُ جَنَابَةٌ يُؤَمَّمُ لِأَنَّ مَجْدُوراً أَصَابَتْهُ جَنَابَةٌ عَلَي عَهْدِ رَسُولِ اللَّهِ صلي الله عليه و آله فَغُسِلَ فَمَاتَ فَقَالَ رَسُولُ اللَّهِ صلي الله عليه و آله أَخْطَأْتُمْ أَ لَا يَمَّمْتُمُوهُ‌</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عزیز در دو آیه مشابه و در برداشتن انواع ادوات تأکید، علم خداوند سبحان به این امر بوده باشد که این حُکم فقط به دلیل استبعاد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سر دشمنی با خدا و رسولش از سوی عمر و پیروان او انکار خواهد شد، چنان که در ادامه ذکر خواهد شد، و این مسأله را به صورت مفصّل در کتاب الفتن در باب بدعت های او، لعنه الله، بیان کردیم</w:t>
      </w:r>
      <w:r>
        <w:rPr>
          <w:rFonts w:eastAsia="IRNazanin" w:cs="IRNazanin"/>
          <w:color w:val="111111"/>
          <w:sz w:val="28"/>
          <w:szCs w:val="28"/>
          <w:rtl w:val="true"/>
          <w:lang w:bidi="fa-IR"/>
        </w:rPr>
        <w:t>.</w:t>
      </w:r>
    </w:p>
    <w:p>
      <w:pPr>
        <w:pStyle w:val="Heading4"/>
        <w:numPr>
          <w:ilvl w:val="3"/>
          <w:numId w:val="1"/>
        </w:numPr>
        <w:rPr/>
      </w:pPr>
      <w:bookmarkStart w:id="1206" w:name="__RefHeading___Toc606022_1934241801"/>
      <w:bookmarkStart w:id="1207" w:name="_Toc555"/>
      <w:bookmarkEnd w:id="1206"/>
      <w:r>
        <w:rPr>
          <w:rtl w:val="true"/>
        </w:rPr>
        <w:t>روایات</w:t>
      </w:r>
      <w:bookmarkEnd w:id="1207"/>
    </w:p>
    <w:p>
      <w:pPr>
        <w:pStyle w:val="Heading5"/>
        <w:numPr>
          <w:ilvl w:val="4"/>
          <w:numId w:val="1"/>
        </w:numPr>
        <w:rPr/>
      </w:pPr>
      <w:bookmarkStart w:id="1208" w:name="__RefHeading___Toc606024_1934241801"/>
      <w:bookmarkStart w:id="1209" w:name="_Toc556"/>
      <w:bookmarkEnd w:id="1208"/>
      <w:r>
        <w:rPr>
          <w:rtl w:val="true"/>
        </w:rPr>
        <w:t xml:space="preserve">روایت </w:t>
      </w:r>
      <w:r>
        <w:rPr/>
        <w:t>1</w:t>
      </w:r>
      <w:bookmarkEnd w:id="1209"/>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علی بن ابراهیم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شیوه تیمّم کردن سؤال شد، پس امام دستهای خود را بر خاک نهاد و آن ها را تکان داد، و صورت و روی کف دستهایش را مسح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ترک نمودن مسح سر و پاها در تیمّم آن است که خداوند تطهیر به وسیله آب را فرض قرار داده است، پس شستن صورت و دستها و مسح سر و پاها را وضع نموده و چهار رکعت نماز را واجب گردانده است، سپس دو رکعت نماز را بر مسافر واجب گردانده و به کسی که توانایی استعمال آب ندارد اجازه داده است که صورت و دستها را مسح کند و مسح سر و پاها را ترک کند، چنان که مسافر دو رکعت نماز را ترک می کند</w:t>
      </w:r>
      <w:r>
        <w:rPr>
          <w:rFonts w:eastAsia="IRNazanin" w:cs="IRNazanin"/>
          <w:color w:val="111111"/>
          <w:sz w:val="28"/>
          <w:szCs w:val="28"/>
          <w:rtl w:val="true"/>
          <w:lang w:bidi="fa-IR"/>
        </w:rPr>
        <w:t>.</w:t>
      </w:r>
    </w:p>
    <w:p>
      <w:pPr>
        <w:pStyle w:val="Heading5"/>
        <w:numPr>
          <w:ilvl w:val="4"/>
          <w:numId w:val="1"/>
        </w:numPr>
        <w:rPr/>
      </w:pPr>
      <w:bookmarkStart w:id="1210" w:name="__RefHeading___Toc606026_1934241801"/>
      <w:bookmarkStart w:id="1211" w:name="_Toc557"/>
      <w:bookmarkEnd w:id="1210"/>
      <w:r>
        <w:rPr>
          <w:rtl w:val="true"/>
        </w:rPr>
        <w:t xml:space="preserve">روایت </w:t>
      </w:r>
      <w:r>
        <w:rPr/>
        <w:t>2</w:t>
      </w:r>
      <w:bookmarkEnd w:id="1211"/>
    </w:p>
    <w:p>
      <w:p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جنب و یا بی وضو باشد و داخل وقت نماز گردد و به آب دست نیابد باید تیمّم کند، آن گونه که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فتیمّموا صعیداً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مکان مرتفع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است که آب از آن سرازیر می شود، و تیمّم آن عملی است که شخص یک بار دستهای خویش را بر روی زمین بزند و آن ها را تکان دهد و سپس با آن دستها پیشانی، ابروها و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دستهایش را مسح نماید، و دست یافتن به آب تیمّم را باطل می کند</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 xml:space="preserve">اشکالی ندارد که شخص با یک تیمّم واحد تمام نمازهای شب و روز را به جا آورد، البته تا زمانی که دچار حَدَث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یا مدفوع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آب دسترسی پیدا نکند، و من هر کسی که تیمّم کند و نماز بگزارد سپس در حالی نماز قبلی گذشته است به آب دست یابد، باید برای نماز دیگر وضو بگیرد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کسی که در بیابان باشد و به آب دست نیابد و امکان تیمّم با خاک نیز برای او فراهم نباشد، می تواند با نمد خشکی که به همراه دارد و یا یال چهارپایی که بر آن سوار است تیمّم کند؛ و هر کسی که دچار جنابت شود و بیم آن داشته باشد که در صورت غسل کردن تلف می شود، اگر نزدیکی کرده باشد هر اتفاقی برای او رخ دهد حتماً باید غسل کند، ولی اگر محتلم شده باشد می تواند تیمّم کند؛ و اگر شخصی که مبتلا به آبله است دچار جنابت شود باید تیمّم کند، چرا که در عهد رسول خدا صلّی الله علیه و آله شخصی که مبتلا به آبله بود دچار جنابت شد، پس غسل نمود و بر اثر آن در گذشت، آن گاه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کردید که او را وادار به تیمّم ننمودید</w:t>
      </w:r>
      <w:r>
        <w:rPr>
          <w:rFonts w:eastAsia="IRNazanin" w:cs="IRNazanin"/>
          <w:color w:val="111111"/>
          <w:sz w:val="28"/>
          <w:szCs w:val="28"/>
          <w:rtl w:val="true"/>
          <w:lang w:bidi="fa-IR"/>
        </w:rPr>
        <w:t>.</w:t>
      </w:r>
      <w:r>
        <w:rPr>
          <w:rStyle w:val="FootnoteAnchor"/>
          <w:rtl w:val="true"/>
        </w:rPr>
        <w:footnoteReference w:id="656"/>
      </w:r>
      <w:bookmarkStart w:id="1212" w:name="pg13517_329177"/>
    </w:p>
    <w:p>
      <w:pPr>
        <w:pStyle w:val="Heading5"/>
        <w:numPr>
          <w:ilvl w:val="4"/>
          <w:numId w:val="1"/>
        </w:numPr>
        <w:rPr/>
      </w:pPr>
      <w:bookmarkStart w:id="1213" w:name="__RefHeading___Toc606028_1934241801"/>
      <w:bookmarkStart w:id="1214" w:name="_Toc558"/>
      <w:bookmarkEnd w:id="1212"/>
      <w:bookmarkEnd w:id="1213"/>
      <w:r>
        <w:rPr>
          <w:rtl w:val="true"/>
        </w:rPr>
        <w:t>«</w:t>
      </w:r>
      <w:r>
        <w:rPr/>
        <w:t>3</w:t>
      </w:r>
      <w:r>
        <w:rPr>
          <w:rtl w:val="true"/>
        </w:rPr>
        <w:t>»</w:t>
      </w:r>
      <w:bookmarkEnd w:id="1214"/>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تُصِيبُهُ الْجَنَابَةُ وَ لَا يَقْدِرُ عَلَي مَاءٍ فَيُصِيبُهُ الْمَطَرُ هَلْ يُجْزِيهِ ذَلِكَ أَمْ هَلْ يَتَيَمَّمُ قَالَ إِنْ غَسَلَهُ أَجْزَأَهُ وَ إِلَّا عَلَيْهِ التَّيَمُّمُ قَالَ قُلْتُ أَيُّهُمَا أَفْضَلُ أَ يَتَيَمَّمُ أَوْ يَمْسَحُ بِثَلْجٍ وَجْهَهُ وَ جَسَدَهُ وَ رَأْسَهُ قَالَ الثَّلْجُ إِنْ بَلَّ رَأْسَهُ وَ جَسَدَهُ أَفْضَلُ وَ إِنْ لَمْ يَقْدِرْ عَلَي أَنْ يَغْتَسِلَ تَيَمَّمَ‌</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الْوَلِيدِ وَ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أَجْنَبَ فَلَمْ يُصِبِ الْمَاءَ أَ يَتَيَمَّمُ وَ يُصَلِّي قَالَ لَا حَتَّي آخِرِ الْوَقْتِ إِنَّهُ إِنْ فَاتَهُ الْمَاءُ لَمْ تَفُتْهُ الْأَرْضُ‌</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5" w:name="__RefHeading___Toc606030_1934241801"/>
      <w:bookmarkStart w:id="1216" w:name="_Toc559"/>
      <w:bookmarkEnd w:id="1215"/>
      <w:r>
        <w:rPr>
          <w:rtl w:val="true"/>
        </w:rPr>
        <w:t>بيان</w:t>
      </w:r>
      <w:bookmarkEnd w:id="1216"/>
    </w:p>
    <w:p>
      <w:pPr>
        <w:pStyle w:val="BookText"/>
        <w:rPr/>
      </w:pPr>
      <w:r>
        <w:rPr>
          <w:rFonts w:ascii="Amiri" w:hAnsi="Amiri" w:eastAsia="Amiri" w:cs="Amiri"/>
          <w:color w:val="111111"/>
          <w:sz w:val="28"/>
          <w:sz w:val="28"/>
          <w:szCs w:val="28"/>
          <w:rtl w:val="true"/>
          <w:lang w:bidi="ar-SA"/>
        </w:rPr>
        <w:t xml:space="preserve">يدل علي رجحان التأخير إلي آخر الوقت لكن فيه إشعار برجاء زوال العذر و لا خلاف ظاهرا في عدم جواز التيمم قبل دخول وقت الغاية و نقلوا الإجماع عليه و اختلفوا في جواز التيمم في سعة الوقت علي أقوال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وجوب التأخير إلي آخر الوقت و إليه ذهب الأكثر بل نقلوا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الجواز في أول الوقت مطلقا و هو المنسوب إلي الصدوق و الجعفي و قواه العلامة في المنتهي و التحرير و الشهيد في البيان و قال البزنطي في الجامع علي ما نقل عنه الشهيد لا ينبغي لأحد أن يتيمم إلا في آخر وقت الصلاة و فيه إشعار بالاستحباب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ما اختاره ابن الجنيد و هو جواز التقديم عند العلم أو الظن الغالب بفوت الماء أو امتداد العذر إلي آخر الوقت و اختاره العلامة في عدة من كتبه لكن إنما قيد بالعلم و لم يذكر الظن و إليه يومي كلام ابن أبي عقيل و الثاني لا يخلو من قوة و بعده الثالث</w:t>
      </w:r>
      <w:r>
        <w:rPr>
          <w:rFonts w:eastAsia="Amiri" w:cs="Amiri" w:ascii="Amiri" w:hAnsi="Amiri"/>
          <w:color w:val="111111"/>
          <w:sz w:val="28"/>
          <w:szCs w:val="28"/>
          <w:rtl w:val="true"/>
          <w:lang w:bidi="ar-SA"/>
        </w:rPr>
        <w:t>.</w:t>
      </w:r>
    </w:p>
    <w:p>
      <w:pPr>
        <w:pStyle w:val="Heading5"/>
        <w:numPr>
          <w:ilvl w:val="4"/>
          <w:numId w:val="1"/>
        </w:numPr>
        <w:rPr/>
      </w:pPr>
      <w:bookmarkStart w:id="1217" w:name="__RefHeading___Toc606032_1934241801"/>
      <w:bookmarkStart w:id="1218" w:name="_Toc560"/>
      <w:bookmarkEnd w:id="1217"/>
      <w:r>
        <w:rPr>
          <w:rtl w:val="true"/>
        </w:rPr>
        <w:t>«</w:t>
      </w:r>
      <w:r>
        <w:rPr/>
        <w:t>4</w:t>
      </w:r>
      <w:r>
        <w:rPr>
          <w:rtl w:val="true"/>
        </w:rPr>
        <w:t>»</w:t>
      </w:r>
      <w:bookmarkEnd w:id="1218"/>
    </w:p>
    <w:p>
      <w:pPr>
        <w:pStyle w:val="BookText"/>
        <w:rPr/>
      </w:pPr>
      <w:r>
        <w:rPr>
          <w:rFonts w:ascii="Amiri" w:hAnsi="Amiri" w:eastAsia="Amiri" w:cs="Amiri"/>
          <w:color w:val="111111"/>
          <w:sz w:val="28"/>
          <w:sz w:val="28"/>
          <w:szCs w:val="28"/>
          <w:rtl w:val="true"/>
          <w:lang w:bidi="ar-SA"/>
        </w:rPr>
        <w:t>الْخِصَالُ، عَنْ مُحَمَّدِ بْنِ جَعْفَرٍ الْبُنْدَارِ عَنْ مُجَاهِدِ بْنِ أَعْيَنَ عَنْ أَبِي بُكَيْرِ</w:t>
      </w:r>
    </w:p>
    <w:p>
      <w:pPr>
        <w:pStyle w:val="Heading5"/>
        <w:numPr>
          <w:ilvl w:val="4"/>
          <w:numId w:val="1"/>
        </w:numPr>
        <w:rPr/>
      </w:pPr>
      <w:bookmarkStart w:id="1219" w:name="__RefHeading___Toc606034_1934241801"/>
      <w:bookmarkStart w:id="1220" w:name="_Toc561"/>
      <w:bookmarkEnd w:id="1219"/>
      <w:r>
        <w:rPr>
          <w:rtl w:val="true"/>
        </w:rPr>
        <w:t xml:space="preserve">روایت </w:t>
      </w:r>
      <w:r>
        <w:rPr/>
        <w:t>3</w:t>
      </w:r>
      <w:bookmarkEnd w:id="122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جعفر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جُنب می شود و به آب دست نمی یابد، پس باران بر او می بارد، آیا آب باران او را کفایت می کند یا باید تیمّم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باران او را بشوید کفایت می کند، در غیر این صورت باید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کدام یک بیشتر است، کسی که تیمّم می کند یا کسی که با برف صورت، بدن و سرش را مسح می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برف سر و بدنش را خیس کند برتری دارد، و اگر توانایی 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تیمّم می کند</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شخصی که جنب می شود و به آب دست نمی یابد می تواند تیمّم کند و نماز بگزارد؟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تا آخر وقت نماز نمی تواند، چرا که اگر تا آن زمان به آب دست نیابد، زمین و خاک همچنان در دسترس اوست</w:t>
      </w:r>
      <w:r>
        <w:rPr>
          <w:rFonts w:eastAsia="IRNazanin" w:cs="IRNazanin"/>
          <w:color w:val="111111"/>
          <w:sz w:val="28"/>
          <w:szCs w:val="28"/>
          <w:rtl w:val="true"/>
          <w:lang w:bidi="fa-IR"/>
        </w:rPr>
        <w:t>.</w:t>
      </w:r>
      <w:r>
        <w:rPr>
          <w:rStyle w:val="FootnoteAnchor"/>
          <w:rtl w:val="true"/>
        </w:rPr>
        <w:footnoteReference w:id="660"/>
      </w:r>
    </w:p>
    <w:p>
      <w:pPr>
        <w:pStyle w:val="Heading5"/>
        <w:numPr>
          <w:ilvl w:val="4"/>
          <w:numId w:val="1"/>
        </w:numPr>
        <w:rPr/>
      </w:pPr>
      <w:bookmarkStart w:id="1221" w:name="__RefHeading___Toc606036_1934241801"/>
      <w:bookmarkStart w:id="1222" w:name="_Toc562"/>
      <w:bookmarkEnd w:id="1221"/>
      <w:r>
        <w:rPr>
          <w:rtl w:val="true"/>
        </w:rPr>
        <w:t>توضیح</w:t>
      </w:r>
      <w:bookmarkEnd w:id="1222"/>
    </w:p>
    <w:p>
      <w:pPr>
        <w:pStyle w:val="BookText"/>
        <w:rPr/>
      </w:pPr>
      <w:r>
        <w:rPr>
          <w:rFonts w:ascii="IRNazanin" w:hAnsi="IRNazanin" w:eastAsia="IRNazanin"/>
          <w:color w:val="111111"/>
          <w:sz w:val="28"/>
          <w:sz w:val="28"/>
          <w:szCs w:val="28"/>
          <w:rtl w:val="true"/>
          <w:lang w:bidi="fa-IR"/>
        </w:rPr>
        <w:t>این حدیث بر رجحان به تأخیر انداختن نماز تا آخر وقت دلالت می کند، امّا در عین حال اشاره ای به امید داشتن به زوال عذر دارد، و ظاهراً هیچ اختلاف نظری بر سر عدم جواز تیمّم قبل از وارد شدن به نهایت وقت نماز وجود ندارد، و برخی اتفاق نظر فقها را در این زمینه نقل کرده اند، امّا در مورد جواز تیمّم در وسعت وقت سه نظر مختلف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به تأخیر انداختن نماز تا آخر وقت؛ بیشتر فقها به این امر اعتقاد دارند بلکه اتفاق نظر اجماع فقها را بر آن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تیمّم کردن در اوّل وقت به صورت مطلق؛ این نظر به شیخ صدوق و جعفیّ نسبت داده شده است و علّامه در المنتهی و التحریر و شهید در البیان آن را پشتیبانی و تقویت کرده اند؛ و به نقل از شهید، بزنطیّ در الجامع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کسی تیمّم کند مگر در آخر وقت نماز، و این سخن اشاره دارد به استحباب به تأخیر انداختن تیمّم تا آخر وقت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که ابن جنید برگزیده است مبنی بر جواز تقدیم تیمّم آن گاه که یقین یا شکّ غالب در مورد عدم دست یافتن به آب و یا ادامه یافتن عذر تا آخر وقت نماز حاصل شود، علّامه نیز این نظر را در تعدادی از کتابهایش برگزیده است، ولی فقط قید حصول یقین را ذکر کرده و سخنی از ظن به میان نیاورده است، و کلام ابن عقیل نیز به این نظر اشاره دارد، و نظر دوّم خالی از قوّت نیست و بعد از آن نظر سوّم قرار دارد</w:t>
      </w:r>
      <w:r>
        <w:rPr>
          <w:rFonts w:eastAsia="IRNazanin" w:cs="IRNazanin"/>
          <w:color w:val="111111"/>
          <w:sz w:val="28"/>
          <w:szCs w:val="28"/>
          <w:rtl w:val="true"/>
          <w:lang w:bidi="fa-IR"/>
        </w:rPr>
        <w:t>.</w:t>
      </w:r>
    </w:p>
    <w:p>
      <w:pPr>
        <w:pStyle w:val="Heading5"/>
        <w:numPr>
          <w:ilvl w:val="4"/>
          <w:numId w:val="1"/>
        </w:numPr>
        <w:rPr/>
      </w:pPr>
      <w:bookmarkStart w:id="1223" w:name="__RefHeading___Toc606038_1934241801"/>
      <w:bookmarkStart w:id="1224" w:name="_Toc563"/>
      <w:bookmarkEnd w:id="1223"/>
      <w:r>
        <w:rPr>
          <w:rtl w:val="true"/>
        </w:rPr>
        <w:t xml:space="preserve">روایت </w:t>
      </w:r>
      <w:r>
        <w:rPr/>
        <w:t>4</w:t>
      </w:r>
      <w:bookmarkEnd w:id="122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bookmarkStart w:id="1225" w:name="pg13517_329178"/>
    </w:p>
    <w:p>
      <w:pPr>
        <w:pStyle w:val="BookText"/>
        <w:rPr/>
      </w:pPr>
      <w:bookmarkEnd w:id="1225"/>
      <w:r>
        <w:rPr>
          <w:rFonts w:ascii="Amiri" w:hAnsi="Amiri" w:eastAsia="Amiri" w:cs="Amiri"/>
          <w:color w:val="111111"/>
          <w:sz w:val="28"/>
          <w:sz w:val="28"/>
          <w:szCs w:val="28"/>
          <w:rtl w:val="true"/>
          <w:lang w:bidi="ar-SA"/>
        </w:rPr>
        <w:t>ابْنِ أَبِي الْعَوَّامِ عَنْ يَزِيدَ عَنْ سُلَيْمَانَ التَّمِيمِيِّ عَنْ سَيَّارٍ عَنْ أَبِي أُمَامَةَ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فُضِّلْتُ بِأَرْبَعٍ جُعِلَتْ لِأُمَّتِيَ الْأَرْضُ مَسْجِداً وَ طَهُوراً وَ أَيُّمَا رَجُلٍ مِنْ أُمَّتِي أَرَادَ الصَّلَاةَ فَلَمْ يَجِدْ مَاءً وَ وَجَدَ الْأَرْضَ فَقَدْ جُعِلَتْ لَهُ مَسْجِداً وَ طَهُوراً الْحَدِيثَ‌</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6" w:name="__RefHeading___Toc606040_1934241801"/>
      <w:bookmarkStart w:id="1227" w:name="_Toc564"/>
      <w:bookmarkEnd w:id="1226"/>
      <w:r>
        <w:rPr>
          <w:rtl w:val="true"/>
        </w:rPr>
        <w:t>«</w:t>
      </w:r>
      <w:r>
        <w:rPr/>
        <w:t>5</w:t>
      </w:r>
      <w:r>
        <w:rPr>
          <w:rtl w:val="true"/>
        </w:rPr>
        <w:t>»</w:t>
      </w:r>
      <w:bookmarkEnd w:id="1227"/>
    </w:p>
    <w:p>
      <w:pPr>
        <w:pStyle w:val="BookText"/>
        <w:rPr/>
      </w:pPr>
      <w:r>
        <w:rPr>
          <w:rFonts w:ascii="Amiri" w:hAnsi="Amiri" w:eastAsia="Amiri" w:cs="Amiri"/>
          <w:color w:val="111111"/>
          <w:sz w:val="28"/>
          <w:sz w:val="28"/>
          <w:szCs w:val="28"/>
          <w:rtl w:val="true"/>
          <w:lang w:bidi="ar-SA"/>
        </w:rPr>
        <w:t>وَ مِنْهُ، وَ مِنَ الْعِلَلِ، عَنْ مُحَمَّدِ بْنِ عَلِيِّ بْنِ شَاهٍ عَنْ مُحَمَّدِ بْنِ جَعْفَرٍ الْبَغْدَادِيِّ عَنْ أَبِيهِ عَنْ أَحْمَدَ بْنِ السُّخْتِ عَنْ مُحَمَّدِ بْنِ الْأَسْوَدِ الْوَرَّاقِ عَنْ أَيُّوبَ بْنِ سُلَيْمَانَ عَنْ أَبِي الْبَخْتَرِيِّ عَنْ مُحَمَّدِ بْنِ حُمَيْدٍ عَنْ مُحَمَّدِ بْنِ الْمُنْكَدِرِ عَنْ جَابِرِ بْنِ عَبْدِ اللَّهِ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جَعَلْتُ لَكَ وَ لِأُمَّتِكَ الْأَرْضَ كُلَّهَا مَسْجِداً وَ تُرَابَهَا طَهُوراً تَمَامَ الْخَبَرِ</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8" w:name="__RefHeading___Toc606042_1934241801"/>
      <w:bookmarkStart w:id="1229" w:name="_Toc565"/>
      <w:bookmarkEnd w:id="1228"/>
      <w:r>
        <w:rPr>
          <w:rtl w:val="true"/>
        </w:rPr>
        <w:t>إيضاح</w:t>
      </w:r>
      <w:bookmarkEnd w:id="1229"/>
    </w:p>
    <w:p>
      <w:pPr>
        <w:pStyle w:val="BookText"/>
        <w:rPr/>
      </w:pPr>
      <w:r>
        <w:rPr>
          <w:rFonts w:ascii="Amiri" w:hAnsi="Amiri" w:eastAsia="Amiri" w:cs="Amiri"/>
          <w:color w:val="111111"/>
          <w:sz w:val="28"/>
          <w:sz w:val="28"/>
          <w:szCs w:val="28"/>
          <w:rtl w:val="true"/>
          <w:lang w:bidi="ar-SA"/>
        </w:rPr>
        <w:t>احتج المرتضي رضي الله عنه علي أن الصعيد هو التراب بقول النبي صلي الله عليه و آله جعلت لي الأرض مسجدا و ترابها طهورا و لو كانت أجزاء الأرض طهورا و إن لم تكن ترابا لكان ذكر التراب واقعا في غير محله و أجاب عنه في المعتبر بأنه تمسك بدلالة الخطاب و هي متروكة و أجاب عنه الشيخ البهائي قدس سره بأن مراده أن النبي في معرض التسهيل و التخفيف و بيان امتنان الله سبحانه عليه و علي هذه الأمة المرحومة فلو كان مطلق وجه الأرض من الحجر و نحوه طهورا لكان ذكر التراب مخلا بانطباق الكلام علي الغرض المسوق له و كان المناسب لمقتضي الحال أن يقول جعلت لي الأرض مسجدا و طهورا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أن ما ذكره لا يخرجه عن كونه استدلالا بالمفهوم بل ما ذكره لو تم لكان دليلا علي حجية المفهوم في هذا المقام مع أنه يحتمل أن يكون الفائدة في ذكر التراب التصريح بشموله لكل تراب و إن كان منفصلا عن الأرض و رفع توهم حذف مضاف غير المدعي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چهار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دیگر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داده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امّتم به عنوان محل سجده و وسیله ای برای تطهیر قرار داده شده است، و هرگاه شخصی از امّتم بخواهد نماز بگزارد و به آب دست نیابد امّا به زمین دسترسی داشته باشد، آن را برای او مسجد و باعث پاکی و طهارت قرار داده  شده است، حدیث</w:t>
      </w:r>
      <w:r>
        <w:rPr>
          <w:rFonts w:eastAsia="IRNazanin" w:cs="IRNazanin"/>
          <w:color w:val="111111"/>
          <w:sz w:val="28"/>
          <w:szCs w:val="28"/>
          <w:rtl w:val="true"/>
          <w:lang w:bidi="fa-IR"/>
        </w:rPr>
        <w:t>.</w:t>
      </w:r>
      <w:r>
        <w:rPr>
          <w:rStyle w:val="FootnoteAnchor"/>
          <w:rtl w:val="true"/>
        </w:rPr>
        <w:footnoteReference w:id="663"/>
      </w:r>
    </w:p>
    <w:p>
      <w:pPr>
        <w:pStyle w:val="Heading5"/>
        <w:numPr>
          <w:ilvl w:val="4"/>
          <w:numId w:val="1"/>
        </w:numPr>
        <w:rPr/>
      </w:pPr>
      <w:bookmarkStart w:id="1230" w:name="__RefHeading___Toc606044_1934241801"/>
      <w:bookmarkStart w:id="1231" w:name="_Toc566"/>
      <w:bookmarkEnd w:id="1230"/>
      <w:r>
        <w:rPr>
          <w:rtl w:val="true"/>
        </w:rPr>
        <w:t xml:space="preserve">روایت </w:t>
      </w:r>
      <w:r>
        <w:rPr/>
        <w:t>5</w:t>
      </w:r>
      <w:bookmarkEnd w:id="1231"/>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نقاط زمین را برای تو و امّتت مسجد قرار دادم و خاک آن را باعث طهارت و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w:t>
      </w:r>
      <w:r>
        <w:rPr>
          <w:rStyle w:val="FootnoteAnchor"/>
          <w:rtl w:val="true"/>
        </w:rPr>
        <w:footnoteReference w:id="664"/>
      </w:r>
    </w:p>
    <w:p>
      <w:pPr>
        <w:pStyle w:val="Heading5"/>
        <w:numPr>
          <w:ilvl w:val="4"/>
          <w:numId w:val="1"/>
        </w:numPr>
        <w:rPr/>
      </w:pPr>
      <w:bookmarkStart w:id="1232" w:name="__RefHeading___Toc606046_1934241801"/>
      <w:bookmarkStart w:id="1233" w:name="_Toc567"/>
      <w:bookmarkEnd w:id="1232"/>
      <w:r>
        <w:rPr>
          <w:rtl w:val="true"/>
        </w:rPr>
        <w:t>توضیح</w:t>
      </w:r>
      <w:bookmarkEnd w:id="1233"/>
    </w:p>
    <w:p>
      <w:pPr>
        <w:pStyle w:val="BookText"/>
        <w:rPr/>
      </w:pPr>
      <w:r>
        <w:rPr>
          <w:rFonts w:ascii="IRNazanin" w:hAnsi="IRNazanin" w:eastAsia="IRNazanin"/>
          <w:color w:val="111111"/>
          <w:sz w:val="28"/>
          <w:sz w:val="28"/>
          <w:szCs w:val="28"/>
          <w:rtl w:val="true"/>
          <w:lang w:bidi="fa-IR"/>
        </w:rPr>
        <w:t>مرتضی رضی الله عنه این فرموده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لی الأرضُ مسجداً و ترابُها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من به عنوان مسجد قرار داده شده است و خاک آن باعث طهارت و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دلیلی دانسته است بر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است، و اگر تمام اجزای زمین پاک کننده باشد و مقصود از این اجزاء خاک نباشد ذکر خاک در غیر جایگاه آن واقع شده است؛ صاحب المعتبر به این مسأله پاسخ گفته است به این که به دلالت خطاب تمسک کرده است که این دلالت متروک است، همچنین شیخ بهائی قدّس سرّه در پاسخ گفته که منظور از این حدیث این است که پیامبر به نسبت قوانین و احکام الهی در معرض تسهیل و تخفیف قرار گرفته است و امتنان خداوند بر او و امّتِ موردِ مرحمتش، بیان شده است؛ پس اگر سطح زمین به صورت مطلق همراه با سنگ و غیره باعث پاکی و طهارت می گردید، ذکر خاک مُخلّ انطباق کلام بر هدف و مقصود مورد نظر از آن می بود و اگر پیامبر چنین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لی الأرض مسجداً و طهوراً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مقتضای حال سازگاری بیشتری داشت، پایان نقل قول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اشکال بر آن وارد می شود که آنچه وی ذکر کرده است آن را خارج نمی کند از این که استدلال به مفهوم باشد، بلکه آنچه وی ذکر کرده است اگر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دلیل بر حجیت مفهوم در این مقام خواهد بود، با وجود آنکه محتمل است که فایده ذکر خاک، تصریح به شمول آن برای هر خاکی باشد هرچند منفصل از زمین باشد و رفع توهّم حذف مضاف، ادّعا نشده است </w:t>
      </w:r>
      <w:r>
        <w:rPr>
          <w:rFonts w:eastAsia="IRNazanin" w:cs="IRNazanin"/>
          <w:color w:val="111111"/>
          <w:sz w:val="28"/>
          <w:szCs w:val="28"/>
          <w:rtl w:val="true"/>
          <w:lang w:bidi="fa-IR"/>
        </w:rPr>
        <w:t xml:space="preserve">. </w:t>
      </w:r>
      <w:bookmarkStart w:id="1234" w:name="pg13517_329179"/>
    </w:p>
    <w:p>
      <w:pPr>
        <w:pStyle w:val="BookText"/>
        <w:rPr/>
      </w:pPr>
      <w:bookmarkEnd w:id="1234"/>
      <w:r>
        <w:rPr>
          <w:rFonts w:ascii="Amiri" w:hAnsi="Amiri" w:eastAsia="Amiri" w:cs="Amiri"/>
          <w:color w:val="111111"/>
          <w:sz w:val="28"/>
          <w:sz w:val="28"/>
          <w:szCs w:val="28"/>
          <w:rtl w:val="true"/>
          <w:lang w:bidi="ar-SA"/>
        </w:rPr>
        <w:t>و الحق أن ما ذكره السيد متين لكن لا بد من التأويل مع وجود المعارض القوي</w:t>
      </w:r>
      <w:r>
        <w:rPr>
          <w:rFonts w:eastAsia="Amiri" w:cs="Amiri" w:ascii="Amiri" w:hAnsi="Amiri"/>
          <w:color w:val="111111"/>
          <w:sz w:val="28"/>
          <w:szCs w:val="28"/>
          <w:rtl w:val="true"/>
          <w:lang w:bidi="ar-SA"/>
        </w:rPr>
        <w:t>.</w:t>
      </w:r>
    </w:p>
    <w:p>
      <w:pPr>
        <w:pStyle w:val="Heading5"/>
        <w:numPr>
          <w:ilvl w:val="4"/>
          <w:numId w:val="1"/>
        </w:numPr>
        <w:rPr/>
      </w:pPr>
      <w:bookmarkStart w:id="1235" w:name="__RefHeading___Toc606048_1934241801"/>
      <w:bookmarkStart w:id="1236" w:name="_Toc568"/>
      <w:bookmarkEnd w:id="1235"/>
      <w:r>
        <w:rPr>
          <w:rtl w:val="true"/>
        </w:rPr>
        <w:t>«</w:t>
      </w:r>
      <w:r>
        <w:rPr/>
        <w:t>6</w:t>
      </w:r>
      <w:r>
        <w:rPr>
          <w:rtl w:val="true"/>
        </w:rPr>
        <w:t>»</w:t>
      </w:r>
      <w:bookmarkEnd w:id="1236"/>
    </w:p>
    <w:p>
      <w:pPr>
        <w:pStyle w:val="BookText"/>
        <w:rPr/>
      </w:pPr>
      <w:r>
        <w:rPr>
          <w:rFonts w:ascii="Amiri" w:hAnsi="Amiri" w:eastAsia="Amiri" w:cs="Amiri"/>
          <w:color w:val="111111"/>
          <w:sz w:val="28"/>
          <w:sz w:val="28"/>
          <w:szCs w:val="28"/>
          <w:rtl w:val="true"/>
          <w:lang w:bidi="ar-SA"/>
        </w:rPr>
        <w:t>الْعِلَلُ، عَنْ أَبِيهِ عَنْ سَعْدِ بْنِ عَبْدِ اللَّهِ عَنْ يَعْقُوبَ بْنِ يَزِيدَ عَنْ حَمَّادٍ عَنْ حَرِيزٍ عَنْ زُرَارَةَ عَنْ أَبِي جَعْفَرٍ عليه السلام فِي حَدِيثٍ طَوِيلٍ مَضَي فِي بَابِ الْوُضُوءِ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اللَّهُ تَعَالَي فَإِنْ فَلَمْ تَجِدُوا ماءً فَتَيَمَّمُوا صَعِيداً طَيِّباً فَامْسَحُوا بِوُجُوهِكُمْ فَلَمَّا وَضَعَ عَمَّنْ لَمْ يَجِدِ الْمَاءَ أَثْبَتَ مَكَانَ الْغُسْلِ مَسْحاً لِأَنَّهُ قَالَ بِوُجُوهِكُمْ ثُمَّ وَصَلَ بِهَا وَ أَيْدِيَكُمْ ثُمَّ قَالَ مِنْهُ أَيْ مِنْ ذَلِكَ التَّيَمُّمُ لِأَنَّهُ عَلِمَ أَنَّ ذَلِكَ أَجْمَعَ لَمْ يَجْرِ عَلَي الْوَجْهِ لِأَنَّهُ يَعْلَقُ مِنْ ذَلِكَ الصَّعِيدِ بِبَعْضِ الْكَفِّ وَ لَا يَعْلَقُ بِبَعْضِهَا ثُمَّ قَالَ ما يُرِيدُ اللَّهُ لِيَجْعَلَ عَلَيْكُمْ فِي الدِّينِ مِنْ حَرَجٍ وَ الْحَرَجُ الضَّيْقُ‌</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7" w:name="__RefHeading___Toc606050_1934241801"/>
      <w:bookmarkStart w:id="1238" w:name="_Toc569"/>
      <w:bookmarkEnd w:id="1237"/>
      <w:r>
        <w:rPr>
          <w:rtl w:val="true"/>
        </w:rPr>
        <w:t>«</w:t>
      </w:r>
      <w:r>
        <w:rPr/>
        <w:t>7</w:t>
      </w:r>
      <w:r>
        <w:rPr>
          <w:rtl w:val="true"/>
        </w:rPr>
        <w:t>»</w:t>
      </w:r>
      <w:bookmarkEnd w:id="1238"/>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رَحِمَكُمُ اللَّهُ أَنَّ التَّيَمُّمَ غُسْلُ الْمُضْطَرِّ وَ وُضُوؤُهُ وَ هُوَ نِصْفُ الْوُضُوءِ فِي غَيْرِ ضَرُورَةٍ إِذَا لَمْ يُوجَدِ الْمَاءُ وَ لَيْسَ لَهُ أَنْ يَتَيَمَّمَ حَتَّي يَأْتِيَ إِلَي آخِرِ الْوَقْتِ أَوْ إِلَي أَنْ يَتَخَوَّفَ خُرُوجَ وَقْتِ الصَّلَاةِ</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صِفَةُ التَّيَمُّمِ لِلْوُضُوءِ وَ الْجَنَابَةِ وَ سَائِرِ أَبْوَابِ الْغُسْلِ وَاحِدٌ وَ هُوَ أَنْ تَضْرِبَ بِيَدَيْكَ عَلَي الْأَرْضِ ضَرْبَةً وَاحِدَةً ثُمَّ تَمْسَحَ بِهِمَا وَجْهَكَ مِنْ حَدِّ الْحَاجِبَيْنِ إِلَي الذَّقَنِ وَ رُوِيَ مِنْ مَوْضِعِ السُّجُودِ مِنْ مَقَامِ الشَّعْرِ إِلَي طَرَفِ الْأَنْفِ ثُمَّ تَضْرِبُ بِهِمَا أُخْرَي فَتَمْسَحُ بِهِمَا الْكَفَّيْنِ مِنْ حَدِّ الزَّنْدِ وَ رُوِيَ مِنْ أُصُولِ الْأَصَابِعِ تَمْسَحُ بِالْيُسْرَي الْيُمْنَي وَ بِالْيُمْنَي الْيُسْرَي عَلَي هَذِهِ الصِّفَةِ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 إِذَا أَرَدْتَ التَّيَمُّمَ اضْرِبْ كَفَّيْكَ عَلَي الْأَرْضِ ضَرْبَةً وَاحِدَةً ثُمَّ تَضَعُ إِحْدَي يَدَيْكَ عَلَي الْأُخْرَي ثُمَّ تَمْسَحُ بِأَطْرَافِ أَصَابِعِكَ وَجْهَكَ مِنْ فَوْقِ حَاجِبَيْكَ وَ بَقِيَ مَا بَقِيَ ثُمَّ تَضَعُ أَصَابِعَكَ الْيُسْرَي عَلَي أَصَابِعِكَ الْيُمْنَي مِنْ أَصْلِ الْأَصَابِعِ مِنْ فَوْقِ الْكَفِّ ثُمَّ تُمِرُّهَا عَلَي مُقَدَّمِهَا عَلَي ظَهْرِ الْكَفِّ ثُمَّ تَضَعُ أَصَابِعَكَ</w:t>
      </w:r>
    </w:p>
    <w:p>
      <w:pPr>
        <w:pStyle w:val="BookText"/>
        <w:rPr/>
      </w:pPr>
      <w:r>
        <w:rPr>
          <w:rFonts w:ascii="IRNazanin" w:hAnsi="IRNazanin" w:eastAsia="IRNazanin"/>
          <w:color w:val="111111"/>
          <w:sz w:val="28"/>
          <w:sz w:val="28"/>
          <w:szCs w:val="28"/>
          <w:rtl w:val="true"/>
          <w:lang w:bidi="fa-IR"/>
        </w:rPr>
        <w:t xml:space="preserve">حقیقتاً کلام سیّد استوار و متین است، امّا با وجود معارض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که با قوّت به مخالفت با آن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تأویل و تفسیر دارد</w:t>
      </w:r>
      <w:r>
        <w:rPr>
          <w:rFonts w:eastAsia="IRNazanin" w:cs="IRNazanin"/>
          <w:color w:val="111111"/>
          <w:sz w:val="28"/>
          <w:szCs w:val="28"/>
          <w:rtl w:val="true"/>
          <w:lang w:bidi="fa-IR"/>
        </w:rPr>
        <w:t>.</w:t>
      </w:r>
    </w:p>
    <w:p>
      <w:pPr>
        <w:pStyle w:val="Heading5"/>
        <w:numPr>
          <w:ilvl w:val="4"/>
          <w:numId w:val="1"/>
        </w:numPr>
        <w:rPr/>
      </w:pPr>
      <w:bookmarkStart w:id="1239" w:name="__RefHeading___Toc606052_1934241801"/>
      <w:bookmarkStart w:id="1240" w:name="_Toc570"/>
      <w:bookmarkEnd w:id="1239"/>
      <w:r>
        <w:rPr>
          <w:rtl w:val="true"/>
        </w:rPr>
        <w:t xml:space="preserve">روایت </w:t>
      </w:r>
      <w:r>
        <w:rPr/>
        <w:t>6</w:t>
      </w:r>
      <w:bookmarkEnd w:id="1240"/>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در ضمن حدیثی طولانی که در باب وضو ذکر گردید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تجدوا ماء فتیمّموا صعیداً فامسحوا بوجوهکم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هنگامی که خداوند خواسته از بار مسؤولیّت کسی که به آب دست نمی یابد بکاهد، مسح کردن با خاک را جایگزین شستن با آب کرده است، چرا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افزوده است، آن گاه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مورد استفاده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به خاطر اینکه از این امر آگاه بوده است که آن خاک به طور کامل با صورت تماس پیدا نمی کند، چرا که به قسمتی از کف دست می چسبد و به قسمتی از آن نمی چسبد، سپس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یرید الله لیجعل لکم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تنگنا و سختی است</w:t>
      </w:r>
      <w:r>
        <w:rPr>
          <w:rFonts w:eastAsia="IRNazanin" w:cs="IRNazanin"/>
          <w:color w:val="111111"/>
          <w:sz w:val="28"/>
          <w:szCs w:val="28"/>
          <w:rtl w:val="true"/>
          <w:lang w:bidi="fa-IR"/>
        </w:rPr>
        <w:t>.</w:t>
      </w:r>
      <w:r>
        <w:rPr>
          <w:rStyle w:val="FootnoteAnchor"/>
          <w:rtl w:val="true"/>
        </w:rPr>
        <w:footnoteReference w:id="667"/>
      </w:r>
    </w:p>
    <w:p>
      <w:pPr>
        <w:pStyle w:val="Heading5"/>
        <w:numPr>
          <w:ilvl w:val="4"/>
          <w:numId w:val="1"/>
        </w:numPr>
        <w:rPr/>
      </w:pPr>
      <w:bookmarkStart w:id="1241" w:name="__RefHeading___Toc606054_1934241801"/>
      <w:bookmarkStart w:id="1242" w:name="_Toc571"/>
      <w:bookmarkEnd w:id="1241"/>
      <w:r>
        <w:rPr>
          <w:rtl w:val="true"/>
        </w:rPr>
        <w:t xml:space="preserve">روایت </w:t>
      </w:r>
      <w:r>
        <w:rPr/>
        <w:t>7</w:t>
      </w:r>
      <w:bookmarkEnd w:id="1242"/>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بیامرزد، آگاه باشید که تیمّم برای مضطرّ به منزله غسل و وضو است، و در غیر حالت ضرورت نیز اگر کسی به آب دست نیابد تیمّم نصف وضو به شمار می آید، و جایز نیست که تیمّم کند مگر در اواخر وقت تعیین شده برای نماز و یا زمانی که بیم آن داشته باشد که وقت نماز در حال گذر است</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شیوه تیمّم کردن برای وضو، جنابت و سایر موجبات غسل یکسان است 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با دستانت بر زمین می زنی، سپس با آنها صورتت را از ابروها تا چانه مسح می نمایی، در برخی از روایت ها ذکر شده که از موضع سجده بر روی پیشانی از رستن گاه مو به سوی بینی مسح می شود، سپس بار دیگر دستانت را بر زمین می زنی و پشت دست راست را با کف دست چپ و پشت دست چپ را با کف دست راست از مُچ، و در روایتی دیگر از بیخ انگشتان، مسح می نمایی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روایت می کنم که هر گاه قصد تیمّم نمودی کف دستانت را یک بار بر زمین بکوب، سپس یکی از دستانت را روی دیگری قرار ده و با کناره انگشتانت صورتت را از بالای ابروهایت مسح می نمایی و قسمت های باقی مانده به همان حال باقی می ماند، سپس انگشتان دست چپ را از بیخ انگشتان و بالای کف بر روی انگشتان دست راست قرار می دهی، آن گاه آن ها را بر پشت دست می کشی ، سپس انگشتان دست </w:t>
      </w:r>
    </w:p>
    <w:p>
      <w:pPr>
        <w:pStyle w:val="BookText"/>
        <w:rPr/>
      </w:pPr>
      <w:r>
        <w:rPr>
          <w:rFonts w:ascii="Amiri" w:hAnsi="Amiri" w:eastAsia="Amiri" w:cs="Amiri"/>
          <w:color w:val="111111"/>
          <w:sz w:val="28"/>
          <w:sz w:val="28"/>
          <w:szCs w:val="28"/>
          <w:rtl w:val="true"/>
          <w:lang w:bidi="ar-SA"/>
        </w:rPr>
        <w:t xml:space="preserve">الْيُمْنَي عَلَي أَصَابِعِكَ الْيُسْرَي فَتَصْنَعُ بِيَدِكَ الْيُمْنَي مَا صَنَعْتَ بِيَدِكَ الْيُسْرَي عَلَي الْيُمْنَي مَرَّةً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هُوَ التَّيَمُّمُ وَ هُوَ الْوُضُوءُ التَّامُّ الْكَامِلُ فِي وَقْتِ الضَّرُورَةِ فَإِذَا قَدَرْتَ عَلَي الْمَاءِ انْتَقَضَ التَّيَمُّمُ وَ عَلَيْكَ إِعَادَةُ الْوُضُوءِ وَ الْغُسْلِ بِالْمَاءِ لِمَا تَسْتَأْنِفُ الصَّلَاةَ اللَّهُمَّ إِلَّا أَنْ تَقْدِرَ عَلَي الْمَاءِ وَ أَنْتَ فِي وَقْتٍ مِنَ الصَّلَاةِ الَّتِي صَلَّيْتَهَا بِالتَّيَمُّمِ فَتَطَهَّرُ وَ تُعِيدُ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نَرْوِي أَنَّ جَبْرَئِيلَ عليه السلام نَزَلَ إِلَي سَيِّدِنَا رَسُولِ اللَّهِ صلي الله عليه و آله فِي الْوُضُوءِ بِغَسْلَيْنِ وَ مَسْحَيْنِ غَسْلِ الْوَجْهِ وَ الْيَدَيْنِ وَ مَسْحِ الرَّأْسِ وَ الرِّجْلَيْنِ ثُمَّ نَزَلَ فِي التَّيَمُّمِ بِإِسْقَاطِ الْمَسْحَيْنِ وَ جَعْلِ مَكَانِ مَوْضِعِ الْغَسْلِ مَسْحاً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نَرْوِي عَنْهُ عليه السلام أَنَّهُ قَالَ رَبُّ الْمَاءِ وَ رَبُّ الصَّعِيدِ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لِلْمُتَيَمِّمِ أَنْ يَتَيَمَّمَ إِلَّا فِي آخِرِ الْوَقْتِ وَ إِنْ تَيَمَّمَ وَ صَلَّي قَبْلَ خُرُوجِ الْوَقْتِ ثُمَّ أَدْرَكَ الْمَاءَ وَ عَلَيْهِ الْوَقْتُ فَعَلَيْهِ أَنْ يُعِيدَ الصَّلَاةَ وَ الْوُضُوءَ وَ إِنْ مَرَّ بِمَاءٍ فَلَمْ يَتَوَضَّأْ وَ قَدْ كَانَ تَيَمَّمَ وَ صَلَّي فِي آخِرِ الْوَقْتِ وَ هُوَ يُرِيدُ مَاءً آخَرَ فَلَمْ يَبْلُغِ الْمَاءَ حَتَّي حَضَرَتِ الصَّلَاةُ الْأُخْرَي فَعَلَيْهِ أَنْ يُعِيدَ التَّيَمُّمَ لِأَنَّ مَمَرَّهُ بِالْمَاءِ نَقَضَ تَيَمُّمَهُ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يُصَلِّي بِتَيَمُّمٍ وَاحِدٍ خَمْسَ صَلَوَاتٍ مَا لَمْ يُحْدِثْ حَدَثاً يُنْقَضُ بِهِ الْوُضُوءُ وَ تَتَيَمَّمُ لِلْجَنَابَةِ وَ الْحَائِضُ تَتَيَمَّمُ مِثْلَ تَيَمُّمِ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عَزَّ وَ جَلَّ فَرَضَ الطُّهْرَ فَجَعَلَ غَسْلَ الْوَجْهِ وَ الْيَدَيْنِ وَ مَسْحَ الرَّأْسِ وَ الرِّجْلَيْنِ وَ فَرَضَ الصَّلَاةَ أَرْبَعَ رَكَعَاتٍ فَجَعَلَ لِلْمُسَافِرِ رَكْعَتَيْنِ وَ وَضَعَ عَنْهُ الرَّكْعَتَيْنِ لَيْسَ فِيهِمَا الْقِرَاءَةُ وَ جَعَلَ لِلَّذِي لَا يَقْدِرُ عَلَي الْمَاءِ التَّيَمُّمَ مَسْحَ الْوَجْهِ وَ الْيَدَيْنِ وَ رَفَعَ عَنْهُ مَسْحَ الرَّأْسِ وَ الرِّجْلَيْنِ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تَبَارَكَ وَ تَعَالَي فَتَيَمَّمُوا صَعِيداً طَيِّباً وَ الصَّعِيدُ الْمَوْضِعُ الْمُرْتَفِعُ عَنِ الْأَرْضِ وَ الطَّيِّبُ الَّذِي يَنْحَدِرُ عَنْهُ الْمَاءُ وَ قَدْ رُوِيَ أَنَّهُ يَمْسَحُ الرَّجُلُ عَلَي جَبِينَيْهِ وَ حَاجِبَيْهِ وَ يَمْسَحُ عَلَي ظَهْرِ كَفَّيْهِ فَإِذَا كَبَّرْتَ فِي صَلَاتِكَ تَكْبِيرَةَ</w:t>
      </w:r>
    </w:p>
    <w:p>
      <w:pPr>
        <w:pStyle w:val="BookText"/>
        <w:rPr/>
      </w:pPr>
      <w:r>
        <w:rPr>
          <w:rFonts w:ascii="IRNazanin" w:hAnsi="IRNazanin" w:eastAsia="IRNazanin"/>
          <w:color w:val="111111"/>
          <w:sz w:val="28"/>
          <w:sz w:val="28"/>
          <w:szCs w:val="28"/>
          <w:rtl w:val="true"/>
          <w:lang w:bidi="fa-IR"/>
        </w:rPr>
        <w:t>راست را بر روی انگشتان دست چپ قرار می دهی و همان کارهایی را که یک بار با دست چپ در مورد دست راست انجام دادی با دست راست در مورد دست چپ انجام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تیمّم کردن است، تیمّم در هنگام ضرورت به منزله وضوی کامل است، و هر گاه به آب دست یابی تیمّم باطل می گردد و هنگام شروع نمازهای بعدی باید وضو و غسل را دوباره با آب انجام دهی، مگر به آب دست یابی و برای نمازی که آن را به جا آورده ای وقت داری پس باید تطهیر کنی و نماز را اعاده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می کنیم که جبرئیل علیه السلام هنگام وضو بر مولای مان رسول خدا صلّی الله علیه و آله فرود آمد و شستن صورت و دست ها و مسح سر و پاها را به ایشان وحی نمود، سپس هنگام تیمّم نیز فرود آمد و مسح سر و پاها را حذف و مسح صورت و دست ها را به جای شستن آنها وضع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پیامبر صلّی الله علیه و آله روایت می کنیم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آب و خاک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شخص تیمّم کننده جایز نیست جز در پایان وقت نماز تیمّم کند، و اگر قبل از به پایان رسیدن وقت نماز تیمّم کند و نماز بخواند سپس به آب دست یابد و وقت نماز همچنان باقی باشد، باید نماز و وضو را دوباره با استفاده از آب انجام دهد، و اگر بر آب گذر کند و وضو نگیرد و نماز را در آخر وقت با تیمّم به جا آورده باشد و طلب آب دیگری کند ولی تا فرا رسیدن نماز بعدی به آب نرسد باید دوباره تیمّم را تکرار کند، چرا که گذر کردن او بر آب باعث باطل شدن تیمّم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یک تیمّم امکان به جا آوردن نمازهای پنجگانه وجود دارد، البته به شرط اینکه آنچه باعث نقض وضو می گردد روی ندهد، و برای جنابت نیز می توانی تیمّم کنی و زن حائض نیز مانند تیمّم نماز تیمّم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خداوند متعال طهارت و پاکی را واجب گردانده است، پس شستن صورت و دستها و مسح سر و پاها را وضع نموده و نماز را در چهار رکعت واجب گردانده است، ولی برای مسافر دو رکعت را واجب گردانده و دو رکعت را به او تخفیف داده است و در دو رکعت باقیمانده نیز قرائت سوره وجود ندارد، همچنین برای کسی که به آب دست نمی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توان استعمال آب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صورت و دست ها را وضع نموده و مسح سر و پاها را از میان برداشته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فتیمّموا صعیداً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مکان مرتفع زمین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است که آب از آن سرازیر می شود، و روایت شده است که شخص تیمّم کننده پیشانی، ابروها و پشت دستانش را مسح می کند، و آن گاه که </w:t>
      </w:r>
      <w:bookmarkStart w:id="1243" w:name="pg13517_329181"/>
    </w:p>
    <w:p>
      <w:pPr>
        <w:pStyle w:val="BookText"/>
        <w:rPr/>
      </w:pPr>
      <w:bookmarkEnd w:id="1243"/>
      <w:r>
        <w:rPr>
          <w:rFonts w:ascii="Amiri" w:hAnsi="Amiri" w:eastAsia="Amiri" w:cs="Amiri"/>
          <w:color w:val="111111"/>
          <w:sz w:val="28"/>
          <w:sz w:val="28"/>
          <w:szCs w:val="28"/>
          <w:rtl w:val="true"/>
          <w:lang w:bidi="ar-SA"/>
        </w:rPr>
        <w:t>الِافْتِتَاحِ وَ أُتِيتَ بِالْمَاءِ فَلَا تَقْطَعِ الصَّلَاةَ وَ لَا تَنْقُضْ تَيَمُّمَكَ وَ امْضِ فِي صِلَاتِكَ‌</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4" w:name="__RefHeading___Toc606056_1934241801"/>
      <w:bookmarkStart w:id="1245" w:name="_Toc572"/>
      <w:bookmarkEnd w:id="1244"/>
      <w:r>
        <w:rPr>
          <w:rtl w:val="true"/>
        </w:rPr>
        <w:t>تبيين</w:t>
      </w:r>
      <w:bookmarkEnd w:id="1245"/>
    </w:p>
    <w:p>
      <w:pPr>
        <w:pStyle w:val="BookText"/>
        <w:rPr/>
      </w:pPr>
      <w:r>
        <w:rPr>
          <w:rFonts w:ascii="Amiri" w:hAnsi="Amiri" w:eastAsia="Amiri" w:cs="Amiri"/>
          <w:color w:val="111111"/>
          <w:sz w:val="28"/>
          <w:sz w:val="28"/>
          <w:szCs w:val="28"/>
          <w:rtl w:val="true"/>
          <w:lang w:bidi="ar-SA"/>
        </w:rPr>
        <w:t>اعلم أن الأصحاب قد اختلفوا في عدد الضربات في التيمم فقال الشيخان في النهاية و المبسوط و المقنعة ضربة للوضوء و ضربتان للغسل و هو اختيار الصدوق و سلار و أبي الصلاح و ابن إدريس و أكثر المتأخرين و قال المرتضي في شرح الرسالة الواجب ضربة واحدة في الجميع و هو اختيار ابن الجنيد و ابن أبي عقيل و المفيد في المسائل العزية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المفيد في الأركان اعتبار الضربتين في الجميع و حكاه العلامة في المنتهي و المختلف و المحقق في المعتبر عن علي بن بابويه و ظاهر كلامه في الرسالة اعتبار ثلاث ضربات ضربة باليدين للوجه و ضربة باليسار لليمين و ضربة باليمين لليسار و لم يفرق بين الوضوء و الغسل و حكي في المعتبر القول بالضربات الثلاث عن قوم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الخلاف اختلاف الأخبار فعلي المشهور جمعوا بينها بحمل أخبار الضربة علي بدل الوضوء و الضربتين علي بدل الغسل للمناسبة و لرواية غير دالة علي الفرق و منهم من جمع بينها بحمل الضربتين علي الاستحباب‌</w:t>
      </w:r>
      <w:r>
        <w:rPr>
          <w:rStyle w:val="FootnoteAnchor"/>
          <w:rtl w:val="true"/>
        </w:rPr>
        <w:footnoteReference w:id="670"/>
      </w:r>
      <w:r>
        <w:rPr>
          <w:rFonts w:ascii="Amiri" w:hAnsi="Amiri" w:eastAsia="Amiri" w:cs="Amiri"/>
          <w:color w:val="111111"/>
          <w:sz w:val="28"/>
          <w:sz w:val="28"/>
          <w:szCs w:val="28"/>
          <w:rtl w:val="true"/>
          <w:lang w:bidi="ar-SA"/>
        </w:rPr>
        <w:t>و هو أظهر في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الأصوب عندي حمل أخبار الضربتين علي التقية لأنه قال الطيبي في</w:t>
      </w:r>
    </w:p>
    <w:p>
      <w:pPr>
        <w:pStyle w:val="BookText"/>
        <w:rPr/>
      </w:pPr>
      <w:r>
        <w:rPr>
          <w:rFonts w:ascii="IRNazanin" w:hAnsi="IRNazanin" w:eastAsia="IRNazanin"/>
          <w:color w:val="111111"/>
          <w:sz w:val="28"/>
          <w:sz w:val="28"/>
          <w:szCs w:val="28"/>
          <w:rtl w:val="true"/>
          <w:lang w:bidi="fa-IR"/>
        </w:rPr>
        <w:t>تکبیره الاحرام گفتی و از قضا آب برایت فراهم شد، نماز را قطع نمی کنی و تیمّمت نیز باطل نمی شود و نمازت را پی بگیر</w:t>
      </w:r>
      <w:r>
        <w:rPr>
          <w:rFonts w:eastAsia="IRNazanin" w:cs="IRNazanin"/>
          <w:color w:val="111111"/>
          <w:sz w:val="28"/>
          <w:szCs w:val="28"/>
          <w:rtl w:val="true"/>
          <w:lang w:bidi="fa-IR"/>
        </w:rPr>
        <w:t>.</w:t>
      </w:r>
      <w:r>
        <w:rPr>
          <w:rStyle w:val="FootnoteAnchor"/>
          <w:rtl w:val="true"/>
        </w:rPr>
        <w:footnoteReference w:id="671"/>
      </w:r>
    </w:p>
    <w:p>
      <w:pPr>
        <w:pStyle w:val="Heading5"/>
        <w:numPr>
          <w:ilvl w:val="4"/>
          <w:numId w:val="1"/>
        </w:numPr>
        <w:rPr/>
      </w:pPr>
      <w:bookmarkStart w:id="1246" w:name="__RefHeading___Toc606058_1934241801"/>
      <w:bookmarkStart w:id="1247" w:name="_Toc573"/>
      <w:bookmarkEnd w:id="1246"/>
      <w:r>
        <w:rPr>
          <w:rtl w:val="true"/>
        </w:rPr>
        <w:t>توضیح</w:t>
      </w:r>
      <w:bookmarkEnd w:id="1247"/>
    </w:p>
    <w:p>
      <w:pPr>
        <w:pStyle w:val="BookText"/>
        <w:rPr/>
      </w:pPr>
      <w:r>
        <w:rPr>
          <w:rFonts w:ascii="IRNazanin" w:hAnsi="IRNazanin" w:eastAsia="IRNazanin"/>
          <w:color w:val="111111"/>
          <w:sz w:val="28"/>
          <w:sz w:val="28"/>
          <w:szCs w:val="28"/>
          <w:rtl w:val="true"/>
          <w:lang w:bidi="fa-IR"/>
        </w:rPr>
        <w:t>آگاه باش که فقها در مورد تعداد ضربات دست که هنگام تیمّم بر زمین کوبیده می شود اختلاف نظر دارند، شیخین در النهایه، المبسوط و المقنعه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بدل از وضو یک ضربه دارد و تیمّم بدل از غسل دو ضربه، این نظر را شیخ صدوق، سلّار، ابوصلاح، ابن ادریس و بیشتر فقهای معاصر برگزیده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مرتضی در شرح الرساله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حالات یک ضربه واجب است؛ این نظر را ابن جنید، ابن ابی عقیل و شیخ مفید در المسائل العزیّه برگزیده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الأرکان از شیخ مفید نقل شده که در تمام حالات دو ضربه را واجب دانسته است، و علّامه در المنتهی و المختلف و محقّق در المعتبر این نظر را از علی بن بابویه حکایت کرده اند، ولی از ظاهر کلام او در الرساله چنین برداشت می شود که سه ضربه را واجب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ضربه با دو دست برای مسح صورت، یک ضربه با دست چپ برای مسح دست راست و یک ضربه با دست راست برای مسح دست چپ، و بین وضو و غسل اختلافی قائل نشده است؛ و در المعتبر نیز نظری مبنی بر ضربات سه گانه را به نقل از عدّه ای از شیعه حکایت کرده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منشأ اختلاف نظر در این زمینه اختلاف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نظر مشهور در بین احادیث این گونه اتفاق ایجاد کرده اند که احادیثی که قائل به یک ضربه هستند را بر تیمّم بدل از وضو و احادیثی که قائل به دو ضربه هستند را بر تیمّم بدل از غسل حمل کرده اند، و این عمل را به خاطر تناسب آن و همچنین بر اساس روایتی که بر فرق بین وضو و غسل دلالت نمی کند انجام داده اند؛ عدّه ای از فقها نیز با حمل نمودن احادیث قائل به دو ضربه بر استحباب، بین احادیث اتفاق ایجاد کرده اند، و این شیوه متّفق ساختن احادیث صحیح تر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رأی من حمل احادیث قائل به دو ضربه بر تقیّه صحیح تر است، </w:t>
      </w:r>
      <w:bookmarkStart w:id="1248" w:name="pg13517_329182"/>
    </w:p>
    <w:p>
      <w:pPr>
        <w:pStyle w:val="BookText"/>
        <w:rPr/>
      </w:pPr>
      <w:bookmarkEnd w:id="1248"/>
      <w:r>
        <w:rPr>
          <w:rFonts w:ascii="Amiri" w:hAnsi="Amiri" w:eastAsia="Amiri" w:cs="Amiri"/>
          <w:color w:val="111111"/>
          <w:sz w:val="28"/>
          <w:sz w:val="28"/>
          <w:szCs w:val="28"/>
          <w:rtl w:val="true"/>
          <w:lang w:bidi="ar-SA"/>
        </w:rPr>
        <w:t>شرح المشكاة في شرح حديث عمار إن في الخبر فوائد منها أن في التيمم تكفي ضربة واحدة للوجه و الكفين و هو مذهب علي و ابن عباس و عمار و جمع من التابعين و ذهب عبد الله بن عمر و جابر من التابعين و الأكثرون من فقهاء الأمصار إلي أن التيمم ضربتان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هذا أن القول المشهور بين المخالفين ضربتان و أن الضربة مشهور عندهم من مذهب أمير المؤمنين عليه السلام و عمار التابع له في جميع الأحكام و ابن عباس الموافق له في أكثرها فتبين أن أخبار الضربة أقوي و أخبار الضربتين حملها علي التقية أولي و إن كان الأحوط الجمع بينهما فيهما و لعل اختلاف أجزاء هذا الخبر أيضا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معظم الأصحاب عبروا بلفظ الضرب و هو الوضع المشتمل علي اعتماد يحصل به مسماه عرفا فلا يكفي الوضع المجرد عنه و بعضهم عبر بلفظ الوضع كالشيخ في النهاية و المبسوط و اختاره الشهيد و جماعة و التعبير في الأخبار مختلف و الضرب أحوط بل أقوي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استحباب نفض اليدين بعد الضرب مذهب الأصحاب و أجمعوا علي عدم وجوبه و استحب الشيخ مسح إحدي اليدين بالأخري بعد النفض و ذكر في هذا الخبر مكان النفض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اعتبر أكثر الأصحاب كون مسح الوجه بباطن الكفين معا و نقل عن ابن الجنيد أنه اجتزأ باليد اليمني لصدق المسح و هو كذلك بالنظر إلي الآية لكن ظاهر الأخبار المبينة لها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يعتبر في المسح كونه بباطن الكف اختيارا لأنه المعهود فلو مسح بالظهر اختيارا أو بآلة لم يجز نعم لو تعذر المسح بالباطن أجزأ الظاهر و الأحوط ضم التولية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الأصحاب أنه يشترط في ضرب اليدين أن يكونا دفعة فلو ضرب إحدي يديه ثم أتبعه بالأخري لم يجز و مسح الجبهة من قصاص شعر الرأس</w:t>
      </w:r>
    </w:p>
    <w:p>
      <w:pPr>
        <w:pStyle w:val="Heading5"/>
        <w:numPr>
          <w:ilvl w:val="4"/>
          <w:numId w:val="1"/>
        </w:numPr>
        <w:rPr/>
      </w:pPr>
      <w:bookmarkStart w:id="1249" w:name="__RefHeading___Toc606060_1934241801"/>
      <w:bookmarkStart w:id="1250" w:name="_Toc574"/>
      <w:bookmarkEnd w:id="1249"/>
      <w:r>
        <w:rPr>
          <w:rtl w:val="true"/>
        </w:rPr>
        <w:t>شرح</w:t>
      </w:r>
      <w:bookmarkEnd w:id="1250"/>
    </w:p>
    <w:p>
      <w:pPr>
        <w:pStyle w:val="BookText"/>
        <w:rPr/>
      </w:pPr>
      <w:r>
        <w:rPr>
          <w:rFonts w:ascii="IRNazanin" w:hAnsi="IRNazanin" w:eastAsia="IRNazanin"/>
          <w:color w:val="111111"/>
          <w:sz w:val="28"/>
          <w:sz w:val="28"/>
          <w:szCs w:val="28"/>
          <w:rtl w:val="true"/>
          <w:lang w:bidi="fa-IR"/>
        </w:rPr>
        <w:t>چرا که الطیبیّ در شرح المشکوه در شرح حدیث عمّار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فوائدی وجود دارد از جمله اینکه در تیمّم، زدن یک ضربه بر زمین برای مسح صورت و دو کف دست کفایت می کند، و این نظر متعلّق به علی علیه السلام، ابن عباس، عمّار و گروهی از تابعین است، امّا از میان تابعین عبدالله بن عمر و جابر و همچنین بیشتر فقهای سرزمین های مختلف بر این باورند که تعداد ضرباتی که برای تیمّم بر زمین زده می شود دو ضربه است، 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سخن الطیبیّ آشکار می گردد که نظر مشهور در بین مخالفان دو ضربه است، و نظر مشهور در بین ایشان، درمورد نظر امیر المؤمنین علیه السلام و عمّار که در تمام احکام دنباله رو امام است و همچنین ابن عباس که در بیشتر احکام موافق ایشان است، یک ضربه می باشد؛ بنابراین آشکار است که احادیث قائل به یک ضربه، قوی تر هستند و حمل احادیث قائل به دو ضربه بر تقیّه،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هرچند احوط، جمع بین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ضربه و دو 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شاید اختلاف اجزای این خبر نیز از روی تقیه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آگاه باش که بیشتر فقها برای تعبیر از مقصود خود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اند و آن 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مشتمل بر اعتمادی است که عرفا با آن مسمّای این کلمه، حاصل می شود؛ پس قراردادن مجرد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کفایت نمی کند و برخی از آنان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 اند مانند شیخ در النهایة و المبسوط و شهید و جماعتی دیگر آن را اختیار کرده اند و تعبیر در روایات مختلف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بلکه 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 فقها این است که تکان دادن دست ها بعد از کوبیدن آن ها بر زمین به منظور از بین رفتن گرد و غبار اضافی مستحبّ است، و اجماع فقها بر عدم وجوب چنین کاری اتفاق نظر دارد، و شیخ مسح نمودن یکی از دست ها با دست دیگر را بعد از تکان دادن مستحبّ دانسته و در این حدیث، جای تکان دادن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بیشتر فقها مسح صورت با باطن هر دو کف دست را معتبر دانسته اند، و از ابن جنید نقل شده که وی به مسح با دست راست اکتفا کرده است برای اینکه مسح صدق می کند، و با نگاه به ظاهر آیه نیز چنین نظری برداشت می شود، امّا ظاهر احادیثی که این آیه را تبیین و تفسیر کرده اند صحّت نظر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با کف دو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باید در حال اختیار با باطن دو کف دست انجام پذیرد، چرا که عادت چنین است، پس اگر مسح به صورت اختیاری با پشت دست یا ابزار دیگری انجام پذیرد کفایت نمی کند، آری اگر شخص برای مسح با باطن دست عذر داشته باشد مسح با پشت دست کفایت می کند، و احوط آن است که کسی را هم عهده دار آن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کف دست او را مسح 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ظاهر کلام فقها چنین بر می آید که شرط صحّت تیمّم آن است که کوبیدن دست ها بر زمین با هم و یک دفعه باشد، پس جایز نیست که در ابتدا یکی از دست ها و سپس دست دیگر را بر زمین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که فقها بر این نظر متّفق هستند که مسح پیشانی از رستن گاه مو به </w:t>
      </w:r>
    </w:p>
    <w:p>
      <w:pPr>
        <w:pStyle w:val="BookText"/>
        <w:rPr/>
      </w:pPr>
      <w:r>
        <w:rPr>
          <w:rFonts w:ascii="Amiri" w:hAnsi="Amiri" w:eastAsia="Amiri" w:cs="Amiri"/>
          <w:color w:val="111111"/>
          <w:sz w:val="28"/>
          <w:sz w:val="28"/>
          <w:szCs w:val="28"/>
          <w:rtl w:val="true"/>
          <w:lang w:bidi="ar-SA"/>
        </w:rPr>
        <w:t>إلي طرف الأنف الأعلي كأنه متفق عليه بين الأصحاب‌</w:t>
      </w:r>
      <w:r>
        <w:rPr>
          <w:rStyle w:val="FootnoteAnchor"/>
          <w:rtl w:val="true"/>
        </w:rPr>
        <w:footnoteReference w:id="672"/>
      </w:r>
      <w:r>
        <w:rPr>
          <w:rFonts w:ascii="Amiri" w:hAnsi="Amiri" w:eastAsia="Amiri" w:cs="Amiri"/>
          <w:color w:val="111111"/>
          <w:sz w:val="28"/>
          <w:sz w:val="28"/>
          <w:szCs w:val="28"/>
          <w:rtl w:val="true"/>
          <w:lang w:bidi="ar-SA"/>
        </w:rPr>
        <w:t>و أوجب بعضهم الجبينين أيضا و الصدوق مسح الحاجبين أيضا و قد عرفت أن أباه قال بمسح جميع الوجه قال في الذكري و في كلام الجعفي إشعار به و المشهور في اليدين أن حدهما الزند و نقل ابن إدريس عن بعض الأصحاب أن المسح علي اليدين من أصول الأصابع إلي رءوسها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بابويه امسح يديك من المرفقين إلي الأصابع و قال الصدوق في بيان التيمم للجنابة و مسح يده فوق الكف قليلا و يحتمل أن يكون مراده الابتداء من فوق الكف من باب المقدمة أو أراد عدم وجوب 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أنه إذا تمكن من استعمال الماء في غير الصلاة ينتقض تيممه و لو فقد الماء بعد ذلك يجب عليه إعادة التيمم فقد قال في المعتبر إنه إجماع أهل العلم و من تيمم تيمما صحيحا و صلي ثم خرج الوقت لم يجب عليه القضاء و قال في المنتهي و عليه إجماع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السيد المرتضي أن الحاضر إذا تيمم لفقد الماء وجب عليه الإعادة إذا وجده و الأقوي سقوط القضاء مطلقا و لو تيمم و صلي مع سعة الوقت ثم وجد الماء في الوقت فإن قلنا باختصاص التيمم بآخر الوقت بطلت صلاته مطلقا و إن قلنا بجوازه مع السعة فالأقوي عدم الإعادة كما اختاره المحقق في المعتبر و الشهيد في الذكري و نقل عن ابن الجنيد و ابن أبي عقيل القول بوجوب الإعادة لأخبار حملها علي الاستحباب طريق الجمع و أما أنه يكفيه تيمم واحد لصلوات متعددة فلا خلاف فيه ظاهرا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وجد الماء بعد الدخول في الصلاة فقد اختلف فيه كلام الأصحاب علي أقوال الأول أنه يمضي في صلاته و لو تلبس بتكبيرة الإحرام كما دل عليه هذا الخبر و هو مختار الأكثر الثاني أنه يرجع ما لم يركع و إليه ذهب الصدوق و الشيخ في النهاية و جماعة الثالث أنه يرجع ما لم يقرأ ذهب إليه سلار الرابع وجوب القطع مطلقا إذا غلب علي ظنه سعة الوقت بقدر الطهارة</w:t>
      </w:r>
    </w:p>
    <w:p>
      <w:pPr>
        <w:pStyle w:val="BookText"/>
        <w:rPr/>
      </w:pPr>
      <w:r>
        <w:rPr>
          <w:rFonts w:ascii="IRNazanin" w:hAnsi="IRNazanin" w:eastAsia="IRNazanin"/>
          <w:color w:val="111111"/>
          <w:sz w:val="28"/>
          <w:sz w:val="28"/>
          <w:szCs w:val="28"/>
          <w:rtl w:val="true"/>
          <w:lang w:bidi="fa-IR"/>
        </w:rPr>
        <w:t>سوی کناره بالایی بینی انجام می پذیرد، و برخی از آنان مسح هر دو طرف پیشانی و شیخ صدوق مسح ابروها را نیز واجب دانسته اند، و آگاه گشتی که پدر وی قائل به مسح تمام صورت است و در الذکری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جعفیّ به این نکته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مشهور در مورد دست ها این است که حدّ تیمّم آن ها تا مچ است، و ابن ادریس از یکی از فقها نقل کرده که محدوده دست ها برای مسح نمودن از بیخ انگشتان تا نوک آن ها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بابویه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را از آرنج تا انگشتان مسح کن؛ و شیخ صدوق در شرح تیمّم جنابت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باید اندکی از بالای کف دستش را مسح کند؛ ممکن است که مقصود او آغاز کردن تیمّم از بالای کف دست به عنوان مقدمه باشد، و یا منظور او عدمِ وجوبِ مسح نمودنِ کامل دست،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امکان استفاده از آب در غیر نماز برای شخص فراهم شود تیمّم او باطل می شود، و اگر بعد از آن آب را دوباره از دست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 نماز بعدی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واجب است که دوباره تیمّم کند، محقق در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اجماع علما است، و هر کسی که به صورت صحیح تیمّم کند و نماز بگزارد و سپس وقت نماز به پایان برسد، قضای آن نماز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نیز 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اجماع علما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سیّد مرتضی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در آبادانی اقامت دارد به خاطر عدم دسترسی به آب تیمّم کند، بر او واجب است که در صورت دسترسی به آب نمازش را اعاده کند، ولی نظر قوی تر عدم نیاز به قضای نماز به صورت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تیمّم کند و با وسعت وقت نماز بگزارد سپس در وقت معمولِ نماز، آب بیابد، دو حالت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موکول کردن تیمّم به آخر وقت نماز باشیم نماز آن شخص مطلقاً باطل است، ولی اگر قائل به جواز آن با وسعت وقت باشیم، نظر قوی تر عدم اعاده نماز است، چنان که محقق در المعتبر و شهید در الذکری نیز این نظر را برگزیده اند، امّا از ابن جنید و ابن ابی عقیل نقل شده که قائل به وجوب اعاده نماز هستند و این امر به خاطر استناد به احادیثی است که حمل بر استحباب شده اند به خاطر جمع و سازگاری با احادیث دیگر، امّا اینکه یک تیمّم واحد او را برای به جا آوردن نمازهای متعدّد کفایت می کند ظاهراً در بین فقها اختلافی بر سر این موضوع وجود ندارد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فقهاء بر سر این موضوع که تیمّم کننده بعد از شروع نماز آب بیابد، دچار اختلاف شده اند به وجوه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خود را ادامه می دهد هر چند فقط تکبیره الاحرام را گفته باشد، چنان که این حدیث بر این نظر دلالت می کند و بیشتر فقها نیز آن را برگزیده اند؛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رکوع نرفته باشد نماز را قطع می کند، این نظر متعلّق به صدوق و شیخ در النهایه و گروه دیگری از فقهاست؛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سوره را قرائت نکرده باشد نماز را قطع می کند، این نظر متعلّق به سلّار است؛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قطع نماز به صورت مطلق اگر بر ظنّش غلبه کند که وسعت وقت به قدر طهارت </w:t>
      </w:r>
      <w:bookmarkStart w:id="1251" w:name="pg13517_329184"/>
    </w:p>
    <w:p>
      <w:pPr>
        <w:pStyle w:val="BookText"/>
        <w:rPr/>
      </w:pPr>
      <w:bookmarkEnd w:id="1251"/>
      <w:r>
        <w:rPr>
          <w:rFonts w:ascii="Amiri" w:hAnsi="Amiri" w:eastAsia="Amiri" w:cs="Amiri"/>
          <w:color w:val="111111"/>
          <w:sz w:val="28"/>
          <w:sz w:val="28"/>
          <w:szCs w:val="28"/>
          <w:rtl w:val="true"/>
          <w:lang w:bidi="ar-SA"/>
        </w:rPr>
        <w:t>و الصلاة و عدم وجوب القطع إذا لم يمكنه ذلك و استحباب القطع ما لم يركع نقله الشيخ عن ابن حمزة الخامس ما نقله الشهيد أيضا عن ابن الجنيد حيث قال و إذا وجد المتيمم الماء بعد دخوله في الصلاة قطع ما لم يركع الركعة الثانية فإن ركعها مضي في صلاته فإن وجده بعد الركعة الأولي و خاف ضيق الوقت أن يخرج إن قطع رجوت أن يجزيه أن لا يقطع صلاته و أما قبله فلا بد من قطعها مع وجود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الخلاف اختلاف الروايات و يمكن الجمع بينها بحمل أخبار المضي علي الجواز و أخبار القطع قبل الركوع علي الاستحباب بل القطع بعده أيضا و المسألة قليلة الجدوي إذ الفرض نادر</w:t>
      </w:r>
      <w:r>
        <w:rPr>
          <w:rFonts w:eastAsia="Amiri" w:cs="Amiri" w:ascii="Amiri" w:hAnsi="Amiri"/>
          <w:color w:val="111111"/>
          <w:sz w:val="28"/>
          <w:szCs w:val="28"/>
          <w:rtl w:val="true"/>
          <w:lang w:bidi="ar-SA"/>
        </w:rPr>
        <w:t>.</w:t>
      </w:r>
    </w:p>
    <w:p>
      <w:pPr>
        <w:pStyle w:val="Heading5"/>
        <w:numPr>
          <w:ilvl w:val="4"/>
          <w:numId w:val="1"/>
        </w:numPr>
        <w:rPr/>
      </w:pPr>
      <w:bookmarkStart w:id="1252" w:name="__RefHeading___Toc606062_1934241801"/>
      <w:bookmarkStart w:id="1253" w:name="_Toc575"/>
      <w:bookmarkEnd w:id="1252"/>
      <w:r>
        <w:rPr>
          <w:rtl w:val="true"/>
        </w:rPr>
        <w:t>«</w:t>
      </w:r>
      <w:r>
        <w:rPr/>
        <w:t>8</w:t>
      </w:r>
      <w:r>
        <w:rPr>
          <w:rtl w:val="true"/>
        </w:rPr>
        <w:t>»</w:t>
      </w:r>
      <w:bookmarkEnd w:id="1253"/>
    </w:p>
    <w:p>
      <w:pPr>
        <w:pStyle w:val="BookText"/>
        <w:rPr/>
      </w:pPr>
      <w:r>
        <w:rPr>
          <w:rFonts w:ascii="Amiri" w:hAnsi="Amiri" w:eastAsia="Amiri" w:cs="Amiri"/>
          <w:color w:val="111111"/>
          <w:sz w:val="28"/>
          <w:sz w:val="28"/>
          <w:szCs w:val="28"/>
          <w:rtl w:val="true"/>
          <w:lang w:bidi="ar-SA"/>
        </w:rPr>
        <w:t>الْعِلَلُ‌</w:t>
      </w:r>
      <w:r>
        <w:rPr>
          <w:rStyle w:val="FootnoteAnchor"/>
          <w:rtl w:val="true"/>
        </w:rPr>
        <w:footnoteReference w:id="673"/>
      </w:r>
      <w:r>
        <w:rPr>
          <w:rFonts w:ascii="Amiri" w:hAnsi="Amiri" w:eastAsia="Amiri" w:cs="Amiri"/>
          <w:color w:val="111111"/>
          <w:sz w:val="28"/>
          <w:sz w:val="28"/>
          <w:szCs w:val="28"/>
          <w:rtl w:val="true"/>
          <w:lang w:bidi="ar-SA"/>
        </w:rPr>
        <w:t>، وَ الْخِصَالُ، عَنْ أَبِيهِ عَنْ سَعْدِ بْنِ عَبْدِ اللَّهِ عَنْ مُحَمَّدِ بْنِ عِيسَي الْيَقْطِينِيِّ عَنِ الْقَاسِمِ بْنِ يَحْيَي عَنْ جَدِّهِ الْحَسَنِ بْنِ رَاشِدٍ عَنْ أَبِي بَصِيرٍ وَ مُحَمَّدِ بْنِ مُسْلِمٍ عَنْ أَبِي عَبْدِ اللَّهِ عَنْ آبَائِهِ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يَنَامُ الْمُسْلِمُ وَ هُوَ جُنُبٌ وَ لَا يَنَامُ إِلَّا عَلَي طَهُورٍ فَإِنْ لَمْ يَجِدِ الْمَاءَ فَلْيَتَيَمَّمْ بِالصَّعِيدِ فَإِنَّ رُوحَ الْمُؤْمِنِ تَرُوحُ إِلَي اللَّهِ عَزَّ وَ جَلَّ فَيَلْقَاهَا وَ يُبَارِكُ عَلَيْهَا فَإِنْ كَانَ أَجَلُهَا قَدْ حَضَرَ جَعَلَهَا فِي مَكْنُونِ رَحْمَتِهِ وَ إِنْ لَمْ يَكُنْ أَجَلُهَا قَدْ حَضَرَ بَعَثَ بِهَا مَعَ أُمَنَائِهِ مِنْ مَلَائِكَتِهِ فَيَرُدُّوهَا فِي جَسَدِهِ‌</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4" w:name="__RefHeading___Toc606064_1934241801"/>
      <w:bookmarkStart w:id="1255" w:name="_Toc576"/>
      <w:bookmarkEnd w:id="1254"/>
      <w:r>
        <w:rPr>
          <w:rtl w:val="true"/>
        </w:rPr>
        <w:t>«</w:t>
      </w:r>
      <w:r>
        <w:rPr/>
        <w:t>9</w:t>
      </w:r>
      <w:r>
        <w:rPr>
          <w:rtl w:val="true"/>
        </w:rPr>
        <w:t>»</w:t>
      </w:r>
      <w:bookmarkEnd w:id="1255"/>
    </w:p>
    <w:p>
      <w:pPr>
        <w:pStyle w:val="BookText"/>
        <w:rPr/>
      </w:pPr>
      <w:r>
        <w:rPr>
          <w:rFonts w:ascii="Amiri" w:hAnsi="Amiri" w:eastAsia="Amiri" w:cs="Amiri"/>
          <w:color w:val="111111"/>
          <w:sz w:val="28"/>
          <w:sz w:val="28"/>
          <w:szCs w:val="28"/>
          <w:rtl w:val="true"/>
          <w:lang w:bidi="ar-SA"/>
        </w:rPr>
        <w:t>الْمَحَاسِنُ، عَنْ أَبِيهِ عَنِ ابْنِ أَبِي عُمَيْرٍ عَنْ حَمَّادِ بْنِ عُثْمَانَ عَنْ عُبَيْدِ اللَّهِ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عَبْدِ اللَّهِ عليه السلام عَنِ الرَّجُلِ يَمُرُّ بِالرَّكِيَّةِ وَ لَيْسَ مَعَهُ دَلْوٌ قَالَ لَيْسَ عَلَيْهِ أَنْ يَدْخُلَ الرَّكِيَّةَ لِأَنَّ رَبَّ الْمَاءِ هُوَ رَبُّ الْأَرْضِ فَلْيَتَيَمَّمْ‌</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6" w:name="__RefHeading___Toc606066_1934241801"/>
      <w:bookmarkStart w:id="1257" w:name="_Toc577"/>
      <w:bookmarkEnd w:id="1256"/>
      <w:r>
        <w:rPr>
          <w:rtl w:val="true"/>
        </w:rPr>
        <w:t>بيان</w:t>
      </w:r>
      <w:bookmarkEnd w:id="1257"/>
    </w:p>
    <w:p>
      <w:pPr>
        <w:pStyle w:val="BookText"/>
        <w:rPr/>
      </w:pPr>
      <w:r>
        <w:rPr>
          <w:rFonts w:ascii="Amiri" w:hAnsi="Amiri" w:eastAsia="Amiri" w:cs="Amiri"/>
          <w:color w:val="111111"/>
          <w:sz w:val="28"/>
          <w:sz w:val="28"/>
          <w:szCs w:val="28"/>
          <w:rtl w:val="true"/>
          <w:lang w:bidi="ar-SA"/>
        </w:rPr>
        <w:t>الركية البئر و حمل علي ما إذا كان في النزول إليها مشقة كثيرة أو كان مستلزما لإفساد الماء و المراد بعدم الدلو عدم مطلق الآلة و ذكر الدلو</w:t>
      </w:r>
    </w:p>
    <w:p>
      <w:pPr>
        <w:pStyle w:val="BookText"/>
        <w:rPr/>
      </w:pPr>
      <w:r>
        <w:rPr>
          <w:rFonts w:ascii="IRNazanin" w:hAnsi="IRNazanin" w:eastAsia="IRNazanin"/>
          <w:color w:val="111111"/>
          <w:sz w:val="28"/>
          <w:sz w:val="28"/>
          <w:szCs w:val="28"/>
          <w:rtl w:val="true"/>
          <w:lang w:bidi="fa-IR"/>
        </w:rPr>
        <w:t>و ادای نماز است، و عدم وجوب قطع اگر چنین امکانی فراهم نباشد، و استحباب قطع اگر به رکوع نرفته باشد، این نظر را شیخ از ابن حمزه نقل کرده است؛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که شهید از ابن جنید نقل کرده آن گاه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تیمّم کننده بعد از شروع نماز آب بیابد نماز را در صورت نخواندن رکوع رکعت دوّم قطع می کند، ولی اگر در رکعت دوّم رکوع رفته باشد به نماز خود ادامه می دهد، امّا اگر تیمّم کننده آب را بعد از خواندن رکعت اوّل بیابد و بیم آن داشته باشد که با قطع نماز وقت آن به پایان می رسد، امید است که عدم قطع نماز او را کفایت کند، ولی اگر قبل از خواندن رکعت اوّل آب بیابد ناگزیر باید نمازش را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اختلاف نظر در این زمینه اختلاف موجود در بین احادیث است، و ممکن است این گونه میان احادیث اتّفاق ایجاد کرد که احادیث قائل به ادامه نماز حمل بر جواز شوند و احادیث قائل به قطع نماز قبل از رکوع بلکه حتی قطع نماز بعد از رکوع حمل بر استحباب شود، و این مسأله به خاطر اینکه فرض نادر می باشد کم فایده است</w:t>
      </w:r>
      <w:r>
        <w:rPr>
          <w:rFonts w:eastAsia="IRNazanin" w:cs="IRNazanin"/>
          <w:color w:val="111111"/>
          <w:sz w:val="28"/>
          <w:szCs w:val="28"/>
          <w:rtl w:val="true"/>
          <w:lang w:bidi="fa-IR"/>
        </w:rPr>
        <w:t>.</w:t>
      </w:r>
    </w:p>
    <w:p>
      <w:pPr>
        <w:pStyle w:val="Heading5"/>
        <w:numPr>
          <w:ilvl w:val="4"/>
          <w:numId w:val="1"/>
        </w:numPr>
        <w:rPr/>
      </w:pPr>
      <w:bookmarkStart w:id="1258" w:name="__RefHeading___Toc606068_1934241801"/>
      <w:bookmarkStart w:id="1259" w:name="_Toc578"/>
      <w:bookmarkEnd w:id="1258"/>
      <w:r>
        <w:rPr>
          <w:rtl w:val="true"/>
        </w:rPr>
        <w:t xml:space="preserve">روایت </w:t>
      </w:r>
      <w:r>
        <w:rPr/>
        <w:t>8</w:t>
      </w:r>
      <w:bookmarkEnd w:id="1259"/>
    </w:p>
    <w:p>
      <w:pPr>
        <w:pStyle w:val="BookText"/>
        <w:rPr/>
      </w:pPr>
      <w:r>
        <w:rPr>
          <w:rFonts w:ascii="IRNazanin" w:hAnsi="IRNazanin" w:eastAsia="IRNazanin"/>
          <w:color w:val="111111"/>
          <w:sz w:val="28"/>
          <w:sz w:val="28"/>
          <w:szCs w:val="28"/>
          <w:rtl w:val="true"/>
          <w:lang w:bidi="fa-IR"/>
        </w:rPr>
        <w:t>علل الشرایع 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 السلام روایت کرده که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مسلمان در حالی که جنب است نمی خوابد و فقط در صورتی که پاک و مطهّر باشد می خوابد، پس اگر برای غسل آب نیابد باید با خاک تیمّم کند، چرا که روح انسان مؤمن به سوی خداوند عزّ و جلّ عروج کرده و خداوند آن روح را ملاقات کرده و مبارک و خجسته اش می گرداند، پس اگر اجلش فرا رسیده باشد آن را در میان رحمت پنهان خویش قرار می دهد و اگر اجلش فرا نرسیده باشد به وسیله فرشتگان امین خود آن روح را به جسدش باز می گرداند</w:t>
      </w:r>
      <w:r>
        <w:rPr>
          <w:rFonts w:eastAsia="IRNazanin" w:cs="IRNazanin"/>
          <w:color w:val="111111"/>
          <w:sz w:val="28"/>
          <w:szCs w:val="28"/>
          <w:rtl w:val="true"/>
          <w:lang w:bidi="fa-IR"/>
        </w:rPr>
        <w:t>.</w:t>
      </w:r>
      <w:r>
        <w:rPr>
          <w:rStyle w:val="FootnoteAnchor"/>
          <w:rtl w:val="true"/>
        </w:rPr>
        <w:footnoteReference w:id="676"/>
      </w:r>
    </w:p>
    <w:p>
      <w:pPr>
        <w:pStyle w:val="Heading5"/>
        <w:numPr>
          <w:ilvl w:val="4"/>
          <w:numId w:val="1"/>
        </w:numPr>
        <w:rPr/>
      </w:pPr>
      <w:bookmarkStart w:id="1260" w:name="__RefHeading___Toc606070_1934241801"/>
      <w:bookmarkStart w:id="1261" w:name="_Toc579"/>
      <w:bookmarkEnd w:id="1260"/>
      <w:r>
        <w:rPr>
          <w:rtl w:val="true"/>
        </w:rPr>
        <w:t xml:space="preserve">روایت </w:t>
      </w:r>
      <w:r>
        <w:rPr/>
        <w:t>9</w:t>
      </w:r>
      <w:bookmarkEnd w:id="1261"/>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الحلبیّ از امام صادق علیه السلام درباره مردی پرسید که بر چاه آب گذر می کند ولی سطلی به همراه ندارد که از آن آب بکشد،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واجب نیست که وارد چاه شود، چرا که پروردگار آب همان پروردگار زمین است، پس تیمّم کند</w:t>
      </w:r>
      <w:r>
        <w:rPr>
          <w:rFonts w:eastAsia="IRNazanin" w:cs="IRNazanin"/>
          <w:color w:val="111111"/>
          <w:sz w:val="28"/>
          <w:szCs w:val="28"/>
          <w:rtl w:val="true"/>
          <w:lang w:bidi="fa-IR"/>
        </w:rPr>
        <w:t>.</w:t>
      </w:r>
      <w:r>
        <w:rPr>
          <w:rStyle w:val="FootnoteAnchor"/>
          <w:rtl w:val="true"/>
        </w:rPr>
        <w:footnoteReference w:id="677"/>
      </w:r>
    </w:p>
    <w:p>
      <w:pPr>
        <w:pStyle w:val="Heading5"/>
        <w:numPr>
          <w:ilvl w:val="4"/>
          <w:numId w:val="1"/>
        </w:numPr>
        <w:rPr/>
      </w:pPr>
      <w:bookmarkStart w:id="1262" w:name="__RefHeading___Toc606072_1934241801"/>
      <w:bookmarkStart w:id="1263" w:name="_Toc580"/>
      <w:bookmarkEnd w:id="1262"/>
      <w:r>
        <w:rPr>
          <w:rtl w:val="true"/>
        </w:rPr>
        <w:t>توضیح</w:t>
      </w:r>
      <w:bookmarkEnd w:id="126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این حدیث بر حالتی حمل شده است که در پایین رفتن از چاه مشقّت فراوانی حاصل شود و یا پایین رفتن از چاه باعث فاسد شدن آب گردد؛ مقصود از عدم وجود سطل، عدم وجود هر نوع ابزار برای آب کشی است،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سطل</w:t>
      </w:r>
      <w:r>
        <w:rPr>
          <w:rFonts w:eastAsia="IRNazanin" w:cs="IRNazanin"/>
          <w:color w:val="111111"/>
          <w:sz w:val="28"/>
          <w:szCs w:val="28"/>
          <w:rtl w:val="true"/>
          <w:lang w:bidi="fa-IR"/>
        </w:rPr>
        <w:t xml:space="preserve">) </w:t>
      </w:r>
      <w:bookmarkStart w:id="1264" w:name="pg13517_329185"/>
    </w:p>
    <w:p>
      <w:pPr>
        <w:pStyle w:val="BookText"/>
        <w:rPr/>
      </w:pPr>
      <w:bookmarkEnd w:id="1264"/>
      <w:r>
        <w:rPr>
          <w:rFonts w:ascii="Amiri" w:hAnsi="Amiri" w:eastAsia="Amiri" w:cs="Amiri"/>
          <w:color w:val="111111"/>
          <w:sz w:val="28"/>
          <w:sz w:val="28"/>
          <w:szCs w:val="28"/>
          <w:rtl w:val="true"/>
          <w:lang w:bidi="ar-SA"/>
        </w:rPr>
        <w:t>لأنه الفرد الشائع فلو أمكنه بل طرف عمامته مثلا ثم عصرها و الوضوء بمائها لوجب عليه و فيه إشارة إلي جواز التيمم بغير التراب</w:t>
      </w:r>
      <w:r>
        <w:rPr>
          <w:rFonts w:eastAsia="Amiri" w:cs="Amiri" w:ascii="Amiri" w:hAnsi="Amiri"/>
          <w:color w:val="111111"/>
          <w:sz w:val="28"/>
          <w:szCs w:val="28"/>
          <w:rtl w:val="true"/>
          <w:lang w:bidi="ar-SA"/>
        </w:rPr>
        <w:t>.</w:t>
      </w:r>
    </w:p>
    <w:p>
      <w:pPr>
        <w:pStyle w:val="Heading5"/>
        <w:numPr>
          <w:ilvl w:val="4"/>
          <w:numId w:val="1"/>
        </w:numPr>
        <w:rPr/>
      </w:pPr>
      <w:bookmarkStart w:id="1265" w:name="__RefHeading___Toc606074_1934241801"/>
      <w:bookmarkStart w:id="1266" w:name="_Toc581"/>
      <w:bookmarkEnd w:id="1265"/>
      <w:r>
        <w:rPr>
          <w:rtl w:val="true"/>
        </w:rPr>
        <w:t>«</w:t>
      </w:r>
      <w:r>
        <w:rPr/>
        <w:t>10</w:t>
      </w:r>
      <w:r>
        <w:rPr>
          <w:rtl w:val="true"/>
        </w:rPr>
        <w:t>»</w:t>
      </w:r>
      <w:bookmarkEnd w:id="1266"/>
    </w:p>
    <w:p>
      <w:pPr>
        <w:pStyle w:val="BookText"/>
        <w:rPr/>
      </w:pPr>
      <w:r>
        <w:rPr>
          <w:rFonts w:ascii="Amiri" w:hAnsi="Amiri" w:eastAsia="Amiri" w:cs="Amiri"/>
          <w:color w:val="111111"/>
          <w:sz w:val="28"/>
          <w:sz w:val="28"/>
          <w:szCs w:val="28"/>
          <w:rtl w:val="true"/>
          <w:lang w:bidi="ar-SA"/>
        </w:rPr>
        <w:t>السَّرَائِرُ، نَقْلًا مِنْ كِتَابِ مُحَمَّدِ بْنِ عَلِيِّ بْنِ مَحْبُوبٍ عَنِ ابْنِ أَبِي عُمَيْرٍ عَنْ مُحَمَّدِ بْنِ سُكَيْنٍ وَ غَيْرِهِ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رَسُولَ اللَّهِ صلي الله عليه و آله إِنَّ فُلَاناً أَصَابَتْهُ جَنَابَةٌ وَ هُوَ مَجْدُورٌ فَغَسَّلُوهُ فَمَاتَ فَقَالَ قَتَلُوهُ أَ لَا سَأَلُوا أَ لَا يَمَّمُوهُ إِنَّ شِفَاءَ الْعِيِّ السُّؤَالُ‌</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7" w:name="__RefHeading___Toc606076_1934241801"/>
      <w:bookmarkStart w:id="1268" w:name="_Toc582"/>
      <w:bookmarkEnd w:id="1267"/>
      <w:r>
        <w:rPr>
          <w:rtl w:val="true"/>
        </w:rPr>
        <w:t>إيضاح</w:t>
      </w:r>
      <w:bookmarkEnd w:id="1268"/>
    </w:p>
    <w:p>
      <w:pPr>
        <w:pStyle w:val="BookText"/>
        <w:rPr/>
      </w:pPr>
      <w:r>
        <w:rPr>
          <w:rFonts w:ascii="Amiri" w:hAnsi="Amiri" w:eastAsia="Amiri" w:cs="Amiri"/>
          <w:color w:val="111111"/>
          <w:sz w:val="28"/>
          <w:sz w:val="28"/>
          <w:szCs w:val="28"/>
          <w:rtl w:val="true"/>
          <w:lang w:bidi="ar-SA"/>
        </w:rPr>
        <w:t xml:space="preserve">في القاموس الجدر خروج الجدري بضم الجيم و فتحها لقروح في البدن تنفط و تقيح و قد جدر و جدر كعني و يشدد فهو مجدور و مجدر قوله فغسلوه أي أمروه بالغسل أي أفتوه به أو ولوا غسله و علي الثاني يدل علي أن المفتي ضامن إذا أخطأ و لعله في الآخرة مع التقصير أو عدم الصلاحية و العي بالكسر يحتمل أن يكون صفة مشبهة عن عيي إذا عجز و لم يهتد إلي العلم بالشي‌ء و أن يكون مصدرا و في بعض نسخ الحديث أن آفة العي السؤال فعلي الأول المعني أن الجاهل ربما يتأبي عن السؤال و يترفع عنه و يعده آفة و علي الثاني المعني أن السؤال آفة العي فكما أن الآفة تفني الشي‌ء و تذهبه كذلك السؤال يذهب العي و ما هنا أظهر موافقا للفقيه </w:t>
      </w:r>
      <w:r>
        <w:rPr>
          <w:rStyle w:val="FootnoteAnchor"/>
          <w:rtl w:val="true"/>
        </w:rPr>
        <w:footnoteReference w:id="679"/>
      </w:r>
      <w:r>
        <w:rPr>
          <w:rFonts w:ascii="Amiri" w:hAnsi="Amiri" w:eastAsia="Amiri" w:cs="Amiri"/>
          <w:color w:val="111111"/>
          <w:sz w:val="28"/>
          <w:sz w:val="28"/>
          <w:szCs w:val="28"/>
          <w:rtl w:val="true"/>
          <w:lang w:bidi="ar-SA"/>
        </w:rPr>
        <w:t>و لروايات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 في الحديث شفاء العي السؤال العي الجهل و قد عيي به يعيا عياء</w:t>
      </w:r>
      <w:r>
        <w:rPr>
          <w:rFonts w:eastAsia="Amiri" w:cs="Amiri" w:ascii="Amiri" w:hAnsi="Amiri"/>
          <w:color w:val="111111"/>
          <w:sz w:val="28"/>
          <w:szCs w:val="28"/>
          <w:rtl w:val="true"/>
          <w:lang w:bidi="ar-SA"/>
        </w:rPr>
        <w:t>.</w:t>
      </w:r>
    </w:p>
    <w:p>
      <w:pPr>
        <w:pStyle w:val="Heading5"/>
        <w:numPr>
          <w:ilvl w:val="4"/>
          <w:numId w:val="1"/>
        </w:numPr>
        <w:rPr/>
      </w:pPr>
      <w:bookmarkStart w:id="1269" w:name="__RefHeading___Toc606078_1934241801"/>
      <w:bookmarkStart w:id="1270" w:name="_Toc583"/>
      <w:bookmarkEnd w:id="1269"/>
      <w:r>
        <w:rPr>
          <w:rtl w:val="true"/>
        </w:rPr>
        <w:t>«</w:t>
      </w:r>
      <w:r>
        <w:rPr/>
        <w:t>11</w:t>
      </w:r>
      <w:r>
        <w:rPr>
          <w:rtl w:val="true"/>
        </w:rPr>
        <w:t>»</w:t>
      </w:r>
      <w:bookmarkEnd w:id="1270"/>
    </w:p>
    <w:p>
      <w:pPr>
        <w:pStyle w:val="BookText"/>
        <w:rPr/>
      </w:pPr>
      <w:r>
        <w:rPr>
          <w:rFonts w:ascii="Amiri" w:hAnsi="Amiri" w:eastAsia="Amiri" w:cs="Amiri"/>
          <w:color w:val="111111"/>
          <w:sz w:val="28"/>
          <w:sz w:val="28"/>
          <w:szCs w:val="28"/>
          <w:rtl w:val="true"/>
          <w:lang w:bidi="ar-SA"/>
        </w:rPr>
        <w:t>الْمَحَاسِنُ، عَنْ أَبِي إِسْحَاقَ الثَّقَفِيِّ وَ مُحَمَّدِ بْنِ مَرْوَانَ جَمِيعاً عَنْ أَبَانِ بْنِ عُثْمَانَ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أَعْطَي مُحَمَّداً صلي الله عليه و آله شَرَائِعَ نُوحٍ وَ إِبْرَاهِيمَ وَ مُوسَي وَ عِيسَي عليهم السلام إِلَي أَنْ قَالَ وَ جَعَلَ لَهُ الْأَرْضَ مَسْجِداً وَ طَهُوراً الْحَدِيثَ‌</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این است که فرد شایع می باشد، پس اگر این امکان فراهم باشد که یک گوشه از عمّامه اش را خیس کند و سپس آن را بفشرد و با آب چکیده از آن وضو بگیرد، بر او واجب است که چنین کند، و در این حدیث به جواز تیمّم با غیر خاک اشاره شده است</w:t>
      </w:r>
      <w:r>
        <w:rPr>
          <w:rFonts w:eastAsia="IRNazanin" w:cs="IRNazanin"/>
          <w:color w:val="111111"/>
          <w:sz w:val="28"/>
          <w:szCs w:val="28"/>
          <w:rtl w:val="true"/>
          <w:lang w:bidi="fa-IR"/>
        </w:rPr>
        <w:t>.</w:t>
      </w:r>
    </w:p>
    <w:p>
      <w:pPr>
        <w:pStyle w:val="Heading5"/>
        <w:numPr>
          <w:ilvl w:val="4"/>
          <w:numId w:val="1"/>
        </w:numPr>
        <w:rPr/>
      </w:pPr>
      <w:bookmarkStart w:id="1271" w:name="__RefHeading___Toc606080_1934241801"/>
      <w:bookmarkStart w:id="1272" w:name="_Toc584"/>
      <w:bookmarkEnd w:id="1271"/>
      <w:r>
        <w:rPr>
          <w:rtl w:val="true"/>
        </w:rPr>
        <w:t xml:space="preserve">روایت </w:t>
      </w:r>
      <w:r>
        <w:rPr/>
        <w:t>10</w:t>
      </w:r>
      <w:bookmarkEnd w:id="1272"/>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فلانی در حالی که مبتلا به آبله بود جُنب گردید پس او را غسل دادند و بر اثر آن وفات نمود،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قتل رسانده اند، چرا سؤال نپرسیدند، چرا او را امر به تیمّم نکردند، به راستی که شفای درد جهالت سؤال پرسیدن است</w:t>
      </w:r>
      <w:r>
        <w:rPr>
          <w:rFonts w:eastAsia="IRNazanin" w:cs="IRNazanin"/>
          <w:color w:val="111111"/>
          <w:sz w:val="28"/>
          <w:szCs w:val="28"/>
          <w:rtl w:val="true"/>
          <w:lang w:bidi="fa-IR"/>
        </w:rPr>
        <w:t>.</w:t>
      </w:r>
      <w:r>
        <w:rPr>
          <w:rStyle w:val="FootnoteAnchor"/>
          <w:rtl w:val="true"/>
        </w:rPr>
        <w:footnoteReference w:id="681"/>
      </w:r>
    </w:p>
    <w:p>
      <w:pPr>
        <w:pStyle w:val="Heading5"/>
        <w:numPr>
          <w:ilvl w:val="4"/>
          <w:numId w:val="1"/>
        </w:numPr>
        <w:rPr/>
      </w:pPr>
      <w:bookmarkStart w:id="1273" w:name="__RefHeading___Toc606082_1934241801"/>
      <w:bookmarkStart w:id="1274" w:name="_Toc585"/>
      <w:bookmarkEnd w:id="1273"/>
      <w:r>
        <w:rPr>
          <w:rtl w:val="true"/>
        </w:rPr>
        <w:t>توضیح</w:t>
      </w:r>
      <w:bookmarkEnd w:id="1274"/>
    </w:p>
    <w:p>
      <w:pPr>
        <w:pStyle w:val="BookText"/>
        <w:rPr/>
      </w:pP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جوش از صورت و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ضمه و فتحه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زخمهایی که در بدن تاول زده و چرکین می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جَدر و 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آبله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 و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مشدّد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استعمال شده و به همین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شخص مبتلا به آبله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فغسلوه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غسل کردن فرمان دادند و برای او فتوای غسل صادر کردند، یا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دادن او را به عهده گرفتند، و حدیث بر اساس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کردن فتوای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دلالت می کند که مفتی 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خسارت های به بار آمده بر اثر فتوای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اگر بر اثر کم کاری یا عدم صلاحیت خطا کند، و شاید این تاوان را در آخرت پس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ممکن است که صفت مشبّهه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به معنای شخصی است که از درک و فهم امور عاجز باشد و به آن راه نیابد، همچنین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باشد؛ و در یکی از نسخه های حدیث،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شفاء العیّ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آفة العیّ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پس بر اساس عبارت نخست معنا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 جاهل از سؤال پرسیدن امتناع می ورزد و خود را بالاتر از آن می بیند و سؤال پرسیدن را آفت و ضرر می پندارد؛ و بر اساس عبارت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پرسیدن آفت و از بین برنده جهالت و نادانی است، پس به همان ترتیب که آفت اشیاء را نابود کرده و از بین می برد، سؤال پرسیدن نیز جهالت و نادانی را از بین می برد؛ امّا آنچه در اینجا ذکر شده است سازگاری بیشتری با روایت ذکر شده در الفقیه</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و روایات عامّه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النهایه درباره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العیّ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جهالت و نادانی،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عُیِی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فلان کار درمانده و ناتوان شد</w:t>
      </w:r>
      <w:r>
        <w:rPr>
          <w:rFonts w:eastAsia="IRNazanin" w:cs="IRNazanin"/>
          <w:color w:val="111111"/>
          <w:sz w:val="28"/>
          <w:szCs w:val="28"/>
          <w:rtl w:val="true"/>
          <w:lang w:bidi="fa-IR"/>
        </w:rPr>
        <w:t>.</w:t>
      </w:r>
    </w:p>
    <w:p>
      <w:pPr>
        <w:pStyle w:val="Heading5"/>
        <w:numPr>
          <w:ilvl w:val="4"/>
          <w:numId w:val="1"/>
        </w:numPr>
        <w:rPr/>
      </w:pPr>
      <w:bookmarkStart w:id="1275" w:name="__RefHeading___Toc606084_1934241801"/>
      <w:bookmarkStart w:id="1276" w:name="_Toc586"/>
      <w:bookmarkEnd w:id="1275"/>
      <w:r>
        <w:rPr>
          <w:rtl w:val="true"/>
        </w:rPr>
        <w:t xml:space="preserve">روایت </w:t>
      </w:r>
      <w:r>
        <w:rPr/>
        <w:t>11</w:t>
      </w:r>
      <w:bookmarkEnd w:id="127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شریعت های نوح، ابراهیم، موسی و عیسی علیهم السلام را به محمد صلّی الله علیه و آله عطا فرموده است، سپس امام حدیث را پی گرفته تا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زمین را برای پیامبر مسجد و همچنین باعث طهارت و پاکی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آخرحدیث</w:t>
      </w:r>
      <w:r>
        <w:rPr>
          <w:rFonts w:eastAsia="IRNazanin" w:cs="IRNazanin"/>
          <w:color w:val="111111"/>
          <w:sz w:val="28"/>
          <w:szCs w:val="28"/>
          <w:rtl w:val="true"/>
          <w:lang w:bidi="fa-IR"/>
        </w:rPr>
        <w:t>.</w:t>
      </w:r>
      <w:r>
        <w:rPr>
          <w:rStyle w:val="FootnoteAnchor"/>
          <w:rtl w:val="true"/>
        </w:rPr>
        <w:footnoteReference w:id="683"/>
      </w:r>
      <w:bookmarkStart w:id="1277" w:name="pg13517_329186"/>
    </w:p>
    <w:p>
      <w:pPr>
        <w:pStyle w:val="Heading5"/>
        <w:numPr>
          <w:ilvl w:val="4"/>
          <w:numId w:val="1"/>
        </w:numPr>
        <w:rPr/>
      </w:pPr>
      <w:bookmarkStart w:id="1278" w:name="__RefHeading___Toc606086_1934241801"/>
      <w:bookmarkStart w:id="1279" w:name="_Toc587"/>
      <w:bookmarkEnd w:id="1277"/>
      <w:bookmarkEnd w:id="1278"/>
      <w:r>
        <w:rPr>
          <w:rtl w:val="true"/>
        </w:rPr>
        <w:t>«</w:t>
      </w:r>
      <w:r>
        <w:rPr/>
        <w:t>12</w:t>
      </w:r>
      <w:r>
        <w:rPr>
          <w:rtl w:val="true"/>
        </w:rPr>
        <w:t>»</w:t>
      </w:r>
      <w:bookmarkEnd w:id="1279"/>
    </w:p>
    <w:p>
      <w:p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يَضَعُ عَنْهُمْ إِصْرَهُمْ وَ الْأَغْلالَ الَّتِي كانَتْ عَلَيْهِمْ‌</w:t>
      </w:r>
      <w:r>
        <w:rPr>
          <w:rStyle w:val="FootnoteAnchor"/>
          <w:rtl w:val="true"/>
        </w:rPr>
        <w:footnoteReference w:id="684"/>
      </w:r>
      <w:r>
        <w:rPr>
          <w:rFonts w:ascii="Amiri" w:hAnsi="Amiri" w:eastAsia="Amiri" w:cs="Amiri"/>
          <w:color w:val="111111"/>
          <w:sz w:val="28"/>
          <w:sz w:val="28"/>
          <w:szCs w:val="28"/>
          <w:rtl w:val="true"/>
          <w:lang w:bidi="ar-SA"/>
        </w:rPr>
        <w:t>قَالَ إِنَّ اللَّهَ كَانَ قَدْ فَرَضَ عَلَي بَنِي إِسْرَائِيلَ الْغُسْلَ وَ الْوُضُوءَ وَ لَمْ يُحِلَّ لَهُمُ التَّيَمُّمَ وَ لَمْ يُحِلَّ لَهُمُ الصَّلَاةَ إِلَّا فِي الْبِيَعِ وَ الْكَنَائِسِ وَ الْمَحَارِيبِ وَ كَانَ الرَّجُلُ إِذَا أَذْنَبَ خَرَجَ نَفَسُهُ مُنْتِناً فَيَعْلَمُ أَنَّهُ أَذْنَبَ وَ إِذَا أَصَابَ أَحَدَهُمْ شَيْئاً مِنْ بَدَنِهِ الْبَوْلُ قَطَعُوهُ وَ لَمْ يُحِلَّ لَهُمُ الْمَغْنَمَ فَرَفَعَ ذَلِكَ رَسُولُ اللَّهِ صلي الله عليه و آله عَنْ أُمَّتِهِ‌</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0" w:name="__RefHeading___Toc606088_1934241801"/>
      <w:bookmarkStart w:id="1281" w:name="_Toc588"/>
      <w:bookmarkEnd w:id="1280"/>
      <w:r>
        <w:rPr>
          <w:rtl w:val="true"/>
        </w:rPr>
        <w:t>«</w:t>
      </w:r>
      <w:r>
        <w:rPr/>
        <w:t>13</w:t>
      </w:r>
      <w:r>
        <w:rPr>
          <w:rtl w:val="true"/>
        </w:rPr>
        <w:t>»</w:t>
      </w:r>
      <w:bookmarkEnd w:id="1281"/>
    </w:p>
    <w:p>
      <w:pPr>
        <w:pStyle w:val="BookText"/>
        <w:rPr/>
      </w:pPr>
      <w:r>
        <w:rPr>
          <w:rFonts w:ascii="Amiri" w:hAnsi="Amiri" w:eastAsia="Amiri" w:cs="Amiri"/>
          <w:color w:val="111111"/>
          <w:sz w:val="28"/>
          <w:sz w:val="28"/>
          <w:szCs w:val="28"/>
          <w:rtl w:val="true"/>
          <w:lang w:bidi="ar-SA"/>
        </w:rPr>
        <w:t>السَّرَائِرُ، نَقْلًا مِنْ كِتَابِ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أَ رَأَيْتَ الْمُوَاقِفَ إِنْ لَمْ يَكُنْ عَلَي وُضُوءٍ كَيْفَ يَصْنَعُ وَ لَا يَقْدِرُ عَلَي النُّزُولِ قَالَ يَتَيَمَّمُ مِنْ لِبْدِ دَابَّتِهِ أَوْ سَرْجِهِ أَوْ مَعْرَفَةِ دَابَّتِهِ فَإِنَّ فِيهَا غُبَاراً</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2" w:name="__RefHeading___Toc606090_1934241801"/>
      <w:bookmarkStart w:id="1283" w:name="_Toc589"/>
      <w:bookmarkEnd w:id="1282"/>
      <w:r>
        <w:rPr>
          <w:rtl w:val="true"/>
        </w:rPr>
        <w:t>بيان</w:t>
      </w:r>
      <w:bookmarkEnd w:id="1283"/>
    </w:p>
    <w:p>
      <w:pPr>
        <w:pStyle w:val="BookText"/>
        <w:rPr/>
      </w:pPr>
      <w:r>
        <w:rPr>
          <w:rFonts w:ascii="Amiri" w:hAnsi="Amiri" w:eastAsia="Amiri" w:cs="Amiri"/>
          <w:color w:val="111111"/>
          <w:sz w:val="28"/>
          <w:sz w:val="28"/>
          <w:szCs w:val="28"/>
          <w:rtl w:val="true"/>
          <w:lang w:bidi="ar-SA"/>
        </w:rPr>
        <w:t>المواقف كمقاتل لفظا و معني و اللبد بكسر اللام و إسكان الباء الموحدة ما يوضع تحت السرج و المعرفة كمرحلة موضع العرف من الفرس و هو بالضم شعر عنقه و ذكر الأصحاب أن مع فقد التراب و ما في معناه يجب التيمم بغبار الثوب أو عرف الدابة أو لبد السرج أو غير ذلك مما فيه غبار قال في المعتبر و هو مذهب علمائنا و أكثر العامة و إنما يجوز التيمم بالغبار مع فقد التراب كما نص عليه الأكثر و ربما ظهر من عبارة المرتضي في الجمل جوازه مع وجوده و 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المشهور التخيير بين كل ما فيه غبار كما هو ظاهر الخبر و قال الشيخ في النهاية للتيمم مراتب فأولها التراب فإن فقده فالحجر فإن فقد تيمم بغبار عرف دابته أو لبد سرجه فإن لم يكن معه دابة تيمم بغبار ثوبه فإن لم يكن معه شي‌ء من ذلك تيمم بالوحل و قال ابن إدريس التراب ثم الحجر ثم غبار</w:t>
      </w:r>
    </w:p>
    <w:p>
      <w:pPr>
        <w:pStyle w:val="Heading5"/>
        <w:numPr>
          <w:ilvl w:val="4"/>
          <w:numId w:val="1"/>
        </w:numPr>
        <w:rPr/>
      </w:pPr>
      <w:bookmarkStart w:id="1284" w:name="__RefHeading___Toc606092_1934241801"/>
      <w:bookmarkStart w:id="1285" w:name="_Toc590"/>
      <w:bookmarkEnd w:id="1284"/>
      <w:r>
        <w:rPr>
          <w:rtl w:val="true"/>
        </w:rPr>
        <w:t xml:space="preserve">روایت </w:t>
      </w:r>
      <w:r>
        <w:rPr/>
        <w:t>12</w:t>
      </w:r>
      <w:bookmarkEnd w:id="1285"/>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یضع عنهم إصرهم و الأغلال التی کانت علیهم</w:t>
      </w:r>
      <w:r>
        <w:rPr>
          <w:rFonts w:eastAsia="IRNazanin" w:cs="IRNazanin"/>
          <w:color w:val="111111"/>
          <w:sz w:val="28"/>
          <w:szCs w:val="28"/>
          <w:rtl w:val="true"/>
          <w:lang w:bidi="fa-IR"/>
        </w:rPr>
        <w:t>»</w:t>
      </w:r>
      <w:r>
        <w:rPr>
          <w:rStyle w:val="FootnoteAnchor"/>
          <w:rtl w:val="true"/>
        </w:rPr>
        <w:footnoteReference w:id="6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قید و بندهایی را که بر ایشان بوده است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غسل و وضو را بر بنی اسرائیل واجب گردانده بود و تیمّم کردن برای آنان جایز نبود و جایز نبود که جز در دیرها، کنیسه ها و محراب ها نماز بخوانند، و هر گاه یکی از آنان مرتکب گناه می شد نفس هایش بدبو می گشت، پس می فهمید که مرتکب گناه شده است، و هر گاه بول به قسمتی از بدن یکی از آنان برخورد می کرد آن قسمت را قطع می کردند، و غنیمت جنگی نیز برای آنان حلال نبود، پس رسول خدا صلّی الله علیه و آله بار این محدودیّت ها را از دوش امّت خود برداشت</w:t>
      </w:r>
      <w:r>
        <w:rPr>
          <w:rFonts w:eastAsia="IRNazanin" w:cs="IRNazanin"/>
          <w:color w:val="111111"/>
          <w:sz w:val="28"/>
          <w:szCs w:val="28"/>
          <w:rtl w:val="true"/>
          <w:lang w:bidi="fa-IR"/>
        </w:rPr>
        <w:t>.</w:t>
      </w:r>
      <w:r>
        <w:rPr>
          <w:rStyle w:val="FootnoteAnchor"/>
          <w:rtl w:val="true"/>
        </w:rPr>
        <w:footnoteReference w:id="688"/>
      </w:r>
    </w:p>
    <w:p>
      <w:pPr>
        <w:pStyle w:val="Heading5"/>
        <w:numPr>
          <w:ilvl w:val="4"/>
          <w:numId w:val="1"/>
        </w:numPr>
        <w:rPr/>
      </w:pPr>
      <w:bookmarkStart w:id="1286" w:name="__RefHeading___Toc606094_1934241801"/>
      <w:bookmarkStart w:id="1287" w:name="_Toc591"/>
      <w:bookmarkEnd w:id="1286"/>
      <w:r>
        <w:rPr>
          <w:rtl w:val="true"/>
        </w:rPr>
        <w:t xml:space="preserve">روایت </w:t>
      </w:r>
      <w:r>
        <w:rPr/>
        <w:t>13</w:t>
      </w:r>
      <w:bookmarkEnd w:id="1287"/>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حَرِیز از زراره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جنگجوی سوار بر اسب اگر بی وضو باشد و امکان فرود آمدن نیز برایش فراهم نشود، باید چگونه عمل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از نمد زیر زین، یا خودِ زین و یا بال چهارپایش تیمّم کند، چرا که بر این مواضع غبار می نشیند</w:t>
      </w:r>
      <w:r>
        <w:rPr>
          <w:rFonts w:eastAsia="IRNazanin" w:cs="IRNazanin"/>
          <w:color w:val="111111"/>
          <w:sz w:val="28"/>
          <w:szCs w:val="28"/>
          <w:rtl w:val="true"/>
          <w:lang w:bidi="fa-IR"/>
        </w:rPr>
        <w:t>.</w:t>
      </w:r>
      <w:r>
        <w:rPr>
          <w:rStyle w:val="FootnoteAnchor"/>
          <w:rtl w:val="true"/>
        </w:rPr>
        <w:footnoteReference w:id="689"/>
      </w:r>
    </w:p>
    <w:p>
      <w:pPr>
        <w:pStyle w:val="Heading5"/>
        <w:numPr>
          <w:ilvl w:val="4"/>
          <w:numId w:val="1"/>
        </w:numPr>
        <w:rPr/>
      </w:pPr>
      <w:bookmarkStart w:id="1288" w:name="__RefHeading___Toc606096_1934241801"/>
      <w:bookmarkStart w:id="1289" w:name="_Toc592"/>
      <w:bookmarkEnd w:id="1288"/>
      <w:r>
        <w:rPr>
          <w:rtl w:val="true"/>
        </w:rPr>
        <w:t>توضیح</w:t>
      </w:r>
      <w:bookmarkEnd w:id="128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لفظی و معنایی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زیر زین گذاشته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رویش یال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 اسب؛ فقها ذکر کرده اند که در صورت عدم وجود خاک و آنچه به معنای خاک است تیمّم کردن با غبار لباس، یال چهار پا، نمد زین و هر آنچه امکان نشستن غبار بر آن وجود دارد، بر شخص سوار کار واجب می باشد، شیخ این نظر را در المعتبر ذکر کرده و علمای ما و اغلب عامّه نیز آن را برگزیده اند، و آن گونه که بیشتر فقها تصریح کرده اند تیمّم با غبار در صورت عدم وجود خاک جایز است، و چه بسا از کلام سید مرتضی در الجمل چنین پیداست که تیمّم با غبار در صورت وجود خاک نیز جایز است، ولی این امر بعید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نظر مشهور آن است که شخص تیمّم کننده در بین هر آنچه غبار بر آن قرار دارد مختار است یکی را برای تیمّم انتخاب کند، چنان که این امر از ظاهر حدیث نیز پیداست؛ شیخ 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دارای مراتبی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مرتبه تیمّم با خاک است، اگر خاک در دسترس نبود تیمّم با سنگ، اگر سنگ در دسترس نبود شخص با غبار یال چهارپایش یا نمد زین آن تیمّم می کند، و اگر چهار پا همراه نداشت با غبار لباسش تیمّم می کند، و اگر هیچ یک از موارد ذکر شده را همراه نداشت با گِل تیمّم می کند؛ و ابن ادریس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خاک، سپس سنگ، سپس غبار </w:t>
      </w:r>
      <w:bookmarkStart w:id="1290" w:name="pg13517_329187"/>
    </w:p>
    <w:p>
      <w:pPr>
        <w:pStyle w:val="BookText"/>
        <w:rPr/>
      </w:pPr>
      <w:bookmarkEnd w:id="1290"/>
      <w:r>
        <w:rPr>
          <w:rFonts w:ascii="Amiri" w:hAnsi="Amiri" w:eastAsia="Amiri" w:cs="Amiri"/>
          <w:color w:val="111111"/>
          <w:sz w:val="28"/>
          <w:sz w:val="28"/>
          <w:szCs w:val="28"/>
          <w:rtl w:val="true"/>
          <w:lang w:bidi="ar-SA"/>
        </w:rPr>
        <w:t>الثوب ثم غبار العرف و اللبد ثم الوحل و أطلق الشيخ التيمم بغبار الثوب و ظاهر المفيد و سلار وجوب النفض و التيمم بالغبار الخارج منه و ربما يشترط الإحساس بالغبار و ظاهر الخبر وجود الغبار فيها كما هو ظاهر الأكثر أما إخراجه أو ظهوره للحس فلا و إن كان الأحوط السعي في إخراجه</w:t>
      </w:r>
      <w:r>
        <w:rPr>
          <w:rFonts w:eastAsia="Amiri" w:cs="Amiri" w:ascii="Amiri" w:hAnsi="Amiri"/>
          <w:color w:val="111111"/>
          <w:sz w:val="28"/>
          <w:szCs w:val="28"/>
          <w:rtl w:val="true"/>
          <w:lang w:bidi="ar-SA"/>
        </w:rPr>
        <w:t>.</w:t>
      </w:r>
    </w:p>
    <w:p>
      <w:pPr>
        <w:pStyle w:val="Heading5"/>
        <w:numPr>
          <w:ilvl w:val="4"/>
          <w:numId w:val="1"/>
        </w:numPr>
        <w:rPr/>
      </w:pPr>
      <w:bookmarkStart w:id="1291" w:name="__RefHeading___Toc606098_1934241801"/>
      <w:bookmarkStart w:id="1292" w:name="_Toc593"/>
      <w:bookmarkEnd w:id="1291"/>
      <w:r>
        <w:rPr>
          <w:rtl w:val="true"/>
        </w:rPr>
        <w:t>«</w:t>
      </w:r>
      <w:r>
        <w:rPr/>
        <w:t>14</w:t>
      </w:r>
      <w:r>
        <w:rPr>
          <w:rtl w:val="true"/>
        </w:rPr>
        <w:t>»</w:t>
      </w:r>
      <w:bookmarkEnd w:id="1292"/>
    </w:p>
    <w:p>
      <w:pPr>
        <w:pStyle w:val="BookText"/>
        <w:rPr/>
      </w:pPr>
      <w:r>
        <w:rPr>
          <w:rFonts w:ascii="Amiri" w:hAnsi="Amiri" w:eastAsia="Amiri" w:cs="Amiri"/>
          <w:color w:val="111111"/>
          <w:sz w:val="28"/>
          <w:sz w:val="28"/>
          <w:szCs w:val="28"/>
          <w:rtl w:val="true"/>
          <w:lang w:bidi="ar-SA"/>
        </w:rPr>
        <w:t>السَّرَائِرُ، نَقْلًا مِنْ كِتَابِ مُحَمَّدِ بْنِ عَلِيِّ بْنِ مَحْبُوبٍ عَنِ الْعُبَيْدِيِّ عَنْ حَمَّادِ بْنِ عِيسَي عَنْ حَرِيزٍ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يُجْنِبُ فِي السَّفَرِ فَلَا يَجِدُ إِلَّا الثَّلْجَ أَوْ مَاءً جَامِداً قَالَ هُوَ بِمَنْزِلَةِ الضَّرُورَةِ يَتَيَمَّمُ وَ لَا أَرَي أَنْ يَعُودَ إِلَي هَذِهِ الْأَرْضِ الَّتِي تُوبِقُ دِينَهُ‌</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أبيه عن ابن أبي عمير عن حماد بن عثمان عن عبيد الله بن علي الحلبي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91"/>
      </w:r>
    </w:p>
    <w:p>
      <w:pPr>
        <w:pStyle w:val="Heading5"/>
        <w:numPr>
          <w:ilvl w:val="4"/>
          <w:numId w:val="1"/>
        </w:numPr>
        <w:rPr/>
      </w:pPr>
      <w:bookmarkStart w:id="1293" w:name="__RefHeading___Toc606100_1934241801"/>
      <w:bookmarkStart w:id="1294" w:name="_Toc594"/>
      <w:bookmarkEnd w:id="1293"/>
      <w:r>
        <w:rPr>
          <w:rtl w:val="true"/>
        </w:rPr>
        <w:t>بيان</w:t>
      </w:r>
      <w:bookmarkEnd w:id="1294"/>
    </w:p>
    <w:p>
      <w:pPr>
        <w:pStyle w:val="BookText"/>
        <w:rPr/>
      </w:pPr>
      <w:r>
        <w:rPr>
          <w:rFonts w:ascii="Amiri" w:hAnsi="Amiri" w:eastAsia="Amiri" w:cs="Amiri"/>
          <w:color w:val="111111"/>
          <w:sz w:val="28"/>
          <w:sz w:val="28"/>
          <w:szCs w:val="28"/>
          <w:rtl w:val="true"/>
          <w:lang w:bidi="ar-SA"/>
        </w:rPr>
        <w:t>قال المفيد لو لم يوجد إلا الثلج فليكسره و ليتوضأ بمائه و إن خاف علي نفسه من ذلك يضع بطن راحته اليمني علي الثلج و يحركه عليه باعتماد ثم يرفعها بما فيها من نداوة يمسح بها وجهه ثم يضع راحته اليسري علي الثلج و يصنع بها كما صنع باليمني و يمسح بها يده اليمني من مرفقه إلي أطراف الأصابع كالدهن إلي آخر ما ذكره ثم قال و إن كان محتاجا إلي التطهر بالغسل صنع بالثلج كما صنع به عند وضوئه و قال الشيخ ما يقاربه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المنقول عن علم الهدي أنه يتيمم بنداوته و هو المنسوب إلي ابن الجنيد و سلار و قال آخرون بسقوط الطهارة و اختار العلامة مذهب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في المعتبر و التحقيق عندي أنه إن أمكن الطهارة بالثلج بحيث يكون به غاسلا فإنه يكون مقدما علي التراب بل مساويا للماء في التخيير عند الاستعمال و إن قصر عن ذلك لم يكف في حصول الطهارة و كان التراب معتبرا دونه و لا عبرة بالدهن لأنه لا يسمي غسلا فلا يحصل به الطهارة</w:t>
      </w:r>
    </w:p>
    <w:p>
      <w:pPr>
        <w:pStyle w:val="BookText"/>
        <w:rPr/>
      </w:pPr>
      <w:r>
        <w:rPr>
          <w:rFonts w:ascii="IRNazanin" w:hAnsi="IRNazanin" w:eastAsia="IRNazanin"/>
          <w:color w:val="111111"/>
          <w:sz w:val="28"/>
          <w:sz w:val="28"/>
          <w:szCs w:val="28"/>
          <w:rtl w:val="true"/>
          <w:lang w:bidi="fa-IR"/>
        </w:rPr>
        <w:t>لباس، سپس غبار یال و نمد زین، سپس گِل و لای؛ و شیخ تیمّم با غبار لباس را به صورت مطلق جایز دانسته است، ولی از ظاهر کلام شیخ مفید و سلّار چنین بر می آید که واجب دانسته اند لباس تکانده شود و به وسیله غبار خارج شده از آن تیمّم انجام پذیرد، و چه بسا که محقّق شدن شرط احساس وجود غبار کفایت می کند، و از ظاهر حدیث پیداست که وجود غبار در لباس کافی است چنان که نظر بیشتر فقها نیز چنین است، امّا خارج ساختن یا آشکار شدن غبار برای اینکه لمس شود ضرورتی ندارد، اگر چه احوط آن است که تلاش شود غبارِ لباس خارج شود</w:t>
      </w:r>
      <w:r>
        <w:rPr>
          <w:rFonts w:eastAsia="IRNazanin" w:cs="IRNazanin"/>
          <w:color w:val="111111"/>
          <w:sz w:val="28"/>
          <w:szCs w:val="28"/>
          <w:rtl w:val="true"/>
          <w:lang w:bidi="fa-IR"/>
        </w:rPr>
        <w:t>.</w:t>
      </w:r>
    </w:p>
    <w:p>
      <w:pPr>
        <w:pStyle w:val="Heading5"/>
        <w:numPr>
          <w:ilvl w:val="4"/>
          <w:numId w:val="1"/>
        </w:numPr>
        <w:rPr/>
      </w:pPr>
      <w:bookmarkStart w:id="1295" w:name="__RefHeading___Toc606102_1934241801"/>
      <w:bookmarkStart w:id="1296" w:name="_Toc595"/>
      <w:bookmarkEnd w:id="1295"/>
      <w:r>
        <w:rPr>
          <w:rtl w:val="true"/>
        </w:rPr>
        <w:t xml:space="preserve">روایت </w:t>
      </w:r>
      <w:r>
        <w:rPr/>
        <w:t>14</w:t>
      </w:r>
      <w:bookmarkEnd w:id="1296"/>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روایت شده که از امام صادق علیه السلام درباره مردی پرسیدم که در سفر جُنب می شود، پس جز برف یا یخ چیزی برای غسل نمی یابد،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جایگاه ضرورت قرار گرفته است و می تواند تیمّم کند، و مناسب نمی بینم که به این سرزمینی باز گردد که دینش را نابود می کند</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ابن علی الحلبیّ از امام صادق علیه السلام نظیر این حدیث را روایت کرده است</w:t>
      </w:r>
      <w:r>
        <w:rPr>
          <w:rFonts w:eastAsia="IRNazanin" w:cs="IRNazanin"/>
          <w:color w:val="111111"/>
          <w:sz w:val="28"/>
          <w:szCs w:val="28"/>
          <w:rtl w:val="true"/>
          <w:lang w:bidi="fa-IR"/>
        </w:rPr>
        <w:t>.</w:t>
      </w:r>
      <w:r>
        <w:rPr>
          <w:rStyle w:val="FootnoteAnchor"/>
          <w:rtl w:val="true"/>
        </w:rPr>
        <w:footnoteReference w:id="693"/>
      </w:r>
    </w:p>
    <w:p>
      <w:pPr>
        <w:pStyle w:val="Heading5"/>
        <w:numPr>
          <w:ilvl w:val="4"/>
          <w:numId w:val="1"/>
        </w:numPr>
        <w:rPr/>
      </w:pPr>
      <w:bookmarkStart w:id="1297" w:name="__RefHeading___Toc606104_1934241801"/>
      <w:bookmarkStart w:id="1298" w:name="_Toc596"/>
      <w:bookmarkEnd w:id="1297"/>
      <w:r>
        <w:rPr>
          <w:rtl w:val="true"/>
        </w:rPr>
        <w:t>توضیح</w:t>
      </w:r>
      <w:bookmarkEnd w:id="1298"/>
    </w:p>
    <w:p>
      <w:pPr>
        <w:pStyle w:val="BookText"/>
        <w:rPr/>
      </w:pPr>
      <w:r>
        <w:rPr>
          <w:rFonts w:ascii="IRNazanin" w:hAnsi="IRNazanin" w:eastAsia="IRNazanin"/>
          <w:color w:val="111111"/>
          <w:sz w:val="28"/>
          <w:sz w:val="28"/>
          <w:szCs w:val="28"/>
          <w:rtl w:val="true"/>
          <w:lang w:bidi="fa-IR"/>
        </w:rPr>
        <w:t>شیخ مفید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برف چیزی یافت نشود، شخص باید آن را بشکند و با آبش وضو بگیرد؛ و اگر بیم داشته باشد که بر اثر استفاده از برف ضرری متوجه او می شود، کف دست راست خود را بر روی برف قرار می دهد و با فشار آن را حرکت می دهد، سپس دست خود را برداشته و با خیسی آن صورتش را مسح می نماید، آن گاه کف دست چپ خود را روی برف قرار داده و اعمالی که با دست راست انجام داده را انجام می دهد و با آن، دست خود از آرنج تا کناره های انگشتان را مانند روغن مسح می کند، و تا پایان اعمالی که ذکر کرده است،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شخص محتاج پاک شدن به وسیله غسل باشد، کاری که با برف در مورد وضو انجام داده را برای غسل نیز انجام می دهد؛ شیخ نیز نظری نزدیک به نظر شیخ مفید بیان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شخص می تواند با خیسی حاصل از برف تیمّم کند، این نظر به ابن جنید و سلّار نسبت داده شده است، و دیگران قائل به سقوط طهارت در این حالت هستند، ولی علّامه نظر شیخ را برگزیده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در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ثابت شده نزد من این است که اگر امکان طهارت با برف فراهم شود به طوری که شخص با آن شسته شود، برف بر خاک مقدّم است بلکه هنگام انتخاب برای استعمال با آب یکسان است، ولی اگر امکان شسته شدن با برف فراهم نشود برای حصول طهارت کفایت نمی کند و خاک به جای آن معتبرتر است، و هیچ گونه قیاسی با روغن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نمی پذیرد، چرا که در این صورت غسل نامیده نمی شود و طهارت </w:t>
      </w:r>
      <w:bookmarkStart w:id="1299" w:name="pg13517_329188"/>
    </w:p>
    <w:p>
      <w:pPr>
        <w:pStyle w:val="BookText"/>
        <w:rPr/>
      </w:pPr>
      <w:bookmarkEnd w:id="1299"/>
      <w:r>
        <w:rPr>
          <w:rFonts w:ascii="Amiri" w:hAnsi="Amiri" w:eastAsia="Amiri" w:cs="Amiri"/>
          <w:color w:val="111111"/>
          <w:sz w:val="28"/>
          <w:sz w:val="28"/>
          <w:szCs w:val="28"/>
          <w:rtl w:val="true"/>
          <w:lang w:bidi="ar-SA"/>
        </w:rPr>
        <w:t>الشرعية إلا أن يراد بالدهن ما يجري علي العضو و إن كان قليلا انتهي و لا يخفي متانته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ينقل عن السيد رحمه الله أنه استدل بهذه الرواية علي مذهبه و لا يخفي ما فيه إذ الظاهر أن المراد بها التيمم بالتراب و قوله فلا يجد إلا الثلج أي مما يصح الاغتسال به قوله عليه السلام توبق دينه أي تذهبه من قولهم أوبقت الشي‌ء أي أهلكته و يدل علي أن من صلي بتيمم و إن كان مضطرا فصلاته ناقصة و أنه يجب عليه إزالة هذا النقص عن صلاته المستقبلة بالخروج عن ذلك المحل إلي محل لا يضطر فيه إلي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يستنبط منه وجوب المهاجرة عن بلاد التقية إلي بلاد يمكنه فيها تركها بل عن البلاد التي لا يتمكن من أقام فيها من القيام التام بوظائف الطاعات و إعطاء الصلاة بل سائر العبادات حقها من الخشوع و الإقبال علي الحق جل شأنه فضلا عن البلاد التي لا يسلم المقيم فيها يوما من الأعمال السيئة و الأقوال الشنيعة و لا يكاد ينفك عن الصفات الذميمة المهلكة من الغل و الحسد و التكبر و حب الجاه و الرئاسة وفقنا الله و سائر المؤمنين لإقامة شرائع الدين في مقام أمين لا يستولي فيه الشياطين علي المؤمنين</w:t>
      </w:r>
      <w:r>
        <w:rPr>
          <w:rFonts w:eastAsia="Amiri" w:cs="Amiri" w:ascii="Amiri" w:hAnsi="Amiri"/>
          <w:color w:val="111111"/>
          <w:sz w:val="28"/>
          <w:szCs w:val="28"/>
          <w:rtl w:val="true"/>
          <w:lang w:bidi="ar-SA"/>
        </w:rPr>
        <w:t>.</w:t>
      </w:r>
    </w:p>
    <w:p>
      <w:pPr>
        <w:pStyle w:val="Heading5"/>
        <w:numPr>
          <w:ilvl w:val="4"/>
          <w:numId w:val="1"/>
        </w:numPr>
        <w:rPr/>
      </w:pPr>
      <w:bookmarkStart w:id="1300" w:name="__RefHeading___Toc606106_1934241801"/>
      <w:bookmarkStart w:id="1301" w:name="_Toc597"/>
      <w:bookmarkEnd w:id="1300"/>
      <w:r>
        <w:rPr>
          <w:rtl w:val="true"/>
        </w:rPr>
        <w:t>«</w:t>
      </w:r>
      <w:r>
        <w:rPr/>
        <w:t>15</w:t>
      </w:r>
      <w:r>
        <w:rPr>
          <w:rtl w:val="true"/>
        </w:rPr>
        <w:t>»</w:t>
      </w:r>
      <w:bookmarkEnd w:id="1301"/>
    </w:p>
    <w:p>
      <w:pPr>
        <w:pStyle w:val="BookText"/>
        <w:rPr/>
      </w:pPr>
      <w:r>
        <w:rPr>
          <w:rFonts w:ascii="Amiri" w:hAnsi="Amiri" w:eastAsia="Amiri" w:cs="Amiri"/>
          <w:color w:val="111111"/>
          <w:sz w:val="28"/>
          <w:sz w:val="28"/>
          <w:szCs w:val="28"/>
          <w:rtl w:val="true"/>
          <w:lang w:bidi="ar-SA"/>
        </w:rPr>
        <w:t>الْمَحَاسِنُ، فِي رِوَايَةِ حَفْصِ بْنِ غِيَاثٍ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أَوَي إِلَي فِرَاشِهِ فَذَكَرَ أَنَّهُ عَلَي غَيْرِ طُهْرٍ وَ تَيَمَّمَ مِنْ دِثَارِهِ وَ ثِيَابِهِ كَانَ فِي صَلَاةٍ مَا ذَكَرَ اللَّهَ‌</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2" w:name="__RefHeading___Toc606108_1934241801"/>
      <w:bookmarkStart w:id="1303" w:name="_Toc598"/>
      <w:bookmarkEnd w:id="1302"/>
      <w:r>
        <w:rPr>
          <w:rtl w:val="true"/>
        </w:rPr>
        <w:t>بيان</w:t>
      </w:r>
      <w:bookmarkEnd w:id="1303"/>
    </w:p>
    <w:p>
      <w:pPr>
        <w:pStyle w:val="BookText"/>
        <w:rPr/>
      </w:pPr>
      <w:r>
        <w:rPr>
          <w:rFonts w:ascii="Amiri" w:hAnsi="Amiri" w:eastAsia="Amiri" w:cs="Amiri"/>
          <w:color w:val="111111"/>
          <w:sz w:val="28"/>
          <w:sz w:val="28"/>
          <w:szCs w:val="28"/>
          <w:rtl w:val="true"/>
          <w:lang w:bidi="ar-SA"/>
        </w:rPr>
        <w:t>رواه في التهذيب‌</w:t>
      </w:r>
      <w:r>
        <w:rPr>
          <w:rStyle w:val="FootnoteAnchor"/>
          <w:rtl w:val="true"/>
        </w:rPr>
        <w:footnoteReference w:id="695"/>
      </w:r>
      <w:r>
        <w:rPr>
          <w:rFonts w:ascii="Amiri" w:hAnsi="Amiri" w:eastAsia="Amiri" w:cs="Amiri"/>
          <w:color w:val="111111"/>
          <w:sz w:val="28"/>
          <w:sz w:val="28"/>
          <w:szCs w:val="28"/>
          <w:rtl w:val="true"/>
          <w:lang w:bidi="ar-SA"/>
        </w:rPr>
        <w:t>مرسلا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تَطَهَّرَ ثُمَّ أَوَي إِلَي فِرَاشِهِ بَاتَ وَ فِرَاشُهُ كَمَسْجِدِهِ فَإِنْ ذَكَرَ أَنَّهُ لَيْسَ عَلَي وُضُوءٍ فَيَتَيَمَّمُ مِنْ دِثَارِهِ كَائِناً مَا كَانَ لَمْ يَزَلْ فِي صَلَاةٍ مَا ذَكَرَ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الفقيه‌</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شرعی با آن حاصل نمی شود، مگر اینکه منظور از روغن آن چیزی باشد که با وجود اندک بودن بر اعضاء جاری می شود، پایان نقل قول؛ و متانت این سخن بر 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سیَد رحمه الله نقل شده که برای اثبات نظر خود به این روایت استدلال کرده است و آنچه در آن است پنهان نمی ماند، چرا که آشکار است مقصود از این روایت بیان جواز تیمَم با خاک است، و 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یجد إلّا الثلج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غیر از برف چیزی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چیزهایی که غسل نمودن با آنها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توبق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دینش را از بین می برد،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آنان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أوبقتُ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نابود کردم و از بین بردم، این فرموده امام بر این نکته دلالت می کند که هر کسی با تیمَم نماز بخواند هر چند مجبور باشد و در موقعیت اضطرار قرار گرفته باشد، نمازش ناقص است و بر او واجب است این نقص را برای نماز بعدی یا خارج شدن از آن مکان به سوی مکانی که مجبور به تیمَم نباشد از میان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نکته ای که از این حدیث استنباط می شود وجوب مهاجرت از سرزمین های تقیّه به سوی سرزمین هایی است که ترک تقیه در آن ممکن است، نه تنها مهاجرت از سرزمین های تقیّه بلکه از سرزمین هایی که برای ساکن آن امکان به جا آوردن کامل طاعات و عبادات فراهم نیست و نمی تواند حقّ خشوع و توجه به خداوند متعال در نماز و سائر عبادات را به صورت شایسته ادا کند، چه رسد به سرزمین هایی که ساکن آنها حتّی یک روز از اعمال زشت و اقوال شنیع در امان نیست و نزدیک است که یک لحظه از صفات نکوهیده و نابود کننده ای مانند کینه، حسد، تکبّر و حبّ جاه و ریاست جدا نباشد؛ خداوند ما و سایر مؤمنان را توفیق دهد آئین ها و قوانین دین را در جایگاه امنی به جا آوریم و به پا داریم که در آن شیاطین بر مؤمنان چیره نباشند</w:t>
      </w:r>
      <w:r>
        <w:rPr>
          <w:rFonts w:eastAsia="IRNazanin" w:cs="IRNazanin"/>
          <w:color w:val="111111"/>
          <w:sz w:val="28"/>
          <w:szCs w:val="28"/>
          <w:rtl w:val="true"/>
          <w:lang w:bidi="fa-IR"/>
        </w:rPr>
        <w:t>.</w:t>
      </w:r>
    </w:p>
    <w:p>
      <w:pPr>
        <w:pStyle w:val="Heading5"/>
        <w:numPr>
          <w:ilvl w:val="4"/>
          <w:numId w:val="1"/>
        </w:numPr>
        <w:rPr/>
      </w:pPr>
      <w:bookmarkStart w:id="1304" w:name="__RefHeading___Toc606110_1934241801"/>
      <w:bookmarkStart w:id="1305" w:name="_Toc599"/>
      <w:bookmarkEnd w:id="1304"/>
      <w:r>
        <w:rPr>
          <w:rtl w:val="true"/>
        </w:rPr>
        <w:t xml:space="preserve">روایت </w:t>
      </w:r>
      <w:r>
        <w:rPr/>
        <w:t>15</w:t>
      </w:r>
      <w:bookmarkEnd w:id="1305"/>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حفص بن غیاث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به بستر خوابش برود و به یاد آورد که پاک و مطهّر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روانداز و لباس هایش تیمَم کند، تا زمانی که در یاد خداوند است به منزله آن است که در نماز باشد</w:t>
      </w:r>
      <w:r>
        <w:rPr>
          <w:rFonts w:eastAsia="IRNazanin" w:cs="IRNazanin"/>
          <w:color w:val="111111"/>
          <w:sz w:val="28"/>
          <w:szCs w:val="28"/>
          <w:rtl w:val="true"/>
          <w:lang w:bidi="fa-IR"/>
        </w:rPr>
        <w:t>.</w:t>
      </w:r>
      <w:r>
        <w:rPr>
          <w:rStyle w:val="FootnoteAnchor"/>
          <w:rtl w:val="true"/>
        </w:rPr>
        <w:footnoteReference w:id="697"/>
      </w:r>
    </w:p>
    <w:p>
      <w:pPr>
        <w:pStyle w:val="Heading5"/>
        <w:numPr>
          <w:ilvl w:val="4"/>
          <w:numId w:val="1"/>
        </w:numPr>
        <w:rPr/>
      </w:pPr>
      <w:bookmarkStart w:id="1306" w:name="__RefHeading___Toc606112_1934241801"/>
      <w:bookmarkStart w:id="1307" w:name="_Toc600"/>
      <w:bookmarkEnd w:id="1306"/>
      <w:r>
        <w:rPr>
          <w:rtl w:val="true"/>
        </w:rPr>
        <w:t>توضیح</w:t>
      </w:r>
      <w:bookmarkEnd w:id="130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التهذیب</w:t>
      </w:r>
      <w:r>
        <w:rPr>
          <w:rStyle w:val="FootnoteAnchor"/>
          <w:rtl w:val="true"/>
        </w:rPr>
        <w:footnoteReference w:id="698"/>
      </w:r>
      <w:r>
        <w:rPr>
          <w:rFonts w:ascii="IRNazanin" w:hAnsi="IRNazanin" w:eastAsia="IRNazanin"/>
          <w:color w:val="111111"/>
          <w:sz w:val="28"/>
          <w:sz w:val="28"/>
          <w:szCs w:val="28"/>
          <w:rtl w:val="true"/>
          <w:lang w:bidi="fa-IR"/>
        </w:rPr>
        <w:t>به صورت مرسل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پاک و مطهّر گردد سپس به بستر خوابش برود و شب را به صبح برساند، بستر مانند مسجد اوست، پس اگر به یاد آورد که بی وضو است و از رو اندازش هر چه که باشد تیمَم کند، تا زمانی که یاد خداوند عزّ و جلّ است به منزله آن است که در نماز باشد، و در الفقیه</w:t>
      </w:r>
      <w:r>
        <w:rPr>
          <w:rStyle w:val="FootnoteAnchor"/>
          <w:rtl w:val="true"/>
        </w:rPr>
        <w:footnoteReference w:id="699"/>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bookmarkStart w:id="1308" w:name="pg13517_329189"/>
    </w:p>
    <w:p>
      <w:pPr>
        <w:pStyle w:val="BookText"/>
        <w:rPr/>
      </w:pPr>
      <w:bookmarkEnd w:id="1308"/>
      <w:r>
        <w:rPr>
          <w:rFonts w:ascii="Amiri" w:hAnsi="Amiri" w:eastAsia="Amiri" w:cs="Amiri"/>
          <w:color w:val="111111"/>
          <w:sz w:val="28"/>
          <w:sz w:val="28"/>
          <w:szCs w:val="28"/>
          <w:rtl w:val="true"/>
          <w:lang w:bidi="ar-SA"/>
        </w:rPr>
        <w:t>فليتيمم من دثاره كائنا ما كان و رواه في ثواب الأعمال‌</w:t>
      </w:r>
      <w:r>
        <w:rPr>
          <w:rStyle w:val="FootnoteAnchor"/>
          <w:rtl w:val="true"/>
        </w:rPr>
        <w:footnoteReference w:id="700"/>
      </w:r>
      <w:r>
        <w:rPr>
          <w:rFonts w:ascii="Amiri" w:hAnsi="Amiri" w:eastAsia="Amiri" w:cs="Amiri"/>
          <w:color w:val="111111"/>
          <w:sz w:val="28"/>
          <w:sz w:val="28"/>
          <w:szCs w:val="28"/>
          <w:rtl w:val="true"/>
          <w:lang w:bidi="ar-SA"/>
        </w:rPr>
        <w:t>عن محمد بن كردوس عنه عليه السلام مثل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ما في التهذيب لعل المعني كائنا ما كان الدثار سواء كان فيه غبار أم لا أو كائنا ما كان النائم سواء قدر علي القيام و الوضوء أم لا و علي ما في الفقيه فالظاهر أن المراد سواء كان متوضئا أو متيمما أو المراد أنه إذا ذكر الله فسواء توضأ أو تيمم أم لا فهو في صلاة و يمكن أن يعمم أيضا بحيث يشمل غير حالة النوم أيضا و الظاهر هو الأول فالمراد أنه إذا تطهر و لم يذكر يكتب له ثواب الكون في المسجد و إن ذكر يكتب له ثواب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الاحتمالين الآخرين الظاهر أن كون فراشه كمسجده كناية عن أنه يكتب له ثواب الصلاة و علي ما هنا الظاهر اشتراط الطهارة و الذكر معا في الثواب المذكور و ظاهر الخبر اشتراط التيمم بالذكر في الدثار لا مطلقا و هو خلاف المشهور</w:t>
      </w:r>
      <w:r>
        <w:rPr>
          <w:rFonts w:eastAsia="Amiri" w:cs="Amiri" w:ascii="Amiri" w:hAnsi="Amiri"/>
          <w:color w:val="111111"/>
          <w:sz w:val="28"/>
          <w:szCs w:val="28"/>
          <w:rtl w:val="true"/>
          <w:lang w:bidi="ar-SA"/>
        </w:rPr>
        <w:t>.</w:t>
      </w:r>
    </w:p>
    <w:p>
      <w:pPr>
        <w:pStyle w:val="Heading5"/>
        <w:numPr>
          <w:ilvl w:val="4"/>
          <w:numId w:val="1"/>
        </w:numPr>
        <w:rPr/>
      </w:pPr>
      <w:bookmarkStart w:id="1309" w:name="__RefHeading___Toc606114_1934241801"/>
      <w:bookmarkStart w:id="1310" w:name="_Toc601"/>
      <w:bookmarkEnd w:id="1309"/>
      <w:r>
        <w:rPr>
          <w:rtl w:val="true"/>
        </w:rPr>
        <w:t>«</w:t>
      </w:r>
      <w:r>
        <w:rPr/>
        <w:t>16</w:t>
      </w:r>
      <w:r>
        <w:rPr>
          <w:rtl w:val="true"/>
        </w:rPr>
        <w:t>»</w:t>
      </w:r>
      <w:bookmarkEnd w:id="1310"/>
    </w:p>
    <w:p>
      <w:pPr>
        <w:pStyle w:val="BookText"/>
        <w:rPr/>
      </w:pPr>
      <w:r>
        <w:rPr>
          <w:rFonts w:ascii="Amiri" w:hAnsi="Amiri" w:eastAsia="Amiri" w:cs="Amiri"/>
          <w:color w:val="111111"/>
          <w:sz w:val="28"/>
          <w:sz w:val="28"/>
          <w:szCs w:val="28"/>
          <w:rtl w:val="true"/>
          <w:lang w:bidi="ar-SA"/>
        </w:rPr>
        <w:t>السَّرَائِرُ، نَقْلًا مِنْ كِتَابِ مُحَمَّدِ بْنِ عَلِيِّ بْنِ مَحْبُوبٍ عَنْ عُثْمَانَ بْنِ عِيسَي عَنْ مُعَاوِيَةَ بْنِ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عليه السلام وَ أَنَا عِنْدَهُ فَقَالَ يُصِيبُنَا الدَّمَقُ‌</w:t>
      </w:r>
      <w:r>
        <w:rPr>
          <w:rStyle w:val="FootnoteAnchor"/>
          <w:rtl w:val="true"/>
        </w:rPr>
        <w:footnoteReference w:id="701"/>
      </w:r>
      <w:r>
        <w:rPr>
          <w:rFonts w:ascii="Amiri" w:hAnsi="Amiri" w:eastAsia="Amiri" w:cs="Amiri"/>
          <w:color w:val="111111"/>
          <w:sz w:val="28"/>
          <w:sz w:val="28"/>
          <w:szCs w:val="28"/>
          <w:rtl w:val="true"/>
          <w:lang w:bidi="ar-SA"/>
        </w:rPr>
        <w:t>وَ الثَّلْجُ وَ نُرِيدُ أَنْ نَتَوَضَّأَ وَ لَا نَجِدُ إِلَّا مَاءً جَامِداً فَكَيْفَ أَتَوَضَّأُ أَدْلُكُ بِهِ جِلْدِي قَالَ نَعَمْ‌</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1" w:name="__RefHeading___Toc606116_1934241801"/>
      <w:bookmarkStart w:id="1312" w:name="_Toc602"/>
      <w:bookmarkEnd w:id="1311"/>
      <w:r>
        <w:rPr>
          <w:rtl w:val="true"/>
        </w:rPr>
        <w:t>«</w:t>
      </w:r>
      <w:r>
        <w:rPr/>
        <w:t>17</w:t>
      </w:r>
      <w:r>
        <w:rPr>
          <w:rtl w:val="true"/>
        </w:rPr>
        <w:t>»</w:t>
      </w:r>
      <w:bookmarkEnd w:id="1312"/>
    </w:p>
    <w:p>
      <w:pPr>
        <w:pStyle w:val="BookText"/>
        <w:rPr/>
      </w:pPr>
      <w:r>
        <w:rPr>
          <w:rFonts w:ascii="Amiri" w:hAnsi="Amiri" w:eastAsia="Amiri" w:cs="Amiri"/>
          <w:color w:val="111111"/>
          <w:sz w:val="28"/>
          <w:sz w:val="28"/>
          <w:szCs w:val="28"/>
          <w:rtl w:val="true"/>
          <w:lang w:bidi="ar-SA"/>
        </w:rPr>
        <w:t>وَ مِنْهُ، عَنِ الْكِتَابِ الْمَذْكُورِ عَنْ مُحَمَّدِ بْنِ أَحْمَدَ الْعَلَوِيِّ عَنِ الْعَمْرَكِيِّ عَنْ عَلِيِّ بْنِ جَعْفَرٍ عَنْ أَخِيهِ مُوسَي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الْجُنُبِ أَوْ عَلَي غَيْرِ وُضُوءٍ لَا يَكُونُ مَعَهُ مَاءٌ وَ هُوَ يُصِيبُ ثَلْجاً وَ صَعِيداً أَيُّهُمَا أَفْضَلُ أَ يَتَيَمَّمُ أَمْ يَمْسَحُ بِالثَّلْجِ وَجْهَهُ قَالَ الثَّلْجُ إِذَا بَلَّ رَأْسَهُ وَ جَسَدَهُ أَفْضَلُ فَإِنْ لَمْ يَقْدِرْ عَلَي أَنْ يَغْتَسِلَ بِهِ فَلْيَتَيَمَّمْ‌</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رواندازش هر چه که باشد تیمَم کند؛ و این حدیث را در ثواب الأعمال</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از محمد بن کردوس و او نیز از امام صادق علیه السلام مانند آنچه در الفقیه ذکر شده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آنچه در التهذیب ذکر شده است شاید 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کائناً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انداز هر طور که باشد در آن غبار وجود داشته باشد، و یا کسی که در بستر خواب می خوابد هر که باشد توانایی برخاستن و وضو گرفتن را داشته باشد یا نداشته باشد؛ و بر اساس آنچه در الفقیه ذکر شده ظاهراً مقصود این است که فرق نمی کند آن شخص وضو گرفته باشد یا تیمَم کرده باشد؛ و یا مقصود این است که آن شخص اگر ذکر خداوند بگوید چه وضو گرفته باشد چه تیمَم کرده باشد به منزله آن است که به نماز ایستاده باشد، همچنین ممکن است که این حکم تعمیم داده شود به طوری که سایر حالات غیر از وقت خواب را نیز شامل شود، ولی تفسیر اوّل صحیح تر است، پس منظور از حدیث این است که شخص اگر پاک و مطهّر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بستر خواب برود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نگوید ثواب توقف در مسجد و اگر ذکر بگوید ثواب نماز برای او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اساس دو احتمال دیگر چنین پیداست که این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فراشه کمسجده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خواب مانند مسجد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مطلب است که ثواب نماز برای او نوشته می شود، و از روایتی که در اینجا ذکر گردیده چنین برداشت می شود که محقّق شدن دو شرط طهارت و گفتن ذکر خداوند در حاصل شدن ثواب مذکور ضروری است، و ظاهر حدیث بر مقیّد گرداندن تیمَم با ذکر خواندن بر روانداز دلالت می کند نه تیمَم مطلق، و این برخلاف نظر مشهور است</w:t>
      </w:r>
      <w:r>
        <w:rPr>
          <w:rFonts w:eastAsia="IRNazanin" w:cs="IRNazanin"/>
          <w:color w:val="111111"/>
          <w:sz w:val="28"/>
          <w:szCs w:val="28"/>
          <w:rtl w:val="true"/>
          <w:lang w:bidi="fa-IR"/>
        </w:rPr>
        <w:t>.</w:t>
      </w:r>
    </w:p>
    <w:p>
      <w:pPr>
        <w:pStyle w:val="Heading5"/>
        <w:numPr>
          <w:ilvl w:val="4"/>
          <w:numId w:val="1"/>
        </w:numPr>
        <w:rPr/>
      </w:pPr>
      <w:bookmarkStart w:id="1313" w:name="__RefHeading___Toc606118_1934241801"/>
      <w:bookmarkStart w:id="1314" w:name="_Toc603"/>
      <w:bookmarkEnd w:id="1313"/>
      <w:r>
        <w:rPr>
          <w:rtl w:val="true"/>
        </w:rPr>
        <w:t xml:space="preserve">روایت </w:t>
      </w:r>
      <w:r>
        <w:rPr/>
        <w:t>16</w:t>
      </w:r>
      <w:bookmarkEnd w:id="1314"/>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شُریح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که مردی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بوران و برف می شویم و می خواهیم وضو بگیریم ولی فقط به آب یخ زده دسترسی داریم، پس چگونه وضو بگیرم، آیا جایز است که پوست بدنم را با آن مسح کنم؟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705"/>
      </w:r>
    </w:p>
    <w:p>
      <w:pPr>
        <w:pStyle w:val="Heading5"/>
        <w:numPr>
          <w:ilvl w:val="4"/>
          <w:numId w:val="1"/>
        </w:numPr>
        <w:rPr/>
      </w:pPr>
      <w:bookmarkStart w:id="1315" w:name="__RefHeading___Toc606120_1934241801"/>
      <w:bookmarkStart w:id="1316" w:name="_Toc604"/>
      <w:bookmarkEnd w:id="1315"/>
      <w:r>
        <w:rPr>
          <w:rtl w:val="true"/>
        </w:rPr>
        <w:t xml:space="preserve">روایت </w:t>
      </w:r>
      <w:r>
        <w:rPr/>
        <w:t>17</w:t>
      </w:r>
      <w:bookmarkEnd w:id="131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امام موسی کاظم علیه السلام درباره مردی پرسیدم که جُنب یا بی وضو است و هیچ آبی همراه ندارد، از قضا به صورت همزمان به برف و خاک دسترسی پیدا می کند، کدام یک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تیمَم کند یا صورتش را با برف مسح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برف سر و صورتش را خیس کند برتر است، و اگر قادر به شستن با برف نبود باید تیمَم کند</w:t>
      </w:r>
      <w:r>
        <w:rPr>
          <w:rFonts w:eastAsia="IRNazanin" w:cs="IRNazanin"/>
          <w:color w:val="111111"/>
          <w:sz w:val="28"/>
          <w:szCs w:val="28"/>
          <w:rtl w:val="true"/>
          <w:lang w:bidi="fa-IR"/>
        </w:rPr>
        <w:t>.</w:t>
      </w:r>
      <w:r>
        <w:rPr>
          <w:rStyle w:val="FootnoteAnchor"/>
          <w:rtl w:val="true"/>
        </w:rPr>
        <w:footnoteReference w:id="706"/>
      </w:r>
      <w:bookmarkStart w:id="1317" w:name="pg13517_329190"/>
    </w:p>
    <w:p>
      <w:pPr>
        <w:pStyle w:val="Heading5"/>
        <w:numPr>
          <w:ilvl w:val="4"/>
          <w:numId w:val="1"/>
        </w:numPr>
        <w:rPr/>
      </w:pPr>
      <w:bookmarkStart w:id="1318" w:name="__RefHeading___Toc606122_1934241801"/>
      <w:bookmarkStart w:id="1319" w:name="_Toc605"/>
      <w:bookmarkEnd w:id="1317"/>
      <w:bookmarkEnd w:id="1318"/>
      <w:r>
        <w:rPr>
          <w:rtl w:val="true"/>
        </w:rPr>
        <w:t>بيان</w:t>
      </w:r>
      <w:bookmarkEnd w:id="1319"/>
    </w:p>
    <w:p>
      <w:pPr>
        <w:pStyle w:val="BookText"/>
        <w:rPr/>
      </w:pPr>
      <w:r>
        <w:rPr>
          <w:rFonts w:ascii="Amiri" w:hAnsi="Amiri" w:eastAsia="Amiri" w:cs="Amiri"/>
          <w:color w:val="111111"/>
          <w:sz w:val="28"/>
          <w:sz w:val="28"/>
          <w:szCs w:val="28"/>
          <w:rtl w:val="true"/>
          <w:lang w:bidi="ar-SA"/>
        </w:rPr>
        <w:t>دلالة الخبرين علي ما ذهب إليه المفيد ظاهر و يمكن حملهما علي الجريان ليوافق المشهور</w:t>
      </w:r>
      <w:r>
        <w:rPr>
          <w:rFonts w:eastAsia="Amiri" w:cs="Amiri" w:ascii="Amiri" w:hAnsi="Amiri"/>
          <w:color w:val="111111"/>
          <w:sz w:val="28"/>
          <w:szCs w:val="28"/>
          <w:rtl w:val="true"/>
          <w:lang w:bidi="ar-SA"/>
        </w:rPr>
        <w:t>.</w:t>
      </w:r>
    </w:p>
    <w:p>
      <w:pPr>
        <w:pStyle w:val="Heading5"/>
        <w:numPr>
          <w:ilvl w:val="4"/>
          <w:numId w:val="1"/>
        </w:numPr>
        <w:rPr/>
      </w:pPr>
      <w:bookmarkStart w:id="1320" w:name="__RefHeading___Toc606124_1934241801"/>
      <w:bookmarkStart w:id="1321" w:name="_Toc606"/>
      <w:bookmarkEnd w:id="1320"/>
      <w:r>
        <w:rPr>
          <w:rtl w:val="true"/>
        </w:rPr>
        <w:t>«</w:t>
      </w:r>
      <w:r>
        <w:rPr/>
        <w:t>18</w:t>
      </w:r>
      <w:r>
        <w:rPr>
          <w:rtl w:val="true"/>
        </w:rPr>
        <w:t>»</w:t>
      </w:r>
      <w:bookmarkEnd w:id="1321"/>
    </w:p>
    <w:p>
      <w:pPr>
        <w:pStyle w:val="BookText"/>
        <w:rPr/>
      </w:pPr>
      <w:r>
        <w:rPr>
          <w:rFonts w:ascii="Amiri" w:hAnsi="Amiri" w:eastAsia="Amiri" w:cs="Amiri"/>
          <w:color w:val="111111"/>
          <w:sz w:val="28"/>
          <w:sz w:val="28"/>
          <w:szCs w:val="28"/>
          <w:rtl w:val="true"/>
          <w:lang w:bidi="ar-SA"/>
        </w:rPr>
        <w:t>السَّرَائِرُ، نَقْلًا مِنْ كِتَابِ نَوَادِرِ أَحْمَدَ بْنِ مُحَمَّدِ بْنِ أَبِي نَصْرٍ عَنْ عَبْدِ اللَّهِ بْنِ بُكَيْرٍ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عَمَّارُ بْنُ يَاسِرٍ رَسُولَ اللَّهِ صلي الله عليه و آله فَقَالَ يَا رَسُولَ اللَّهِ صلي الله عليه و آله إِنِّي أَجْنَبْتُ اللَّيْلَةَ فَلَمْ يَكُنْ مَعِي مَاءٌ قَالَ كَيْفَ صَنَعْتَ قَالَ طَرَحْتُ ثِيَابِي وَ قُمْتُ عَلَي الصَّعِيدِ فَتَمَعَّكْتُ فِيهِ فَقَالَ هَكَذَا يَصْنَعُ الْحِمَارُ إِنَّمَا قَالَ اللَّهُ عَزَّ وَ جَلَ فَتَيَمَّمُوا صَعِيداً طَيِّباً فَضَرَبَ بِيَدَيْهِ عَلَي الْأَرْضِ ثُمَّ ضَرَبَ إِحْدَاهُمَا عَلَي الْأُخْرَي ثُمَّ مَسَحَ بِجَبِينَيْهِ ثُمَّ مَسَحَ كَفَّيْهِ كُلَّ وَاحِدَةٍ عَلَي الْأُخْرَي مَسَحَ بِالْيُسْرَي عَلَي الْيُمْنَي وَ بِالْيُمْنَي عَلَي الْيُسْرَي‌</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2" w:name="__RefHeading___Toc606126_1934241801"/>
      <w:bookmarkStart w:id="1323" w:name="_Toc607"/>
      <w:bookmarkEnd w:id="1322"/>
      <w:r>
        <w:rPr>
          <w:rtl w:val="true"/>
        </w:rPr>
        <w:t>توضيح</w:t>
      </w:r>
      <w:bookmarkEnd w:id="1323"/>
    </w:p>
    <w:p>
      <w:pPr>
        <w:pStyle w:val="BookText"/>
        <w:rPr/>
      </w:pPr>
      <w:r>
        <w:rPr>
          <w:rFonts w:ascii="Amiri" w:hAnsi="Amiri" w:eastAsia="Amiri" w:cs="Amiri"/>
          <w:color w:val="111111"/>
          <w:sz w:val="28"/>
          <w:sz w:val="28"/>
          <w:szCs w:val="28"/>
          <w:rtl w:val="true"/>
          <w:lang w:bidi="ar-SA"/>
        </w:rPr>
        <w:t>يدل علي الاكتفاء في بدل الجنابة بالضربة الواحدة و تمعك الدابة تقلبها في التراب و هذا منه صلي الله عليه و آله إما مطايبة أو تأديب علي ترك القياس فإنه قاس التيمم بالغسل‌</w:t>
      </w:r>
      <w:r>
        <w:rPr>
          <w:rStyle w:val="FootnoteAnchor"/>
          <w:rtl w:val="true"/>
        </w:rPr>
        <w:footnoteReference w:id="708"/>
      </w:r>
      <w:r>
        <w:rPr>
          <w:rFonts w:ascii="Amiri" w:hAnsi="Amiri" w:eastAsia="Amiri" w:cs="Amiri"/>
          <w:color w:val="111111"/>
          <w:sz w:val="28"/>
          <w:sz w:val="28"/>
          <w:szCs w:val="28"/>
          <w:rtl w:val="true"/>
          <w:lang w:bidi="ar-SA"/>
        </w:rPr>
        <w:t>و عدم التقصير في طلب علم ما تكثر الحاجة إليه و علي الأول يدل علي جواز جريان أمثالها بين الأصدقاء</w:t>
      </w:r>
      <w:r>
        <w:rPr>
          <w:rFonts w:eastAsia="Amiri" w:cs="Amiri" w:ascii="Amiri" w:hAnsi="Amiri"/>
          <w:color w:val="111111"/>
          <w:sz w:val="28"/>
          <w:szCs w:val="28"/>
          <w:rtl w:val="true"/>
          <w:lang w:bidi="ar-SA"/>
        </w:rPr>
        <w:t>.</w:t>
      </w:r>
    </w:p>
    <w:p>
      <w:pPr>
        <w:pStyle w:val="Heading5"/>
        <w:numPr>
          <w:ilvl w:val="4"/>
          <w:numId w:val="1"/>
        </w:numPr>
        <w:rPr/>
      </w:pPr>
      <w:bookmarkStart w:id="1324" w:name="__RefHeading___Toc606128_1934241801"/>
      <w:bookmarkStart w:id="1325" w:name="_Toc608"/>
      <w:bookmarkEnd w:id="1324"/>
      <w:r>
        <w:rPr>
          <w:rtl w:val="true"/>
        </w:rPr>
        <w:t>«</w:t>
      </w:r>
      <w:r>
        <w:rPr/>
        <w:t>19</w:t>
      </w:r>
      <w:r>
        <w:rPr>
          <w:rtl w:val="true"/>
        </w:rPr>
        <w:t>»</w:t>
      </w:r>
      <w:bookmarkEnd w:id="1325"/>
    </w:p>
    <w:p>
      <w:pPr>
        <w:pStyle w:val="BookText"/>
        <w:rPr/>
      </w:pPr>
      <w:r>
        <w:rPr>
          <w:rFonts w:ascii="Amiri" w:hAnsi="Amiri" w:eastAsia="Amiri" w:cs="Amiri"/>
          <w:color w:val="111111"/>
          <w:sz w:val="28"/>
          <w:sz w:val="28"/>
          <w:szCs w:val="28"/>
          <w:rtl w:val="true"/>
          <w:lang w:bidi="ar-SA"/>
        </w:rPr>
        <w:t>الْمَحَاسِنُ، عَنْ أَبِيهِ عَنِ ابْنِ أَبِي عُمَيْرٍ عَنْ حَمَّادِ بْنِ عُثْمَانَ عَنْ عُبَيْدِ اللَّهِ بْنِ عَلِيٍّ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عَبْدِ اللَّهِ عليه السلام عَنِ الرَّجُلِ إِذَا أَجْنَبَ وَ لَمْ يَجِدِ الْمَاءَ قَالَ يَتَيَمَّمُ بِالصَّعِيدِ فَإِذَا وَجَدَ الْمَاءَ فَلْيَغْتَسِلْ وَ لَا يُعِيدُ الصَّلَاةَ</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6" w:name="__RefHeading___Toc606130_1934241801"/>
      <w:bookmarkStart w:id="1327" w:name="_Toc609"/>
      <w:bookmarkEnd w:id="1326"/>
      <w:r>
        <w:rPr>
          <w:rtl w:val="true"/>
        </w:rPr>
        <w:t>توضیح</w:t>
      </w:r>
      <w:bookmarkEnd w:id="1327"/>
    </w:p>
    <w:p>
      <w:pPr>
        <w:pStyle w:val="BookText"/>
        <w:rPr/>
      </w:pPr>
      <w:r>
        <w:rPr>
          <w:rFonts w:ascii="IRNazanin" w:hAnsi="IRNazanin" w:eastAsia="IRNazanin"/>
          <w:color w:val="111111"/>
          <w:sz w:val="28"/>
          <w:sz w:val="28"/>
          <w:szCs w:val="28"/>
          <w:rtl w:val="true"/>
          <w:lang w:bidi="fa-IR"/>
        </w:rPr>
        <w:t xml:space="preserve">دلالت دو حدیث اخیر بر نظر شیخ مفید آشکار است و امکان حمل آنها بر شرط جریان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تا با نظر مشهور سازگاری داشته باشد</w:t>
      </w:r>
      <w:r>
        <w:rPr>
          <w:rFonts w:eastAsia="IRNazanin" w:cs="IRNazanin"/>
          <w:color w:val="111111"/>
          <w:sz w:val="28"/>
          <w:szCs w:val="28"/>
          <w:rtl w:val="true"/>
          <w:lang w:bidi="fa-IR"/>
        </w:rPr>
        <w:t>.</w:t>
      </w:r>
    </w:p>
    <w:p>
      <w:pPr>
        <w:pStyle w:val="Heading5"/>
        <w:numPr>
          <w:ilvl w:val="4"/>
          <w:numId w:val="1"/>
        </w:numPr>
        <w:rPr/>
      </w:pPr>
      <w:bookmarkStart w:id="1328" w:name="__RefHeading___Toc606132_1934241801"/>
      <w:bookmarkStart w:id="1329" w:name="_Toc610"/>
      <w:bookmarkEnd w:id="1328"/>
      <w:r>
        <w:rPr>
          <w:rtl w:val="true"/>
        </w:rPr>
        <w:t xml:space="preserve">روایت </w:t>
      </w:r>
      <w:r>
        <w:rPr/>
        <w:t>18</w:t>
      </w:r>
      <w:bookmarkEnd w:id="1329"/>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نزد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من امشب جُنب گشتم و آب همراه نداشتم،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کاری انجام دادی؟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هایم را در آوردم و بر روی خاک ایستادم و در آن غلتیدم،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چنین می کند، همانا 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فتیمّموا صعیداً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دو دست خویش بر زمین کوبید و سپس یکی از آنها را بر دیگری زد، آن گاه دو طرف پیشانی خود را مسح نمود و هر یک از دو کف دستش را با کف دست دیگر مسح نمود یعنی کف دست چپ را بر کف دست راست و سپس کف دست راست را بر کف دست چپ کشید</w:t>
      </w:r>
      <w:r>
        <w:rPr>
          <w:rFonts w:eastAsia="IRNazanin" w:cs="IRNazanin"/>
          <w:color w:val="111111"/>
          <w:sz w:val="28"/>
          <w:szCs w:val="28"/>
          <w:rtl w:val="true"/>
          <w:lang w:bidi="fa-IR"/>
        </w:rPr>
        <w:t>.</w:t>
      </w:r>
      <w:r>
        <w:rPr>
          <w:rStyle w:val="FootnoteAnchor"/>
          <w:rtl w:val="true"/>
        </w:rPr>
        <w:footnoteReference w:id="710"/>
      </w:r>
    </w:p>
    <w:p>
      <w:pPr>
        <w:pStyle w:val="Heading5"/>
        <w:numPr>
          <w:ilvl w:val="4"/>
          <w:numId w:val="1"/>
        </w:numPr>
        <w:rPr/>
      </w:pPr>
      <w:bookmarkStart w:id="1330" w:name="__RefHeading___Toc606134_1934241801"/>
      <w:bookmarkStart w:id="1331" w:name="_Toc611"/>
      <w:bookmarkEnd w:id="1330"/>
      <w:r>
        <w:rPr>
          <w:rtl w:val="true"/>
        </w:rPr>
        <w:t>توضیح</w:t>
      </w:r>
      <w:bookmarkEnd w:id="1331"/>
    </w:p>
    <w:p>
      <w:pPr>
        <w:pStyle w:val="BookText"/>
        <w:rPr/>
      </w:pPr>
      <w:r>
        <w:rPr>
          <w:rFonts w:ascii="IRNazanin" w:hAnsi="IRNazanin" w:eastAsia="IRNazanin"/>
          <w:color w:val="111111"/>
          <w:sz w:val="28"/>
          <w:sz w:val="28"/>
          <w:szCs w:val="28"/>
          <w:rtl w:val="true"/>
          <w:lang w:bidi="fa-IR"/>
        </w:rPr>
        <w:t xml:space="preserve">این حدیث بر کافی بودن کوبیدن یک بار دست بر زمین در تیمّم بدل از غسل جنابت دلالت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تمعّکُ الدّابه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غلتیدن چهار پا در خاک، سر زدن این کلام از پیامبر صلّی الله علیه و آله یا به قصد شوخی و مزاح بوده است یا به قصد تأدیب برای ترک قیاس، چرا که عمّار تیمَم را با غسل مقایسه کرده بود و برای ترک تقصیر در طلب علم به آنچه</w:t>
      </w:r>
    </w:p>
    <w:p>
      <w:pPr>
        <w:pStyle w:val="BookText"/>
        <w:rPr/>
      </w:pPr>
      <w:r>
        <w:rPr>
          <w:rFonts w:ascii="IRNazanin" w:hAnsi="IRNazanin" w:eastAsia="IRNazanin"/>
          <w:color w:val="111111"/>
          <w:sz w:val="28"/>
          <w:sz w:val="28"/>
          <w:szCs w:val="28"/>
          <w:rtl w:val="true"/>
          <w:lang w:bidi="fa-IR"/>
        </w:rPr>
        <w:t xml:space="preserve">نیاز به آن زیاد است؛ و بنابر وجه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مطایبه و مزاح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جایز بودن امثال این تعابیر در میان دوستان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احتمال نخست این کلام بر جواز ردّ و بدل شدن سخنان این چنینی در بین دوستان دلالت دارد</w:t>
      </w:r>
      <w:r>
        <w:rPr>
          <w:rFonts w:eastAsia="IRNazanin" w:cs="IRNazanin"/>
          <w:color w:val="111111"/>
          <w:sz w:val="28"/>
          <w:szCs w:val="28"/>
          <w:rtl w:val="true"/>
          <w:lang w:bidi="fa-IR"/>
        </w:rPr>
        <w:t>.</w:t>
      </w:r>
    </w:p>
    <w:p>
      <w:pPr>
        <w:pStyle w:val="Heading5"/>
        <w:numPr>
          <w:ilvl w:val="4"/>
          <w:numId w:val="1"/>
        </w:numPr>
        <w:rPr/>
      </w:pPr>
      <w:bookmarkStart w:id="1332" w:name="__RefHeading___Toc606136_1934241801"/>
      <w:bookmarkStart w:id="1333" w:name="_Toc612"/>
      <w:bookmarkEnd w:id="1332"/>
      <w:r>
        <w:rPr>
          <w:rtl w:val="true"/>
        </w:rPr>
        <w:t xml:space="preserve">روایت </w:t>
      </w:r>
      <w:r>
        <w:rPr/>
        <w:t>19</w:t>
      </w:r>
      <w:bookmarkEnd w:id="133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عبید الله بن علی الحلبیّ روایت شده که از امام صادق علیه السلام درباره مردی پرسید که جنب می شود و به آب دست نمی یابد،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خاک تیمّم می کند، پس اگر به آب دست یافت باید غسل کند ولی لازم نیست که نماز را اعاده کند</w:t>
      </w:r>
      <w:r>
        <w:rPr>
          <w:rFonts w:eastAsia="IRNazanin" w:cs="IRNazanin"/>
          <w:color w:val="111111"/>
          <w:sz w:val="28"/>
          <w:szCs w:val="28"/>
          <w:rtl w:val="true"/>
          <w:lang w:bidi="fa-IR"/>
        </w:rPr>
        <w:t>.</w:t>
      </w:r>
      <w:r>
        <w:rPr>
          <w:rStyle w:val="FootnoteAnchor"/>
          <w:rtl w:val="true"/>
        </w:rPr>
        <w:footnoteReference w:id="711"/>
      </w:r>
      <w:bookmarkStart w:id="1334" w:name="pg13517_329191"/>
    </w:p>
    <w:p>
      <w:pPr>
        <w:pStyle w:val="Heading5"/>
        <w:numPr>
          <w:ilvl w:val="4"/>
          <w:numId w:val="1"/>
        </w:numPr>
        <w:rPr/>
      </w:pPr>
      <w:bookmarkStart w:id="1335" w:name="__RefHeading___Toc606138_1934241801"/>
      <w:bookmarkStart w:id="1336" w:name="_Toc613"/>
      <w:bookmarkEnd w:id="1334"/>
      <w:bookmarkEnd w:id="1335"/>
      <w:r>
        <w:rPr>
          <w:rtl w:val="true"/>
        </w:rPr>
        <w:t>«</w:t>
      </w:r>
      <w:r>
        <w:rPr/>
        <w:t>20</w:t>
      </w:r>
      <w:r>
        <w:rPr>
          <w:rtl w:val="true"/>
        </w:rPr>
        <w:t>»</w:t>
      </w:r>
      <w:bookmarkEnd w:id="1336"/>
    </w:p>
    <w:p>
      <w:pPr>
        <w:pStyle w:val="BookText"/>
        <w:rPr/>
      </w:pPr>
      <w:r>
        <w:rPr>
          <w:rFonts w:ascii="Amiri" w:hAnsi="Amiri" w:eastAsia="Amiri" w:cs="Amiri"/>
          <w:color w:val="111111"/>
          <w:sz w:val="28"/>
          <w:sz w:val="28"/>
          <w:szCs w:val="28"/>
          <w:rtl w:val="true"/>
          <w:lang w:bidi="ar-SA"/>
        </w:rPr>
        <w:t>السَّرَائِرُ، نَقْلًا مِنْ كِتَابِ مُحَمَّدِ بْنِ عَلِيِّ بْنِ مَحْبُوبٍ عَنِ الْحَسَنِ بْنِ الْحُسَيْنِ اللُّؤْلُؤِيِّ عَنْ جَعْفَرِ بْنِ بَشِيرٍ عَنْ عَبْدِ اللَّهِ بْنِ عَاصِمٍ قَالَ سَمِعْتُ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رَجُلٍ تَيَمَّمَ وَ قَامَ فِي الصَّلَاةِ فَأُتِيَ بِمَاءٍ قَالَ إِنْ كَانَ رَكَعَ فَلْيَمْضِ فِي صَلَاتِهِ وَ إِنْ لَمْ يَكُنْ رَكَعَ فَلْيَنْصَرِفْ وَ لْيَتَوَضَّأْ</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7" w:name="__RefHeading___Toc606140_1934241801"/>
      <w:bookmarkStart w:id="1338" w:name="_Toc614"/>
      <w:bookmarkEnd w:id="1337"/>
      <w:r>
        <w:rPr>
          <w:rtl w:val="true"/>
        </w:rPr>
        <w:t>«</w:t>
      </w:r>
      <w:r>
        <w:rPr/>
        <w:t>21</w:t>
      </w:r>
      <w:r>
        <w:rPr>
          <w:rtl w:val="true"/>
        </w:rPr>
        <w:t>»</w:t>
      </w:r>
      <w:bookmarkEnd w:id="1338"/>
    </w:p>
    <w:p>
      <w:pPr>
        <w:pStyle w:val="BookText"/>
        <w:rPr/>
      </w:pPr>
      <w:r>
        <w:rPr>
          <w:rFonts w:ascii="Amiri" w:hAnsi="Amiri" w:eastAsia="Amiri" w:cs="Amiri"/>
          <w:color w:val="111111"/>
          <w:sz w:val="28"/>
          <w:sz w:val="28"/>
          <w:szCs w:val="28"/>
          <w:rtl w:val="true"/>
          <w:lang w:bidi="ar-SA"/>
        </w:rPr>
        <w:t>وَ مِنْهُ، عَنِ الْكِتَابِ الْمَذْكُورِ عَنْ عَلِيِّ بْنِ السِّنْدِيِّ عَنْ حَمَّادٍ عَنْ حَرِيزٍ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صَلَّي رَكْعَةً عَلَي تَيَمُّمٍ ثُمَّ جَاءَ رَجُلٌ وَ مَعَهُ قِرْبَتَانِ مِنْ مَاءٍ فَقَالَ يَقْطَعُ الصَّلَاةَ وَ يَتَوَضَّأُ ثُمَّ يَبْنِي عَلَي وَاحِدَةٍ</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9" w:name="__RefHeading___Toc606142_1934241801"/>
      <w:bookmarkStart w:id="1340" w:name="_Toc615"/>
      <w:bookmarkEnd w:id="1339"/>
      <w:r>
        <w:rPr>
          <w:rtl w:val="true"/>
        </w:rPr>
        <w:t>«</w:t>
      </w:r>
      <w:r>
        <w:rPr/>
        <w:t>22</w:t>
      </w:r>
      <w:r>
        <w:rPr>
          <w:rtl w:val="true"/>
        </w:rPr>
        <w:t>»</w:t>
      </w:r>
      <w:bookmarkEnd w:id="1340"/>
    </w:p>
    <w:p>
      <w:pPr>
        <w:pStyle w:val="BookText"/>
        <w:rPr/>
      </w:pPr>
      <w:r>
        <w:rPr>
          <w:rFonts w:ascii="Amiri" w:hAnsi="Amiri" w:eastAsia="Amiri" w:cs="Amiri"/>
          <w:color w:val="111111"/>
          <w:sz w:val="28"/>
          <w:sz w:val="28"/>
          <w:szCs w:val="28"/>
          <w:rtl w:val="true"/>
          <w:lang w:bidi="ar-SA"/>
        </w:rPr>
        <w:t>وَ مِنْهُ، عَنِ الْكِتَابِ الْمَذْكُورِ عَنْ عَلِيِّ بْنِ السِّنْدِيِّ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إِبْرَاهِيمَ عليه السلام عَنِ الرَّجُلِ يَكُونُ مَعَ أَهْلِهِ فِي السَّفَرِ فَلَا يَجِدُ الْمَاءَ يَأْتِي أَهْلَهُ فَقَالَ مَا أُحِبُّ أَنْ يَفْعَلَ ذَلِكَ إِلَّا أَنْ يَكُونَ شَبِقاً أَوْ يَخَافَ عَلَي نَفْسِهِ قُلْتُ يَطْلُبُ بِذَلِكَ اللَّذَّةَ قَالَ هُوَ حَلَالٌ قُلْتُ فَإِنَّهُ رُوِيَ عَنِ النَّبِيِّ صلي الله عليه و آله أَنَّ أَبَا ذَرٍّ سَأَلَهُ عَنْ هَذَا فَقَالَ ائْتِ أَهْلَكَ تُؤْجَرْ فَقَالَ يَا رَسُولَ اللَّهِ وَ أُوجَرُ فَقَالَ كَمَا أَنَّكَ إِذَا أَتَيْتَ الْحَرَامَ أُزِرْتَ فَكَذَلِكَ إِذَا أَتَيْتَ الْحَلَالَ أُجِرْتَ فَقَالَ أَ لَا تَرَي أَنَّهُ إِذَا خَافَ عَلَي نَفْسِهِ فَأَتَي الْحَلَالَ أُجِرَ</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1" w:name="__RefHeading___Toc606144_1934241801"/>
      <w:bookmarkStart w:id="1342" w:name="_Toc616"/>
      <w:bookmarkEnd w:id="1341"/>
      <w:r>
        <w:rPr>
          <w:rtl w:val="true"/>
        </w:rPr>
        <w:t>بيان</w:t>
      </w:r>
      <w:bookmarkEnd w:id="1342"/>
    </w:p>
    <w:p>
      <w:pPr>
        <w:pStyle w:val="BookText"/>
        <w:rPr/>
      </w:pPr>
      <w:r>
        <w:rPr>
          <w:rFonts w:ascii="Amiri" w:hAnsi="Amiri" w:eastAsia="Amiri" w:cs="Amiri"/>
          <w:color w:val="111111"/>
          <w:sz w:val="28"/>
          <w:sz w:val="28"/>
          <w:szCs w:val="28"/>
          <w:rtl w:val="true"/>
          <w:lang w:bidi="ar-SA"/>
        </w:rPr>
        <w:t>قوله عليه السلام أزرت كذا في النسخ و القياس وزرت أو أوزرت و علي تقدير عدم التصحيف لعله أتي به كذلك لمزاوجة أجرت قال الجزري الوزر الحمل و الثقل و أكثر ما يطلق في الحديث علي الذنب و الإثم و منه الحديث ارجعن مأجورات غير مأزورات أي غير آثمات و قياسه موزورات يقال وزر فهو موزور و إنما قال مأزورات للازدواج بمأجورات و نحوه قال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الحديث علي جواز إحداث الجنابة عند عدم الماء أو عدم التمكن من استعماله كمرض و نحوه و نقل المحقق في المعتبر عليه الإجماع</w:t>
      </w:r>
    </w:p>
    <w:p>
      <w:pPr>
        <w:pStyle w:val="Heading5"/>
        <w:numPr>
          <w:ilvl w:val="4"/>
          <w:numId w:val="1"/>
        </w:numPr>
        <w:rPr/>
      </w:pPr>
      <w:bookmarkStart w:id="1343" w:name="__RefHeading___Toc606146_1934241801"/>
      <w:bookmarkStart w:id="1344" w:name="_Toc617"/>
      <w:bookmarkEnd w:id="1343"/>
      <w:r>
        <w:rPr>
          <w:rtl w:val="true"/>
        </w:rPr>
        <w:t xml:space="preserve">روایت </w:t>
      </w:r>
      <w:r>
        <w:rPr/>
        <w:t>20</w:t>
      </w:r>
      <w:bookmarkEnd w:id="1344"/>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عاصم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از امام صادق علیه السلام درباره مردی سؤال پرسیده شد که تیمّم کرده و به نماز می ایستد و از قضا آب برای او فراهم می 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رکوع رکعت اول رفته باشد باید به نمازش ادامه دهد، ولی اگر به رکوع نرفته باشد باید نمازش را قطع کند و وضو بگیرد</w:t>
      </w:r>
      <w:r>
        <w:rPr>
          <w:rFonts w:eastAsia="IRNazanin" w:cs="IRNazanin"/>
          <w:color w:val="111111"/>
          <w:sz w:val="28"/>
          <w:szCs w:val="28"/>
          <w:rtl w:val="true"/>
          <w:lang w:bidi="fa-IR"/>
        </w:rPr>
        <w:t>.</w:t>
      </w:r>
      <w:r>
        <w:rPr>
          <w:rStyle w:val="FootnoteAnchor"/>
          <w:rtl w:val="true"/>
        </w:rPr>
        <w:footnoteReference w:id="715"/>
      </w:r>
    </w:p>
    <w:p>
      <w:pPr>
        <w:pStyle w:val="Heading5"/>
        <w:numPr>
          <w:ilvl w:val="4"/>
          <w:numId w:val="1"/>
        </w:numPr>
        <w:rPr/>
      </w:pPr>
      <w:bookmarkStart w:id="1345" w:name="__RefHeading___Toc606148_1934241801"/>
      <w:bookmarkStart w:id="1346" w:name="_Toc618"/>
      <w:bookmarkEnd w:id="1345"/>
      <w:r>
        <w:rPr>
          <w:rtl w:val="true"/>
        </w:rPr>
        <w:t xml:space="preserve">روایت </w:t>
      </w:r>
      <w:r>
        <w:rPr/>
        <w:t>21</w:t>
      </w:r>
      <w:bookmarkEnd w:id="1346"/>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مردی پرسیدم که یک رکعت نماز را با تیمّم به جا آورده است، سپس مردی از راه می رسد که دو مشک آب به همراه 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قطع کرده و وضو می گیرد پس بناء را بر رکعت اول می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از رکعت دوّم پی می گیرد</w:t>
      </w:r>
      <w:r>
        <w:rPr>
          <w:rFonts w:eastAsia="IRNazanin" w:cs="IRNazanin"/>
          <w:color w:val="111111"/>
          <w:sz w:val="28"/>
          <w:szCs w:val="28"/>
          <w:rtl w:val="true"/>
          <w:lang w:bidi="fa-IR"/>
        </w:rPr>
        <w:t>).</w:t>
      </w:r>
      <w:r>
        <w:rPr>
          <w:rStyle w:val="FootnoteAnchor"/>
          <w:rtl w:val="true"/>
        </w:rPr>
        <w:footnoteReference w:id="716"/>
      </w:r>
    </w:p>
    <w:p>
      <w:pPr>
        <w:pStyle w:val="Heading5"/>
        <w:numPr>
          <w:ilvl w:val="4"/>
          <w:numId w:val="1"/>
        </w:numPr>
        <w:rPr/>
      </w:pPr>
      <w:bookmarkStart w:id="1347" w:name="__RefHeading___Toc606150_1934241801"/>
      <w:bookmarkStart w:id="1348" w:name="_Toc619"/>
      <w:bookmarkEnd w:id="1347"/>
      <w:r>
        <w:rPr>
          <w:rtl w:val="true"/>
        </w:rPr>
        <w:t xml:space="preserve">روایت </w:t>
      </w:r>
      <w:r>
        <w:rPr/>
        <w:t>22</w:t>
      </w:r>
      <w:bookmarkEnd w:id="1348"/>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درباره مردی پرسیدم که با همسر خود در سفر به سر می برد ولی به آب دسترسی ندارد که با او نزدیکی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پسندم که چنین کاری را انجام دهد مگر آنکه شهوتران باشد یا بر سلامتی جانِ خود بیمناک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وسیله کسب لذت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حلالی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ابوذر این سؤال را از پیامبر صلّی الله علیه و آله پرسید، پیامبر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همسرت نزدیکی کن که پاداش داده می شوی،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پاداش داده می شوم؟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هنگام رفتن به سوی حرام مرتکب گناه و معصیت می شوی، هنگام رفتن به سوی حلال مزد و پاداش داده می شوی، 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هرگاه شخص بر سلامتی جان خود بیمناک شود پس نزد حلال خویش برود پاداش داده می شود</w:t>
      </w:r>
      <w:r>
        <w:rPr>
          <w:rFonts w:eastAsia="IRNazanin" w:cs="IRNazanin"/>
          <w:color w:val="111111"/>
          <w:sz w:val="28"/>
          <w:szCs w:val="28"/>
          <w:rtl w:val="true"/>
          <w:lang w:bidi="fa-IR"/>
        </w:rPr>
        <w:t>.</w:t>
      </w:r>
      <w:r>
        <w:rPr>
          <w:rStyle w:val="FootnoteAnchor"/>
          <w:rtl w:val="true"/>
        </w:rPr>
        <w:footnoteReference w:id="717"/>
      </w:r>
    </w:p>
    <w:p>
      <w:pPr>
        <w:pStyle w:val="Heading5"/>
        <w:numPr>
          <w:ilvl w:val="4"/>
          <w:numId w:val="1"/>
        </w:numPr>
        <w:rPr/>
      </w:pPr>
      <w:bookmarkStart w:id="1349" w:name="__RefHeading___Toc606152_1934241801"/>
      <w:bookmarkStart w:id="1350" w:name="_Toc620"/>
      <w:bookmarkEnd w:id="1349"/>
      <w:r>
        <w:rPr>
          <w:rtl w:val="true"/>
        </w:rPr>
        <w:t>توضیح</w:t>
      </w:r>
      <w:bookmarkEnd w:id="1350"/>
    </w:p>
    <w:p>
      <w:pPr>
        <w:pStyle w:val="BookText"/>
        <w:rPr/>
      </w:pPr>
      <w:r>
        <w:rPr>
          <w:rFonts w:ascii="IRNazanin" w:hAnsi="IRNazanin" w:eastAsia="IRNazanin"/>
          <w:color w:val="111111"/>
          <w:sz w:val="28"/>
          <w:sz w:val="28"/>
          <w:szCs w:val="28"/>
          <w:rtl w:val="true"/>
          <w:lang w:bidi="fa-IR"/>
        </w:rPr>
        <w:t>این فرموده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های مختلف این گونه ذکر شده است، ولی بر طبق قاعده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أوزرت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عدم حادث شدن تحریف بر این کلمه شاید به خاطر هماهنگی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ذکر شده است، الجزریّ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 سنگینی، امّا در احادیث بیشتر به معنای گناه و معصیت ذکر می شود از جمله در این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ارجعن مأجورات غیرَ مأزورات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گردید در حالی که مأجور هستید و گناهی مرتکب نشده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 که پیداست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مأزورات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آثمات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گناهکار 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اساس قاعده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بود، چرا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وَزرَ فهو مَوزور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گناه شد پس او گناهکار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الجوهریّ نیز چنین گفته است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بر جواز جنب شدن در صورت عدم وجود آب یا عدم امکان استفاده از آن به سبب مرض و غیره دلالت می کند، و محقّق در المعتبر اجماع نظر فقها بر این امر را نقل کرده است، </w:t>
      </w:r>
      <w:bookmarkStart w:id="1351" w:name="pg13517_329192"/>
    </w:p>
    <w:p>
      <w:pPr>
        <w:pStyle w:val="BookText"/>
        <w:rPr/>
      </w:pPr>
      <w:bookmarkEnd w:id="1351"/>
      <w:r>
        <w:rPr>
          <w:rFonts w:ascii="Amiri" w:hAnsi="Amiri" w:eastAsia="Amiri" w:cs="Amiri"/>
          <w:color w:val="111111"/>
          <w:sz w:val="28"/>
          <w:sz w:val="28"/>
          <w:szCs w:val="28"/>
          <w:rtl w:val="true"/>
          <w:lang w:bidi="ar-SA"/>
        </w:rPr>
        <w:t>و ربما يوهم الخبر تقييد الجواز بالشبق أو الخوف علي النفس من الوقوع في الحرام لكن ظاهره الجواز و إن كان لمحض الالتذاذ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المشهور بين الأصحاب عدم الفرق بين متعمد الجنابة و غيره في تسويغ التيمم له عند التضرر بالماء و قال المفيد إن أجنب نفسه مختارا وجب عليه الغسل و إن خاف منه علي نفسه و لم يجزه التيمم و أسند في المعتبر إلي الشيخين القول بعدم جواز التيمم و إن خاف التلف أو زيادة المرض و أسند في المنتهي إلي الشيخ القول بأن المتعمد وجب عليه الغسل و إن لحقه برد إلا أن يخاف علي نفسه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المبسوط و النهاية يتيمم عند خوف البرد علي نفسه و يعيد الصلاة عند الاغتسال إذا كانت الجنابة عمدا و المنقول عن ظاهر ابن الجنيد عدم إجزاء التيمم للمتعمد و الأشهر جواز التيمم مطلقا و عدم الإعادة و هو أقوي</w:t>
      </w:r>
      <w:r>
        <w:rPr>
          <w:rFonts w:eastAsia="Amiri" w:cs="Amiri" w:ascii="Amiri" w:hAnsi="Amiri"/>
          <w:color w:val="111111"/>
          <w:sz w:val="28"/>
          <w:szCs w:val="28"/>
          <w:rtl w:val="true"/>
          <w:lang w:bidi="ar-SA"/>
        </w:rPr>
        <w:t>.</w:t>
      </w:r>
    </w:p>
    <w:p>
      <w:pPr>
        <w:pStyle w:val="Heading5"/>
        <w:numPr>
          <w:ilvl w:val="4"/>
          <w:numId w:val="1"/>
        </w:numPr>
        <w:rPr/>
      </w:pPr>
      <w:bookmarkStart w:id="1352" w:name="__RefHeading___Toc606154_1934241801"/>
      <w:bookmarkStart w:id="1353" w:name="_Toc621"/>
      <w:bookmarkEnd w:id="1352"/>
      <w:r>
        <w:rPr>
          <w:rtl w:val="true"/>
        </w:rPr>
        <w:t>«</w:t>
      </w:r>
      <w:r>
        <w:rPr/>
        <w:t>22</w:t>
      </w:r>
      <w:r>
        <w:rPr>
          <w:rtl w:val="true"/>
        </w:rPr>
        <w:t>»</w:t>
      </w:r>
      <w:bookmarkEnd w:id="1353"/>
    </w:p>
    <w:p>
      <w:pPr>
        <w:pStyle w:val="BookText"/>
        <w:rPr/>
      </w:pPr>
      <w:r>
        <w:rPr>
          <w:rFonts w:ascii="Amiri" w:hAnsi="Amiri" w:eastAsia="Amiri" w:cs="Amiri"/>
          <w:color w:val="111111"/>
          <w:sz w:val="28"/>
          <w:sz w:val="28"/>
          <w:szCs w:val="28"/>
          <w:rtl w:val="true"/>
          <w:lang w:bidi="ar-SA"/>
        </w:rPr>
        <w:t>السَّرَائِرُ، نَقْلًا مِنْ كِتَابِ مُحَمَّدِ بْنِ عَلِيِّ بْنِ مَحْبُوبٍ عَنْ مُحَمَّدِ بْنِ الْحُسَيْنِ عَنْ صَفْوَانَ عَنِ الْعُلَاءِ عَنْ مُحَمَّدٍ عَنْ أَحَدِهِمَا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يُقِيمُ بِالْبِلَادِ الْأَشْهُرَ لَيْسَ فِيهَا مَاءٌ مِنْ أَجْلِ الْمَرَاعِي وَ صَلَاحِ الْإِبِلِ قَالَ لَا</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نقلا من كتاب المشيخة للحسن بن محبوب عن العلا و أبي أيوب و ابن بكير كلهم عن محمد بن مسلم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19"/>
      </w:r>
    </w:p>
    <w:p>
      <w:pPr>
        <w:pStyle w:val="Heading5"/>
        <w:numPr>
          <w:ilvl w:val="4"/>
          <w:numId w:val="1"/>
        </w:numPr>
        <w:rPr/>
      </w:pPr>
      <w:bookmarkStart w:id="1354" w:name="__RefHeading___Toc606156_1934241801"/>
      <w:bookmarkStart w:id="1355" w:name="_Toc622"/>
      <w:bookmarkEnd w:id="1354"/>
      <w:r>
        <w:rPr>
          <w:rtl w:val="true"/>
        </w:rPr>
        <w:t>بيان</w:t>
      </w:r>
      <w:bookmarkEnd w:id="1355"/>
    </w:p>
    <w:p>
      <w:pPr>
        <w:pStyle w:val="BookText"/>
        <w:rPr/>
      </w:pPr>
      <w:r>
        <w:rPr>
          <w:rFonts w:ascii="Amiri" w:hAnsi="Amiri" w:eastAsia="Amiri" w:cs="Amiri"/>
          <w:color w:val="111111"/>
          <w:sz w:val="28"/>
          <w:sz w:val="28"/>
          <w:szCs w:val="28"/>
          <w:rtl w:val="true"/>
          <w:lang w:bidi="ar-SA"/>
        </w:rPr>
        <w:t>قوله من أجل المراعي يمكن تعلقه بقوله ليس فيها ماء أي لا ماء فيها لصلاح الإبل و مرعاه فيكون النهي للإضرار بالإبل و إتلاف المال و يحتمل تعلقه بيقيم فالمراد أنه يسكن البلدة أو القرية لرعي الإبل في نواحيها و الماء في البلد قليل قد لا يفي بالوضوء و الغسل و الاستنجاء و تنظيف الثوب و الجسد فالنهي لعدم التمكن من هذه الأمور الضرورية فيكون مثل قوله و لا أري أن يعود إلي هذه الأرض التي توبق دينه و لعل الشيخ فهم هذا المعني حيث أورده في التهذيب‌</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و چه بسا که حدیث به محقّق شدن دو شرط برای حصول این جواز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شهوتران بودن شخص یا بیم داشتن بر جان از گرفتار شدن در دام حرام، امّا ظاهر حدیث دلالت بر جواز می کند هر چند جماع فقط به خاطر کسب لذّت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آگاه باش که نظر مشهور در بین فقها این است که در جواز تیمّم هنگامی که در استعمال آب خوف متضرّر شدن وجود داشته باشد، فرقی میان کسی که به صورت عمدی جُنب شده است و غیر او وجود ندارد، ولی شیخ مفید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صورت اختیاری جنب شود غسل بر او واجب است، اگر چه از انجام غسل بر جان خود بترسد تیمّم برای او جایز نیست؛ و در المعتبر قول عدم جواز تیمّم برای کسی که به صورت اختیاری جنب شود به 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و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است هر چند با غسل کردن خوف تلف شدن یا افزون شدن مرض وجود داشته باشد، و در المنتهی این سخن به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 شده که غسل بر شخصی که به صورت عمدی جُنب شود واجب است اگر چه دچار سرماخوردگی شود، مگر اینکه در صورت انجام غسل بر تلف شدن جان خود بیمناک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در المبسوط و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به صورت عمدی جنب شده باشد، در صورتی که با انجام غسل خوف سرما خوردن داشته باشد می تواند تیمّم کند، ولی هنگامی که امکان 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قضای نماز را به جا آورد، ولی از ظاهر کلام ابن جنید عدم جواز تیمّم برای کسی که به صورت عمدی جنب شده نقل شده است، و نظر مشهورتر و قوی تر جواز مطلق تیمّم و عدم اعاده نماز است</w:t>
      </w:r>
      <w:r>
        <w:rPr>
          <w:rFonts w:eastAsia="IRNazanin" w:cs="IRNazanin"/>
          <w:color w:val="111111"/>
          <w:sz w:val="28"/>
          <w:szCs w:val="28"/>
          <w:rtl w:val="true"/>
          <w:lang w:bidi="fa-IR"/>
        </w:rPr>
        <w:t>.</w:t>
      </w:r>
    </w:p>
    <w:p>
      <w:pPr>
        <w:pStyle w:val="Heading5"/>
        <w:numPr>
          <w:ilvl w:val="4"/>
          <w:numId w:val="1"/>
        </w:numPr>
        <w:rPr/>
      </w:pPr>
      <w:bookmarkStart w:id="1356" w:name="__RefHeading___Toc606158_1934241801"/>
      <w:bookmarkStart w:id="1357" w:name="_Toc623"/>
      <w:bookmarkEnd w:id="1356"/>
      <w:r>
        <w:rPr>
          <w:rtl w:val="true"/>
        </w:rPr>
        <w:t xml:space="preserve">روایت </w:t>
      </w:r>
      <w:r>
        <w:rPr/>
        <w:t>22</w:t>
      </w:r>
      <w:bookmarkEnd w:id="1357"/>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یا امام باقر علیهما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در سرزمین هایی که آب برای چراگاه و استفاده شتر وجود ندارد اقامت می گزیند؟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مشیخه حسن بن محبوب از محمّد بن مسلم نظیر این حدیث را از امام باقر علیه السلام روایت کرده است</w:t>
      </w:r>
      <w:r>
        <w:rPr>
          <w:rFonts w:eastAsia="IRNazanin" w:cs="IRNazanin"/>
          <w:color w:val="111111"/>
          <w:sz w:val="28"/>
          <w:szCs w:val="28"/>
          <w:rtl w:val="true"/>
          <w:lang w:bidi="fa-IR"/>
        </w:rPr>
        <w:t>.</w:t>
      </w:r>
      <w:r>
        <w:rPr>
          <w:rStyle w:val="FootnoteAnchor"/>
          <w:rtl w:val="true"/>
        </w:rPr>
        <w:footnoteReference w:id="722"/>
      </w:r>
    </w:p>
    <w:p>
      <w:pPr>
        <w:pStyle w:val="Heading5"/>
        <w:numPr>
          <w:ilvl w:val="4"/>
          <w:numId w:val="1"/>
        </w:numPr>
        <w:rPr/>
      </w:pPr>
      <w:bookmarkStart w:id="1358" w:name="__RefHeading___Toc606160_1934241801"/>
      <w:bookmarkStart w:id="1359" w:name="_Toc624"/>
      <w:bookmarkEnd w:id="1358"/>
      <w:r>
        <w:rPr>
          <w:rtl w:val="true"/>
        </w:rPr>
        <w:t>توضیح</w:t>
      </w:r>
      <w:bookmarkEnd w:id="135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این فرموده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المراعی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ماء فیها اصلاح الإبل و مرعاه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سرزمین ها هیچ آبی برای استفاده شتر و چراگاه او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نهی از اقامت در چنین سرزمین هایی به خاطر متضرّر شدن شتر و اتلاف مال است، همچنین احتمال دارد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المراعی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این صورت مقصود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شهر یا روستایی ساکن شده که شتران را در اطراف آن می چرند، ولی آب در آن منطقه به اندازه ای اندک است که برای وضو گرفتن، غسل نمودن، پاک شدن از مدفوع و پاکیزه ساختن لباس و جسم کفایت نمی کند، بنابراین نهی از اقامت در چنین سرزمین هایی به خاطر عدم امکان انجام این امور ضروری است، پس این عبارت مانند این فرموده امام صادق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أری أَن یعود إلی هذه الأرض التی توبق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پسندم که به سرزمینی باز گردد که باعث هلاک دینش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آنجا که شیخ نیز این روایت را در التهذیب</w:t>
      </w:r>
      <w:r>
        <w:rPr>
          <w:rStyle w:val="FootnoteAnchor"/>
          <w:rtl w:val="true"/>
        </w:rPr>
        <w:footnoteReference w:id="723"/>
      </w:r>
      <w:bookmarkStart w:id="1360" w:name="pg13517_329193"/>
    </w:p>
    <w:p>
      <w:pPr>
        <w:pStyle w:val="BookText"/>
        <w:rPr/>
      </w:pPr>
      <w:bookmarkEnd w:id="1360"/>
      <w:r>
        <w:rPr>
          <w:rFonts w:ascii="Amiri" w:hAnsi="Amiri" w:eastAsia="Amiri" w:cs="Amiri"/>
          <w:color w:val="111111"/>
          <w:sz w:val="28"/>
          <w:sz w:val="28"/>
          <w:szCs w:val="28"/>
          <w:rtl w:val="true"/>
          <w:lang w:bidi="ar-SA"/>
        </w:rPr>
        <w:t>في باب التيمم</w:t>
      </w:r>
      <w:r>
        <w:rPr>
          <w:rFonts w:eastAsia="Amiri" w:cs="Amiri" w:ascii="Amiri" w:hAnsi="Amiri"/>
          <w:color w:val="111111"/>
          <w:sz w:val="28"/>
          <w:szCs w:val="28"/>
          <w:rtl w:val="true"/>
          <w:lang w:bidi="ar-SA"/>
        </w:rPr>
        <w:t>.</w:t>
      </w:r>
    </w:p>
    <w:p>
      <w:pPr>
        <w:pStyle w:val="Heading5"/>
        <w:numPr>
          <w:ilvl w:val="4"/>
          <w:numId w:val="1"/>
        </w:numPr>
        <w:rPr/>
      </w:pPr>
      <w:bookmarkStart w:id="1361" w:name="__RefHeading___Toc606162_1934241801"/>
      <w:bookmarkStart w:id="1362" w:name="_Toc625"/>
      <w:bookmarkEnd w:id="1361"/>
      <w:r>
        <w:rPr>
          <w:rtl w:val="true"/>
        </w:rPr>
        <w:t>«</w:t>
      </w:r>
      <w:r>
        <w:rPr/>
        <w:t>23</w:t>
      </w:r>
      <w:r>
        <w:rPr>
          <w:rtl w:val="true"/>
        </w:rPr>
        <w:t>»</w:t>
      </w:r>
      <w:bookmarkEnd w:id="1362"/>
    </w:p>
    <w:p>
      <w:pPr>
        <w:pStyle w:val="BookText"/>
        <w:rPr/>
      </w:pPr>
      <w:r>
        <w:rPr>
          <w:rFonts w:ascii="Amiri" w:hAnsi="Amiri" w:eastAsia="Amiri" w:cs="Amiri"/>
          <w:color w:val="111111"/>
          <w:sz w:val="28"/>
          <w:sz w:val="28"/>
          <w:szCs w:val="28"/>
          <w:rtl w:val="true"/>
          <w:lang w:bidi="ar-SA"/>
        </w:rPr>
        <w:t>كِتَابُ سُلَيْمِ بْنِ قَيْسٍ، بِالْأَسَانِيدِ الَّتِي ذَكَرْنَاهَا فِي صَدْرِ الْكِتَابِ عَنْهُ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مِنْ بِدَعِ عُمَرَ قَالَ عليه السلام وَ الْعَجَبُ لِجَهْلِهِ وَ جَهْلِ الْأُمَّةِ أَنَّهُ كَتَبَ إِلَي جَمِيعِ عُمَّالِهِ أَنَّ الْجُنُبَ إِذَا لَمْ يَجِدِ الْمَاءَ فَلَيْسَ لَهُ أَنْ يُصَلِّيَ وَ لَيْسَ لَهُ أَنْ يَتَيَمَّمَ بِالصَّعِيدِ حَتَّي يَجِدَ الْمَاءَ وَ إِنْ لَمْ يَجِدْهُ حَتَّي يَلْقَي اللَّهَ وَ فِي رِوَايَةٍ أُخْرَي وَ إِنْ لَمْ يَجِدْهُ سَنَةً ثُمَّ قَبِلَ النَّاسُ ذَلِكَ مِنْهُ وَ رَضُوا بِهِ وَ قَدْ عَلِمَ وَ عَلِمَ النَّاسُ أَنَّ رَسُولَ اللَّهِ صلي الله عليه و آله قَدْ أَمَرَ عَمَّاراً وَ أَمَرَ أَبَا ذَرٍّ أَنْ يَتَيَمَّمَا مِنَ الْجَنَابَةِ وَ يُصَلِّيَا وَ شَهِدَا بِهِ عِنْدَهُ وَ غَيْرَهُمَا فَلَمْ يَقْبَلْ ذَلِكَ وَ لَمْ يَرْفَعْ بِهِ رَأْساً</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3" w:name="__RefHeading___Toc606164_1934241801"/>
      <w:bookmarkStart w:id="1364" w:name="_Toc626"/>
      <w:bookmarkEnd w:id="1363"/>
      <w:r>
        <w:rPr>
          <w:rtl w:val="true"/>
        </w:rPr>
        <w:t>«</w:t>
      </w:r>
      <w:r>
        <w:rPr/>
        <w:t>24</w:t>
      </w:r>
      <w:r>
        <w:rPr>
          <w:rtl w:val="true"/>
        </w:rPr>
        <w:t>»</w:t>
      </w:r>
      <w:bookmarkEnd w:id="1364"/>
    </w:p>
    <w:p>
      <w:pPr>
        <w:pStyle w:val="BookText"/>
        <w:rPr/>
      </w:pPr>
      <w:r>
        <w:rPr>
          <w:rFonts w:ascii="Amiri" w:hAnsi="Amiri" w:eastAsia="Amiri" w:cs="Amiri"/>
          <w:color w:val="111111"/>
          <w:sz w:val="28"/>
          <w:sz w:val="28"/>
          <w:szCs w:val="28"/>
          <w:rtl w:val="true"/>
          <w:lang w:bidi="ar-SA"/>
        </w:rPr>
        <w:t>نَوَادِرُ الرَّاوَنْدِيِّ، عَنْ عَبْدِ الْوَاحِدِ بْنِ إِسْمَاعِيلَ الرُّويَانِيِّ عَنْ مُحَمَّدِ بْنِ الْحَسَنِ التَّمِيمِيِّ عَنْ سَهْلِ بْنِ أَحْمَدَ الدِّيبَاجِيِّ عَنْ مُحَمَّدِ بْنِ مُحَمَّدِ بْنِ الْأَشْعَثِ عَنْ مُوسَي بْنِ إِسْمَاعِيلَ بْنِ مُوسَي عَنْ أَبِيهِ عَنْ جَدِّهِ مُوسَي عَنْ أَبِيهِ جَعْفَرِ بْنِ مُحَمَّدٍ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تَمَسَّحُوا بِالْأَرْضِ فَإِنَّهَا أُمُّكُمْ وَ هِيَ بِكُمْ بَرَّةٌ</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5" w:name="__RefHeading___Toc606166_1934241801"/>
      <w:bookmarkStart w:id="1366" w:name="_Toc627"/>
      <w:bookmarkEnd w:id="1365"/>
      <w:r>
        <w:rPr>
          <w:rtl w:val="true"/>
        </w:rPr>
        <w:t>بيان</w:t>
      </w:r>
      <w:bookmarkEnd w:id="1366"/>
    </w:p>
    <w:p>
      <w:pPr>
        <w:pStyle w:val="BookText"/>
        <w:rPr/>
      </w:pPr>
      <w:r>
        <w:rPr>
          <w:rFonts w:ascii="Amiri" w:hAnsi="Amiri" w:eastAsia="Amiri" w:cs="Amiri"/>
          <w:color w:val="111111"/>
          <w:sz w:val="28"/>
          <w:sz w:val="28"/>
          <w:szCs w:val="28"/>
          <w:rtl w:val="true"/>
          <w:lang w:bidi="ar-SA"/>
        </w:rPr>
        <w:t>لعل المراد بالتمسح التيمم عند الضرورة و يحتمل أن يكون المراد التمسح علي وجه البركة أو يكون كناية عن الجلوس عليها و يؤيد الأخيرين ما رَوَاهُ الرَّاوَنْدِيُّ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أَقْبَلَ رَجُلَانِ إِلَي رَسُولِ اللَّهِ صلي الله عليه و آله فَقَالَ أَحَدُهُمَا لِصَاحِبِهِ اجْلِسْ عَلَي اسْمِ اللَّهِ تَعَالَي وَ الْبَرَكَةِ فَقَالَ رَسُولُ اللَّهِ صلي الله عليه و آله اجْلِسْ عَلَي اسْتِكَ فَأَقْبَلَ يَضْرِبُ الْأَرْضَ بِعَصًا فَقَالَ رَسُولُ اللَّهِ صلي الله عليه و آله لَا تَضْرِبْهَا فَإِنَّهَا أُمُّكُمْ وَ هِيَ بِكُمْ بَرَّةٌ</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 مذكور في روايات العامة أيضا قال في النهاية فيه تمسحوا بالأرض فإنها بكم برة أراد به التيمم و قيل أراد مباشرة ترابها بالجباه في السجود من غير حائل و يكون هذا أمر تأديب و استحباب لا وجوب و قوله فإنها بكم برة أي مشفقة عليكم كالوالدة البرة بأولادها يعني أن منها خلقكم و</w:t>
      </w:r>
    </w:p>
    <w:p>
      <w:pPr>
        <w:pStyle w:val="BookText"/>
        <w:rPr/>
      </w:pPr>
      <w:r>
        <w:rPr>
          <w:rFonts w:ascii="IRNazanin" w:hAnsi="IRNazanin" w:eastAsia="IRNazanin"/>
          <w:color w:val="111111"/>
          <w:sz w:val="28"/>
          <w:sz w:val="28"/>
          <w:szCs w:val="28"/>
          <w:rtl w:val="true"/>
          <w:lang w:bidi="fa-IR"/>
        </w:rPr>
        <w:t>در باب تیمّم ذکر کرده است شاید همین معنا را از آن فهمیده باشد</w:t>
      </w:r>
      <w:r>
        <w:rPr>
          <w:rFonts w:eastAsia="IRNazanin" w:cs="IRNazanin"/>
          <w:color w:val="111111"/>
          <w:sz w:val="28"/>
          <w:szCs w:val="28"/>
          <w:rtl w:val="true"/>
          <w:lang w:bidi="fa-IR"/>
        </w:rPr>
        <w:t>.</w:t>
      </w:r>
    </w:p>
    <w:p>
      <w:pPr>
        <w:pStyle w:val="Heading5"/>
        <w:numPr>
          <w:ilvl w:val="4"/>
          <w:numId w:val="1"/>
        </w:numPr>
        <w:rPr/>
      </w:pPr>
      <w:bookmarkStart w:id="1367" w:name="__RefHeading___Toc606168_1934241801"/>
      <w:bookmarkStart w:id="1368" w:name="_Toc628"/>
      <w:bookmarkEnd w:id="1367"/>
      <w:r>
        <w:rPr>
          <w:rtl w:val="true"/>
        </w:rPr>
        <w:t xml:space="preserve">روایت </w:t>
      </w:r>
      <w:r>
        <w:rPr/>
        <w:t>23</w:t>
      </w:r>
      <w:bookmarkEnd w:id="1368"/>
    </w:p>
    <w:p>
      <w:pPr>
        <w:pStyle w:val="BookText"/>
        <w:rPr/>
      </w:pP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علیه السلام روایت شده که در ذکر بدعت گذاریهای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شگفتیهای جهل او و جهل امّت اینکه به تمام کارگزارانش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 به آب دست نیابد بر او واجب نیست که نماز بگزارد، همچنین بر او واجب نیست تا زمانی که به آب دست می یابد با خاک تیمّم کند، هر چند تا زمانی که به حضور خدا می رسد به آب دست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تا یک سال به آب دست نیابد، سپس مردم نیز این سخن او را پذیرفته و به آن راضی شدند، این در حالی است که او و مردم از این امر آگاه بودند که رسول خدا صلّی الله علیه و آله به عمّار و همچنین ابوذر فرمان داده بود که تیمّم بدل از غسل جنابت را به جا آورند و نماز بگزارند، و عمّار و ابوذر و دیگران نزد او به این امر شهادت دادند، ولی آن را نپذیرفت و هیچ التفاتی نشان نداد</w:t>
      </w:r>
      <w:r>
        <w:rPr>
          <w:rFonts w:eastAsia="IRNazanin" w:cs="IRNazanin"/>
          <w:color w:val="111111"/>
          <w:sz w:val="28"/>
          <w:szCs w:val="28"/>
          <w:rtl w:val="true"/>
          <w:lang w:bidi="fa-IR"/>
        </w:rPr>
        <w:t>.</w:t>
      </w:r>
      <w:r>
        <w:rPr>
          <w:rStyle w:val="FootnoteAnchor"/>
          <w:rtl w:val="true"/>
        </w:rPr>
        <w:footnoteReference w:id="727"/>
      </w:r>
    </w:p>
    <w:p>
      <w:pPr>
        <w:pStyle w:val="Heading5"/>
        <w:numPr>
          <w:ilvl w:val="4"/>
          <w:numId w:val="1"/>
        </w:numPr>
        <w:rPr/>
      </w:pPr>
      <w:bookmarkStart w:id="1369" w:name="__RefHeading___Toc606170_1934241801"/>
      <w:bookmarkStart w:id="1370" w:name="_Toc629"/>
      <w:bookmarkEnd w:id="1369"/>
      <w:r>
        <w:rPr>
          <w:rtl w:val="true"/>
        </w:rPr>
        <w:t xml:space="preserve">روایت </w:t>
      </w:r>
      <w:r>
        <w:rPr/>
        <w:t>24</w:t>
      </w:r>
      <w:bookmarkEnd w:id="1370"/>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از پدرانش علیهم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خود را با زمین مسح کنید، چرا که زمین مادر شماست و نسبت به شما شفقت و مهربانی دارد</w:t>
      </w:r>
      <w:r>
        <w:rPr>
          <w:rFonts w:eastAsia="IRNazanin" w:cs="IRNazanin"/>
          <w:color w:val="111111"/>
          <w:sz w:val="28"/>
          <w:szCs w:val="28"/>
          <w:rtl w:val="true"/>
          <w:lang w:bidi="fa-IR"/>
        </w:rPr>
        <w:t>.</w:t>
      </w:r>
      <w:r>
        <w:rPr>
          <w:rStyle w:val="FootnoteAnchor"/>
          <w:rtl w:val="true"/>
        </w:rPr>
        <w:footnoteReference w:id="728"/>
      </w:r>
    </w:p>
    <w:p>
      <w:pPr>
        <w:pStyle w:val="Heading5"/>
        <w:numPr>
          <w:ilvl w:val="4"/>
          <w:numId w:val="1"/>
        </w:numPr>
        <w:rPr/>
      </w:pPr>
      <w:bookmarkStart w:id="1371" w:name="__RefHeading___Toc606172_1934241801"/>
      <w:bookmarkStart w:id="1372" w:name="_Toc630"/>
      <w:bookmarkEnd w:id="1371"/>
      <w:r>
        <w:rPr>
          <w:rtl w:val="true"/>
        </w:rPr>
        <w:t>توضیح</w:t>
      </w:r>
      <w:bookmarkEnd w:id="1372"/>
    </w:p>
    <w:p>
      <w:pPr>
        <w:pStyle w:val="BookText"/>
        <w:rPr/>
      </w:pPr>
      <w:r>
        <w:rPr>
          <w:rFonts w:ascii="IRNazanin" w:hAnsi="IRNazanin" w:eastAsia="IRNazanin"/>
          <w:color w:val="111111"/>
          <w:sz w:val="28"/>
          <w:sz w:val="28"/>
          <w:szCs w:val="28"/>
          <w:rtl w:val="true"/>
          <w:lang w:bidi="fa-IR"/>
        </w:rPr>
        <w:t xml:space="preserve">شاید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به هنگام ضرورت باشد، همچنین ممکن است که مقصود مسح نمودن زمین به سبب متبرّک بودن آن باشد، و یا شاید این سخن کنایه از نشستن بر زمین باشد، و دو احتمال اخیر را روایتی تأیید می کند که آن را الراوندیّ به این ترتیب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به حضور رسول خدا صلّی الله علیه و آله رسیدند، پس یکی از آنها به 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اسم خدای متعال و برکت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مقعد خود بنشین، پس آن مرد با عصای خود شروع به زدن زمین کرد، 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نزن چرا که مادر شماست و نسبت به شما شفقت و مهربانی دارد</w:t>
      </w:r>
      <w:r>
        <w:rPr>
          <w:rFonts w:eastAsia="IRNazanin" w:cs="IRNazanin"/>
          <w:color w:val="111111"/>
          <w:sz w:val="28"/>
          <w:szCs w:val="28"/>
          <w:rtl w:val="true"/>
          <w:lang w:bidi="fa-IR"/>
        </w:rPr>
        <w:t>.</w:t>
      </w:r>
      <w:r>
        <w:rPr>
          <w:rStyle w:val="FootnoteAnchor"/>
          <w:rtl w:val="true"/>
        </w:rPr>
        <w:footnoteReference w:id="729"/>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مذکور در روایات عامّه نیز ذکر شده است، و شیخ در النهایه در تفسیر این حدیث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پیامبر از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تمسّحوا بالأرض فإنّها بِکُم 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کردن با خاک است؛ و گفته شده منظور، تماس داشتن مستقیم و بدون مانع خاک زمین با پیشانی در حال سجده است، در هر حال این دستور پیامبر به قصد تأدیب و از سر استحباب است نه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بکم 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نسبت به شما شفقت دارد آن گونه که مادر نسبت به فرزندانش شفقت دارد، و منظور این است که شما از زمین آفریده شده اید و </w:t>
      </w:r>
      <w:bookmarkStart w:id="1373" w:name="pg13517_329194"/>
    </w:p>
    <w:p>
      <w:pPr>
        <w:pStyle w:val="BookText"/>
        <w:rPr/>
      </w:pPr>
      <w:bookmarkEnd w:id="1373"/>
      <w:r>
        <w:rPr>
          <w:rFonts w:ascii="Amiri" w:hAnsi="Amiri" w:eastAsia="Amiri" w:cs="Amiri"/>
          <w:color w:val="111111"/>
          <w:sz w:val="28"/>
          <w:sz w:val="28"/>
          <w:szCs w:val="28"/>
          <w:rtl w:val="true"/>
          <w:lang w:bidi="ar-SA"/>
        </w:rPr>
        <w:t>فيها معاشكم و إليها بعد الموت معادكم</w:t>
      </w:r>
      <w:r>
        <w:rPr>
          <w:rFonts w:eastAsia="Amiri" w:cs="Amiri" w:ascii="Amiri" w:hAnsi="Amiri"/>
          <w:color w:val="111111"/>
          <w:sz w:val="28"/>
          <w:szCs w:val="28"/>
          <w:rtl w:val="true"/>
          <w:lang w:bidi="ar-SA"/>
        </w:rPr>
        <w:t>.</w:t>
      </w:r>
    </w:p>
    <w:p>
      <w:pPr>
        <w:pStyle w:val="Heading5"/>
        <w:numPr>
          <w:ilvl w:val="4"/>
          <w:numId w:val="1"/>
        </w:numPr>
        <w:rPr/>
      </w:pPr>
      <w:bookmarkStart w:id="1374" w:name="__RefHeading___Toc606174_1934241801"/>
      <w:bookmarkStart w:id="1375" w:name="_Toc631"/>
      <w:bookmarkEnd w:id="1374"/>
      <w:r>
        <w:rPr>
          <w:rtl w:val="true"/>
        </w:rPr>
        <w:t>«</w:t>
      </w:r>
      <w:r>
        <w:rPr/>
        <w:t>25</w:t>
      </w:r>
      <w:r>
        <w:rPr>
          <w:rtl w:val="true"/>
        </w:rPr>
        <w:t>»</w:t>
      </w:r>
      <w:bookmarkEnd w:id="1375"/>
    </w:p>
    <w:p>
      <w:pPr>
        <w:pStyle w:val="BookText"/>
        <w:rPr/>
      </w:pPr>
      <w:r>
        <w:rPr>
          <w:rFonts w:ascii="Amiri" w:hAnsi="Amiri" w:eastAsia="Amiri" w:cs="Amiri"/>
          <w:color w:val="111111"/>
          <w:sz w:val="28"/>
          <w:sz w:val="28"/>
          <w:szCs w:val="28"/>
          <w:rtl w:val="true"/>
          <w:lang w:bidi="ar-SA"/>
        </w:rPr>
        <w:t>نَوَادِرُ الرَّاوَنْدِيِّ، بِالْإِسْنَادِ الْمُتَقَدِّمِ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أَخَذَتْهُ سَمَاءٌ شَدِيدَةٌ وَ الْأَرْضُ مُبْتَلَّةٌ فَلْيَتَيَمَّمْ مِنْ غَيْرِهَا أَوْ مِنْ غُبَارِ ثَوْبِهِ أَوْ غُبَارِ سَرْجِهِ أَوْ أَكْفَافِهِ‌</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6" w:name="__RefHeading___Toc606176_1934241801"/>
      <w:bookmarkStart w:id="1377" w:name="_Toc632"/>
      <w:bookmarkEnd w:id="1376"/>
      <w:r>
        <w:rPr>
          <w:rtl w:val="true"/>
        </w:rPr>
        <w:t>بيان</w:t>
      </w:r>
      <w:bookmarkEnd w:id="1377"/>
    </w:p>
    <w:p>
      <w:pPr>
        <w:pStyle w:val="BookText"/>
        <w:rPr/>
      </w:pPr>
      <w:r>
        <w:rPr>
          <w:rFonts w:ascii="Amiri" w:hAnsi="Amiri" w:eastAsia="Amiri" w:cs="Amiri"/>
          <w:color w:val="111111"/>
          <w:sz w:val="28"/>
          <w:sz w:val="28"/>
          <w:szCs w:val="28"/>
          <w:rtl w:val="true"/>
          <w:lang w:bidi="ar-SA"/>
        </w:rPr>
        <w:t>كفة كل شي‌ء بالضم طرته و حاشيته</w:t>
      </w:r>
      <w:r>
        <w:rPr>
          <w:rFonts w:eastAsia="Amiri" w:cs="Amiri" w:ascii="Amiri" w:hAnsi="Amiri"/>
          <w:color w:val="111111"/>
          <w:sz w:val="28"/>
          <w:szCs w:val="28"/>
          <w:rtl w:val="true"/>
          <w:lang w:bidi="ar-SA"/>
        </w:rPr>
        <w:t>.</w:t>
      </w:r>
    </w:p>
    <w:p>
      <w:pPr>
        <w:pStyle w:val="Heading5"/>
        <w:numPr>
          <w:ilvl w:val="4"/>
          <w:numId w:val="1"/>
        </w:numPr>
        <w:rPr/>
      </w:pPr>
      <w:bookmarkStart w:id="1378" w:name="__RefHeading___Toc606178_1934241801"/>
      <w:bookmarkStart w:id="1379" w:name="_Toc633"/>
      <w:bookmarkEnd w:id="1378"/>
      <w:r>
        <w:rPr>
          <w:rtl w:val="true"/>
        </w:rPr>
        <w:t>«</w:t>
      </w:r>
      <w:r>
        <w:rPr/>
        <w:t>26</w:t>
      </w:r>
      <w:r>
        <w:rPr>
          <w:rtl w:val="true"/>
        </w:rPr>
        <w:t>»</w:t>
      </w:r>
      <w:bookmarkEnd w:id="1379"/>
    </w:p>
    <w:p>
      <w:pPr>
        <w:pStyle w:val="BookText"/>
        <w:rPr/>
      </w:pPr>
      <w:r>
        <w:rPr>
          <w:rFonts w:ascii="Amiri" w:hAnsi="Amiri" w:eastAsia="Amiri" w:cs="Amiri"/>
          <w:color w:val="111111"/>
          <w:sz w:val="28"/>
          <w:sz w:val="28"/>
          <w:szCs w:val="28"/>
          <w:rtl w:val="true"/>
          <w:lang w:bidi="ar-SA"/>
        </w:rPr>
        <w:t>النَّوَادِرُ، بِالْإِسْنَادِ الْمُتَقَدِّمِ عَنْهُ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عليه السلام عَنْ رَجُلٍ يَكُونُ فِي زِحَامٍ فِي صَلَاةِ جُمُعَةٍ أَحْدَثَ وَ لَا يَقْدِرُ عَلَي الْخُرُوجِ فَقَالَ يَتَيَمَّمُ وَ يُصَلِّي مَعَهُمْ وَ يُعِيدُ</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0" w:name="__RefHeading___Toc606180_1934241801"/>
      <w:bookmarkStart w:id="1381" w:name="_Toc634"/>
      <w:bookmarkEnd w:id="1380"/>
      <w:r>
        <w:rPr>
          <w:rtl w:val="true"/>
        </w:rPr>
        <w:t>تأييد و توجيه</w:t>
      </w:r>
      <w:bookmarkEnd w:id="1381"/>
    </w:p>
    <w:p>
      <w:pPr>
        <w:pStyle w:val="BookText"/>
        <w:rPr/>
      </w:pPr>
      <w:r>
        <w:rPr>
          <w:rFonts w:ascii="Amiri" w:hAnsi="Amiri" w:eastAsia="Amiri" w:cs="Amiri"/>
          <w:color w:val="111111"/>
          <w:sz w:val="28"/>
          <w:sz w:val="28"/>
          <w:szCs w:val="28"/>
          <w:rtl w:val="true"/>
          <w:lang w:bidi="ar-SA"/>
        </w:rPr>
        <w:t xml:space="preserve">ذهب الشيخ في النهاية و المبسوط إلي أن من منعه زحام الجمعة عن الخروج يتيمم و يصلي و يعيد إذا وجد الماء و مستنده ما رواه فِي التَّهْذِيبِ </w:t>
      </w:r>
      <w:r>
        <w:rPr>
          <w:rStyle w:val="FootnoteAnchor"/>
          <w:rtl w:val="true"/>
        </w:rPr>
        <w:footnoteReference w:id="732"/>
      </w:r>
      <w:r>
        <w:rPr>
          <w:rFonts w:ascii="Amiri" w:hAnsi="Amiri" w:eastAsia="Amiri" w:cs="Amiri"/>
          <w:color w:val="111111"/>
          <w:sz w:val="28"/>
          <w:sz w:val="28"/>
          <w:szCs w:val="28"/>
          <w:rtl w:val="true"/>
          <w:lang w:bidi="ar-SA"/>
        </w:rPr>
        <w:t>بِسَنَدٍ فِيهِ ضَعْفٌ عَنِ السَّكُونِيِّ عَنْ جَعْفَرٍ عَنْ أَبِيهِ عليه السلام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يَكُونُ وَسْطَ الزِّحَامِ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أَوْ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 الْخُرُوجَ مِنَ الْمَسْجِدِ مِنْ كَثْرَةِ النَّاسِ قَالَ يَتَيَمَّمُ وَ يُصَلِّي مَعَهُمْ وَ يُعِيدُ إِذَا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بسند موثق‌</w:t>
      </w:r>
      <w:r>
        <w:rPr>
          <w:rStyle w:val="FootnoteAnchor"/>
          <w:rtl w:val="true"/>
        </w:rPr>
        <w:footnoteReference w:id="733"/>
      </w:r>
      <w:r>
        <w:rPr>
          <w:rFonts w:ascii="Amiri" w:hAnsi="Amiri" w:eastAsia="Amiri" w:cs="Amiri"/>
          <w:color w:val="111111"/>
          <w:sz w:val="28"/>
          <w:sz w:val="28"/>
          <w:szCs w:val="28"/>
          <w:rtl w:val="true"/>
          <w:lang w:bidi="ar-SA"/>
        </w:rPr>
        <w:t>عن سماعة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عدم الإعادة و حملها بعضهم علي الاستحباب و لا يبعد حملها علي ما إذا كانت الصلاة مع المخالفين و لم يمكنه الخروج و لا ترك الصلاة تقية فلذا يعيد بقرينة ذكر عرفة في الروايتين و الوقت فيه غير مضيق و حملها علي ما إذا لم يمكنه الخروج إلي آخر الوقت بعيد و لذا خص الشيخ الحكم بالجمعة مع اشتمال الروايتين علي عرفة</w:t>
      </w:r>
    </w:p>
    <w:p>
      <w:pPr>
        <w:pStyle w:val="BookText"/>
        <w:rPr/>
      </w:pPr>
      <w:r>
        <w:rPr>
          <w:rFonts w:ascii="IRNazanin" w:hAnsi="IRNazanin" w:eastAsia="IRNazanin"/>
          <w:color w:val="111111"/>
          <w:sz w:val="28"/>
          <w:sz w:val="28"/>
          <w:szCs w:val="28"/>
          <w:rtl w:val="true"/>
          <w:lang w:bidi="fa-IR"/>
        </w:rPr>
        <w:t xml:space="preserve">زندگی شما در آن جریان دارد و بازگشت تان بعد از مرگ به سوی آن خواهد بود </w:t>
      </w:r>
      <w:r>
        <w:rPr>
          <w:rFonts w:eastAsia="IRNazanin" w:cs="IRNazanin"/>
          <w:color w:val="111111"/>
          <w:sz w:val="28"/>
          <w:szCs w:val="28"/>
          <w:rtl w:val="true"/>
          <w:lang w:bidi="fa-IR"/>
        </w:rPr>
        <w:t>.</w:t>
      </w:r>
    </w:p>
    <w:p>
      <w:pPr>
        <w:pStyle w:val="Heading5"/>
        <w:numPr>
          <w:ilvl w:val="4"/>
          <w:numId w:val="1"/>
        </w:numPr>
        <w:rPr/>
      </w:pPr>
      <w:bookmarkStart w:id="1382" w:name="__RefHeading___Toc606182_1934241801"/>
      <w:bookmarkStart w:id="1383" w:name="_Toc635"/>
      <w:bookmarkEnd w:id="1382"/>
      <w:r>
        <w:rPr>
          <w:rtl w:val="true"/>
        </w:rPr>
        <w:t xml:space="preserve">روایت </w:t>
      </w:r>
      <w:r>
        <w:rPr/>
        <w:t>25</w:t>
      </w:r>
      <w:bookmarkEnd w:id="1383"/>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او را باران شدیدی بگیرد و زمین خیس باشد، پس با غیر آن و یا با غبار لباس یا غبار زین و کناره های آن تیمّم کند</w:t>
      </w:r>
      <w:r>
        <w:rPr>
          <w:rFonts w:eastAsia="IRNazanin" w:cs="IRNazanin"/>
          <w:color w:val="111111"/>
          <w:sz w:val="28"/>
          <w:szCs w:val="28"/>
          <w:rtl w:val="true"/>
          <w:lang w:bidi="fa-IR"/>
        </w:rPr>
        <w:t>.</w:t>
      </w:r>
      <w:r>
        <w:rPr>
          <w:rStyle w:val="FootnoteAnchor"/>
          <w:rtl w:val="true"/>
        </w:rPr>
        <w:footnoteReference w:id="734"/>
      </w:r>
    </w:p>
    <w:p>
      <w:pPr>
        <w:pStyle w:val="Heading5"/>
        <w:numPr>
          <w:ilvl w:val="4"/>
          <w:numId w:val="1"/>
        </w:numPr>
        <w:rPr/>
      </w:pPr>
      <w:bookmarkStart w:id="1384" w:name="__RefHeading___Toc606184_1934241801"/>
      <w:bookmarkStart w:id="1385" w:name="_Toc636"/>
      <w:bookmarkEnd w:id="1384"/>
      <w:r>
        <w:rPr>
          <w:rtl w:val="true"/>
        </w:rPr>
        <w:t>توضیح</w:t>
      </w:r>
      <w:bookmarkEnd w:id="13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چیزی به معنای کناره و حاشیه آن است</w:t>
      </w:r>
      <w:r>
        <w:rPr>
          <w:rFonts w:eastAsia="IRNazanin" w:cs="IRNazanin"/>
          <w:color w:val="111111"/>
          <w:sz w:val="28"/>
          <w:szCs w:val="28"/>
          <w:rtl w:val="true"/>
          <w:lang w:bidi="fa-IR"/>
        </w:rPr>
        <w:t>.</w:t>
      </w:r>
    </w:p>
    <w:p>
      <w:pPr>
        <w:pStyle w:val="Heading5"/>
        <w:numPr>
          <w:ilvl w:val="4"/>
          <w:numId w:val="1"/>
        </w:numPr>
        <w:rPr/>
      </w:pPr>
      <w:bookmarkStart w:id="1386" w:name="__RefHeading___Toc606186_1934241801"/>
      <w:bookmarkStart w:id="1387" w:name="_Toc637"/>
      <w:bookmarkEnd w:id="1386"/>
      <w:r>
        <w:rPr>
          <w:rtl w:val="true"/>
        </w:rPr>
        <w:t xml:space="preserve">روایت </w:t>
      </w:r>
      <w:r>
        <w:rPr/>
        <w:t>26</w:t>
      </w:r>
      <w:bookmarkEnd w:id="1387"/>
    </w:p>
    <w:p>
      <w:pPr>
        <w:pStyle w:val="BookText"/>
        <w:rPr/>
      </w:pP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از پدرانش علیهم السلام نقل می کند که از امام علی علیه السلام درباره مردی سؤال شد که در ازدحام نماز جمعه گرفتار می شود و بی وضو می گردد ولی توان خارج شدن از آن ازدحام را ندارد،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می کند و با آنان نماز می گزارد و بعداً نماز را دوباره به جا می آورد</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تأیید و 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النهایه و المبسوط بر این باور است که هر کسی در ازدحام نماز جمعه گرفتار آید و نتواند خارج شود، می تواند تیمّم کند و نماز بگزارد و هنگامی که به آب دست یافت باید نماز را اعاده کند، و مستند او حدیثی است با سند ضعیف که آن را در التهذیب</w:t>
      </w:r>
      <w:r>
        <w:rPr>
          <w:rStyle w:val="FootnoteAnchor"/>
          <w:rtl w:val="true"/>
        </w:rPr>
        <w:footnoteReference w:id="736"/>
      </w:r>
      <w:r>
        <w:rPr>
          <w:rFonts w:ascii="IRNazanin" w:hAnsi="IRNazanin" w:eastAsia="IRNazanin"/>
          <w:color w:val="111111"/>
          <w:sz w:val="28"/>
          <w:sz w:val="28"/>
          <w:szCs w:val="28"/>
          <w:rtl w:val="true"/>
          <w:lang w:bidi="fa-IR"/>
        </w:rPr>
        <w:t>این گونه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از پدرش علیهما السلام روایت کرده که از امام علی علیه السلام درباره مردی سؤال شد که روز جمعه یا عرفه در وسط ازدحام مردم گرفتار می شود و بر اثر این ازدحام توان خروج از مسجد را ندارد،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تیمّم کند و با آنان نماز بگزارد و هنگامی که از مسجد خارج شد باید نماز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سماعه با سند موثق نظیر این حدیث را از امام علی علیه السلام روایت کرده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نظر مشهور عدم اعاده نماز است و برخی از فقها اعاده نماز را حمل بر استحباب کرده اند، همچنین بعید نیست که اعاده نماز حمل بر حالتی شود که شخص نماز را با مخالفان ادا کند و امکان خروج از جمع آنان برای او فراهم نباشد و به خاطر تقیّه نیز نماز را ترک نکند، بنابراین نماز را دوباره ادا می کند آن هم به قرینه ذکر روز عرفه در هر دو روایت که وقت در آن تنگ نیست؛ امّا حمل کردن اعاده نماز بر زمانی که امکان خروج از جمع مخالفان برای شخص امکان پذیر نباشد و ادای نماز را به آخر وقت بیاندازد بعید است، بنابراین با وجود اشتمال هر دو روایت بر ذکر روز عرفه شیخ این حکم را مخصوص روز جمعه دانسته است، </w:t>
      </w:r>
      <w:bookmarkStart w:id="1388" w:name="pg13517_329195"/>
    </w:p>
    <w:p>
      <w:pPr>
        <w:pStyle w:val="BookText"/>
        <w:rPr/>
      </w:pPr>
      <w:bookmarkEnd w:id="1388"/>
      <w:r>
        <w:rPr>
          <w:rFonts w:ascii="Amiri" w:hAnsi="Amiri" w:eastAsia="Amiri" w:cs="Amiri"/>
          <w:color w:val="111111"/>
          <w:sz w:val="28"/>
          <w:sz w:val="28"/>
          <w:szCs w:val="28"/>
          <w:rtl w:val="true"/>
          <w:lang w:bidi="ar-SA"/>
        </w:rPr>
        <w:t>أيضا و إن لم يبعد تجويز التيمم و الصلاة لإدراك فضل الجماعة لا سيما الجماعة المشتملة علي تلك الكثرة العظيمة الواقعة في مثل هذا اليوم الشريف لكن لم أر قائلا به و هذا الإشكال عن خبر النوادر مندفع و الأحوط الفعل و الإعادة في الجمعة</w:t>
      </w:r>
      <w:r>
        <w:rPr>
          <w:rFonts w:eastAsia="Amiri" w:cs="Amiri" w:ascii="Amiri" w:hAnsi="Amiri"/>
          <w:color w:val="111111"/>
          <w:sz w:val="28"/>
          <w:szCs w:val="28"/>
          <w:rtl w:val="true"/>
          <w:lang w:bidi="ar-SA"/>
        </w:rPr>
        <w:t>.</w:t>
      </w:r>
    </w:p>
    <w:p>
      <w:pPr>
        <w:pStyle w:val="Heading5"/>
        <w:numPr>
          <w:ilvl w:val="4"/>
          <w:numId w:val="1"/>
        </w:numPr>
        <w:rPr/>
      </w:pPr>
      <w:bookmarkStart w:id="1389" w:name="__RefHeading___Toc606188_1934241801"/>
      <w:bookmarkStart w:id="1390" w:name="_Toc638"/>
      <w:bookmarkEnd w:id="1389"/>
      <w:r>
        <w:rPr>
          <w:rtl w:val="true"/>
        </w:rPr>
        <w:t>«</w:t>
      </w:r>
      <w:r>
        <w:rPr/>
        <w:t>27</w:t>
      </w:r>
      <w:r>
        <w:rPr>
          <w:rtl w:val="true"/>
        </w:rPr>
        <w:t>»</w:t>
      </w:r>
      <w:bookmarkEnd w:id="1390"/>
    </w:p>
    <w:p>
      <w:pPr>
        <w:pStyle w:val="BookText"/>
        <w:rPr/>
      </w:pPr>
      <w:r>
        <w:rPr>
          <w:rFonts w:ascii="Amiri" w:hAnsi="Amiri" w:eastAsia="Amiri" w:cs="Amiri"/>
          <w:color w:val="111111"/>
          <w:sz w:val="28"/>
          <w:sz w:val="28"/>
          <w:szCs w:val="28"/>
          <w:rtl w:val="true"/>
          <w:lang w:bidi="ar-SA"/>
        </w:rPr>
        <w:t>النَّوَادِرُ، بِالْإِسْنَادِ الْمُتَقَدِّمِ عَنْهُ عَنْ آبَائِهِ عليهم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التَّيَمُّمُ بِالْجِصِّ وَ النُّورَةِ وَ لَا يَجُوزُ بِالرَّمَادِ لِأَنَّهُ لَمْ يَخْرُجْ مِنَ الْأَرْضِ فَقِيلَ لَهُ أَ يَتَيَمَّمُ بِالصَّفَا الْبَالِيَةِ عَلَي وَجْهِ الْأَرْضِ قَالَ نَعَمْ‌</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1" w:name="__RefHeading___Toc606190_1934241801"/>
      <w:bookmarkStart w:id="1392" w:name="_Toc639"/>
      <w:bookmarkEnd w:id="1391"/>
      <w:r>
        <w:rPr>
          <w:rtl w:val="true"/>
        </w:rPr>
        <w:t>توضيح</w:t>
      </w:r>
      <w:bookmarkEnd w:id="1392"/>
    </w:p>
    <w:p>
      <w:pPr>
        <w:pStyle w:val="BookText"/>
        <w:rPr/>
      </w:pPr>
      <w:r>
        <w:rPr>
          <w:rFonts w:ascii="Amiri" w:hAnsi="Amiri" w:eastAsia="Amiri" w:cs="Amiri"/>
          <w:color w:val="111111"/>
          <w:sz w:val="28"/>
          <w:sz w:val="28"/>
          <w:szCs w:val="28"/>
          <w:rtl w:val="true"/>
          <w:lang w:bidi="ar-SA"/>
        </w:rPr>
        <w:t>أما عدم جواز التيمم بالرماد فلا خلاف فيه إذا كان مأخوذا من الشجر و النبات و هو الظاهر من الرواية للتعليل بأنه لم يخرج من الأرض أي لم يحصل منها و يؤيده أنه روي الشيخ‌</w:t>
      </w:r>
      <w:r>
        <w:rPr>
          <w:rStyle w:val="FootnoteAnchor"/>
          <w:rtl w:val="true"/>
        </w:rPr>
        <w:footnoteReference w:id="738"/>
      </w:r>
      <w:r>
        <w:rPr>
          <w:rFonts w:ascii="Amiri" w:hAnsi="Amiri" w:eastAsia="Amiri" w:cs="Amiri"/>
          <w:color w:val="111111"/>
          <w:sz w:val="28"/>
          <w:sz w:val="28"/>
          <w:szCs w:val="28"/>
          <w:rtl w:val="true"/>
          <w:lang w:bidi="ar-SA"/>
        </w:rPr>
        <w:t>مثل هذه الرواية عن السكوني عنه عليه السلام و زاد في آخره إنما يخرج من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النورة و الجص قبل الإحراق فيجوز التيمم بهما من يجوز التيمم بالحجر و منع منه ابن إدريس لكونهما معدنا و هو ضعيف و شرط الشيخ في النهاية في جواز التيمم بهما فقد التراب و أما النورة و الجص بعد الإحراق فالمشهور المنع من التيمم بهما لعدم صدق اسم الأرض عليهما و المنقول عن المرتضي و سلار الجواز و هو الظاهر من الرواية بل الظاهر منها جواز التيمم بكل ما يحصل من الأرض كالخزف و اختلفوا فيه و لعل الجواز أقوي و الترك اختيارا أولي و كذا الرماد الحاصل من التراب و إن كان الحكم فيه أخفي و الأكثر فيه علي عدم الجواز مع الخروج عن اسم الأرض‌</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و لو كانت الصفاة بمعني الصخرة كما توهم لما وصفت في الحديث بالبالية، فان الصخرة لا تبلي، و لما وصفها الفيروزآبادي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الصفاة الحجر الصلد الضخم لا ينبت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الصلد هو الأرض المتحجرة التي لا تنبت، و لذلك قالوا رأس صلد أي لا ينبت، و جبين صلد أي صلب، و فرس صلد اي لا يعرق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تندي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بخيل لا يسمح بشي‌ء، و المراد بالصفاة هذه الراووق المتخذ من الطين الحرّ الصلب كالخزف و لذلك و صفت بعدم النداوة و الرش، و لو كانت بمعني الصخرة لما كان ينتظر منه الرش و الندي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الجص و النورة و الرماد فكلها يمكن أن يكون صعيدا ثائرا هائجا، و هو ظاهر، الا أن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صَعِيداً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يخص التيمم بالتراب الخالص الذي يخرج نباته باذن اللّه دون النورة و الجص و السبخة و الرمل و الرماد لأنّها لا تنبت، و قد وصف الرماد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فَتُصْبِحَ صَعِيداً زَلَقاً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لَجاعِلُونَ ما عَلَيْها صَعِيداً جُرُزاً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زلقا جرزا خرج عن كونه طيبا نابتا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ذلك فتوي الاصحاب و روايات الباب، أما الرماد فظاهر، و أمّا النورة و الجص و السبخة و الرمل و أمثالها فهي معادن فلا يجوز التيمم بها إجماعا، و ما ورود من رواية السكوني و هي أصل هذا الخبر المروي في النوادر فلا يعبأ بها لضعفها و معارضتها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استناد بعض الفقهاء بقوله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لي الأرض مسجدا و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اسم الأرض يقع علي الحجر و المدر و التراب كلها ففيه أن الحجر ان كان بمعني الأرض الصلب الصلد، فلا بأس به؛ من حيث اطلاق اسم الأرض عليه، الا أنّه يقيد اطلاقها بقرينة لفظ الصعيد في القرآن العزيز، و لذلك ورد التصريح بالتراب في بعض الأحاديث و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مسجدا و ترابها طهورا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بمعني الصخرة و ما هو من جنسها كالحصا و الرمل، فليس بصحيح، فان الأرض في أصل اللغة هو ما نسميه بالفارسية 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 فلا يطلق علي الجبل و ما أزيل منه كالصخرة و الجندل و الحصا و الرمل، كما أنّها لا تطلق علي المياه و قد استوعب ثلاثة أرباع الأرض فقولهم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ما قابل السماء ليس الا علي التسامح العرفي، و الا فثلاثة أرباع السماء لا يقابلها الا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أن القرآن العزيز استعمل كلمة الأرض في أكثر من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 و كلها تنادي بأن الأرض يقابل الحجر، فقد و صفت الأرض في بعضها بالاحياء و الاماتة و الاثارة و الانبات و التمديد و الرحب و السعة و الاهتزاز و الربا و التفجير و نقص أطرافها و خسفها بالناس، و كونها مهادا و مهدا و سطحا و فراشا و بساطا و كفاتا و ذلولا فامشوا في مناكبها و كلوا من رزقه و إليه النشور، و لا يليق شي‌ء منها بالحجر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في بعضها الآخر، فقد جعلت الأرض في مقابل الجبل و الصخرة صريحا كما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قُرْآناً سُيِّرَتْ بِهِ الْجِبالُ أَوْ قُطِّعَتْ بِهِ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السَّماواتُ يَتَفَطَّرْنَ مِنْهُ وَ تَنْشَقُّ الْأَرْضُ وَ تَخِرُّ الْجِبالُ 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حُمِلَتِ الْأَرْضُ وَ الْجِبالُ فَدُكَّتا دَكَّةً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تَرْجُفُ الْأَرْضُ وَ الْجِبالُ وَ كانَتِ الْجِبالُ كَثِيباً مَهِيلًا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مَدَّ الْأَرْضَ وَ جَعَلَ فِيها رَواسِيَ وَ أَنْهاراً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النحل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تَخْرِقَ الْأَرْضَ وَ لَنْ تَبْلُغَ الْجِبالَ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نُسَيِّرُ الْجِبالَ وَ تَرَي الْأَرْضَ 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جَعَلَ الْأَرْضَ قَراراً وَ جَعَلَ خِلالَها أَنْهاراً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إِنَّها إِنْ تَكُ مِثْقالَ حَبَّةٍ مِنْ خَرْدَلٍ فَتَكُنْ فِي صَخْرَةٍ أَوْ فِي السَّماواتِ أَوْ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عَرَضْنَا الْأَمانَةَ عَلَي السَّماواتِ وَ الْأَرْضِ وَ الْجِبالِ فَأَبَيْنَ أَنْ يَحْمِلْنَها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كلها قابلت الأرض الجبال كما قابلت المياه، و عد كل منها شيئا علي حدته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بعید نیست که جایز شمردن تیمّم و نماز به خاطر درک فضیلت جماعت باشد، مخصوصاً جماعتی که مشتمل بر آن جمع عظیمی باشد که در روز بزرگواری مانند روز جمعه گِرد آمده اند، امّا کسی را مشاهده نکرده ام که قائل به این نظر باشد و این اشکال از احادیث ذکر شده در النوادر ناشی می شود، ولی احوط آن است که شخص گرفتار در ازدحام روز جمعه نماز را با تیمّم به جا آورد و بعداً نیز آن را اعاده کند</w:t>
      </w:r>
      <w:r>
        <w:rPr>
          <w:rFonts w:eastAsia="IRNazanin" w:cs="IRNazanin"/>
          <w:color w:val="111111"/>
          <w:sz w:val="28"/>
          <w:szCs w:val="28"/>
          <w:rtl w:val="true"/>
          <w:lang w:bidi="fa-IR"/>
        </w:rPr>
        <w:t>.</w:t>
      </w:r>
    </w:p>
    <w:p>
      <w:pPr>
        <w:pStyle w:val="Heading5"/>
        <w:numPr>
          <w:ilvl w:val="4"/>
          <w:numId w:val="1"/>
        </w:numPr>
        <w:rPr/>
      </w:pPr>
      <w:bookmarkStart w:id="1393" w:name="__RefHeading___Toc606192_1934241801"/>
      <w:bookmarkStart w:id="1394" w:name="_Toc640"/>
      <w:bookmarkEnd w:id="1393"/>
      <w:r>
        <w:rPr>
          <w:rtl w:val="true"/>
        </w:rPr>
        <w:t xml:space="preserve">روایت </w:t>
      </w:r>
      <w:r>
        <w:rPr/>
        <w:t>27</w:t>
      </w:r>
      <w:bookmarkEnd w:id="1394"/>
    </w:p>
    <w:p>
      <w:pPr>
        <w:pStyle w:val="BookText"/>
        <w:rPr/>
      </w:pP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علیهم السلام روایت کرده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با گچ و آهک جایز است ولی با خاکستر جایز نیست، چرا که از زمین خارج نشده است، پس از امام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تیمّم با سنگ های فرسوده و خرد شده روی زمین جایز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740"/>
      </w:r>
    </w:p>
    <w:p>
      <w:pPr>
        <w:pStyle w:val="Heading5"/>
        <w:numPr>
          <w:ilvl w:val="4"/>
          <w:numId w:val="1"/>
        </w:numPr>
        <w:rPr/>
      </w:pPr>
      <w:bookmarkStart w:id="1395" w:name="__RefHeading___Toc606194_1934241801"/>
      <w:bookmarkStart w:id="1396" w:name="_Toc641"/>
      <w:bookmarkEnd w:id="1395"/>
      <w:r>
        <w:rPr>
          <w:rtl w:val="true"/>
        </w:rPr>
        <w:t>توضیح</w:t>
      </w:r>
      <w:bookmarkEnd w:id="1396"/>
    </w:p>
    <w:p>
      <w:pPr>
        <w:pStyle w:val="BookText"/>
        <w:rPr/>
      </w:pPr>
      <w:r>
        <w:rPr>
          <w:rFonts w:ascii="IRNazanin" w:hAnsi="IRNazanin" w:eastAsia="IRNazanin"/>
          <w:color w:val="111111"/>
          <w:sz w:val="28"/>
          <w:sz w:val="28"/>
          <w:szCs w:val="28"/>
          <w:rtl w:val="true"/>
          <w:lang w:bidi="fa-IR"/>
        </w:rPr>
        <w:t>امّا بر سر عدم جواز تیمّم با خاکستر حاصل از درختان و گیاهان اختلافی بین فقها وجود ندارد و این امر از روایت نیز آشکار است، به علّت اینکه خاکستر از زمین خارج نشده یعنی از آن حاصل نشده است، و در تأیید این نظر شیخ در التهذیب</w:t>
      </w:r>
      <w:r>
        <w:rPr>
          <w:rStyle w:val="FootnoteAnchor"/>
          <w:rtl w:val="true"/>
        </w:rPr>
        <w:footnoteReference w:id="741"/>
      </w:r>
      <w:r>
        <w:rPr>
          <w:rFonts w:ascii="IRNazanin" w:hAnsi="IRNazanin" w:eastAsia="IRNazanin"/>
          <w:color w:val="111111"/>
          <w:sz w:val="28"/>
          <w:sz w:val="28"/>
          <w:szCs w:val="28"/>
          <w:rtl w:val="true"/>
          <w:lang w:bidi="fa-IR"/>
        </w:rPr>
        <w:t>روایتی نظیر روایت مذکور را از امام صادق علیه السلام نقل کرده و به آخر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خاکستر از درخت خارج می 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کسانی که تیمّم با سنگ را جایز می دانند، تیمّم با 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گچ قبل از کوره پز شدن را نیز جایز می دانند؛ و عدّه ای از فقها مانند ابن ادریس این تیمّم را منع کرده اند، چرا که آن دو را از جمله معادن به شمار می آورند، و این نظر ضعیفی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عدم وجود خاک را برای جواز تیمّم با آهک و گچ به عنوان شرط مطرح کرده است؛ ولی نظر مشهور عدم جواز تیمّم با آهک و گچ بعد از کوره پز شدن است، چرا که اطلاق اسم زمین بر آن ها صحیح نمی باشد، ولی از شیخ مرتضی و سلّار نقل شده که تیمّم را بعد از کوره پز شدن نیز جایز می دانند، این امر از روایت نیز آشکار است، بلکه از روایت چنین برداشت می شود که تیمّم با تمام چیزهایی که از زمین حاصل می شود مانند سفال جایز است، و فقها بر سر این موضوع دچار اختلاف نظر شده اند و شاید جایز بودن تیمّم قوی تر باشد و ترک تیمّم از سر اختیار شایسته تر، و شرایط در مورد خاکستر حاصل از خاک نیز به همین ترتیب است، اگر چه حکم در مورد آن پنهان تر است، و بیشتر فقها به دلیل خارج شدن این خاکستر از محدوده اسم زمین رأی به عدم جواز تیمّم با آن داده اند</w:t>
      </w:r>
      <w:r>
        <w:rPr>
          <w:rFonts w:eastAsia="IRNazanin" w:cs="IRNazanin"/>
          <w:color w:val="111111"/>
          <w:sz w:val="28"/>
          <w:szCs w:val="28"/>
          <w:rtl w:val="true"/>
          <w:lang w:bidi="fa-IR"/>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7" w:name="pg13517_329197"/>
      <w:bookmarkStart w:id="1398" w:name="pg13517_329197"/>
      <w:bookmarkEnd w:id="1398"/>
    </w:p>
    <w:p>
      <w:pPr>
        <w:pStyle w:val="Heading5"/>
        <w:numPr>
          <w:ilvl w:val="4"/>
          <w:numId w:val="1"/>
        </w:numPr>
        <w:rPr/>
      </w:pPr>
      <w:bookmarkStart w:id="1399" w:name="pg13517_329197"/>
      <w:bookmarkStart w:id="1400" w:name="__RefHeading___Toc606196_1934241801"/>
      <w:bookmarkStart w:id="1401" w:name="_Toc642"/>
      <w:bookmarkEnd w:id="1399"/>
      <w:bookmarkEnd w:id="1400"/>
      <w:r>
        <w:rPr>
          <w:rtl w:val="true"/>
        </w:rPr>
        <w:t>«</w:t>
      </w:r>
      <w:r>
        <w:rPr/>
        <w:t>28</w:t>
      </w:r>
      <w:r>
        <w:rPr>
          <w:rtl w:val="true"/>
        </w:rPr>
        <w:t>»</w:t>
      </w:r>
      <w:bookmarkEnd w:id="1401"/>
    </w:p>
    <w:p>
      <w:pPr>
        <w:pStyle w:val="BookText"/>
        <w:rPr/>
      </w:pPr>
      <w:r>
        <w:rPr>
          <w:rFonts w:ascii="Amiri" w:hAnsi="Amiri" w:eastAsia="Amiri" w:cs="Amiri"/>
          <w:color w:val="111111"/>
          <w:sz w:val="28"/>
          <w:sz w:val="28"/>
          <w:szCs w:val="28"/>
          <w:rtl w:val="true"/>
          <w:lang w:bidi="ar-SA"/>
        </w:rPr>
        <w:t>دَعَائِمُ الْإِسْلَامِ، عَنِ الصَّادِقِ عليه السلام عَنْ آبَائِهِ عَنْ عَلِيٍّ عليهم السلام أَنَّهُ</w:t>
      </w:r>
    </w:p>
    <w:p>
      <w:pPr>
        <w:pStyle w:val="Heading5"/>
        <w:numPr>
          <w:ilvl w:val="4"/>
          <w:numId w:val="1"/>
        </w:numPr>
        <w:rPr/>
      </w:pPr>
      <w:bookmarkStart w:id="1402" w:name="__RefHeading___Toc606198_1934241801"/>
      <w:bookmarkStart w:id="1403" w:name="_Toc643"/>
      <w:bookmarkEnd w:id="1402"/>
      <w:r>
        <w:rPr>
          <w:rtl w:val="true"/>
        </w:rPr>
        <w:t xml:space="preserve">روایت </w:t>
      </w:r>
      <w:r>
        <w:rPr/>
        <w:t>28</w:t>
      </w:r>
      <w:bookmarkEnd w:id="140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علیهم السلام روایت کرده که امام علی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يَتَيَمَّمَ مَنْ لَمْ يَجِدِ الْمَاءَ إِلَّا فِي آخِرِ الْوَقْتِ‌</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تَيَمَّمَ صَلَّي بِتَيَمُّمِهِ ذَلِكَ مَا شَاءَ مِنَ الصَّلَوَاتِ مَا لَمْ يُحْدِثْ أَوْ يَجِدِ الْمَاءَ فَإِنَّهُ إِذَا مَرَّ بِالْمَاءِ أَوْ وَجَدَهُ انْتَقَضَ تَيَمُّمُهُ فَإِنْ عَدِمَهُ بَعْدَ ذَلِكَ تَيَمَّمَ وَ إِنْ هُوَ تَيَمَّمَ فِي أَوَّلِ الْوَقْتِ وَ صَلَّي ثُمَّ وَجَدَ الْمَاءَ وَ فِي الْوَقْتِ بَقِيَّةٌ يُمْكِنُهُ مَعَهَا أَنْ يَتَوَضَّأَ وَ يُصَلِّيَ تَوَضَّأَ وَ صَلَّي وَ لَمْ يُجْزِهِ صَلَاتُهُ بِالتَّيَمُّمِ إِذَا هُوَ وَجَدَ الْمَاءَ وَ هُوَ فِي وَقْتٍ مِنَ الصَّلَاةِ</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كَذَلِكَ إِنْ تَيَمَّمَ وَ لَمْ يُصَلِّ فَوَجَدَ الْمَاءَ وَ هُوَ فِي وَقْتٍ مِنَ الصَّلَاةِ انْتَقَضَ تَيَمُّمُهُ وَ عَلَيْهِ أَنْ يَتَوَضَّأَ وَ يُصَلِّيَ وَ إِنْ دَخَلَ فِي الصَّلَاةِ بِتَيَمُّمٍ ثُمَّ وَجَدَ الْمَاءَ فَلْيَنْصَرِفْ فَيَتَوَضَّأُ وَ يُصَلِّي إِنْ لَمْ يَكُنْ رَكَعَ فَإِنْ رَكَعَ مَضَي فِي صَلَاتِهِ فَإِنِ انْصَرَفَ مِنْهَا وَ هُوَ فِي وَقْتٍ تَوَضَّأَ وَ أَعَادَهَا فَإِنْ مَضَي الْوَقْتُ أَجْزَأَهُ‌</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 بْنَ يَاسِرٍ أَصَابَتْهُ جَنَابَةٌ فَتَجَرَّدَ مِنْ ثِيَابِهِ وَ أَتَي صَعِيداً فَتَمَعَّكَ عَلَيْهِ فَبَلَغَ ذَلِكَ رَسُولَ اللَّهِ صلي الله عليه و آله فَقَالَ لَهُ يَا عَمَّارُ تَمَعَّكْتَ تَمَعُّكَ الْحِمَارِ قَدْ كَانَ يُجْزِيكَ مِنْ ذَلِكَ أَنْ تَمْسَحَ بِيَدَيْكَ وَجْهَكَ وَ كَفَّيْكَ كَمَا قَالَ اللَّهُ عَزَّ وَ جَلَ‌</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أَصَابَتْهُ جَنَابَةٌ وَ الْأَرْضُ مُبْتَلَّةٌ فَلْيَنْفُضْ لِبْدَهُ وَ لْيَتَيَمَّمْ بِغُبَارِهِ وَ كَذَلِكَ قَالَ أَبُو جَعْفَرٍ وَ أَبُو عَبْدِ اللَّهِ عليهما السلام لِيَنْفُضْ ثَوْبَهُ أَوْ لِبْدَهُ أَوْ إِكَافَهُ إِذَا لَمْ يَجِدْ تُرَاباً طَيِّباً</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الْمُتَيَمِّمُ تُجْزِيهِ ضَرْبَةٌ وَاحِدَةٌ يَضْرِبُ بِيَدَيْهِ عَلَي الْأَرْضِ فَيَمْسَحُ بِهِمَا وَجْهَهُ وَ يَدَيْهِ وَ قَالُوا لَا يُجْزِي التَّيَمُّمُ بِالْجِصِّ وَ لَا بِالرَّمَادِ وَ لَا بِالنُّورَةِ وَ يُجْزِي بِالصَّفَا الثَّابِتِ فِي الْأَرْضِ إِذَا كَانَ عَلَيْهِ غُبَارٌ وَ لَمْ يَكُنْ مَبْلُولًا وَ لَا يَتَيَمَّمُ فِي الْحَضَرِ إِلَّا مِنْ عُذْرٍ أَوْ يَكُونُ فِي زِحَامٍ وَ لَا يَخْلُصُ مِنْهُ وَ حَضَرَتِ الصَّلَاةُ فَإِنَّهُ يَتَيَمَّمُ وَ يُصَلِّي وَ يُعِيدُ تِلْكَ الصَّلَاةَ</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کسی که به آب دست نمی یابد جایز نیست که تیمّم کند مگر در آخر وقتِ معمول نماز</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هم چنین 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تیمّم کند اجازه دارد با آن تیمّم هر چند نوبت که بخواهد نماز بخواند، البته در صورتی که بول یا غائط نکند و یا به آب دست نیابد، پس اگر بر آب گذر کند یا به آن دست یابد تیمّمش باطل می شود، و اگر پس از آن به آب دست نیابد دوباره می تواند تیمّم کند؛ و اگر کسی در اوّل وقت معمول نماز تیمّم کند و نماز بخواند سپس به آب دست یابد در حالی که وقت کافی برای وضو گرفتن و نماز خواندن باقی مانده است، باید وضو بگیرد و نماز بخواند و اگر به آب دسترسی پیدا کند در حالی که وقت معمول نماز به پایان نرسیده جایز نیست که با تیمّم نماز بخواند</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کسی تیمّم کند ولی نماز نخواند پس در حالی که هنوز وقت نماز باقی مانده به آب دست یابد، تیمّمش باطل می شود و بر او واجب است که وضو بگیرد و نماز بخواند، و اگر نماز را با تیمّم آغاز کرده باشد سپس به آب دست یابد دو حالت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رکوع رکعت اوّل نرسیده باشد باید نماز را قطع کند و وضو بگیرد و دوباره نماز بخواند، ولی اگر به رکوع رسیده باشد نمازش را ادامه می دهد و اگر نمازش را قطع کند و همچنان وقت باقی باشد، وضو می گیرد و نماز را دوباره می خواند، و اگر از وقت نماز گذشته باشد نمازی که با تیمّم خوانده او را کفایت می کند</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جُنب گردید، پس لباس هایش را در آورد و کنار تلّی از خاک رفت و بر آن غلتید، این ماجرا به گوش رسول خدا صلّی الله علیه و آله رسید، پس به عمار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آیا مانند دراز گوش در خاک غلتیده ای؟ به جای این کار تو را کفایت می کرد آن گونه که خداوند متعال فرموده است با دستهایت، صورت و دو کف دستت را مسح نمایی</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جُنب شود و زمین خیس باشد، باید نمد زیر زین چهارپایش را بتکاند و با غبار آن تیمّم کند، همچنین امام باقر و امام صادق علیهما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خاک پاک دست نیافت باید لباس یا نمد زیر زین یا پالان چهارپایش را تکانده و با غبار آن ها تیمّم کند</w:t>
      </w:r>
      <w:r>
        <w:rPr>
          <w:rFonts w:eastAsia="IRNazanin" w:cs="IRNazanin"/>
          <w:color w:val="111111"/>
          <w:sz w:val="28"/>
          <w:szCs w:val="28"/>
          <w:rtl w:val="true"/>
          <w:lang w:bidi="fa-IR"/>
        </w:rPr>
        <w:t>.</w:t>
      </w:r>
      <w:r>
        <w:rPr>
          <w:rStyle w:val="FootnoteAnchor"/>
          <w:rtl w:val="true"/>
        </w:rPr>
        <w:footnoteReference w:id="75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صلوات الله علیهم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تیمّم کننده یک ضربه بر زمین بزند، با دو دست خود بر زمین می کوبد و صورت و دست هایش را با آن ها مسح می کند، همچنین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با گچ، خاکستر و آهک کفایت نمی کند، ولی با سنگ های ثابت در زمین اگر غبار بر آن ها قرار داشته باشد و خیس نباشند کفایت می کند، و تیمّم در آبادانی و هنگام مقیم بودن جایز نیست، مگر برای کسی که عذر داشته باشد و یا در ازدحامی گرفتار باشد که از آن رهایی نیابد و وقت نماز فرا رسد، پس باید تیمّم کند و نماز بخواند، ولی بعداً آن را تکرار کند</w:t>
      </w:r>
      <w:r>
        <w:rPr>
          <w:rFonts w:eastAsia="IRNazanin" w:cs="IRNazanin"/>
          <w:color w:val="111111"/>
          <w:sz w:val="28"/>
          <w:szCs w:val="28"/>
          <w:rtl w:val="true"/>
          <w:lang w:bidi="fa-IR"/>
        </w:rPr>
        <w:t>.</w:t>
      </w:r>
      <w:r>
        <w:rPr>
          <w:rStyle w:val="FootnoteAnchor"/>
          <w:rtl w:val="true"/>
        </w:rPr>
        <w:footnoteReference w:id="753"/>
      </w:r>
      <w:bookmarkStart w:id="1404" w:name="pg13517_329199"/>
    </w:p>
    <w:p>
      <w:pPr>
        <w:pStyle w:val="BookText"/>
        <w:rPr/>
      </w:pPr>
      <w:bookmarkEnd w:id="1404"/>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الْجُنُبِ يَمُرُّ بِالْبِئْرِ وَ لَا يَجِدُ مَا يَسْتَقِي بِهِ يَتَيَمَّمُ وَ مَنْ كَانَتْ بِهِ قُرُوحٌ أَوْ عِلَّةٌ يَخَافُ مِنْهَا عَلَي نَفْسِهِ يَتَيَمَّمُ وَ كَذَلِكَ إِنْ خَافَ أَنْ يَقْتُلَهُ الْبَرْدُ إِنِ اغْتَسَلَ يَتَيَمَّمُ وَ إِنْ لَمْ يَخَفْ اغْتَسَلَ فَإِنْ مَاتَ فَهُوَ شَهِيدٌ وَ مَنْ لَمْ يَكُنْ مَعَهُ مِنَ الْمَاءِ إِلَّا شَيْ‌ءٌ يَسِيرٌ يَخَافُ إِنْ هُوَ تَوَضَّأَ بِهِ أَوْ تَطَهَّرَ أَنْ يَمُوتَ عَطَشاً قَالُوا عليهم السلام يَتَيَمَّمُ وَ يُبْقِي الْمَاءَ لِنَفْسِهِ وَ لَا يُعِينُ عَلَي هَلَاكِهَا قَالَ اللَّهُ عَزَّ وَ جَلَ‌</w:t>
      </w:r>
      <w:r>
        <w:rPr>
          <w:rStyle w:val="FootnoteAnchor"/>
          <w:rtl w:val="true"/>
        </w:rPr>
        <w:footnoteReference w:id="754"/>
      </w:r>
      <w:r>
        <w:rPr>
          <w:rFonts w:ascii="Amiri" w:hAnsi="Amiri" w:eastAsia="Amiri" w:cs="Amiri"/>
          <w:color w:val="111111"/>
          <w:sz w:val="28"/>
          <w:sz w:val="28"/>
          <w:szCs w:val="28"/>
          <w:rtl w:val="true"/>
          <w:lang w:bidi="ar-SA"/>
        </w:rPr>
        <w:t>وَ لا تَقْتُلُوا أَنْفُسَكُمْ إِنَّ اللَّهَ كانَ بِكُمْ رَحِيماً</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الْمُسَافِرِ إِذَا لَمْ يَجِدِ الْمَاءَ إِلَّا بِمَوْضِعٍ يَخَافُ فِيهِ عَلَي نَفْسِهِ إِنْ مَضَي فِي طَلَبِهِ مِنْ لُصُوصٍ أَوْ سِبَاعٍ أَوْ يَخَافُ مِنْهُ التَّلَفَ وَ الْهَلَاكَ يَتَيَمَّمُ وَ يُصَلِّي‌</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الْمُسَافِرِ يَجِدُ الْمَاءَ بِثَمَنٍ غَالٍ أَنْ يَشْتَرِيَهُ إِذَا كَانَ وَاجِداً لِثَمَنِهِ فَقَدْ وَجَدَهُ إِلَّا أَنْ يَكُونَ فِي دَفْعِهِ الثَّمَنَ مَا يَخَافُ مِنْهُ عَلَي نَفْسِهِ التَّلَفَ إِنْ عَدِمَهُ وَ الْعَطَبَ فَلَا يَشْتَرِيَهِ وَ يَتَيَمَّمُ بِالصَّعِيدِ وَ يُصَلِّي‌</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يُجَامِعَ الرَّجُلُ امْرَأَتَهُ فِي السَّفَرِ وَ لَيْسَ مَعَهُ مَاءٌ وَ يَتَيَمَّمُ وَ يُصَلِّي وَ سُئِلَ رَسُولُ اللَّهِ صلي الله عليه و آله عَنْ مِثْلِ هَذَا فَقَالَ نَعَمْ ائْتِ أَهْلَكَ وَ تَيَمَّمْ وَ تُؤْجَرُ قَالَ يَا رَسُولَ اللَّهِ وَ أُوجَرُ قَالَ نَعَمْ إِذَا أَتَيْتَ الْحَلَالَ أُجِرْتَ كَمَا أَنَّكَ إِذَا أَتَيْتَ الْحَرَامَ أَثِمْتَ‌</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5" w:name="__RefHeading___Toc606200_1934241801"/>
      <w:bookmarkStart w:id="1406" w:name="_Toc644"/>
      <w:bookmarkEnd w:id="1405"/>
      <w:r>
        <w:rPr>
          <w:rtl w:val="true"/>
        </w:rPr>
        <w:t>بيان</w:t>
      </w:r>
      <w:bookmarkEnd w:id="1406"/>
    </w:p>
    <w:p>
      <w:pPr>
        <w:pStyle w:val="BookText"/>
        <w:rPr/>
      </w:pPr>
      <w:r>
        <w:rPr>
          <w:rFonts w:ascii="Amiri" w:hAnsi="Amiri" w:eastAsia="Amiri" w:cs="Amiri"/>
          <w:color w:val="111111"/>
          <w:sz w:val="28"/>
          <w:sz w:val="28"/>
          <w:szCs w:val="28"/>
          <w:rtl w:val="true"/>
          <w:lang w:bidi="ar-SA"/>
        </w:rPr>
        <w:t>إكاف الحمار ككتاب و غراب برذعته و هي ما يلقي تحت الرحل</w:t>
      </w:r>
      <w:r>
        <w:rPr>
          <w:rFonts w:eastAsia="Amiri" w:cs="Amiri" w:ascii="Amiri" w:hAnsi="Amiri"/>
          <w:color w:val="111111"/>
          <w:sz w:val="28"/>
          <w:szCs w:val="28"/>
          <w:rtl w:val="true"/>
          <w:lang w:bidi="ar-SA"/>
        </w:rPr>
        <w:t>.</w:t>
      </w:r>
    </w:p>
    <w:p>
      <w:pPr>
        <w:pStyle w:val="Heading5"/>
        <w:numPr>
          <w:ilvl w:val="4"/>
          <w:numId w:val="1"/>
        </w:numPr>
        <w:rPr/>
      </w:pPr>
      <w:bookmarkStart w:id="1407" w:name="__RefHeading___Toc606202_1934241801"/>
      <w:bookmarkStart w:id="1408" w:name="_Toc645"/>
      <w:bookmarkEnd w:id="1407"/>
      <w:r>
        <w:rPr>
          <w:rtl w:val="true"/>
        </w:rPr>
        <w:t>«</w:t>
      </w:r>
      <w:r>
        <w:rPr/>
        <w:t>29</w:t>
      </w:r>
      <w:r>
        <w:rPr>
          <w:rtl w:val="true"/>
        </w:rPr>
        <w:t>»</w:t>
      </w:r>
      <w:bookmarkEnd w:id="1408"/>
    </w:p>
    <w:p>
      <w:pPr>
        <w:pStyle w:val="BookText"/>
        <w:rPr/>
      </w:pPr>
      <w:r>
        <w:rPr>
          <w:rFonts w:ascii="Amiri" w:hAnsi="Amiri" w:eastAsia="Amiri" w:cs="Amiri"/>
          <w:color w:val="111111"/>
          <w:sz w:val="28"/>
          <w:sz w:val="28"/>
          <w:szCs w:val="28"/>
          <w:rtl w:val="true"/>
          <w:lang w:bidi="ar-SA"/>
        </w:rPr>
        <w:t xml:space="preserve">أَرْبَعِينُ الشَّهِيدِ، عَنْ مُحَمَّدِ بْنِ الْقَاسِمِ بْنِ مَعِيَّةَ الْحَسَنِيِّ الدِّيبَاجِيِّ عَنِ السَّيِّدِ عَلِيِّ بْنِ عَبْدِ الْحَمِيدِ بْنِ فَخَّارٍ الْمُوسَوِيِّ عَنْ أَبِيهِ عَنْ جَدِّهِ عَنِ السَّيِّدِ عَبْدِ الْحَمِيدِ بْنِ التَّقِيِّ الْحَسَنِيِّ عَنِ السَّيِّدِ فَضْلِ اللَّهِ بْنِ عَلِيٍّ الرَّاوَنْدِيِّ عَنِ السَّيِّدِ ذِي الْفَقَارِ بْنِ معد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الْحَسَنِيِّ عَنِ الشَّيْخِ الصَّدُوقِ أَحْمَدَ بْنِ عَلِيٍّ النَّجَاشِيِّ عَنْ أَحْمَدَ بْنِ عُبْدُونٍ عَنْ أَحْمَدَ بْنِ جَعْفَرِ بْنِ سُفْيَانَ الْبَزَوْفَرِيِّ عَنْ أَحْمَدَ بْنِ إِدْرِيسَ عَنْ</w:t>
      </w:r>
    </w:p>
    <w:p>
      <w:pPr>
        <w:pStyle w:val="BookText"/>
        <w:rPr/>
      </w:pPr>
      <w:r>
        <w:rPr>
          <w:rFonts w:ascii="IRNazanin" w:hAnsi="IRNazanin" w:eastAsia="IRNazanin"/>
          <w:color w:val="111111"/>
          <w:sz w:val="28"/>
          <w:sz w:val="28"/>
          <w:szCs w:val="28"/>
          <w:rtl w:val="true"/>
          <w:lang w:bidi="fa-IR"/>
        </w:rPr>
        <w:t>همچنین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جُنبی که بر چاه گذر می کند ولی وسیله ای برای آبکشی همراه ندارد می تواند تیمّم کند، و هر کسی که زخم یا مرضی داشته باشد و در صورت غسل کردن بر جان خود بیمناک باشد می تواند تیمّم کند، همچنین اگر بیم آن داشته باشد که در صورت غسل کردن از سرما هلاک می شود می تواند تیمّم کند، ولی اگر بیم هلاک شدن نداشته باشد باید غسل کند، پس اگر بمیرد شهید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علیهم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مقدار اندکی آب همراه داشته باشد به طوری که بیم آن داشته باشد اگر با آن آب وضو بگیرد یا طهارت کند از تشنگی تلف خواهد شد، باید تیمّم کند و آب را برای خود نگاه دارد و در جهت هلاک جان خود گام بر ندارد، چرا که 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تقتلوا أنفسکم إنّ الله کان بکم رحیماً</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به قتل نرسانید که خداوند نسبت به شما رئوف و مهربان است</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همچنین امامان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بیم داشته باشد که با طلب کردن آب در مکانی که آب فقط در آنجا وجود دارد، در معرض خطر حمله دزدها و درّندگان قرار می گیرد و یا جانش در معرض تلف شدن و نابودی قرار می گیرد می تواند تیمّم کند و نماز بگزارد</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آب گرانبهایی بیابد و قدرت خریدنش را داشته باشد باید آن را بخرد، امّا اگر با پرداخت قیمت آب بیمناک تلف شدن و نابودی جان خود باشد، می تواند آب را خریداری نکند و با خاک تیمّم کند و نماز بگزارد</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مرد در سفر و بدون همراه داشتن آب، با همسرش نزدیکی کند و می تواند تیمّم کند و نماز بگزارد، شخصی از رسول خدا صلّی الله علیه و آله این سؤال را پرسید و ایشان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همسرت نزدیکی کن و سپس تیمّم کن باشد که پاداش داده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پاداش داده می شوم؟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گونه که هنگام رفتن به سوی حرام مرتکب گناه می شوی و مجازات می گردی، هنگام رفتن به سوی حلال پاداش داده می شوی</w:t>
      </w:r>
      <w:r>
        <w:rPr>
          <w:rFonts w:eastAsia="IRNazanin" w:cs="IRNazanin"/>
          <w:color w:val="111111"/>
          <w:sz w:val="28"/>
          <w:szCs w:val="28"/>
          <w:rtl w:val="true"/>
          <w:lang w:bidi="fa-IR"/>
        </w:rPr>
        <w:t>.</w:t>
      </w:r>
      <w:r>
        <w:rPr>
          <w:rStyle w:val="FootnoteAnchor"/>
          <w:rtl w:val="true"/>
        </w:rPr>
        <w:footnoteReference w:id="763"/>
      </w:r>
    </w:p>
    <w:p>
      <w:pPr>
        <w:pStyle w:val="Heading5"/>
        <w:numPr>
          <w:ilvl w:val="4"/>
          <w:numId w:val="1"/>
        </w:numPr>
        <w:rPr/>
      </w:pPr>
      <w:bookmarkStart w:id="1409" w:name="__RefHeading___Toc606204_1934241801"/>
      <w:bookmarkStart w:id="1410" w:name="_Toc646"/>
      <w:bookmarkEnd w:id="1409"/>
      <w:r>
        <w:rPr>
          <w:rtl w:val="true"/>
        </w:rPr>
        <w:t>توضیح</w:t>
      </w:r>
      <w:bookmarkEnd w:id="14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إکاف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پالان دراز گوش </w:t>
      </w:r>
      <w:r>
        <w:rPr>
          <w:rFonts w:eastAsia="IRNazanin" w:cs="IRNazanin"/>
          <w:color w:val="111111"/>
          <w:sz w:val="28"/>
          <w:szCs w:val="28"/>
          <w:rtl w:val="true"/>
          <w:lang w:bidi="fa-IR"/>
        </w:rPr>
        <w:t>.</w:t>
      </w:r>
    </w:p>
    <w:p>
      <w:pPr>
        <w:pStyle w:val="Heading5"/>
        <w:numPr>
          <w:ilvl w:val="4"/>
          <w:numId w:val="1"/>
        </w:numPr>
        <w:rPr/>
      </w:pPr>
      <w:bookmarkStart w:id="1411" w:name="__RefHeading___Toc606206_1934241801"/>
      <w:bookmarkStart w:id="1412" w:name="_Toc647"/>
      <w:bookmarkEnd w:id="1411"/>
      <w:r>
        <w:rPr>
          <w:rtl w:val="true"/>
        </w:rPr>
        <w:t xml:space="preserve">روایت </w:t>
      </w:r>
      <w:r>
        <w:rPr/>
        <w:t>29</w:t>
      </w:r>
      <w:bookmarkEnd w:id="141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أربعین الشهید</w:t>
      </w:r>
      <w:r>
        <w:rPr>
          <w:rFonts w:eastAsia="IRNazanin" w:cs="IRNazanin"/>
          <w:color w:val="111111"/>
          <w:sz w:val="28"/>
          <w:szCs w:val="28"/>
          <w:rtl w:val="true"/>
          <w:lang w:bidi="fa-IR"/>
        </w:rPr>
        <w:t xml:space="preserve">: </w:t>
      </w:r>
      <w:bookmarkStart w:id="1413" w:name="pg13517_329200"/>
    </w:p>
    <w:p>
      <w:pPr>
        <w:pStyle w:val="BookText"/>
        <w:rPr/>
      </w:pPr>
      <w:bookmarkEnd w:id="1413"/>
      <w:r>
        <w:rPr>
          <w:rFonts w:ascii="Amiri" w:hAnsi="Amiri" w:eastAsia="Amiri" w:cs="Amiri"/>
          <w:color w:val="111111"/>
          <w:sz w:val="28"/>
          <w:sz w:val="28"/>
          <w:szCs w:val="28"/>
          <w:rtl w:val="true"/>
          <w:lang w:bidi="ar-SA"/>
        </w:rPr>
        <w:t>مُحَمَّدِ بْنِ عَلِيِّ بْنِ مَحْبُوبٍ عَنِ الْعَبَّاسِ بْنِ مَعْرُوفٍ عَنْ إِسْمَاعِيلَ بْنِ هَمَّامٍ عَنْ مُحَمَّدِ بْنِ سَعِيدِ بْنِ غَزْوَانَ عَنْ إِسْمَاعِيلَ بْنِ أَبِي زِيَادٍ السَّكُونِيِّ عَنِ الصَّادِقِ عَنْ أَبِيهِ عَنْ آبَائِهِ صَلَوَاتُ اللَّهِ عَلَيْهِمْ عَنْ أَبِي ذَرٍّ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أَتَي النَّبِيَّ صلي الله عليه و آله فَقَالَ يَا رَسُولَ اللَّهِ هَلَكْتُ جَامَعْتُ عَلَي غَيْرِ مَاءٍ قَالَ فَأَمَرَ النَّبِيُّ صلي الله عليه و آله بِمَحْمِلٍ فَاسْتَتَرْتُ بِهِ وَ بِمَاءٍ فَاغْتَسَلْتُ أَنَا وَ هِيَ ثُمَّ قَالَ صلي الله عليه و آله يَا أَبَا ذَرٍّ يَكْفِيكَ الصَّعِيدُ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شَيْخِ الطَّائِفَةِ عَنِ الْمُفِيدِ عَنِ الصَّدُوقِ مُحَمَّدِ بْنِ بَابَوَيْهِ عَنْ وَالِدِهِ عَنْ سَعْدِ بْنِ عَبْدِ اللَّهِ عَنْ أَحْمَدَ بْنِ مُحَمَّدِ بْنِ عِيسَي عَنْ عَلِيِّ بْنِ الْحَكَمِ عَنْ دَاوُدَ بْنِ النُّعْمَانِ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عَمَّاراً أَصَابَتْهُ جَنَابَةٌ فَتَمَعَّكَ فِي التُّرَابِ كَمَا تَتَمَعَّكُ الدَّابَّةُ فَقَالَ لَهُ رَسُولُ اللَّهِ صلي الله عليه و آله وَ هُوَ يَهْزَأُ بِهِ يَا عَمَّارُ تَمَعَّكْتَ كَمَا تَتَمَعَّكُ الدَّابَّةُ فَقُلْنَا لَهُ فَكَيْفَ التَّيَمُّمُ فَوَضَعَ يَدَيْهِ عَلَي الْأَرْضِ ثُمَّ رَفَعَهُمَا فَمَسَحَ وَجْهَهُ وَ يَدَيْهِ فَوْقَ الْكَفِّ قَلِيلًا</w:t>
      </w:r>
      <w:r>
        <w:rPr>
          <w:rFonts w:eastAsia="Amiri" w:cs="Amiri" w:ascii="Amiri" w:hAnsi="Amiri"/>
          <w:color w:val="111111"/>
          <w:sz w:val="28"/>
          <w:szCs w:val="28"/>
          <w:rtl w:val="true"/>
          <w:lang w:bidi="ar-SA"/>
        </w:rPr>
        <w:t>.</w:t>
      </w:r>
    </w:p>
    <w:p>
      <w:pPr>
        <w:pStyle w:val="Heading5"/>
        <w:numPr>
          <w:ilvl w:val="4"/>
          <w:numId w:val="1"/>
        </w:numPr>
        <w:rPr/>
      </w:pPr>
      <w:bookmarkStart w:id="1414" w:name="__RefHeading___Toc606208_1934241801"/>
      <w:bookmarkStart w:id="1415" w:name="_Toc648"/>
      <w:bookmarkEnd w:id="1414"/>
      <w:r>
        <w:rPr>
          <w:rtl w:val="true"/>
        </w:rPr>
        <w:t>بيان</w:t>
      </w:r>
      <w:bookmarkEnd w:id="1415"/>
    </w:p>
    <w:p>
      <w:pPr>
        <w:pStyle w:val="BookText"/>
        <w:rPr/>
      </w:pPr>
      <w:r>
        <w:rPr>
          <w:rFonts w:ascii="Amiri" w:hAnsi="Amiri" w:eastAsia="Amiri" w:cs="Amiri"/>
          <w:color w:val="111111"/>
          <w:sz w:val="28"/>
          <w:sz w:val="28"/>
          <w:szCs w:val="28"/>
          <w:rtl w:val="true"/>
          <w:lang w:bidi="ar-SA"/>
        </w:rPr>
        <w:t>الظاهر أن قائل فقلنا داود و المقول له الصادق عليه السلام و يحتمل أن يكون القائل الصحابة الذين كانوا حاضرين و المقول له هو الرسول صلي الله عليه و آله و الإمام حكي كلامهم بلفظه و يؤيده بعض الروايات و إن كان بعيدا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الاكتفاء بالوضع بدون اعتماد و مسح جميع الوجه و قد مر الكلام فيهما و قوله فوق الكف قليلا يحتمل وجهين الأول مسح قليل من ظهر الكف فيدل علي عدم وجوب الاستيعاب كما ذهب إليه الصدوق و الثاني أنه ابتدأ في المسح بما فوق الكف من باب المقدمة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از پدرانش علیهم السلام روایت کرده که ابوذر غفاری نزد پیامبر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هلاک گشتم چرا که بدون دسترسی به آب با همسرم نزدیکی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دستور داد که کجاوه ای حاضر کنند و خود را با آن پوشاندم و مقداری آب آوردند و با همسرم غسل نمودیم، سپس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تیمّم با خاک به مدّت ده سال تو را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أربعین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نعمان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جُنب گشته بود،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پاک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سان چهارپایان در خاک غلتید، پیامبر صلّی الله علیه و آله در حالی که او را مسخره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آیا مانند چهارپایان در خاک غلتیده ای؟ آن گاه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تیمّم چگونه است؟ امام دستانش را بر زمین نهاد و آنها را بلند کرد و صورت و دست هایش را تا اندکی بالاتر از کف مسح نمود</w:t>
      </w:r>
      <w:r>
        <w:rPr>
          <w:rFonts w:eastAsia="IRNazanin" w:cs="IRNazanin"/>
          <w:color w:val="111111"/>
          <w:sz w:val="28"/>
          <w:szCs w:val="28"/>
          <w:rtl w:val="true"/>
          <w:lang w:bidi="fa-IR"/>
        </w:rPr>
        <w:t>.</w:t>
      </w:r>
    </w:p>
    <w:p>
      <w:pPr>
        <w:pStyle w:val="Heading5"/>
        <w:numPr>
          <w:ilvl w:val="4"/>
          <w:numId w:val="1"/>
        </w:numPr>
        <w:rPr/>
      </w:pPr>
      <w:bookmarkStart w:id="1416" w:name="__RefHeading___Toc606210_1934241801"/>
      <w:bookmarkStart w:id="1417" w:name="_Toc649"/>
      <w:bookmarkEnd w:id="1416"/>
      <w:r>
        <w:rPr>
          <w:rtl w:val="true"/>
        </w:rPr>
        <w:t>توضیح</w:t>
      </w:r>
      <w:bookmarkEnd w:id="1417"/>
    </w:p>
    <w:p>
      <w:pPr>
        <w:pStyle w:val="BookText"/>
        <w:rPr/>
      </w:pPr>
      <w:r>
        <w:rPr>
          <w:rFonts w:ascii="IRNazanin" w:hAnsi="IRNazanin" w:eastAsia="IRNazanin"/>
          <w:color w:val="111111"/>
          <w:sz w:val="28"/>
          <w:sz w:val="28"/>
          <w:szCs w:val="28"/>
          <w:rtl w:val="true"/>
          <w:lang w:bidi="fa-IR"/>
        </w:rPr>
        <w:t xml:space="preserve">ظاهراً گوینده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و کسی که سؤال از او پرسیده شده امام صادق علیه السلام بوده است، همچنین امکان دارد که گوینده این کلام صحابه ای بوده باشند که در آن موقعیّت حاضر بوده اند و سؤال از پیامبر صلّی الله علیه و آله پرسیده شده باشد و امام صادق کلام آنان را با لفظ خود حکایت کرده باشد، این نظر را برخی از روایات تأیید می کنند، اگر چه این احتمال در اینجا بعید به نظر می رسد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ظاهر حدیث چنین بر می آید که گذاشتن دو دست بدون تکیه دادن آن ها بر زمین و مسح تمام صورت کفایت می کند، و در این باره قبلاً سخن گفته شد؛ و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 الکفّ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بردارنده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قسمتی از پشت کف دست، که این امر بر عدم وجوب مسح نمودن کامل پشت دست دلالت می کند، چنان که نظر شیخ صدوق نیز چنین است؛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عنوان مقدّمه مسح را از بالای کف دست آغاز نموده است </w:t>
      </w:r>
      <w:r>
        <w:rPr>
          <w:rFonts w:eastAsia="IRNazanin" w:cs="IRNazanin"/>
          <w:color w:val="111111"/>
          <w:sz w:val="28"/>
          <w:szCs w:val="28"/>
          <w:rtl w:val="true"/>
          <w:lang w:bidi="fa-IR"/>
        </w:rPr>
        <w:t xml:space="preserve">. </w:t>
      </w:r>
      <w:bookmarkStart w:id="1418" w:name="pg13517_329201"/>
    </w:p>
    <w:p>
      <w:pPr>
        <w:pStyle w:val="Heading2"/>
        <w:numPr>
          <w:ilvl w:val="1"/>
          <w:numId w:val="1"/>
        </w:numPr>
        <w:rPr/>
      </w:pPr>
      <w:bookmarkStart w:id="1419" w:name="__RefHeading___Toc606212_1934241801"/>
      <w:bookmarkStart w:id="1420" w:name="_Toc650"/>
      <w:bookmarkEnd w:id="1418"/>
      <w:bookmarkEnd w:id="1419"/>
      <w:r>
        <w:rPr>
          <w:rtl w:val="true"/>
        </w:rPr>
        <w:t xml:space="preserve">أبواب الجنائز و مقدماتها و لواحقها </w:t>
      </w:r>
      <w:r>
        <w:rPr>
          <w:rtl w:val="true"/>
        </w:rPr>
        <w:t xml:space="preserve">/ </w:t>
      </w:r>
      <w:r>
        <w:rPr>
          <w:rtl w:val="true"/>
        </w:rPr>
        <w:t>ابواب تشییع جنازه و مقدّمات و اعمال پس از آن</w:t>
      </w:r>
      <w:bookmarkEnd w:id="1420"/>
    </w:p>
    <w:p>
      <w:pPr>
        <w:pStyle w:val="Heading3"/>
        <w:numPr>
          <w:ilvl w:val="2"/>
          <w:numId w:val="1"/>
        </w:numPr>
        <w:rPr/>
      </w:pPr>
      <w:bookmarkStart w:id="1421" w:name="__RefHeading___Toc606214_1934241801"/>
      <w:bookmarkStart w:id="1422" w:name="_Toc651"/>
      <w:bookmarkEnd w:id="1421"/>
      <w:r>
        <w:rPr>
          <w:rtl w:val="true"/>
        </w:rPr>
        <w:t xml:space="preserve">باب </w:t>
      </w:r>
      <w:r>
        <w:rPr/>
        <w:t>1</w:t>
      </w:r>
      <w:r>
        <w:rPr>
          <w:rtl w:val="true"/>
        </w:rPr>
        <w:t xml:space="preserve"> </w:t>
      </w:r>
      <w:r>
        <w:rPr>
          <w:rtl w:val="true"/>
        </w:rPr>
        <w:t>فضل العافية و المرض و ثواب المرض و علله و أنواعه</w:t>
      </w:r>
      <w:bookmarkEnd w:id="1422"/>
    </w:p>
    <w:p>
      <w:pPr>
        <w:pStyle w:val="Heading4"/>
        <w:numPr>
          <w:ilvl w:val="3"/>
          <w:numId w:val="1"/>
        </w:numPr>
        <w:rPr/>
      </w:pPr>
      <w:bookmarkStart w:id="1423" w:name="__RefHeading___Toc606216_1934241801"/>
      <w:bookmarkStart w:id="1424" w:name="_Toc652"/>
      <w:bookmarkEnd w:id="1423"/>
      <w:r>
        <w:rPr>
          <w:rtl w:val="true"/>
        </w:rPr>
        <w:t>روايات</w:t>
      </w:r>
      <w:bookmarkEnd w:id="1424"/>
    </w:p>
    <w:p>
      <w:pPr>
        <w:pStyle w:val="Heading5"/>
        <w:numPr>
          <w:ilvl w:val="4"/>
          <w:numId w:val="1"/>
        </w:numPr>
        <w:rPr/>
      </w:pPr>
      <w:bookmarkStart w:id="1425" w:name="__RefHeading___Toc606218_1934241801"/>
      <w:bookmarkStart w:id="1426" w:name="_Toc653"/>
      <w:bookmarkEnd w:id="1425"/>
      <w:r>
        <w:rPr>
          <w:rtl w:val="true"/>
        </w:rPr>
        <w:t>«</w:t>
      </w:r>
      <w:r>
        <w:rPr/>
        <w:t>1</w:t>
      </w:r>
      <w:r>
        <w:rPr>
          <w:rtl w:val="true"/>
        </w:rPr>
        <w:t>»</w:t>
      </w:r>
      <w:bookmarkEnd w:id="1426"/>
    </w:p>
    <w:p>
      <w:pPr>
        <w:pStyle w:val="BookText"/>
        <w:rPr/>
      </w:pPr>
      <w:r>
        <w:rPr>
          <w:rFonts w:ascii="Amiri" w:hAnsi="Amiri" w:eastAsia="Amiri" w:cs="Amiri"/>
          <w:color w:val="111111"/>
          <w:sz w:val="28"/>
          <w:sz w:val="28"/>
          <w:szCs w:val="28"/>
          <w:rtl w:val="true"/>
          <w:lang w:bidi="ar-SA"/>
        </w:rPr>
        <w:t>الْخِصَالُ، عَنْ جَعْفَرِ بْنِ عَلِيٍّ الْكُوفِيِّ عَنْ جَدِّهِ الْحَسَنِ بْنِ عَلِيٍّ عَنْ جَدِّهِ عَبْدِ اللَّهِ بْنِ الْمُغِيرَةِ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نِعْمَتَانِ مَكْفُورَتَانِ الْأَمْنُ وَ الْعَافِيَةُ</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7" w:name="__RefHeading___Toc606220_1934241801"/>
      <w:bookmarkStart w:id="1428" w:name="_Toc654"/>
      <w:bookmarkEnd w:id="1427"/>
      <w:r>
        <w:rPr>
          <w:rtl w:val="true"/>
        </w:rPr>
        <w:t>بيان</w:t>
      </w:r>
      <w:bookmarkEnd w:id="1428"/>
    </w:p>
    <w:p>
      <w:pPr>
        <w:pStyle w:val="BookText"/>
        <w:rPr/>
      </w:pPr>
      <w:r>
        <w:rPr>
          <w:rFonts w:ascii="Amiri" w:hAnsi="Amiri" w:eastAsia="Amiri" w:cs="Amiri"/>
          <w:color w:val="111111"/>
          <w:sz w:val="28"/>
          <w:sz w:val="28"/>
          <w:szCs w:val="28"/>
          <w:rtl w:val="true"/>
          <w:lang w:bidi="ar-SA"/>
        </w:rPr>
        <w:t>مكفورتان أي مستورتان عن الناس لا يعرفون قدرهما أو لا يشكرهما الناس لغفلتهم عن عظم شأنهما</w:t>
      </w:r>
      <w:r>
        <w:rPr>
          <w:rFonts w:eastAsia="Amiri" w:cs="Amiri" w:ascii="Amiri" w:hAnsi="Amiri"/>
          <w:color w:val="111111"/>
          <w:sz w:val="28"/>
          <w:szCs w:val="28"/>
          <w:rtl w:val="true"/>
          <w:lang w:bidi="ar-SA"/>
        </w:rPr>
        <w:t>.</w:t>
      </w:r>
    </w:p>
    <w:p>
      <w:pPr>
        <w:pStyle w:val="Heading5"/>
        <w:numPr>
          <w:ilvl w:val="4"/>
          <w:numId w:val="1"/>
        </w:numPr>
        <w:rPr/>
      </w:pPr>
      <w:bookmarkStart w:id="1429" w:name="__RefHeading___Toc606222_1934241801"/>
      <w:bookmarkStart w:id="1430" w:name="_Toc655"/>
      <w:bookmarkEnd w:id="1429"/>
      <w:r>
        <w:rPr>
          <w:rtl w:val="true"/>
        </w:rPr>
        <w:t>«</w:t>
      </w:r>
      <w:r>
        <w:rPr/>
        <w:t>2</w:t>
      </w:r>
      <w:r>
        <w:rPr>
          <w:rtl w:val="true"/>
        </w:rPr>
        <w:t>»</w:t>
      </w:r>
      <w:bookmarkEnd w:id="1430"/>
    </w:p>
    <w:p>
      <w:pPr>
        <w:pStyle w:val="BookText"/>
        <w:rPr/>
      </w:pPr>
      <w:r>
        <w:rPr>
          <w:rFonts w:ascii="Amiri" w:hAnsi="Amiri" w:eastAsia="Amiri" w:cs="Amiri"/>
          <w:color w:val="111111"/>
          <w:sz w:val="28"/>
          <w:sz w:val="28"/>
          <w:szCs w:val="28"/>
          <w:rtl w:val="true"/>
          <w:lang w:bidi="ar-SA"/>
        </w:rPr>
        <w:t>الْخِصَالُ، عَنْ أَبِيهِ عَنْ عَلِيِّ بْنِ إِبْرَاهِيمَ عَنْ أَبِيهِ عَنِ النَّوْفَلِيِّ عَنِ السَّكُونِيِّ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كَثِيرٌ مِنَ النَّاسِ مَفْتُونٌ فِيهِمَا الصِّحَّةُ وَ الْفَرَاغُ‌</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1" w:name="__RefHeading___Toc606224_1934241801"/>
      <w:bookmarkStart w:id="1432" w:name="_Toc656"/>
      <w:bookmarkEnd w:id="1431"/>
      <w:r>
        <w:rPr>
          <w:rtl w:val="true"/>
        </w:rPr>
        <w:t>«</w:t>
      </w:r>
      <w:r>
        <w:rPr/>
        <w:t>3</w:t>
      </w:r>
      <w:r>
        <w:rPr>
          <w:rtl w:val="true"/>
        </w:rPr>
        <w:t>»</w:t>
      </w:r>
      <w:bookmarkEnd w:id="1432"/>
    </w:p>
    <w:p>
      <w:pPr>
        <w:pStyle w:val="BookText"/>
        <w:rPr/>
      </w:pPr>
      <w:r>
        <w:rPr>
          <w:rFonts w:ascii="Amiri" w:hAnsi="Amiri" w:eastAsia="Amiri" w:cs="Amiri"/>
          <w:color w:val="111111"/>
          <w:sz w:val="28"/>
          <w:sz w:val="28"/>
          <w:szCs w:val="28"/>
          <w:rtl w:val="true"/>
          <w:lang w:bidi="ar-SA"/>
        </w:rPr>
        <w:t>وَ مِنْهُ، عَنِ الْخَلِيلِ بْنِ أَحْمَدَ عَنْ مُحَمَّدِ بْنِ مُعَاذٍ عَنِ الْحُسَيْنِ بْنِ الْحَسَنِ الْمَرْوَزِيِّ عَنْ عَبْدِ اللَّهِ بْنِ الْمُبَارَكِ وَ الْفَضْلِ بْنِ مُوسَي مَعاً عَنْ عَبْدِ اللَّهِ بْنِ سَعِيدِ بْنِ</w:t>
      </w:r>
    </w:p>
    <w:p>
      <w:pPr>
        <w:pStyle w:val="Heading3"/>
        <w:numPr>
          <w:ilvl w:val="2"/>
          <w:numId w:val="1"/>
        </w:numPr>
        <w:rPr/>
      </w:pPr>
      <w:bookmarkStart w:id="1433" w:name="__RefHeading___Toc606226_1934241801"/>
      <w:bookmarkStart w:id="1434" w:name="_Toc657"/>
      <w:bookmarkEnd w:id="1433"/>
      <w:r>
        <w:rPr>
          <w:rtl w:val="true"/>
        </w:rPr>
        <w:t xml:space="preserve">باب اول </w:t>
      </w:r>
      <w:r>
        <w:rPr>
          <w:rtl w:val="true"/>
        </w:rPr>
        <w:t xml:space="preserve">: </w:t>
      </w:r>
      <w:r>
        <w:rPr>
          <w:rtl w:val="true"/>
        </w:rPr>
        <w:t>فضل عافیت و مرض، ثواب مرض و علل و انواع آن</w:t>
      </w:r>
      <w:bookmarkEnd w:id="1434"/>
    </w:p>
    <w:p>
      <w:pPr>
        <w:pStyle w:val="Heading4"/>
        <w:numPr>
          <w:ilvl w:val="3"/>
          <w:numId w:val="1"/>
        </w:numPr>
        <w:rPr/>
      </w:pPr>
      <w:bookmarkStart w:id="1435" w:name="__RefHeading___Toc606228_1934241801"/>
      <w:bookmarkStart w:id="1436" w:name="_Toc658"/>
      <w:bookmarkEnd w:id="1435"/>
      <w:r>
        <w:rPr>
          <w:rtl w:val="true"/>
        </w:rPr>
        <w:t>روایات</w:t>
      </w:r>
      <w:bookmarkEnd w:id="1436"/>
    </w:p>
    <w:p>
      <w:pPr>
        <w:pStyle w:val="Heading5"/>
        <w:numPr>
          <w:ilvl w:val="4"/>
          <w:numId w:val="1"/>
        </w:numPr>
        <w:rPr/>
      </w:pPr>
      <w:bookmarkStart w:id="1437" w:name="__RefHeading___Toc606230_1934241801"/>
      <w:bookmarkStart w:id="1438" w:name="_Toc659"/>
      <w:bookmarkEnd w:id="1437"/>
      <w:r>
        <w:rPr>
          <w:rtl w:val="true"/>
        </w:rPr>
        <w:t xml:space="preserve">روایت </w:t>
      </w:r>
      <w:r>
        <w:rPr/>
        <w:t>1</w:t>
      </w:r>
      <w:bookmarkEnd w:id="1438"/>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علیهم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نعمت وجود دارند که ارج نهاده نمی شوند و مردم قدرشان را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عافیت</w:t>
      </w:r>
      <w:r>
        <w:rPr>
          <w:rFonts w:eastAsia="IRNazanin" w:cs="IRNazanin"/>
          <w:color w:val="111111"/>
          <w:sz w:val="28"/>
          <w:szCs w:val="28"/>
          <w:rtl w:val="true"/>
          <w:lang w:bidi="fa-IR"/>
        </w:rPr>
        <w:t>.</w:t>
      </w:r>
      <w:r>
        <w:rPr>
          <w:rStyle w:val="FootnoteAnchor"/>
          <w:rtl w:val="true"/>
        </w:rPr>
        <w:footnoteReference w:id="766"/>
      </w:r>
    </w:p>
    <w:p>
      <w:pPr>
        <w:pStyle w:val="Heading5"/>
        <w:numPr>
          <w:ilvl w:val="4"/>
          <w:numId w:val="1"/>
        </w:numPr>
        <w:rPr/>
      </w:pPr>
      <w:bookmarkStart w:id="1439" w:name="__RefHeading___Toc606232_1934241801"/>
      <w:bookmarkStart w:id="1440" w:name="_Toc660"/>
      <w:bookmarkEnd w:id="1439"/>
      <w:r>
        <w:rPr>
          <w:rtl w:val="true"/>
        </w:rPr>
        <w:t>توضیح</w:t>
      </w:r>
      <w:bookmarkEnd w:id="14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مکفورتان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پنهان هستند و قدرشان را نمی دانند، یا مردم به خاطر غفلت از عظمت شأن این دو نعمت سپاسگزار آن ها نیستند</w:t>
      </w:r>
      <w:r>
        <w:rPr>
          <w:rFonts w:eastAsia="IRNazanin" w:cs="IRNazanin"/>
          <w:color w:val="111111"/>
          <w:sz w:val="28"/>
          <w:szCs w:val="28"/>
          <w:rtl w:val="true"/>
          <w:lang w:bidi="fa-IR"/>
        </w:rPr>
        <w:t>.</w:t>
      </w:r>
    </w:p>
    <w:p>
      <w:pPr>
        <w:pStyle w:val="Heading5"/>
        <w:numPr>
          <w:ilvl w:val="4"/>
          <w:numId w:val="1"/>
        </w:numPr>
        <w:rPr/>
      </w:pPr>
      <w:bookmarkStart w:id="1441" w:name="__RefHeading___Toc606234_1934241801"/>
      <w:bookmarkStart w:id="1442" w:name="_Toc661"/>
      <w:bookmarkEnd w:id="1441"/>
      <w:r>
        <w:rPr>
          <w:rtl w:val="true"/>
        </w:rPr>
        <w:t xml:space="preserve">روایت </w:t>
      </w:r>
      <w:r>
        <w:rPr/>
        <w:t>2</w:t>
      </w:r>
      <w:bookmarkEnd w:id="1442"/>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علیهم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خصلت وجود دارند که بیشتر مردم با آن ها آزموده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آن ها فریفته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فراغت</w:t>
      </w:r>
      <w:r>
        <w:rPr>
          <w:rFonts w:eastAsia="IRNazanin" w:cs="IRNazanin"/>
          <w:color w:val="111111"/>
          <w:sz w:val="28"/>
          <w:szCs w:val="28"/>
          <w:rtl w:val="true"/>
          <w:lang w:bidi="fa-IR"/>
        </w:rPr>
        <w:t>.</w:t>
      </w:r>
      <w:r>
        <w:rPr>
          <w:rStyle w:val="FootnoteAnchor"/>
          <w:rtl w:val="true"/>
        </w:rPr>
        <w:footnoteReference w:id="767"/>
      </w:r>
    </w:p>
    <w:p>
      <w:pPr>
        <w:pStyle w:val="Heading5"/>
        <w:numPr>
          <w:ilvl w:val="4"/>
          <w:numId w:val="1"/>
        </w:numPr>
        <w:rPr/>
      </w:pPr>
      <w:bookmarkStart w:id="1443" w:name="__RefHeading___Toc606236_1934241801"/>
      <w:bookmarkStart w:id="1444" w:name="_Toc662"/>
      <w:bookmarkEnd w:id="1443"/>
      <w:r>
        <w:rPr>
          <w:rtl w:val="true"/>
        </w:rPr>
        <w:t xml:space="preserve">روایت </w:t>
      </w:r>
      <w:r>
        <w:rPr/>
        <w:t>3</w:t>
      </w:r>
      <w:bookmarkEnd w:id="144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bookmarkStart w:id="1445" w:name="pg13517_329202"/>
    </w:p>
    <w:p>
      <w:pPr>
        <w:pStyle w:val="BookText"/>
        <w:rPr/>
      </w:pPr>
      <w:bookmarkEnd w:id="1445"/>
      <w:r>
        <w:rPr>
          <w:rFonts w:ascii="Amiri" w:hAnsi="Amiri" w:eastAsia="Amiri" w:cs="Amiri"/>
          <w:color w:val="111111"/>
          <w:sz w:val="28"/>
          <w:sz w:val="28"/>
          <w:szCs w:val="28"/>
          <w:rtl w:val="true"/>
          <w:lang w:bidi="ar-SA"/>
        </w:rPr>
        <w:t>أَبِي هِنْدٍ عَنْ أَبِيهِ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نِعْمَتَانِ مَفْتُونٌ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كَثِيرٌ مِنَ النَّاسِ الْفَرَاغُ وَ الصِّحَّةُ</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6" w:name="__RefHeading___Toc606238_1934241801"/>
      <w:bookmarkStart w:id="1447" w:name="_Toc663"/>
      <w:bookmarkEnd w:id="1446"/>
      <w:r>
        <w:rPr>
          <w:rtl w:val="true"/>
        </w:rPr>
        <w:t>توضيح</w:t>
      </w:r>
      <w:bookmarkEnd w:id="1447"/>
    </w:p>
    <w:p>
      <w:pPr>
        <w:pStyle w:val="BookText"/>
        <w:rPr/>
      </w:pPr>
      <w:r>
        <w:rPr>
          <w:rFonts w:ascii="Amiri" w:hAnsi="Amiri" w:eastAsia="Amiri" w:cs="Amiri"/>
          <w:color w:val="111111"/>
          <w:sz w:val="28"/>
          <w:sz w:val="28"/>
          <w:szCs w:val="28"/>
          <w:rtl w:val="true"/>
          <w:lang w:bidi="ar-SA"/>
        </w:rPr>
        <w:t>مغبون في بعض النسخ بالغين المعجمة و الباء الموحدة قال في القاموس غبن الشي‌ء و فيه كفرح غبنا و غبنا نسيه أو أغفله أو غلط فيه و رأيه بالنصب غبانة و غبنا محركة ضعف فهو غبين و مغبون و غبنه في البيع يغبنه غبنا و يحرك أو بالتسكين في البيع و بالتحريك في الرأي خدعه و قد غبن كعني فهو مغبون انتهي فالمعني أنهم مخدوعون من الشيطان، في ترك شكرهما و يحتمل بعض المعاني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أكثر النسخ بالفاء و التاء أي مختبرون امتحنهم الله بهما و ابتلاهم ليري كيف شكرهم فيهما أو افتتنوا و وقعوا في الضلال و الإثم بهما و الفراغ التخلي من الشغل و العمل أو فراغ القلب من الخوف و الحزن و الأخير أنسب بالخبر الأول</w:t>
      </w:r>
      <w:r>
        <w:rPr>
          <w:rFonts w:eastAsia="Amiri" w:cs="Amiri" w:ascii="Amiri" w:hAnsi="Amiri"/>
          <w:color w:val="111111"/>
          <w:sz w:val="28"/>
          <w:szCs w:val="28"/>
          <w:rtl w:val="true"/>
          <w:lang w:bidi="ar-SA"/>
        </w:rPr>
        <w:t>.</w:t>
      </w:r>
    </w:p>
    <w:p>
      <w:pPr>
        <w:pStyle w:val="Heading5"/>
        <w:numPr>
          <w:ilvl w:val="4"/>
          <w:numId w:val="1"/>
        </w:numPr>
        <w:rPr/>
      </w:pPr>
      <w:bookmarkStart w:id="1448" w:name="__RefHeading___Toc606240_1934241801"/>
      <w:bookmarkStart w:id="1449" w:name="_Toc664"/>
      <w:bookmarkEnd w:id="1448"/>
      <w:r>
        <w:rPr>
          <w:rtl w:val="true"/>
        </w:rPr>
        <w:t>«</w:t>
      </w:r>
      <w:r>
        <w:rPr/>
        <w:t>4</w:t>
      </w:r>
      <w:r>
        <w:rPr>
          <w:rtl w:val="true"/>
        </w:rPr>
        <w:t>»</w:t>
      </w:r>
      <w:bookmarkEnd w:id="1449"/>
    </w:p>
    <w:p>
      <w:pPr>
        <w:pStyle w:val="BookText"/>
        <w:rPr/>
      </w:pPr>
      <w:r>
        <w:rPr>
          <w:rFonts w:ascii="Amiri" w:hAnsi="Amiri" w:eastAsia="Amiri" w:cs="Amiri"/>
          <w:color w:val="111111"/>
          <w:sz w:val="28"/>
          <w:sz w:val="28"/>
          <w:szCs w:val="28"/>
          <w:rtl w:val="true"/>
          <w:lang w:bidi="ar-SA"/>
        </w:rPr>
        <w:t>الْخِصَالُ، عَنْ أَبِيهِ عَنْ مُحَمَّدٍ الْعَطَّارِ عَنْ مُحَمَّدِ بْنِ أَحْمَدَ عَنِ الْجَامُورَانِيِّ عَنْ سِجَادَةَ عَنْ دُرُسْتَ عَنْ أَبِي خَالِدٍ السِّجِسْتَانِيِّ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خِصَالٍ مَنْ فَقَدَ مِنْهُنَّ وَاحِدَةً لَمْ يَزَلْ نَاقِصَ الْعَيْشِ زَائِلَ الْعَقْلِ مَشْغُولَ الْقَلْبِ فَأُولَاهَا صِحَّةُ الْبَدَنِ وَ الثَّانِيَةُ الْأَمْنُ وَ الثَّالِثَةُ السَّعَةُ فِي الرِّزْقِ وَ الرَّابِعَةُ الْأَنِيسُ الْمُوَافِقُ قُلْتُ وَ مَا الْأَنِيسُ الْمُوَافِقُ قَالَ الزَّوْجَةُ الصَّالِحَةُ وَ الْوَلَدُ الصَّالِحُ وَ الْخَلِيطُ الصَّالِحُ وَ الْخَامِسَةُ وَ هِيَ تَجْمَعُ هَذِهِ الْخِصَالَ الدَّعَةُ</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0" w:name="__RefHeading___Toc606242_1934241801"/>
      <w:bookmarkStart w:id="1451" w:name="_Toc665"/>
      <w:bookmarkEnd w:id="1450"/>
      <w:r>
        <w:rPr>
          <w:rtl w:val="true"/>
        </w:rPr>
        <w:t>بيان</w:t>
      </w:r>
      <w:bookmarkEnd w:id="1451"/>
    </w:p>
    <w:p>
      <w:pPr>
        <w:pStyle w:val="BookText"/>
        <w:rPr/>
      </w:pPr>
      <w:r>
        <w:rPr>
          <w:rFonts w:ascii="Amiri" w:hAnsi="Amiri" w:eastAsia="Amiri" w:cs="Amiri"/>
          <w:color w:val="111111"/>
          <w:sz w:val="28"/>
          <w:sz w:val="28"/>
          <w:szCs w:val="28"/>
          <w:rtl w:val="true"/>
          <w:lang w:bidi="ar-SA"/>
        </w:rPr>
        <w:t>الدعة السكون و قلة الأشغال قال في النهاية ودع بالضم وداعة و دعة أي سكن و ترفه و في الصحاح الدعة الخفض و الهاء عوض من الواو تقول منه ودع الرجل فهو وديع أي ساكن و رجل متدع أي صاحب دعة</w:t>
      </w:r>
    </w:p>
    <w:p>
      <w:pPr>
        <w:pStyle w:val="BookText"/>
        <w:rPr/>
      </w:pPr>
      <w:r>
        <w:rPr>
          <w:rFonts w:ascii="IRNazanin" w:hAnsi="IRNazanin" w:eastAsia="IRNazanin"/>
          <w:color w:val="111111"/>
          <w:sz w:val="28"/>
          <w:sz w:val="28"/>
          <w:szCs w:val="28"/>
          <w:rtl w:val="true"/>
          <w:lang w:bidi="fa-IR"/>
        </w:rPr>
        <w:t>ابن عباس از رسول خدا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نعمت وجود دارند که بیشتر مردم با آن ها آزموده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واسطه آن ها فریفته می شوند و زیان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و صحّت</w:t>
      </w:r>
      <w:r>
        <w:rPr>
          <w:rFonts w:eastAsia="IRNazanin" w:cs="IRNazanin"/>
          <w:color w:val="111111"/>
          <w:sz w:val="28"/>
          <w:szCs w:val="28"/>
          <w:rtl w:val="true"/>
          <w:lang w:bidi="fa-IR"/>
        </w:rPr>
        <w:t>.</w:t>
      </w:r>
      <w:r>
        <w:rPr>
          <w:rStyle w:val="FootnoteAnchor"/>
          <w:rtl w:val="true"/>
        </w:rPr>
        <w:footnoteReference w:id="770"/>
      </w:r>
    </w:p>
    <w:p>
      <w:pPr>
        <w:pStyle w:val="Heading5"/>
        <w:numPr>
          <w:ilvl w:val="4"/>
          <w:numId w:val="1"/>
        </w:numPr>
        <w:rPr/>
      </w:pPr>
      <w:bookmarkStart w:id="1452" w:name="__RefHeading___Toc606244_1934241801"/>
      <w:bookmarkStart w:id="1453" w:name="_Toc666"/>
      <w:bookmarkEnd w:id="1452"/>
      <w:r>
        <w:rPr>
          <w:rtl w:val="true"/>
        </w:rPr>
        <w:t>توضیح</w:t>
      </w:r>
      <w:bookmarkEnd w:id="1453"/>
    </w:p>
    <w:p>
      <w:pPr>
        <w:pStyle w:val="BookText"/>
        <w:rPr/>
      </w:pPr>
      <w:r>
        <w:rPr>
          <w:rFonts w:ascii="IRNazanin" w:hAnsi="IRNazanin" w:eastAsia="IRNazanin"/>
          <w:color w:val="111111"/>
          <w:sz w:val="28"/>
          <w:sz w:val="28"/>
          <w:szCs w:val="28"/>
          <w:rtl w:val="true"/>
          <w:lang w:bidi="fa-IR"/>
        </w:rPr>
        <w:t xml:space="preserve">در بعضی از نسخه 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غَبِنَ غَبانَةً و غَبنَاً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 و ذکاوتش سست و ضعیف 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غَبِین و مَغبون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فریفته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فریب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حدیث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جانب شیطان فریفته شده اند تا شکر این دو نعمت را به جا نیاورند؛ و احتمال معانی دیگر نیز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بیشتر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آزموده شده هستند و خدواند آن ها را به وسیله این دو نعمت امتحان و آزمایش می کند تا چگونگی شکرگزاری آن ها را به خاطر این دو نعمت ببیند، یا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فریفته می شوند و با این دو نعمت در دام گمراهی و گناه گرفتار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مشغولیّت و کار، یا فارغ بودن قلب از ترس و اندوه، و معنای دوّم با حدیث اوّل تناسب بیشتری دارد</w:t>
      </w:r>
      <w:r>
        <w:rPr>
          <w:rFonts w:eastAsia="IRNazanin" w:cs="IRNazanin"/>
          <w:color w:val="111111"/>
          <w:sz w:val="28"/>
          <w:szCs w:val="28"/>
          <w:rtl w:val="true"/>
          <w:lang w:bidi="fa-IR"/>
        </w:rPr>
        <w:t>.</w:t>
      </w:r>
    </w:p>
    <w:p>
      <w:pPr>
        <w:pStyle w:val="Heading5"/>
        <w:numPr>
          <w:ilvl w:val="4"/>
          <w:numId w:val="1"/>
        </w:numPr>
        <w:rPr/>
      </w:pPr>
      <w:bookmarkStart w:id="1454" w:name="__RefHeading___Toc606246_1934241801"/>
      <w:bookmarkStart w:id="1455" w:name="_Toc667"/>
      <w:bookmarkEnd w:id="1454"/>
      <w:r>
        <w:rPr>
          <w:rtl w:val="true"/>
        </w:rPr>
        <w:t xml:space="preserve">روایت </w:t>
      </w:r>
      <w:r>
        <w:rPr/>
        <w:t>4</w:t>
      </w:r>
      <w:bookmarkEnd w:id="1455"/>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خصلت وجود دارند که هرکسی فاقد یکی از آن ها باشد زندگی او پیوسته ناقص، عقلش زایل و قلبش مشغول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سلامت جسم،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رزق و روزی،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و همدم سازگار،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مونس و همدم سازگار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فرزندان و همنشینان صالح، پنچم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که خصلت های پیشین را در کنار هم گِرد می آورد</w:t>
      </w:r>
      <w:r>
        <w:rPr>
          <w:rFonts w:eastAsia="IRNazanin" w:cs="IRNazanin"/>
          <w:color w:val="111111"/>
          <w:sz w:val="28"/>
          <w:szCs w:val="28"/>
          <w:rtl w:val="true"/>
          <w:lang w:bidi="fa-IR"/>
        </w:rPr>
        <w:t>.</w:t>
      </w:r>
      <w:r>
        <w:rPr>
          <w:rStyle w:val="FootnoteAnchor"/>
          <w:rtl w:val="true"/>
        </w:rPr>
        <w:footnoteReference w:id="771"/>
      </w:r>
    </w:p>
    <w:p>
      <w:pPr>
        <w:pStyle w:val="Heading5"/>
        <w:numPr>
          <w:ilvl w:val="4"/>
          <w:numId w:val="1"/>
        </w:numPr>
        <w:rPr/>
      </w:pPr>
      <w:bookmarkStart w:id="1456" w:name="__RefHeading___Toc606248_1934241801"/>
      <w:bookmarkStart w:id="1457" w:name="_Toc668"/>
      <w:bookmarkEnd w:id="1456"/>
      <w:r>
        <w:rPr>
          <w:rtl w:val="true"/>
        </w:rPr>
        <w:t>توضیح</w:t>
      </w:r>
      <w:bookmarkEnd w:id="145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اندک بودن مشغولیّت، شیخ در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وَدُعَ، وداعة ودَعَةً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شد و آرامش یافت، و در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رفاه و ناز و نعمت ذکر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کلمه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که از اوّل آن حذف شده است، بنابراین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وَدَع الرّجل فهو ودیع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ساکن شد و آرامش یافت پس او آرامش یافته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صاحب آرامش </w:t>
      </w:r>
      <w:bookmarkStart w:id="1458" w:name="pg13517_329203"/>
    </w:p>
    <w:p>
      <w:pPr>
        <w:pStyle w:val="BookText"/>
        <w:rPr/>
      </w:pPr>
      <w:bookmarkEnd w:id="1458"/>
      <w:r>
        <w:rPr>
          <w:rFonts w:ascii="Amiri" w:hAnsi="Amiri" w:eastAsia="Amiri" w:cs="Amiri"/>
          <w:color w:val="111111"/>
          <w:sz w:val="28"/>
          <w:sz w:val="28"/>
          <w:szCs w:val="28"/>
          <w:rtl w:val="true"/>
          <w:lang w:bidi="ar-SA"/>
        </w:rPr>
        <w:t>و راحة و الموادعة المصالحة انتهي و يحتمل أن يكون المراد عدم المنازعة و المخاصمة</w:t>
      </w:r>
      <w:r>
        <w:rPr>
          <w:rFonts w:eastAsia="Amiri" w:cs="Amiri" w:ascii="Amiri" w:hAnsi="Amiri"/>
          <w:color w:val="111111"/>
          <w:sz w:val="28"/>
          <w:szCs w:val="28"/>
          <w:rtl w:val="true"/>
          <w:lang w:bidi="ar-SA"/>
        </w:rPr>
        <w:t>.</w:t>
      </w:r>
    </w:p>
    <w:p>
      <w:pPr>
        <w:pStyle w:val="Heading5"/>
        <w:numPr>
          <w:ilvl w:val="4"/>
          <w:numId w:val="1"/>
        </w:numPr>
        <w:rPr/>
      </w:pPr>
      <w:bookmarkStart w:id="1459" w:name="__RefHeading___Toc606250_1934241801"/>
      <w:bookmarkStart w:id="1460" w:name="_Toc669"/>
      <w:bookmarkEnd w:id="1459"/>
      <w:r>
        <w:rPr>
          <w:rtl w:val="true"/>
        </w:rPr>
        <w:t>«</w:t>
      </w:r>
      <w:r>
        <w:rPr/>
        <w:t>5</w:t>
      </w:r>
      <w:r>
        <w:rPr>
          <w:rtl w:val="true"/>
        </w:rPr>
        <w:t>»</w:t>
      </w:r>
      <w:bookmarkEnd w:id="1460"/>
    </w:p>
    <w:p>
      <w:pPr>
        <w:pStyle w:val="BookText"/>
        <w:rPr/>
      </w:pPr>
      <w:r>
        <w:rPr>
          <w:rFonts w:ascii="Amiri" w:hAnsi="Amiri" w:eastAsia="Amiri" w:cs="Amiri"/>
          <w:color w:val="111111"/>
          <w:sz w:val="28"/>
          <w:sz w:val="28"/>
          <w:szCs w:val="28"/>
          <w:rtl w:val="true"/>
          <w:lang w:bidi="ar-SA"/>
        </w:rPr>
        <w:t>مَجَالِسُ الصَّدُوقِ، عَنْ أَحْمَدَ بْنِ يَحْيَي الْمُكَتِّبِ عَنْ أَحْمَدَ بْنِ مُحَمَّدٍ الْوَرَّاقِ عَنْ بِشْرِ بْنِ سَعِيدِ بْنِ قَلْبَوَيْهِ عَنْ عَبْدِ الْجَبَّارِ بْنِ كَثِيرٍ قَالَ سَمِعْتُ مُحَمَّدَ بْنَ حَرْبٍ الْهِلَالِيَّ أَمِيرَ الْمَدِينَةِ يَقُولُ سَمِعْتُ الصَّادِقَ جَعْفَرَ بْنَ مُحَمَّدٍ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 نِعْمَةٌ خَفِيَّةٌ إِذَا وُجِدَتْ نُسِيَتْ وَ إِذَا فُقِدَتْ ذُكِرَتْ‌</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سَمِعْتُ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 نِعْمَةٌ يَعْجِزُ الشُّكْرُ عَنْهَا</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1" w:name="__RefHeading___Toc606252_1934241801"/>
      <w:bookmarkStart w:id="1462" w:name="_Toc670"/>
      <w:bookmarkEnd w:id="1461"/>
      <w:r>
        <w:rPr>
          <w:rtl w:val="true"/>
        </w:rPr>
        <w:t>«</w:t>
      </w:r>
      <w:r>
        <w:rPr/>
        <w:t>6</w:t>
      </w:r>
      <w:r>
        <w:rPr>
          <w:rtl w:val="true"/>
        </w:rPr>
        <w:t>»</w:t>
      </w:r>
      <w:bookmarkEnd w:id="1462"/>
    </w:p>
    <w:p>
      <w:pPr>
        <w:pStyle w:val="BookText"/>
        <w:rPr/>
      </w:pPr>
      <w:r>
        <w:rPr>
          <w:rFonts w:ascii="Amiri" w:hAnsi="Amiri" w:eastAsia="Amiri" w:cs="Amiri"/>
          <w:color w:val="111111"/>
          <w:sz w:val="28"/>
          <w:sz w:val="28"/>
          <w:szCs w:val="28"/>
          <w:rtl w:val="true"/>
          <w:lang w:bidi="ar-SA"/>
        </w:rPr>
        <w:t>وَ مِنْهُ، عَنِ الْحُسَيْنِ بْنِ أَحْمَدَ بْنِ إِدْرِيسَ عَنْ أَبِيهِ عَنْ إِبْرَاهِيمَ بْنِ هَاشِمٍ عَنْ إِسْمَاعِيلَ بْنِ مَرَّارٍ عَنْ يُونُسَ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لَمْ يَكُنْ فِيهِ لَمْ يَتَهَنَّ بِالْعَيْشِ الصِّحَّةُ وَ الْأَمْنُ وَ الْغِنَي وَ الْقَنَاعَةُ وَ الْأَنِيسُ الْمُوَافِقُ‌</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3" w:name="__RefHeading___Toc606254_1934241801"/>
      <w:bookmarkStart w:id="1464" w:name="_Toc671"/>
      <w:bookmarkEnd w:id="1463"/>
      <w:r>
        <w:rPr>
          <w:rtl w:val="true"/>
        </w:rPr>
        <w:t>«</w:t>
      </w:r>
      <w:r>
        <w:rPr/>
        <w:t>7</w:t>
      </w:r>
      <w:r>
        <w:rPr>
          <w:rtl w:val="true"/>
        </w:rPr>
        <w:t>»</w:t>
      </w:r>
      <w:bookmarkEnd w:id="1464"/>
    </w:p>
    <w:p>
      <w:pPr>
        <w:pStyle w:val="BookText"/>
        <w:rPr/>
      </w:pPr>
      <w:r>
        <w:rPr>
          <w:rFonts w:ascii="Amiri" w:hAnsi="Amiri" w:eastAsia="Amiri" w:cs="Amiri"/>
          <w:color w:val="111111"/>
          <w:sz w:val="28"/>
          <w:sz w:val="28"/>
          <w:szCs w:val="28"/>
          <w:rtl w:val="true"/>
          <w:lang w:bidi="ar-SA"/>
        </w:rPr>
        <w:t>مَعَانِي الْأَخْبَارِ، عَنْ مُحَمَّدِ بْنِ أَحْمَدَ بْنِ تَمِيمٍ عَنْ مُحَمَّدِ بْنِ إِدْرِيسَ عَنْ مُحَمَّدِ بْنِ مُهَاجِرٍ عَنِ الْجَرِيرِيِّ عَنْ أَبِي الْوَرْدِ بْنِ تَمَّامٍ عَنِ اللَّجْلَاجِ عَنْ مُعَاذِ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النَّبِيِّ صلي الله عليه و آله فَمَرَّ بِرَجُلٍ يَدْعُو هُوَ يَقُولُ أَسْأَلُكَ اللَّهُمَّ الصَّبْرَ فَقَالَ لَهُ النَّبِيُّ صلي الله عليه و آله سَأَلْتَ الْبَلَاءَ فَاسْأَلِ اللَّهَ الْعَافِيَةَ الْخَبَرَ</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5" w:name="__RefHeading___Toc606256_1934241801"/>
      <w:bookmarkStart w:id="1466" w:name="_Toc672"/>
      <w:bookmarkEnd w:id="1465"/>
      <w:r>
        <w:rPr>
          <w:rtl w:val="true"/>
        </w:rPr>
        <w:t>«</w:t>
      </w:r>
      <w:r>
        <w:rPr/>
        <w:t>8</w:t>
      </w:r>
      <w:r>
        <w:rPr>
          <w:rtl w:val="true"/>
        </w:rPr>
        <w:t>»</w:t>
      </w:r>
      <w:bookmarkEnd w:id="1466"/>
    </w:p>
    <w:p>
      <w:pPr>
        <w:pStyle w:val="BookText"/>
        <w:rPr/>
      </w:pPr>
      <w:r>
        <w:rPr>
          <w:rFonts w:ascii="Amiri" w:hAnsi="Amiri" w:eastAsia="Amiri" w:cs="Amiri"/>
          <w:color w:val="111111"/>
          <w:sz w:val="28"/>
          <w:sz w:val="28"/>
          <w:szCs w:val="28"/>
          <w:rtl w:val="true"/>
          <w:lang w:bidi="ar-SA"/>
        </w:rPr>
        <w:t>وَ مِنْهُ، عَنْ أَبِيهِ عَنْ سَعْدِ بْنِ عَبْدِ اللَّهِ عَنْ أَحْمَدَ بْنِ مُحَمَّدٍ عَنْ أَبِيهِ عَنْ صَفْوَانَ عَنِ الْحَكَمِ الْحَنَّاطِ عَنْ زَيْدٍ الشَّحَّامِ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النَّعِيمُ فِي الدُّنْيَا الْأَمْنُ وَ صِحَّةُ الْجِسْمِ وَ تَمَامُ النِّعْمَةِ فِي الْآخِرَةِ دُخُولُ الْجَنَّةِ وَ مَا تَمَّتِ النِّعْمَةُ عَلَي عَبْدٍ قَطُّ مَا لَمْ يَدْخُلِ الْجَنَّةَ</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7" w:name="__RefHeading___Toc606258_1934241801"/>
      <w:bookmarkStart w:id="1468" w:name="_Toc673"/>
      <w:bookmarkEnd w:id="1467"/>
      <w:r>
        <w:rPr>
          <w:rtl w:val="true"/>
        </w:rPr>
        <w:t>«</w:t>
      </w:r>
      <w:r>
        <w:rPr/>
        <w:t>9</w:t>
      </w:r>
      <w:r>
        <w:rPr>
          <w:rtl w:val="true"/>
        </w:rPr>
        <w:t>»</w:t>
      </w:r>
      <w:bookmarkEnd w:id="1468"/>
    </w:p>
    <w:p>
      <w:pPr>
        <w:pStyle w:val="BookText"/>
        <w:rPr/>
      </w:pPr>
      <w:r>
        <w:rPr>
          <w:rFonts w:ascii="Amiri" w:hAnsi="Amiri" w:eastAsia="Amiri" w:cs="Amiri"/>
          <w:color w:val="111111"/>
          <w:sz w:val="28"/>
          <w:sz w:val="28"/>
          <w:szCs w:val="28"/>
          <w:rtl w:val="true"/>
          <w:lang w:bidi="ar-SA"/>
        </w:rPr>
        <w:t>وَ مِنْهُ، عَنْ أَبِيهِ عَنْ سَعْدِ بْنِ عَبْدِ اللَّهِ عَنْ أَحْمَدَ بْنِ مُحَمَّدٍ عَنِ ابْنِ فَضَّالٍ</w:t>
      </w:r>
    </w:p>
    <w:p>
      <w:pPr>
        <w:pStyle w:val="BookText"/>
        <w:rPr/>
      </w:pPr>
      <w:r>
        <w:rPr>
          <w:rFonts w:ascii="IRNazanin" w:hAnsi="IRNazanin" w:eastAsia="IRNazanin"/>
          <w:color w:val="111111"/>
          <w:sz w:val="28"/>
          <w:sz w:val="28"/>
          <w:szCs w:val="28"/>
          <w:rtl w:val="true"/>
          <w:lang w:bidi="fa-IR"/>
        </w:rPr>
        <w:t xml:space="preserve">و رفاه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و برقراری آرامش، و ممکن است منظور عدم منازعه و خصومت باشد</w:t>
      </w:r>
      <w:r>
        <w:rPr>
          <w:rFonts w:eastAsia="IRNazanin" w:cs="IRNazanin"/>
          <w:color w:val="111111"/>
          <w:sz w:val="28"/>
          <w:szCs w:val="28"/>
          <w:rtl w:val="true"/>
          <w:lang w:bidi="fa-IR"/>
        </w:rPr>
        <w:t>.</w:t>
      </w:r>
    </w:p>
    <w:p>
      <w:pPr>
        <w:pStyle w:val="Heading5"/>
        <w:numPr>
          <w:ilvl w:val="4"/>
          <w:numId w:val="1"/>
        </w:numPr>
        <w:rPr/>
      </w:pPr>
      <w:bookmarkStart w:id="1469" w:name="__RefHeading___Toc606260_1934241801"/>
      <w:bookmarkStart w:id="1470" w:name="_Toc674"/>
      <w:bookmarkEnd w:id="1469"/>
      <w:r>
        <w:rPr>
          <w:rtl w:val="true"/>
        </w:rPr>
        <w:t xml:space="preserve">روایت </w:t>
      </w:r>
      <w:r>
        <w:rPr/>
        <w:t>5</w:t>
      </w:r>
      <w:bookmarkEnd w:id="1470"/>
    </w:p>
    <w:p>
      <w:p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نعمت پنهانی است که هرگاه موجود است فراموش می شود و هرگاه از دست رود به یاد آورده می شود</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همچنین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نعمتی است که کسی از عهده شکر آن برنمی آید</w:t>
      </w:r>
      <w:r>
        <w:rPr>
          <w:rFonts w:eastAsia="IRNazanin" w:cs="IRNazanin"/>
          <w:color w:val="111111"/>
          <w:sz w:val="28"/>
          <w:szCs w:val="28"/>
          <w:rtl w:val="true"/>
          <w:lang w:bidi="fa-IR"/>
        </w:rPr>
        <w:t>.</w:t>
      </w:r>
      <w:r>
        <w:rPr>
          <w:rStyle w:val="FootnoteAnchor"/>
          <w:rtl w:val="true"/>
        </w:rPr>
        <w:footnoteReference w:id="778"/>
      </w:r>
    </w:p>
    <w:p>
      <w:pPr>
        <w:pStyle w:val="Heading5"/>
        <w:numPr>
          <w:ilvl w:val="4"/>
          <w:numId w:val="1"/>
        </w:numPr>
        <w:rPr/>
      </w:pPr>
      <w:bookmarkStart w:id="1471" w:name="__RefHeading___Toc606262_1934241801"/>
      <w:bookmarkStart w:id="1472" w:name="_Toc675"/>
      <w:bookmarkEnd w:id="1471"/>
      <w:r>
        <w:rPr>
          <w:rtl w:val="true"/>
        </w:rPr>
        <w:t xml:space="preserve">روایت </w:t>
      </w:r>
      <w:r>
        <w:rPr/>
        <w:t>6</w:t>
      </w:r>
      <w:bookmarkEnd w:id="1472"/>
    </w:p>
    <w:p>
      <w:p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خصلت وجود دارند که در هر کسی نباشند از زندگی لذت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امنیّت، بی نیازی، قناعت، مونس و همدم سازگار</w:t>
      </w:r>
      <w:r>
        <w:rPr>
          <w:rFonts w:eastAsia="IRNazanin" w:cs="IRNazanin"/>
          <w:color w:val="111111"/>
          <w:sz w:val="28"/>
          <w:szCs w:val="28"/>
          <w:rtl w:val="true"/>
          <w:lang w:bidi="fa-IR"/>
        </w:rPr>
        <w:t>.</w:t>
      </w:r>
      <w:r>
        <w:rPr>
          <w:rStyle w:val="FootnoteAnchor"/>
          <w:rtl w:val="true"/>
        </w:rPr>
        <w:footnoteReference w:id="779"/>
      </w:r>
    </w:p>
    <w:p>
      <w:pPr>
        <w:pStyle w:val="Heading5"/>
        <w:numPr>
          <w:ilvl w:val="4"/>
          <w:numId w:val="1"/>
        </w:numPr>
        <w:rPr/>
      </w:pPr>
      <w:bookmarkStart w:id="1473" w:name="__RefHeading___Toc606264_1934241801"/>
      <w:bookmarkStart w:id="1474" w:name="_Toc676"/>
      <w:bookmarkEnd w:id="1473"/>
      <w:r>
        <w:rPr>
          <w:rtl w:val="true"/>
        </w:rPr>
        <w:t xml:space="preserve">روایت </w:t>
      </w:r>
      <w:r>
        <w:rPr/>
        <w:t>7</w:t>
      </w:r>
      <w:bookmarkEnd w:id="1474"/>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صلی الله علیه و آله بودم، پس بر مردی گذر کرد که مشغول دعا بود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أسألک اللّهم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صبر مسألت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بلا و مصیبت نمودی، به جای آن از خداوند عافیت را درخواست کن، حدیث</w:t>
      </w:r>
      <w:r>
        <w:rPr>
          <w:rFonts w:eastAsia="IRNazanin" w:cs="IRNazanin"/>
          <w:color w:val="111111"/>
          <w:sz w:val="28"/>
          <w:szCs w:val="28"/>
          <w:rtl w:val="true"/>
          <w:lang w:bidi="fa-IR"/>
        </w:rPr>
        <w:t>.</w:t>
      </w:r>
      <w:r>
        <w:rPr>
          <w:rStyle w:val="FootnoteAnchor"/>
          <w:rtl w:val="true"/>
        </w:rPr>
        <w:footnoteReference w:id="780"/>
      </w:r>
    </w:p>
    <w:p>
      <w:pPr>
        <w:pStyle w:val="Heading5"/>
        <w:numPr>
          <w:ilvl w:val="4"/>
          <w:numId w:val="1"/>
        </w:numPr>
        <w:rPr/>
      </w:pPr>
      <w:bookmarkStart w:id="1475" w:name="__RefHeading___Toc606266_1934241801"/>
      <w:bookmarkStart w:id="1476" w:name="_Toc677"/>
      <w:bookmarkEnd w:id="1475"/>
      <w:r>
        <w:rPr>
          <w:rtl w:val="true"/>
        </w:rPr>
        <w:t xml:space="preserve">روایت </w:t>
      </w:r>
      <w:r>
        <w:rPr/>
        <w:t>8</w:t>
      </w:r>
      <w:bookmarkEnd w:id="1476"/>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و نعمت در دنیا امنیّت و سلامت جسم است و تمام نعمت در آخرت با وارد شدن به بهشت است، و تا زمانی که عبد و بنده ای وارد بهشت نشود هرگز نعمت بر او کامل نمی گردد</w:t>
      </w:r>
      <w:r>
        <w:rPr>
          <w:rFonts w:eastAsia="IRNazanin" w:cs="IRNazanin"/>
          <w:color w:val="111111"/>
          <w:sz w:val="28"/>
          <w:szCs w:val="28"/>
          <w:rtl w:val="true"/>
          <w:lang w:bidi="fa-IR"/>
        </w:rPr>
        <w:t>.</w:t>
      </w:r>
      <w:r>
        <w:rPr>
          <w:rStyle w:val="FootnoteAnchor"/>
          <w:rtl w:val="true"/>
        </w:rPr>
        <w:footnoteReference w:id="781"/>
      </w:r>
    </w:p>
    <w:p>
      <w:pPr>
        <w:pStyle w:val="Heading5"/>
        <w:numPr>
          <w:ilvl w:val="4"/>
          <w:numId w:val="1"/>
        </w:numPr>
        <w:rPr/>
      </w:pPr>
      <w:bookmarkStart w:id="1477" w:name="__RefHeading___Toc606268_1934241801"/>
      <w:bookmarkStart w:id="1478" w:name="_Toc678"/>
      <w:bookmarkEnd w:id="1477"/>
      <w:r>
        <w:rPr>
          <w:rtl w:val="true"/>
        </w:rPr>
        <w:t xml:space="preserve">روایت </w:t>
      </w:r>
      <w:r>
        <w:rPr/>
        <w:t>9</w:t>
      </w:r>
      <w:bookmarkEnd w:id="147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bookmarkStart w:id="1479" w:name="pg13517_329204"/>
    </w:p>
    <w:p>
      <w:pPr>
        <w:pStyle w:val="BookText"/>
        <w:rPr/>
      </w:pPr>
      <w:bookmarkEnd w:id="1479"/>
      <w:r>
        <w:rPr>
          <w:rFonts w:ascii="Amiri" w:hAnsi="Amiri" w:eastAsia="Amiri" w:cs="Amiri"/>
          <w:color w:val="111111"/>
          <w:sz w:val="28"/>
          <w:sz w:val="28"/>
          <w:szCs w:val="28"/>
          <w:rtl w:val="true"/>
          <w:lang w:bidi="ar-SA"/>
        </w:rPr>
        <w:t>عَنْ يُونُسَ بْنِ يَعْقُوبَ عَنْ شُعَيْبِ بْنِ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شَيْ‌ءٌ يُرْوَي عَنْ أَبِي ذَرٍّ رَحِمَهُ اللَّهُ أَنَّهُ قَالَ ثَلَاثَةٌ يُبْغِضُهَا النَّاسُ وَ أَنَا أُحِبُّهَا أُحِبُّ الْمَوْتَ وَ أُحِبُّ الْفَقْرَ وَ أُحِبُّ الْبَلَاءَ فَقَالَ هَذَا لَيْسَ عَلَي مَا يَرْوُونَ إِنَّمَا عَنَي الْمَوْتَ فِي طَاعَةِ اللَّهِ أَحَبُّ إِلَيَّ مِنَ الْحَيَاةِ فِي مَعْصِيَةِ اللَّهِ وَ الْفَقْرُ فِي طَاعَةِ اللَّهِ أَحَبُّ إِلَيَّ مِنَ الْغِنَي فِي مَعْصِيَةِ اللَّهِ وَ الْبَلَاءُ فِي طَاعَةِ اللَّهِ أَحَبُّ إِلَيَّ مِنَ الصِّحَّةِ فِي مَعْصِيَةِ اللَّهِ‌</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0" w:name="__RefHeading___Toc606270_1934241801"/>
      <w:bookmarkStart w:id="1481" w:name="_Toc679"/>
      <w:bookmarkEnd w:id="1480"/>
      <w:r>
        <w:rPr>
          <w:rtl w:val="true"/>
        </w:rPr>
        <w:t>«</w:t>
      </w:r>
      <w:r>
        <w:rPr/>
        <w:t>10</w:t>
      </w:r>
      <w:r>
        <w:rPr>
          <w:rtl w:val="true"/>
        </w:rPr>
        <w:t>»</w:t>
      </w:r>
      <w:bookmarkEnd w:id="1481"/>
    </w:p>
    <w:p>
      <w:pPr>
        <w:pStyle w:val="BookText"/>
        <w:rPr/>
      </w:pPr>
      <w:r>
        <w:rPr>
          <w:rFonts w:ascii="Amiri" w:hAnsi="Amiri" w:eastAsia="Amiri" w:cs="Amiri"/>
          <w:color w:val="111111"/>
          <w:sz w:val="28"/>
          <w:sz w:val="28"/>
          <w:szCs w:val="28"/>
          <w:rtl w:val="true"/>
          <w:lang w:bidi="ar-SA"/>
        </w:rPr>
        <w:t>وَ مِنْهُ، عَنْ أَبِيهِ عَنْ سَعْدٍ عَنْ أَحْمَدَ بْنِ أَبِي عَبْدِ اللَّهِ عَنْ مُحَمَّدِ بْنِ عَلِيٍّ عَنِ الْحَارِثِ بْنِ الْحَسَنِ الطَّحَّانِ عَنْ إِبْرَاهِيمَ بْنِ عَبْدِ اللَّهِ عَنْ فُضَيْلِ بْنِ يَسَارٍ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 أَحَدُكُمْ حَقِيقَةَ الْإِيمَانِ حَتَّي يَكُونَ فِيهِ ثَلَاثُ خِصَالٍ حَتَّي يَكُونَ الْمَوْتُ أَحَبَّ إِلَيْهِ مِنَ الْحَيَاةِ وَ الْفَقْرُ أَحَبُّ إِلَيْهِ مِنَ الْغِنَي وَ الْمَرَضُ أَحَبُّ إِلَيْهِ مِنَ الصِّحَّةِ قُلْنَا وَ مَنْ يَكُونُ كَذَا قَالَ كُلُّكُمْ ثُمَّ قَالَ أَيُّمَا أَحَبُّ إِلَي أَحَدِكُمْ يَمُوتُ فِي حُبِّنَا أَوْ يَعِيشُ فِي بُغْضِنَا فَقُلْتُ نَمُوتُ وَ اللَّهِ فِي حُبِّكُمْ أَحَبُّ إِلَيْنَا قَالَ وَ كَذَلِكَ الْفَقْرُ وَ الْغِنَي وَ الْمَرَضُ وَ الصِّحَّةُ قُلْتُ إِي وَ اللَّهِ‌</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2" w:name="__RefHeading___Toc606272_1934241801"/>
      <w:bookmarkStart w:id="1483" w:name="_Toc680"/>
      <w:bookmarkEnd w:id="1482"/>
      <w:r>
        <w:rPr>
          <w:rtl w:val="true"/>
        </w:rPr>
        <w:t>«</w:t>
      </w:r>
      <w:r>
        <w:rPr/>
        <w:t>11</w:t>
      </w:r>
      <w:r>
        <w:rPr>
          <w:rtl w:val="true"/>
        </w:rPr>
        <w:t>»</w:t>
      </w:r>
      <w:bookmarkEnd w:id="1483"/>
    </w:p>
    <w:p>
      <w:pPr>
        <w:pStyle w:val="BookText"/>
        <w:rPr/>
      </w:pPr>
      <w:r>
        <w:rPr>
          <w:rFonts w:ascii="Amiri" w:hAnsi="Amiri" w:eastAsia="Amiri" w:cs="Amiri"/>
          <w:color w:val="111111"/>
          <w:sz w:val="28"/>
          <w:sz w:val="28"/>
          <w:szCs w:val="28"/>
          <w:rtl w:val="true"/>
          <w:lang w:bidi="ar-SA"/>
        </w:rPr>
        <w:t>دَعَوَاتُ الرَّاوَنْدِيِّ،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بِضَاعَةٌ وَ التَّوَانِي إِضَاعَةٌ أَلَا إِنَّ مِنَ النِّعَمِ سَعَةَ الْمَالِ وَ أَفْضَلُ مِنْ سَعَةِ الْمَالِ صِحَّةُ الْبَدَنِ وَ أَفْضَلُ مِنْ صِحَّةِ الْبَدَنِ تَقْوَي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السَّلَامَةُ مَعَ الِاسْتِقَامَةِ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 خَمْساً قَبْلَ خَمْسٍ شَبَابَكَ قَبْلَ هَرَمِكَ وَ صِحَّتَكَ قَبْلَ سُقْمِكَ وَ غِنَاكَ قَبْلَ فَقْرِكَ وَ فَرَاغَكَ قَبْلَ شُغْلِكَ وَ حَيَاتَكَ قَبْلَ مَوْتِكَ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مَا يَسْأَلُ اللَّهَ الْعَبْدُ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عِيسَي عليه السلام النَّاسُ رَجُلَانِ مُعَافًي وَ مُبْتَلًي فَارْحَمُوا الْمُبْتَلَي وَ احْمَدُوا اللَّهَ عَلَي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حِكْمَةِ آلِ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 الْمُلْكُ الْخَفِيُّ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شعیب العقرقوفیّ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از ابوذر غفاری رحمة الله روایت شده که گویا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سه چیز بیزارند درحالی که من آن ها را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تنگدستی، بلا و مصیبت، 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چنان که روایت می کنند نبوده است، منظور ابوذر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 سبب اطاعت از اوامر خداوند نزد من از زندگی کردن در حال معصیت خداوند دوست داشتنی تر است، تنگدستی به سبب اطاعت از اوامر خداوند نزد من از ثروتمندی در حال معصیت خداوند دوست داشتنی تر است، و بلا و مصیبت به سبب اطاعت از اوامر خداوند نزد من از صحّت و سلامت در حال معصیت خداوند دوست داشتنی تر است</w:t>
      </w:r>
      <w:r>
        <w:rPr>
          <w:rFonts w:eastAsia="IRNazanin" w:cs="IRNazanin"/>
          <w:color w:val="111111"/>
          <w:sz w:val="28"/>
          <w:szCs w:val="28"/>
          <w:rtl w:val="true"/>
          <w:lang w:bidi="fa-IR"/>
        </w:rPr>
        <w:t xml:space="preserve">. </w:t>
      </w:r>
      <w:r>
        <w:rPr>
          <w:rStyle w:val="FootnoteAnchor"/>
          <w:rtl w:val="true"/>
        </w:rPr>
        <w:footnoteReference w:id="784"/>
      </w:r>
    </w:p>
    <w:p>
      <w:pPr>
        <w:pStyle w:val="Heading5"/>
        <w:numPr>
          <w:ilvl w:val="4"/>
          <w:numId w:val="1"/>
        </w:numPr>
        <w:rPr/>
      </w:pPr>
      <w:bookmarkStart w:id="1484" w:name="__RefHeading___Toc606274_1934241801"/>
      <w:bookmarkStart w:id="1485" w:name="_Toc681"/>
      <w:bookmarkEnd w:id="1484"/>
      <w:r>
        <w:rPr>
          <w:rtl w:val="true"/>
        </w:rPr>
        <w:t xml:space="preserve">روایت </w:t>
      </w:r>
      <w:r>
        <w:rPr/>
        <w:t>10</w:t>
      </w:r>
      <w:bookmarkEnd w:id="1485"/>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به حقیقت ایمان دست نمی یابد مگر آنکه سه خصلت در او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بیشتر از زندگی، فقر را بیشتر از ثروتمندی و مرض را بیشتر از سلامتی دوست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چنین می باشد؟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چنین می باشید،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شما کدام مورد را بیشتر دوست می دارد، در محبت ما بمیرد یا با بغض و کینه ما زندگی کند؟ گفتم؟ به خدا سوگند، در محبت شما نزد ما دوست داشتنی تر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نسبت به فقر و ثروتمندی و مرض و سلامتی نیز چنین هستید،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آری</w:t>
      </w:r>
      <w:r>
        <w:rPr>
          <w:rFonts w:eastAsia="IRNazanin" w:cs="IRNazanin"/>
          <w:color w:val="111111"/>
          <w:sz w:val="28"/>
          <w:szCs w:val="28"/>
          <w:rtl w:val="true"/>
          <w:lang w:bidi="fa-IR"/>
        </w:rPr>
        <w:t xml:space="preserve">. </w:t>
      </w:r>
      <w:r>
        <w:rPr>
          <w:rStyle w:val="FootnoteAnchor"/>
          <w:rtl w:val="true"/>
        </w:rPr>
        <w:footnoteReference w:id="785"/>
      </w:r>
    </w:p>
    <w:p>
      <w:pPr>
        <w:pStyle w:val="Heading5"/>
        <w:numPr>
          <w:ilvl w:val="4"/>
          <w:numId w:val="1"/>
        </w:numPr>
        <w:rPr/>
      </w:pPr>
      <w:bookmarkStart w:id="1486" w:name="__RefHeading___Toc606276_1934241801"/>
      <w:bookmarkStart w:id="1487" w:name="_Toc682"/>
      <w:bookmarkEnd w:id="1486"/>
      <w:r>
        <w:rPr>
          <w:rtl w:val="true"/>
        </w:rPr>
        <w:t xml:space="preserve">روایت </w:t>
      </w:r>
      <w:r>
        <w:rPr/>
        <w:t>11</w:t>
      </w:r>
      <w:bookmarkEnd w:id="1487"/>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 سرمایه است و ضعف و سستی ضرر و زیان، همانا وسعت مال نعمت است و تندرستی جسم از وسعت مال و تقوای قلب از تندرستی جسم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پنج خصلت را قبل از روی دادن پنج خصلت دیگر غنمیت بشمار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قبل از پیری، تندرستی قبل از بیماری، توانگری قبل از نیازمندی، فراغت قبل از مشغولیّت، و زندگی قبل از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انسان از خداوند درخواست می کند عافیت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دو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بیمار، پس به انسان های بیمار رحم کنید و خداوند را به خاطر تندرستی شکرگزار باشید؛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حکمت آل داوود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 مُلک و دارایی پنهان است</w:t>
      </w:r>
      <w:r>
        <w:rPr>
          <w:rFonts w:eastAsia="IRNazanin" w:cs="IRNazanin"/>
          <w:color w:val="111111"/>
          <w:sz w:val="28"/>
          <w:szCs w:val="28"/>
          <w:rtl w:val="true"/>
          <w:lang w:bidi="fa-IR"/>
        </w:rPr>
        <w:t xml:space="preserve">. </w:t>
      </w:r>
      <w:bookmarkStart w:id="1488" w:name="pg13517_329205"/>
    </w:p>
    <w:p>
      <w:pPr>
        <w:pStyle w:val="BookText"/>
        <w:rPr/>
      </w:pPr>
      <w:bookmarkEnd w:id="1488"/>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دَخَلَ عَلَي مَرِيضٍ فَقَالَ مَا شَأْنُكَ قَالَ صَلَّيْتَ بِنَا صَلَاةَ الْمَغْرِبِ فَقَرَأْتَ الْقَارِعَةَ فَقُلْتُ اللَّهُمَّ إِنْ كَانَ لِي عِنْدَكَ ذَنْبٌ تُرِيدُ أَنْ تُعَذِّبَنِي بِهِ فِي الْآخِرَةِ فَعَجِّلْ ذَلِكَ فِي الدُّنْيَا فَصِرْتُ كَمَا تَرَي فَقَالَ صلي الله عليه و آله بِئْسَمَا قُلْتَ أَ لَا قُلْتَ رَبَّنا آتِنا فِي الدُّنْيا حَسَنَةً وَ فِي الْآخِرَةِ حَسَنَةً وَ قِنا عَذابَ النَّارِ فَدَعَا لَهُ حَتَّي أَفَاقَ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فِي الدُّنْيَا الصِّحَّةُ وَ الْعَافِيَةُ وَ فِي الْآخِرَةِ الْمَغْفِرَةُ وَ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بِالسَّلَامَةِ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حَبِيبَتَا عَبْدٍ فَيَصْبِرُ وَ يَحْتَسِبُ إِلَّا أُدْخِلَ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يُبْغِضُ الْعِفْرِيَةَ النِّفْرِيَةَ الَّذِي لَمْ يُرْزَأْ فِي جِسْمِهِ وَ لَا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لَيَكُونُ لَهُ الدَّرَجَةُ عِنْدَ اللَّهِ لَا يَبْلُغُهَا بِعَمَلِهِ يُبْتَلَي بِبَلَاءٍ فِي جِسْمِهِ فَيَبْلُغُهَا بِذَلِكَ‌</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9" w:name="__RefHeading___Toc606278_1934241801"/>
      <w:bookmarkStart w:id="1490" w:name="_Toc683"/>
      <w:bookmarkEnd w:id="1489"/>
      <w:r>
        <w:rPr>
          <w:rtl w:val="true"/>
        </w:rPr>
        <w:t>بيان</w:t>
      </w:r>
      <w:bookmarkEnd w:id="1490"/>
    </w:p>
    <w:p>
      <w:pPr>
        <w:pStyle w:val="BookText"/>
        <w:rPr/>
      </w:pPr>
      <w:r>
        <w:rPr>
          <w:rFonts w:ascii="Amiri" w:hAnsi="Amiri" w:eastAsia="Amiri" w:cs="Amiri"/>
          <w:color w:val="111111"/>
          <w:sz w:val="28"/>
          <w:sz w:val="28"/>
          <w:szCs w:val="28"/>
          <w:rtl w:val="true"/>
          <w:lang w:bidi="ar-SA"/>
        </w:rPr>
        <w:t>البضاعة بالكسر رأس المال أي الصحة رأس مال الإنسان في اقتناء الصالحات و اكتساب السعادات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السَّلَامَةُ مَعَ 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تكون سلامة الجسم و القلب إلا مع الاستقامة في الدين و ما يبتلي به الناس إنما هو لتركهم الاستقامة كما قال سبحانه وَ ما أَصابَكُمْ مِنْ مُصِيبَةٍ فَبِما كَسَبَتْ أَيْدِيكُمْ‌</w:t>
      </w:r>
      <w:r>
        <w:rPr>
          <w:rStyle w:val="FootnoteAnchor"/>
          <w:rtl w:val="true"/>
        </w:rPr>
        <w:footnoteReference w:id="787"/>
      </w:r>
      <w:r>
        <w:rPr>
          <w:rFonts w:ascii="Amiri" w:hAnsi="Amiri" w:eastAsia="Amiri" w:cs="Amiri"/>
          <w:color w:val="111111"/>
          <w:sz w:val="28"/>
          <w:sz w:val="28"/>
          <w:szCs w:val="28"/>
          <w:rtl w:val="true"/>
          <w:lang w:bidi="ar-SA"/>
        </w:rPr>
        <w:t>و قال تعالي وَ أَنْ لَوِ اسْتَقامُوا عَلَي الطَّرِيقَةِ لَأَسْقَيْناهُمْ ماءً غَدَقاً</w:t>
      </w:r>
      <w:r>
        <w:rPr>
          <w:rStyle w:val="FootnoteAnchor"/>
          <w:rtl w:val="true"/>
        </w:rPr>
        <w:footnoteReference w:id="788"/>
      </w:r>
      <w:r>
        <w:rPr>
          <w:rFonts w:ascii="Amiri" w:hAnsi="Amiri" w:eastAsia="Amiri" w:cs="Amiri"/>
          <w:color w:val="111111"/>
          <w:sz w:val="28"/>
          <w:sz w:val="28"/>
          <w:szCs w:val="28"/>
          <w:rtl w:val="true"/>
          <w:lang w:bidi="ar-SA"/>
        </w:rPr>
        <w:t>أو المعني أن السلامة إنما تنفع إذا كانت مع الاستقامة و أما السلامة التي غايتها عذاب الآخرة فليست بسلامة و بعبارة أخري السلامة مع الاستقامة و إن كانت مع بلايا الدنيا و مصائبها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لما كانت السلامة غالبا تصير سببا للتوغل في الشرور و المعاصي</w:t>
      </w:r>
    </w:p>
    <w:p>
      <w:pPr>
        <w:pStyle w:val="BookText"/>
        <w:rPr/>
      </w:pPr>
      <w:r>
        <w:rPr>
          <w:rFonts w:ascii="IRNazanin" w:hAnsi="IRNazanin" w:eastAsia="IRNazanin"/>
          <w:color w:val="111111"/>
          <w:sz w:val="28"/>
          <w:sz w:val="28"/>
          <w:szCs w:val="28"/>
          <w:rtl w:val="true"/>
          <w:lang w:bidi="fa-IR"/>
        </w:rPr>
        <w:t>روایت شده است که پیامبر صلّی الله علیه و آله به دیدار شخص بیماری 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نماز مغرب را برای ما امامت می فرمودی، من نیز در نماز سوره قارعه را قرائت کردم و سپس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اگر به درگاه تو گناهی مرتکب شده ام که می خواهی به خاطر آن در آخرت عذابم دهی، هرچه سریع تر در دنیا به آن عذاب گرفتارم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این مرضی که مشاهده می کنی گرفتار شده ام؛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سخنی بر زبان رانده ای، چرا نگفتی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فی الدنیا حسنة و فی الآخرة حسنة و قِنا عذاب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در دنیا و آخرت نعمت و روزی به ما عطا فرما و ما را از عذاب آتش جهنم محفوظ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او دعا کرد تا شفا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دنیا عافیت و تندرستی است و نعمت آخرت بخشش و رحمت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برای سلامتی،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ای دو چشمش را از دست بدهد و به خاطر کسب رضایت خداوند صبر پیشه سازد، حتماً وارد بهشت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خدواند از انسان پلید بدسرشت و خبیثی که دچار نقص در جسم و مالش نمی شود متنفّر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انسان صاحبِ مقام و منزلتی نزد خداوند است که با انجام عمل به آن دست نمی یابد، پس به مصیبت و دردی در جسمش گرفتار می شود و بدین وسیله به آن مقام و منزلت دست می یابد</w:t>
      </w:r>
      <w:r>
        <w:rPr>
          <w:rFonts w:eastAsia="IRNazanin" w:cs="IRNazanin"/>
          <w:color w:val="111111"/>
          <w:sz w:val="28"/>
          <w:szCs w:val="28"/>
          <w:rtl w:val="true"/>
          <w:lang w:bidi="fa-IR"/>
        </w:rPr>
        <w:t>.</w:t>
      </w:r>
      <w:r>
        <w:rPr>
          <w:rStyle w:val="FootnoteAnchor"/>
          <w:rtl w:val="true"/>
        </w:rPr>
        <w:footnoteReference w:id="789"/>
      </w:r>
    </w:p>
    <w:p>
      <w:pPr>
        <w:pStyle w:val="Heading5"/>
        <w:numPr>
          <w:ilvl w:val="4"/>
          <w:numId w:val="1"/>
        </w:numPr>
        <w:rPr/>
      </w:pPr>
      <w:bookmarkStart w:id="1491" w:name="__RefHeading___Toc606280_1934241801"/>
      <w:bookmarkStart w:id="1492" w:name="_Toc684"/>
      <w:bookmarkEnd w:id="1491"/>
      <w:r>
        <w:rPr>
          <w:rtl w:val="true"/>
        </w:rPr>
        <w:t>توضیح</w:t>
      </w:r>
      <w:bookmarkEnd w:id="14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البِضاعة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سرمایه،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 در اندوختن نیکی ها و کسب خوشبختی ها سرمایه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السلامة مع الاستقامة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جسم و قلب جز با استقامت در دین حاصل نمی گردد، و هر مصیبتی که انسان بدان گرفتار می آید به خاطر ترک استقامت و پایداری در دین است، چنان که خداوند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أصابکم من مصیبة فبما کسبت أیدیکم</w:t>
      </w:r>
      <w:r>
        <w:rPr>
          <w:rFonts w:eastAsia="IRNazanin" w:cs="IRNazanin"/>
          <w:color w:val="111111"/>
          <w:sz w:val="28"/>
          <w:szCs w:val="28"/>
          <w:rtl w:val="true"/>
          <w:lang w:bidi="fa-IR"/>
        </w:rPr>
        <w:t>»</w:t>
      </w:r>
      <w:r>
        <w:rPr>
          <w:rStyle w:val="FootnoteAnchor"/>
          <w:rtl w:val="true"/>
        </w:rPr>
        <w:footnoteReference w:id="7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به شما برسد به سبب دستاورد خود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لو استقامو علی الطریقة لأستقیناهم ماء غَدَقاً</w:t>
      </w:r>
      <w:r>
        <w:rPr>
          <w:rFonts w:eastAsia="IRNazanin" w:cs="IRNazanin"/>
          <w:color w:val="111111"/>
          <w:sz w:val="28"/>
          <w:szCs w:val="28"/>
          <w:rtl w:val="true"/>
          <w:lang w:bidi="fa-IR"/>
        </w:rPr>
        <w:t>»</w:t>
      </w:r>
      <w:r>
        <w:rPr>
          <w:rStyle w:val="FootnoteAnchor"/>
          <w:rtl w:val="true"/>
        </w:rPr>
        <w:footnoteReference w:id="7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درست پایداری ورزند قطعا آب گوارایی بدیشان نوشانیم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تنها زمانی سودبخش است که همراه با استقامت باشد، امّا سلامتی ای که سرانجامش عذاب آخرت باشد سلامتی نیست،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با استقامت محقّق می گردد اگر چه همراه با بلایا و مصیبت های دنیایی باشد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از آنجایی که تندرستی و سلامتی در اغلب مواقع باعث فرو رفتن در گرداب شرارت ها و معاصی می گردد، </w:t>
      </w:r>
      <w:bookmarkStart w:id="1493" w:name="pg13517_329206"/>
    </w:p>
    <w:p>
      <w:pPr>
        <w:pStyle w:val="BookText"/>
        <w:rPr/>
      </w:pPr>
      <w:bookmarkEnd w:id="1493"/>
      <w:r>
        <w:rPr>
          <w:rFonts w:ascii="Amiri" w:hAnsi="Amiri" w:eastAsia="Amiri" w:cs="Amiri"/>
          <w:color w:val="111111"/>
          <w:sz w:val="28"/>
          <w:sz w:val="28"/>
          <w:szCs w:val="28"/>
          <w:rtl w:val="true"/>
          <w:lang w:bidi="ar-SA"/>
        </w:rPr>
        <w:t>بين عليه السلام أن مثل تلك السلامة عين الابتلاء و يؤيده قوله عليه السلام كفي بالسلامة داء أي تصير غالبا سببا للأدواء النفسانية و الأمراض الروحانية أو المعني أن السلامة عن معارضة الناس و المسالمة معهم إنما تجوز إذا كانت مع الانقياد للحق و موافقة رضي الله لا كما اختاره جماعة من الأشقياء في زمانه صلوات الله عليه و خالفوا إمامهم و كفروا و ارتدوا و الأوسط أظهر و الحبيبتان العينان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العفر الرجل الخبيث الداهي و المرأة عفرة قال أبو عبيدة العفريت من كل شي‌ء المبالغ يقال فلان عفريت نفريت و عفرية نفرية 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يبغض العفرية النفرية الذي لا يرزأ في أهل و لا مال و العفرية المصحح و النفرية إتباع و قال في نفر النفريت إتباع للعفريت و 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بعد ذكر الحديث هو الداهي الخبيث الشرير و منه العفريت و قيل هو الجموع المنوع و قيل الظلوم و قال الجوهري في تفسيره العفرية المصحح و النفرية إتباع له و كأنه أشبه لأنه قال في تمامه الذي لا يرزأ في أهل و لا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الزمخشري العفر و العفرية و العفريت و العفارية القوي المتشيطن الذي يعفر قرنه و الياء في عفرية و عفارية للإلحاق بشرذمة و عذافرة و الهاء فيهما للمبالغة و التاء في عفريت للإلحاق بقنديل و قال في حديث سراقة فلم يرزءاني شيئا أي لم يأخذا مني شيئا يقال رزأته أرزؤه و أصله النقص و منه ما رزأنا من مالك شيئا أي ما نقصنا منه شيئا و لا أخذنا</w:t>
      </w:r>
      <w:r>
        <w:rPr>
          <w:rFonts w:eastAsia="Amiri" w:cs="Amiri" w:ascii="Amiri" w:hAnsi="Amiri"/>
          <w:color w:val="111111"/>
          <w:sz w:val="28"/>
          <w:szCs w:val="28"/>
          <w:rtl w:val="true"/>
          <w:lang w:bidi="ar-SA"/>
        </w:rPr>
        <w:t>.</w:t>
      </w:r>
    </w:p>
    <w:p>
      <w:pPr>
        <w:pStyle w:val="Heading5"/>
        <w:numPr>
          <w:ilvl w:val="4"/>
          <w:numId w:val="1"/>
        </w:numPr>
        <w:rPr/>
      </w:pPr>
      <w:bookmarkStart w:id="1494" w:name="__RefHeading___Toc606282_1934241801"/>
      <w:bookmarkStart w:id="1495" w:name="_Toc685"/>
      <w:bookmarkEnd w:id="1494"/>
      <w:r>
        <w:rPr>
          <w:rtl w:val="true"/>
        </w:rPr>
        <w:t>«</w:t>
      </w:r>
      <w:r>
        <w:rPr/>
        <w:t>12</w:t>
      </w:r>
      <w:r>
        <w:rPr>
          <w:rtl w:val="true"/>
        </w:rPr>
        <w:t>»</w:t>
      </w:r>
      <w:bookmarkEnd w:id="1495"/>
    </w:p>
    <w:p>
      <w:pPr>
        <w:pStyle w:val="BookText"/>
        <w:rPr/>
      </w:pPr>
      <w:r>
        <w:rPr>
          <w:rFonts w:ascii="Amiri" w:hAnsi="Amiri" w:eastAsia="Amiri" w:cs="Amiri"/>
          <w:color w:val="111111"/>
          <w:sz w:val="28"/>
          <w:sz w:val="28"/>
          <w:szCs w:val="28"/>
          <w:rtl w:val="true"/>
          <w:lang w:bidi="ar-SA"/>
        </w:rPr>
        <w:t>نَهْجُ الْبَلَاغَةِ،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مِنَ الْبَلَاءِ الْفَاقَةَ وَ أَشَدُّ مِنَ الْفَاقَةِ مَرَضُ الْبَدَنِ وَ أَشَدُّ مِنْ مَرَضِ الْبَدَنِ مَرَضُ الْقَلْبِ أَلَا وَ إِنَّ مِنَ النِّعَمِ سَعَةَ الْمَالِ وَ أَفْضَلُ مِنْ سَعَةِ الْمَالِ صِحَّةُ الْبَدَنِ وَ أَفْضَلُ مِنْ صِحَّةِ الْبَدَنِ تَقْوَي الْقَلْبِ‌</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بیان می فرماید که تندرستی و سلامتیِ این چنینی عین مصیبت و بلاست، و این فرموده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بالسلامة 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 را تأیید می کند،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 و سلامتی در اغلب مواقع باعث بیماری های روانی و امراض روحانی می گردد، و یا معنای حدیث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 ماندن از مخالفت مردم و سازش با آنان تنها زمانی جایز است که همراه با فرمانبرداری از حق و موافقت با رضایت خداوند باشد، نه آن گونه که گروهی از گمراهان در دوران امام علیه السلام رفتار کردند و با امام خویش مخالفت نمودند و کفر ورزیدند و مرتدّ گشتند و وجه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الحبیبتان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خبیث و با سیاست، و مؤنث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خبیث و با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العِفریت از هر چیز، افراط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عفریت نفریت و عفریة نفریة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پلید، خبیث، زیرک و با سیاست است و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یبغض العفریة النفریة الذی لا یرزء فی أهل و لا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از انسان خبیث پلید و با سیاستی که دچار نقص در اهل و اموال نمی شود متنفّر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تصحیح شده آن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تبعیت کردن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مؤکَّد ساختن 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بعد از ذکر حدیث در النهایة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سیاست، خبیث و شرور،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از آن است؛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بسیار به جمع اموال می پردازد و از بخشش آن پرهیز می کند، همچنین گفته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ستمکار و سرکش؛ جوهری در تفسیرخود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تصحیح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تبعیت از آن و برای تأکید، ذکر شده است، و گویا مشابه است چرا که در توضیح 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اهل و اموال دچار نقص نمی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العِفر، العِفرِیَة، العِفریت و العُفَاریة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نیرومند و با سیاست که حریفش را به خاک می مالد،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عِفریة و عُفاریة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 وزن بودن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محکم و نیرومند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مبالغه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ملحق شدن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افزوده شده است؛ همچنین زمخشری در تفسیر حدیث سراقة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یرزآنی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من نگرفتند،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رزأته، أرزؤه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سودی به دست آوردم، می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نقصان و کمبود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رزءنا مِن مالِک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مأخوذ از همین معنا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اموالت را نکاسته و دریافت نکرده ایم</w:t>
      </w:r>
      <w:r>
        <w:rPr>
          <w:rFonts w:eastAsia="IRNazanin" w:cs="IRNazanin"/>
          <w:color w:val="111111"/>
          <w:sz w:val="28"/>
          <w:szCs w:val="28"/>
          <w:rtl w:val="true"/>
          <w:lang w:bidi="fa-IR"/>
        </w:rPr>
        <w:t>.</w:t>
      </w:r>
    </w:p>
    <w:p>
      <w:pPr>
        <w:pStyle w:val="Heading5"/>
        <w:numPr>
          <w:ilvl w:val="4"/>
          <w:numId w:val="1"/>
        </w:numPr>
        <w:rPr/>
      </w:pPr>
      <w:bookmarkStart w:id="1496" w:name="__RefHeading___Toc606284_1934241801"/>
      <w:bookmarkStart w:id="1497" w:name="_Toc686"/>
      <w:bookmarkEnd w:id="1496"/>
      <w:r>
        <w:rPr>
          <w:rtl w:val="true"/>
        </w:rPr>
        <w:t xml:space="preserve">روایت </w:t>
      </w:r>
      <w:r>
        <w:rPr/>
        <w:t>12</w:t>
      </w:r>
      <w:bookmarkEnd w:id="149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فقر نوعی بلاست، و سخت تر از فقر بیماریِ تن و سخت تر از بیماری تن بیماری قلب است، آگاه باشید که وسعت مال نوعی نعمت است و برتر از وسعت مال سلامت تن و برتر از سلامت تن تقوای قلب است</w:t>
      </w:r>
      <w:r>
        <w:rPr>
          <w:rFonts w:eastAsia="IRNazanin" w:cs="IRNazanin"/>
          <w:color w:val="111111"/>
          <w:sz w:val="28"/>
          <w:szCs w:val="28"/>
          <w:rtl w:val="true"/>
          <w:lang w:bidi="fa-IR"/>
        </w:rPr>
        <w:t>.</w:t>
      </w:r>
      <w:r>
        <w:rPr>
          <w:rStyle w:val="FootnoteAnchor"/>
          <w:rtl w:val="true"/>
        </w:rPr>
        <w:footnoteReference w:id="793"/>
      </w:r>
      <w:bookmarkStart w:id="1498" w:name="pg13517_329207"/>
    </w:p>
    <w:p>
      <w:pPr>
        <w:pStyle w:val="BookText"/>
        <w:rPr/>
      </w:pPr>
      <w:bookmarkEnd w:id="1498"/>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لِلْعَبْدِ أَنْ يَثِقَ بِخَصْلَتَيْنِ الْعَافِيَةِ وَ الْغِنَي بَيْنَا تَرَاهُ مُعَافًي إِذْ سَقِمَ وَ بَيْنَا تَرَاهُ غَنِيّاً إِذِ افْتَقَرَ</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9" w:name="__RefHeading___Toc606286_1934241801"/>
      <w:bookmarkStart w:id="1500" w:name="_Toc687"/>
      <w:bookmarkEnd w:id="1499"/>
      <w:r>
        <w:rPr>
          <w:rtl w:val="true"/>
        </w:rPr>
        <w:t>«</w:t>
      </w:r>
      <w:r>
        <w:rPr/>
        <w:t>13</w:t>
      </w:r>
      <w:r>
        <w:rPr>
          <w:rtl w:val="true"/>
        </w:rPr>
        <w:t>»</w:t>
      </w:r>
      <w:bookmarkEnd w:id="1500"/>
    </w:p>
    <w:p>
      <w:pPr>
        <w:pStyle w:val="BookText"/>
        <w:rPr/>
      </w:pPr>
      <w:r>
        <w:rPr>
          <w:rFonts w:ascii="Amiri" w:hAnsi="Amiri" w:eastAsia="Amiri" w:cs="Amiri"/>
          <w:color w:val="111111"/>
          <w:sz w:val="28"/>
          <w:sz w:val="28"/>
          <w:szCs w:val="28"/>
          <w:rtl w:val="true"/>
          <w:lang w:bidi="ar-SA"/>
        </w:rPr>
        <w:t>دَعَائِمُ الْإِسْلَامِ، عَنِ الصَّادِقِ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عَادَ رَجُلًا مِنَ الْأَنْصَارِ فَشَكَا إِلَيْهِ مَا يَلْقَي مِنَ الْحُمَّي فَقَالَ لَهُ رَسُولُ اللَّهِ صلي الله عليه و آله إِنَّ الْحُمَّي طَهُورٌ مِنْ رَبٍّ غَفُورٍ قَالَ الرَّجُلُ بَلِ الْحُمَّي يَفُورُ بِالشَّيْخِ الْكَبِيرِ حَتَّي تَحُلَّهُ فِي الْقُبُورِ فَغَضِبَ رَسُولُ اللَّهِ صلي الله عليه و آله فَقَالَ لِيَكُنْ بِكَ مَا قُلْتَ فَمَاتَ مِنْهُ‌</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 يَوْمٍ كَفَّارَةُ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سمعنا بعض الأطباء و قد حكي له هذا الحديث فقال هذا يصدق قول أهل الطب إن حمي يوم تؤلم البدن سنة</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ابْتَلَي اللَّهُ عَبْداً أَسْقَطَ عَنْهُ مِنَ الذُّنُوبِ بِقَدْرِ عِلَّتِهِ‌</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1" w:name="__RefHeading___Toc606288_1934241801"/>
      <w:bookmarkStart w:id="1502" w:name="_Toc688"/>
      <w:bookmarkEnd w:id="1501"/>
      <w:r>
        <w:rPr>
          <w:rtl w:val="true"/>
        </w:rPr>
        <w:t>«</w:t>
      </w:r>
      <w:r>
        <w:rPr/>
        <w:t>14</w:t>
      </w:r>
      <w:r>
        <w:rPr>
          <w:rtl w:val="true"/>
        </w:rPr>
        <w:t>»</w:t>
      </w:r>
      <w:bookmarkEnd w:id="1502"/>
    </w:p>
    <w:p>
      <w:pPr>
        <w:pStyle w:val="BookText"/>
        <w:rPr/>
      </w:pPr>
      <w:r>
        <w:rPr>
          <w:rFonts w:ascii="Amiri" w:hAnsi="Amiri" w:eastAsia="Amiri" w:cs="Amiri"/>
          <w:color w:val="111111"/>
          <w:sz w:val="28"/>
          <w:sz w:val="28"/>
          <w:szCs w:val="28"/>
          <w:rtl w:val="true"/>
          <w:lang w:bidi="ar-SA"/>
        </w:rPr>
        <w:t>كِتَابُ مُحَمَّدِ بْنِ الْمُثَنَّي بْنِ الْقَاسِمِ، عَنْ جَعْفَرِ بْنِ مُحَمَّدِ بْنِ شُرَيْحٍ عَنْ ذَرِيحٍ الْمُحَارِبِيِّ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أَعْرَابِيٌّ عَلَي رَسُولِ اللَّهِ صلي الله عليه و آله فَقَالَ لَهُ أَ تَعْرِفُ أُمَّ مِلْدَمٍ قَالَ وَ مَا أُمُّ مِلْدَمٍ قَالَ صُدَاعٌ يَأْخُذُ الرَّأْسَ وَ سُخُونَةٌ فِي الْجَسَدِ فَقَالَ الْأَعْرَابِيُّ مَا أَصَابَنِي هَذَا قَطُّ فَلَمَّا مَضَي قَالَ مَنْ سَرَّهُ أَنْ يَنْظُرَ إِلَي رَجُلٍ مِنْ أَهْلِ النَّارِ فَلْيَنْظُرْ إِلَي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قَالَ أَبُو عَبْدِ اللَّهِ عليه السلام 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أَنْ يُعَافَي الرَّجُلُ فِي الدُّنْيَا وَ لَا يُصِيبَهُ شَيْ‌ءٌ مِنَ الْمَصَائِبِ وَ نَحْوُ هَذَا</w:t>
      </w:r>
      <w:r>
        <w:rPr>
          <w:rFonts w:eastAsia="Amiri" w:cs="Amiri" w:ascii="Amiri" w:hAnsi="Amiri"/>
          <w:color w:val="111111"/>
          <w:sz w:val="28"/>
          <w:szCs w:val="28"/>
          <w:rtl w:val="true"/>
          <w:lang w:bidi="ar-SA"/>
        </w:rPr>
        <w:t>.</w:t>
      </w:r>
    </w:p>
    <w:p>
      <w:pPr>
        <w:pStyle w:val="Heading5"/>
        <w:numPr>
          <w:ilvl w:val="4"/>
          <w:numId w:val="1"/>
        </w:numPr>
        <w:rPr/>
      </w:pPr>
      <w:bookmarkStart w:id="1503" w:name="__RefHeading___Toc606290_1934241801"/>
      <w:bookmarkStart w:id="1504" w:name="_Toc689"/>
      <w:bookmarkEnd w:id="1503"/>
      <w:r>
        <w:rPr>
          <w:rtl w:val="true"/>
        </w:rPr>
        <w:t>بيان</w:t>
      </w:r>
      <w:bookmarkEnd w:id="1504"/>
    </w:p>
    <w:p>
      <w:pPr>
        <w:pStyle w:val="BookText"/>
        <w:rPr/>
      </w:pPr>
      <w:r>
        <w:rPr>
          <w:rFonts w:ascii="Amiri" w:hAnsi="Amiri" w:eastAsia="Amiri" w:cs="Amiri"/>
          <w:color w:val="111111"/>
          <w:sz w:val="28"/>
          <w:sz w:val="28"/>
          <w:szCs w:val="28"/>
          <w:rtl w:val="true"/>
          <w:lang w:bidi="ar-SA"/>
        </w:rPr>
        <w:t>في القاموس أم ملدم الحمي</w:t>
      </w:r>
      <w:r>
        <w:rPr>
          <w:rFonts w:eastAsia="Amiri" w:cs="Amiri" w:ascii="Amiri" w:hAnsi="Amiri"/>
          <w:color w:val="111111"/>
          <w:sz w:val="28"/>
          <w:szCs w:val="28"/>
          <w:rtl w:val="true"/>
          <w:lang w:bidi="ar-SA"/>
        </w:rPr>
        <w:t>.</w:t>
      </w:r>
    </w:p>
    <w:p>
      <w:pPr>
        <w:pStyle w:val="Heading5"/>
        <w:numPr>
          <w:ilvl w:val="4"/>
          <w:numId w:val="1"/>
        </w:numPr>
        <w:rPr/>
      </w:pPr>
      <w:bookmarkStart w:id="1505" w:name="__RefHeading___Toc606292_1934241801"/>
      <w:bookmarkStart w:id="1506" w:name="_Toc690"/>
      <w:bookmarkEnd w:id="1505"/>
      <w:r>
        <w:rPr>
          <w:rtl w:val="true"/>
        </w:rPr>
        <w:t>«</w:t>
      </w:r>
      <w:r>
        <w:rPr/>
        <w:t>15</w:t>
      </w:r>
      <w:r>
        <w:rPr>
          <w:rtl w:val="true"/>
        </w:rPr>
        <w:t>»</w:t>
      </w:r>
      <w:bookmarkEnd w:id="1506"/>
    </w:p>
    <w:p>
      <w:pPr>
        <w:pStyle w:val="BookText"/>
        <w:rPr/>
      </w:pPr>
      <w:r>
        <w:rPr>
          <w:rFonts w:ascii="Amiri" w:hAnsi="Amiri" w:eastAsia="Amiri" w:cs="Amiri"/>
          <w:color w:val="111111"/>
          <w:sz w:val="28"/>
          <w:sz w:val="28"/>
          <w:szCs w:val="28"/>
          <w:rtl w:val="true"/>
          <w:lang w:bidi="ar-SA"/>
        </w:rPr>
        <w:t>مَجَالِسُ الصَّدُوقِ، عَنْ أَحْمَدَ بْنِ مُحَمَّدٍ الْعَطَّارِ عَنْ سَعْدِ بْنِ عَبْدِ اللَّهِ عَنِ الْهَيْثَمِ النَّهْدِيِّ عَنِ ابْنِ مَحْبُوبٍ عَنْ سَمَاعَةَ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كَثُرَتْ ذُنُوبُهُ وَ لَمْ يَجِدْ مَا يُكَفِّرُهَا بِهِ ابْتَلَاهُ اللَّهُ بِالْحُزْنِ فِي الدُّنْيَا لِيُكَفِّرَهَا بِهِ فَإِنْ فَعَلَ ذَلِكَ بِهِ وَ إِلَّا أَسْقَمَ بَدَنَهُ لِيُكَفِّرَهَا بِهِ</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بنده خدا به دو خصلت اعتماد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 و توانگری؛ زیرا در تندرستی او را ناگاه بیمار بینی و در توانگری ناگاه او را تهیدست</w:t>
      </w:r>
      <w:r>
        <w:rPr>
          <w:rFonts w:eastAsia="IRNazanin" w:cs="IRNazanin"/>
          <w:color w:val="111111"/>
          <w:sz w:val="28"/>
          <w:szCs w:val="28"/>
          <w:rtl w:val="true"/>
          <w:lang w:bidi="fa-IR"/>
        </w:rPr>
        <w:t>.</w:t>
      </w:r>
      <w:r>
        <w:rPr>
          <w:rStyle w:val="FootnoteAnchor"/>
          <w:rtl w:val="true"/>
        </w:rPr>
        <w:footnoteReference w:id="798"/>
      </w:r>
    </w:p>
    <w:p>
      <w:pPr>
        <w:pStyle w:val="Heading5"/>
        <w:numPr>
          <w:ilvl w:val="4"/>
          <w:numId w:val="1"/>
        </w:numPr>
        <w:rPr/>
      </w:pPr>
      <w:bookmarkStart w:id="1507" w:name="__RefHeading___Toc606294_1934241801"/>
      <w:bookmarkStart w:id="1508" w:name="_Toc691"/>
      <w:bookmarkEnd w:id="1507"/>
      <w:r>
        <w:rPr>
          <w:rtl w:val="true"/>
        </w:rPr>
        <w:t xml:space="preserve">روایت </w:t>
      </w:r>
      <w:r>
        <w:rPr/>
        <w:t>13</w:t>
      </w:r>
      <w:bookmarkEnd w:id="1508"/>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علیهم السلام روایت کرده است که رسول خدا صلّی الله علیه و آله به عیادت مردی از انصار رفت، مرد انصاری از تب نزد رسول خدا شکایت کرد،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تب، پاک کننده ای است از جانب پروردگار بخشایشگر، مرد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تب در پیرمرد سالخورده به جوشش درمی آید تا اینکه او را در قبر جای می دهد، پیامبر صلی الله علیه و آله خشمگین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آنچه را که گفتی در مورد تو اتفاق بیفتد؛ و مرد انصاری به سبب این امر وفات نمود</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تب کردن باعث بخشیده شدن گناهان یک سال است؛ و از یکی از پزشکان شنیدم که بعداز حکایت شدن این حدیث نزد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سخن پزشکان را در مورد اینکه یک روز تب کردن بدن را به اندازه یک سال آزرده می سازد تصدیق می کند</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بنده خویش را گرفتار بلا و مصیبت می سازد، به اندازه آن بلا و بیماری گناهان او را از بین می برد</w:t>
      </w:r>
      <w:r>
        <w:rPr>
          <w:rFonts w:eastAsia="IRNazanin" w:cs="IRNazanin"/>
          <w:color w:val="111111"/>
          <w:sz w:val="28"/>
          <w:szCs w:val="28"/>
          <w:rtl w:val="true"/>
          <w:lang w:bidi="fa-IR"/>
        </w:rPr>
        <w:t>.</w:t>
      </w:r>
      <w:r>
        <w:rPr>
          <w:rStyle w:val="FootnoteAnchor"/>
          <w:rtl w:val="true"/>
        </w:rPr>
        <w:footnoteReference w:id="801"/>
      </w:r>
    </w:p>
    <w:p>
      <w:pPr>
        <w:pStyle w:val="Heading5"/>
        <w:numPr>
          <w:ilvl w:val="4"/>
          <w:numId w:val="1"/>
        </w:numPr>
        <w:rPr/>
      </w:pPr>
      <w:bookmarkStart w:id="1509" w:name="__RefHeading___Toc606296_1934241801"/>
      <w:bookmarkStart w:id="1510" w:name="_Toc692"/>
      <w:bookmarkEnd w:id="1509"/>
      <w:r>
        <w:rPr>
          <w:rtl w:val="true"/>
        </w:rPr>
        <w:t xml:space="preserve">روایت </w:t>
      </w:r>
      <w:r>
        <w:rPr/>
        <w:t>14</w:t>
      </w:r>
      <w:bookmarkEnd w:id="1510"/>
    </w:p>
    <w:p>
      <w:pPr>
        <w:pStyle w:val="BookText"/>
        <w:rPr/>
      </w:pPr>
      <w:r>
        <w:rPr>
          <w:rFonts w:ascii="IRNazanin" w:hAnsi="IRNazanin" w:eastAsia="IRNazanin"/>
          <w:color w:val="111111"/>
          <w:sz w:val="28"/>
          <w:sz w:val="28"/>
          <w:szCs w:val="28"/>
          <w:rtl w:val="true"/>
          <w:lang w:bidi="fa-IR"/>
        </w:rPr>
        <w:t>کتاب محمد بن المُثََّنی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بادیه نشین خدمت رسول خدا صلّی الله علیه وآله رسید، 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مِلدم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است در سر و گرمایی که بدن را فرا می گیرد، مرد بادیه 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چنین دردی مبتلا نشده ام؛ هنگامی که آن مرد رفت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دوست دارد به مردی از اهل آتش نگاه کند پس به این مرد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 می شمارم که انسان همیشه در دنیا در عافیت زندگی کند و به هیچ مصیبتی گرفتار نشود، و مانند این کلام</w:t>
      </w:r>
      <w:r>
        <w:rPr>
          <w:rFonts w:eastAsia="IRNazanin" w:cs="IRNazanin"/>
          <w:color w:val="111111"/>
          <w:sz w:val="28"/>
          <w:szCs w:val="28"/>
          <w:rtl w:val="true"/>
          <w:lang w:bidi="fa-IR"/>
        </w:rPr>
        <w:t>.</w:t>
      </w:r>
    </w:p>
    <w:p>
      <w:pPr>
        <w:pStyle w:val="Heading5"/>
        <w:numPr>
          <w:ilvl w:val="4"/>
          <w:numId w:val="1"/>
        </w:numPr>
        <w:rPr/>
      </w:pPr>
      <w:bookmarkStart w:id="1511" w:name="__RefHeading___Toc606298_1934241801"/>
      <w:bookmarkStart w:id="1512" w:name="_Toc693"/>
      <w:bookmarkEnd w:id="1511"/>
      <w:r>
        <w:rPr>
          <w:rtl w:val="true"/>
        </w:rPr>
        <w:t>توضیح</w:t>
      </w:r>
      <w:bookmarkEnd w:id="1512"/>
    </w:p>
    <w:p>
      <w:pPr>
        <w:pStyle w:val="BookText"/>
        <w:rPr/>
      </w:pP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مِلدم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w:t>
      </w:r>
      <w:r>
        <w:rPr>
          <w:rFonts w:eastAsia="IRNazanin" w:cs="IRNazanin"/>
          <w:color w:val="111111"/>
          <w:sz w:val="28"/>
          <w:szCs w:val="28"/>
          <w:rtl w:val="true"/>
          <w:lang w:bidi="fa-IR"/>
        </w:rPr>
        <w:t>.</w:t>
      </w:r>
    </w:p>
    <w:p>
      <w:pPr>
        <w:pStyle w:val="Heading5"/>
        <w:numPr>
          <w:ilvl w:val="4"/>
          <w:numId w:val="1"/>
        </w:numPr>
        <w:rPr/>
      </w:pPr>
      <w:bookmarkStart w:id="1513" w:name="__RefHeading___Toc606300_1934241801"/>
      <w:bookmarkStart w:id="1514" w:name="_Toc694"/>
      <w:bookmarkEnd w:id="1513"/>
      <w:r>
        <w:rPr>
          <w:rtl w:val="true"/>
        </w:rPr>
        <w:t xml:space="preserve">روایت </w:t>
      </w:r>
      <w:r>
        <w:rPr/>
        <w:t>15</w:t>
      </w:r>
      <w:bookmarkEnd w:id="151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هرگاه گناهان بنده خدا افزون گردد و عملی نداشته باشد که به واسطه آن گناهانش بخشوده شود، خداوند او را در دنیا به غم و اندوه گرفتار می سازد تا گناهانش را به این وسیله ببخشاید، و اگر چنین نکند بدنش را مریض می گرداند تا کفّاره گناهانش باشد، </w:t>
      </w:r>
      <w:bookmarkStart w:id="1515" w:name="pg13517_329208"/>
    </w:p>
    <w:p>
      <w:pPr>
        <w:pStyle w:val="BookText"/>
        <w:rPr/>
      </w:pPr>
      <w:bookmarkEnd w:id="1515"/>
      <w:r>
        <w:rPr>
          <w:rFonts w:ascii="Amiri" w:hAnsi="Amiri" w:eastAsia="Amiri" w:cs="Amiri"/>
          <w:color w:val="111111"/>
          <w:sz w:val="28"/>
          <w:sz w:val="28"/>
          <w:szCs w:val="28"/>
          <w:rtl w:val="true"/>
          <w:lang w:bidi="ar-SA"/>
        </w:rPr>
        <w:t>فَإِنْ فَعَلَ ذَلِكَ بِهِ وَ إِلَّا شَدَّدَ عَلَيْهِ عِنْدَ مَوْتِهِ لِيُكَفِّرَهَا بِهِ فَإِنْ فَعَلَ ذَلِكَ بِهِ وَ إِلَّا عَذَّبَهُ فِي قَبْرِهِ لِيَلْقَي اللَّهَ عَزَّ وَ جَلَّ يَوْمَ يَلْقَاهُ وَ لَيْسَ شَيْ‌ءٌ يَشْهَدُ عَلَيْهِ بِشَيْ‌ءٍ مِنْ ذُنُوبِهِ‌</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6" w:name="__RefHeading___Toc606302_1934241801"/>
      <w:bookmarkStart w:id="1517" w:name="_Toc695"/>
      <w:bookmarkEnd w:id="1516"/>
      <w:r>
        <w:rPr>
          <w:rtl w:val="true"/>
        </w:rPr>
        <w:t>«</w:t>
      </w:r>
      <w:r>
        <w:rPr/>
        <w:t>16</w:t>
      </w:r>
      <w:r>
        <w:rPr>
          <w:rtl w:val="true"/>
        </w:rPr>
        <w:t>»</w:t>
      </w:r>
      <w:bookmarkEnd w:id="1517"/>
    </w:p>
    <w:p>
      <w:pPr>
        <w:pStyle w:val="BookText"/>
        <w:rPr/>
      </w:pPr>
      <w:r>
        <w:rPr>
          <w:rFonts w:ascii="Amiri" w:hAnsi="Amiri" w:eastAsia="Amiri" w:cs="Amiri"/>
          <w:color w:val="111111"/>
          <w:sz w:val="28"/>
          <w:sz w:val="28"/>
          <w:szCs w:val="28"/>
          <w:rtl w:val="true"/>
          <w:lang w:bidi="ar-SA"/>
        </w:rPr>
        <w:t>وَ مِنْهُ، عَنِ الْحُسَيْنِ بْنِ إِبْرَاهِيمَ بْنِ نَاتَانَةَ عَنْ عَلِيِّ بْنِ إِبْرَاهِيمَ عَنْ أَبِيهِ عَنِ الْحَسَنِ بْنِ مَحْبُوبٍ عَنْ هِشَامِ بْنِ سَالِمٍ عَنْ أَبَانِ بْنِ تَغْلِبَ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لَيُهَوَّلُ عَلَيْهِ فِي مَنَامِهِ فَتُغْفَرُ لَهُ ذُنُوبُهُ وَ إِنَّهُ لَيُمْتَهَنُ فِي بَدَنِهِ فَتُغْفَرُ لَهُ ذُنُوبُهُ‌</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8" w:name="__RefHeading___Toc606304_1934241801"/>
      <w:bookmarkStart w:id="1519" w:name="_Toc696"/>
      <w:bookmarkEnd w:id="1518"/>
      <w:r>
        <w:rPr>
          <w:rtl w:val="true"/>
        </w:rPr>
        <w:t>إيضاح</w:t>
      </w:r>
      <w:bookmarkEnd w:id="1519"/>
    </w:p>
    <w:p>
      <w:pPr>
        <w:pStyle w:val="BookText"/>
        <w:rPr/>
      </w:pPr>
      <w:r>
        <w:rPr>
          <w:rFonts w:ascii="Amiri" w:hAnsi="Amiri" w:eastAsia="Amiri" w:cs="Amiri"/>
          <w:color w:val="111111"/>
          <w:sz w:val="28"/>
          <w:sz w:val="28"/>
          <w:szCs w:val="28"/>
          <w:rtl w:val="true"/>
          <w:lang w:bidi="ar-SA"/>
        </w:rPr>
        <w:t>قال الجوهري المهنة بالفتح الخدمة و قد مهن القوم يمهنهم مهنة أي خدمهم و امتهنت الشي‌ء ابتذلته و أمهنته أضعفته انتهي و لعل المراد هنا الابتذال بالأمراض و يحتمل أن يراد به الخدمة للناس و العمل لهم</w:t>
      </w:r>
      <w:r>
        <w:rPr>
          <w:rFonts w:eastAsia="Amiri" w:cs="Amiri" w:ascii="Amiri" w:hAnsi="Amiri"/>
          <w:color w:val="111111"/>
          <w:sz w:val="28"/>
          <w:szCs w:val="28"/>
          <w:rtl w:val="true"/>
          <w:lang w:bidi="ar-SA"/>
        </w:rPr>
        <w:t>.</w:t>
      </w:r>
    </w:p>
    <w:p>
      <w:pPr>
        <w:pStyle w:val="Heading5"/>
        <w:numPr>
          <w:ilvl w:val="4"/>
          <w:numId w:val="1"/>
        </w:numPr>
        <w:rPr/>
      </w:pPr>
      <w:bookmarkStart w:id="1520" w:name="__RefHeading___Toc606306_1934241801"/>
      <w:bookmarkStart w:id="1521" w:name="_Toc697"/>
      <w:bookmarkEnd w:id="1520"/>
      <w:r>
        <w:rPr>
          <w:rtl w:val="true"/>
        </w:rPr>
        <w:t>«</w:t>
      </w:r>
      <w:r>
        <w:rPr/>
        <w:t>17</w:t>
      </w:r>
      <w:r>
        <w:rPr>
          <w:rtl w:val="true"/>
        </w:rPr>
        <w:t>»</w:t>
      </w:r>
      <w:bookmarkEnd w:id="1521"/>
    </w:p>
    <w:p>
      <w:pPr>
        <w:pStyle w:val="BookText"/>
        <w:rPr/>
      </w:pPr>
      <w:r>
        <w:rPr>
          <w:rFonts w:ascii="Amiri" w:hAnsi="Amiri" w:eastAsia="Amiri" w:cs="Amiri"/>
          <w:color w:val="111111"/>
          <w:sz w:val="28"/>
          <w:sz w:val="28"/>
          <w:szCs w:val="28"/>
          <w:rtl w:val="true"/>
          <w:lang w:bidi="ar-SA"/>
        </w:rPr>
        <w:t>مَجَالِسُ الصَّدُوقِ، عَنْ حَمْزَةَ الْعَلَوِيِّ عَنْ عَبْدِ الْعَزِيزِ الْأَبْهَرِيِّ عَنْ مُحَمَّدِ بْنِ زَكَرِيَّا الْجَوْهَرِيِّ عَنْ شُعَيْبِ بْنِ وَاقِدٍ عَنِ الْحُسَيْنِ بْنِ زَيْدٍ عَنْ أَبِي عَبْدِ اللَّهِ عليه السلام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مَرِضَ يَوْماً وَ لَيْلَةً فَلَمْ يَشْكُ إِلَي عُوَّادِهِ بَعَثَهُ اللَّهُ يَوْمَ الْقِيَامَةِ مَعَ إِبْرَاهِيمَ خَلِيلِ الرَّحْمَنِ حَتَّي يَجُوزَ الصِّرَاطَ كَالْبَرْقِ اللَّامِعِ‌</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2" w:name="__RefHeading___Toc606308_1934241801"/>
      <w:bookmarkStart w:id="1523" w:name="_Toc698"/>
      <w:bookmarkEnd w:id="1522"/>
      <w:r>
        <w:rPr>
          <w:rtl w:val="true"/>
        </w:rPr>
        <w:t>«</w:t>
      </w:r>
      <w:r>
        <w:rPr/>
        <w:t>18</w:t>
      </w:r>
      <w:r>
        <w:rPr>
          <w:rtl w:val="true"/>
        </w:rPr>
        <w:t>»</w:t>
      </w:r>
      <w:bookmarkEnd w:id="1523"/>
    </w:p>
    <w:p>
      <w:pPr>
        <w:pStyle w:val="BookText"/>
        <w:rPr/>
      </w:pPr>
      <w:r>
        <w:rPr>
          <w:rFonts w:ascii="Amiri" w:hAnsi="Amiri" w:eastAsia="Amiri" w:cs="Amiri"/>
          <w:color w:val="111111"/>
          <w:sz w:val="28"/>
          <w:sz w:val="28"/>
          <w:szCs w:val="28"/>
          <w:rtl w:val="true"/>
          <w:lang w:bidi="ar-SA"/>
        </w:rPr>
        <w:t>الْخِصَالُ، عَنْ أَبِيهِ عَنْ عَلِيِّ بْنِ إِبْرَاهِيمَ عَنْ أَبِيهِ عَنِ ابْنِ أَبِي عُمَيْرٍ عَنِ السَّرِيِّ بْنِ خَالِدٍ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عَجَّلَ عُقُوبَتَهُ فِي الدُّنْيَا وَ إِذَا أَرَادَ بِعَبْدٍ سُوءً أَمْسَكَ عَلَيْهِ ذُنُوبَهُ حَتَّي يُوَافِيَ بِهَا يَوْمَ الْقِيَامَةِ</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4" w:name="__RefHeading___Toc606310_1934241801"/>
      <w:bookmarkStart w:id="1525" w:name="_Toc699"/>
      <w:bookmarkEnd w:id="1524"/>
      <w:r>
        <w:rPr>
          <w:rtl w:val="true"/>
        </w:rPr>
        <w:t>«</w:t>
      </w:r>
      <w:r>
        <w:rPr/>
        <w:t>19</w:t>
      </w:r>
      <w:r>
        <w:rPr>
          <w:rtl w:val="true"/>
        </w:rPr>
        <w:t>»</w:t>
      </w:r>
      <w:bookmarkEnd w:id="1525"/>
    </w:p>
    <w:p>
      <w:pPr>
        <w:pStyle w:val="BookText"/>
        <w:rPr/>
      </w:pPr>
      <w:r>
        <w:rPr>
          <w:rFonts w:ascii="Amiri" w:hAnsi="Amiri" w:eastAsia="Amiri" w:cs="Amiri"/>
          <w:color w:val="111111"/>
          <w:sz w:val="28"/>
          <w:sz w:val="28"/>
          <w:szCs w:val="28"/>
          <w:rtl w:val="true"/>
          <w:lang w:bidi="ar-SA"/>
        </w:rPr>
        <w:t>وَ مِنْهُ، عَنْ أَبِيهِ عَنْ سَعْدِ بْنِ عَبْدِ اللَّهِ عَنْ مُحَمَّدِ بْنِ عِيسَي الْيَقْطِينِيِّ عَنِ</w:t>
      </w:r>
    </w:p>
    <w:p>
      <w:pPr>
        <w:pStyle w:val="BookText"/>
        <w:rPr/>
      </w:pPr>
      <w:r>
        <w:rPr>
          <w:rFonts w:ascii="IRNazanin" w:hAnsi="IRNazanin" w:eastAsia="IRNazanin"/>
          <w:color w:val="111111"/>
          <w:sz w:val="28"/>
          <w:sz w:val="28"/>
          <w:szCs w:val="28"/>
          <w:rtl w:val="true"/>
          <w:lang w:bidi="fa-IR"/>
        </w:rPr>
        <w:t>و اگر چنین نکند هنگام مرگ بر او سخت می گیرد تا کفّاره گناهانش باشد، و اگر هیچ یک از این امور اتفاق نیفتد خداوند او را در قبرش عذاب می دهد تا در روز قیامت که به حضور خداوند می رسد هیچ چیزی وجود نداشته باشد که به گناهان او شهادت دهد</w:t>
      </w:r>
      <w:r>
        <w:rPr>
          <w:rFonts w:eastAsia="IRNazanin" w:cs="IRNazanin"/>
          <w:color w:val="111111"/>
          <w:sz w:val="28"/>
          <w:szCs w:val="28"/>
          <w:rtl w:val="true"/>
          <w:lang w:bidi="fa-IR"/>
        </w:rPr>
        <w:t>.</w:t>
      </w:r>
      <w:r>
        <w:rPr>
          <w:rStyle w:val="FootnoteAnchor"/>
          <w:rtl w:val="true"/>
        </w:rPr>
        <w:footnoteReference w:id="806"/>
      </w:r>
    </w:p>
    <w:p>
      <w:pPr>
        <w:pStyle w:val="Heading5"/>
        <w:numPr>
          <w:ilvl w:val="4"/>
          <w:numId w:val="1"/>
        </w:numPr>
        <w:rPr/>
      </w:pPr>
      <w:bookmarkStart w:id="1526" w:name="__RefHeading___Toc606312_1934241801"/>
      <w:bookmarkStart w:id="1527" w:name="_Toc700"/>
      <w:bookmarkEnd w:id="1526"/>
      <w:r>
        <w:rPr>
          <w:rtl w:val="true"/>
        </w:rPr>
        <w:t xml:space="preserve">روایت </w:t>
      </w:r>
      <w:r>
        <w:rPr/>
        <w:t>16</w:t>
      </w:r>
      <w:bookmarkEnd w:id="1527"/>
    </w:p>
    <w:p>
      <w:p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خواب به هول و هراسی دچار می گردد که به واسطه آن گناهان او آمرزیده می شود، همچنین بدنش ضعیف و ناتوان می گردد و به واسطه آن نیز گناهانش آمرزیده می شود</w:t>
      </w:r>
      <w:r>
        <w:rPr>
          <w:rFonts w:eastAsia="IRNazanin" w:cs="IRNazanin"/>
          <w:color w:val="111111"/>
          <w:sz w:val="28"/>
          <w:szCs w:val="28"/>
          <w:rtl w:val="true"/>
          <w:lang w:bidi="fa-IR"/>
        </w:rPr>
        <w:t>.</w:t>
      </w:r>
      <w:r>
        <w:rPr>
          <w:rStyle w:val="FootnoteAnchor"/>
          <w:rtl w:val="true"/>
        </w:rPr>
        <w:footnoteReference w:id="807"/>
      </w:r>
    </w:p>
    <w:p>
      <w:pPr>
        <w:pStyle w:val="Heading5"/>
        <w:numPr>
          <w:ilvl w:val="4"/>
          <w:numId w:val="1"/>
        </w:numPr>
        <w:rPr/>
      </w:pPr>
      <w:bookmarkStart w:id="1528" w:name="__RefHeading___Toc606314_1934241801"/>
      <w:bookmarkStart w:id="1529" w:name="_Toc701"/>
      <w:bookmarkEnd w:id="1528"/>
      <w:r>
        <w:rPr>
          <w:rtl w:val="true"/>
        </w:rPr>
        <w:t>توضیح</w:t>
      </w:r>
      <w:bookmarkEnd w:id="1529"/>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 القومَ یَمهَنُهم مَهِنَة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قوم خدمت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امتهنتُ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 را بی ارزش شمردم،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أمهنتة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ضعیف و ناتوان کرد،پایان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بی ارزش شدن به وسیله امراض باشد، و شاید منظور خدمت کردن به مردم و کار کردن برای آنان باشد</w:t>
      </w:r>
      <w:r>
        <w:rPr>
          <w:rFonts w:eastAsia="IRNazanin" w:cs="IRNazanin"/>
          <w:color w:val="111111"/>
          <w:sz w:val="28"/>
          <w:szCs w:val="28"/>
          <w:rtl w:val="true"/>
          <w:lang w:bidi="fa-IR"/>
        </w:rPr>
        <w:t>.</w:t>
      </w:r>
    </w:p>
    <w:p>
      <w:pPr>
        <w:pStyle w:val="Heading5"/>
        <w:numPr>
          <w:ilvl w:val="4"/>
          <w:numId w:val="1"/>
        </w:numPr>
        <w:rPr/>
      </w:pPr>
      <w:bookmarkStart w:id="1530" w:name="__RefHeading___Toc606316_1934241801"/>
      <w:bookmarkStart w:id="1531" w:name="_Toc702"/>
      <w:bookmarkEnd w:id="1530"/>
      <w:r>
        <w:rPr>
          <w:rtl w:val="true"/>
        </w:rPr>
        <w:t xml:space="preserve">روایت </w:t>
      </w:r>
      <w:r>
        <w:rPr/>
        <w:t>17</w:t>
      </w:r>
      <w:bookmarkEnd w:id="1531"/>
    </w:p>
    <w:p>
      <w:p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پدارنش علیهم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یک شبانه روز مریض باشد و نزد عیادت کنندگانش لب به شکایت نگشاید، خداوند در روز قیامت او را با حضرت ابراهیم خلیل الرحمن زنده می گرداند تا اینکه از روی پل صراط با سرعت برقی درخشنده عبور کند</w:t>
      </w:r>
      <w:r>
        <w:rPr>
          <w:rFonts w:eastAsia="IRNazanin" w:cs="IRNazanin"/>
          <w:color w:val="111111"/>
          <w:sz w:val="28"/>
          <w:szCs w:val="28"/>
          <w:rtl w:val="true"/>
          <w:lang w:bidi="fa-IR"/>
        </w:rPr>
        <w:t>.</w:t>
      </w:r>
      <w:r>
        <w:rPr>
          <w:rStyle w:val="FootnoteAnchor"/>
          <w:rtl w:val="true"/>
        </w:rPr>
        <w:footnoteReference w:id="808"/>
      </w:r>
    </w:p>
    <w:p>
      <w:pPr>
        <w:pStyle w:val="Heading5"/>
        <w:numPr>
          <w:ilvl w:val="4"/>
          <w:numId w:val="1"/>
        </w:numPr>
        <w:rPr/>
      </w:pPr>
      <w:bookmarkStart w:id="1532" w:name="__RefHeading___Toc606318_1934241801"/>
      <w:bookmarkStart w:id="1533" w:name="_Toc703"/>
      <w:bookmarkEnd w:id="1532"/>
      <w:r>
        <w:rPr>
          <w:rtl w:val="true"/>
        </w:rPr>
        <w:t xml:space="preserve">روایت </w:t>
      </w:r>
      <w:r>
        <w:rPr/>
        <w:t>18</w:t>
      </w:r>
      <w:bookmarkEnd w:id="1533"/>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خیر بنده ای از بندگان خود را بخواهد او را هرچه سریع تر در دنیا مجازات می کند، و هرگاه شرّ بنده ای از بندگانش را بخواهد گناهانش را با او نگاه می دارد تا اینکه در روز قیامت با آن گناهان به حضور خداوند برود</w:t>
      </w:r>
      <w:r>
        <w:rPr>
          <w:rFonts w:eastAsia="IRNazanin" w:cs="IRNazanin"/>
          <w:color w:val="111111"/>
          <w:sz w:val="28"/>
          <w:szCs w:val="28"/>
          <w:rtl w:val="true"/>
          <w:lang w:bidi="fa-IR"/>
        </w:rPr>
        <w:t>.</w:t>
      </w:r>
      <w:r>
        <w:rPr>
          <w:rStyle w:val="FootnoteAnchor"/>
          <w:rtl w:val="true"/>
        </w:rPr>
        <w:footnoteReference w:id="809"/>
      </w:r>
    </w:p>
    <w:p>
      <w:pPr>
        <w:pStyle w:val="Heading5"/>
        <w:numPr>
          <w:ilvl w:val="4"/>
          <w:numId w:val="1"/>
        </w:numPr>
        <w:rPr/>
      </w:pPr>
      <w:bookmarkStart w:id="1534" w:name="__RefHeading___Toc606320_1934241801"/>
      <w:bookmarkStart w:id="1535" w:name="_Toc704"/>
      <w:bookmarkEnd w:id="1534"/>
      <w:r>
        <w:rPr>
          <w:rtl w:val="true"/>
        </w:rPr>
        <w:t xml:space="preserve">روایت </w:t>
      </w:r>
      <w:r>
        <w:rPr/>
        <w:t>19</w:t>
      </w:r>
      <w:bookmarkEnd w:id="153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bookmarkStart w:id="1536" w:name="pg13517_329209"/>
    </w:p>
    <w:p>
      <w:pPr>
        <w:pStyle w:val="BookText"/>
        <w:rPr/>
      </w:pPr>
      <w:bookmarkEnd w:id="1536"/>
      <w:r>
        <w:rPr>
          <w:rFonts w:ascii="Amiri" w:hAnsi="Amiri" w:eastAsia="Amiri" w:cs="Amiri"/>
          <w:color w:val="111111"/>
          <w:sz w:val="28"/>
          <w:sz w:val="28"/>
          <w:szCs w:val="28"/>
          <w:rtl w:val="true"/>
          <w:lang w:bidi="ar-SA"/>
        </w:rPr>
        <w:t>الْقَاسِمِ بْنِ يَحْيَي عَنْ جَدِّهِ الْحَسَنِ عَنْ أَبِي بَصِيرٍ وَ مُحَمَّدِ بْنِ مُسْلِمٍ عَنْ أَبِي عَبْدِ اللَّهِ عَنْ آبَائِهِ عليهم السلام عَنْ أَمِيرِ الْمُؤْمِنِينَ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تَوَقَّوُا الذُّنُوبَ فَمَا مِنْ بَلِيَّةٍ وَ لَا نَقْصِ رِزْقٍ إِلَّا بِذَنْبٍ حَتَّي الْخَدْشِ وَ الْكَبْوَةِ وَ الْمُصِيبَةِ قَالَ اللَّهُ عَزَّ وَ جَلَ وَ ما أَصابَكُمْ مِنْ مُصِيبَةٍ فَبِما كَسَبَتْ أَيْدِيكُمْ وَ يَعْفُوا عَنْ كَثِيرٍ</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دَاءٍ إِلَّا وَ هُوَ مِنْ دَاخِلِ الْجَوْفِ إِلَّا الْجِرَاحَةُ وَ الْحُمَّي فَإِنَّهُمَا يَرِدَانِ وُرُوداً</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الشِّيعَةِ عَبْدٌ يُقَارِفُ أَمْراً نَهَيْنَاهُ عَنْهُ فَيَمُوتُ حَتَّي يُبْتَلَي بِبَلِيَّةٍ تُمَحَّصُ بِهَا ذُنُوبُهُ إِمَّا فِي مَالٍ أَوْ فِي وَلَدٍ وَ إِمَّا فِي نَفْسِهِ حَتَّي يَلْقَي اللَّهَ عَزَّ وَ جَلَّ وَ مَا لَهُ ذَنْبٌ وَ إِنَّهُ لَيَبْقَي عَلَيْهِ الشَّيْ‌ءُ مِنْ ذُنُوبِهِ فَيُشَدَّدُ بِهِ عَلَيْهِ عِنْدَ مَوْتِهِ‌</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7" w:name="__RefHeading___Toc606322_1934241801"/>
      <w:bookmarkStart w:id="1538" w:name="_Toc705"/>
      <w:bookmarkEnd w:id="1537"/>
      <w:r>
        <w:rPr>
          <w:rtl w:val="true"/>
        </w:rPr>
        <w:t>بيان</w:t>
      </w:r>
      <w:bookmarkEnd w:id="1538"/>
    </w:p>
    <w:p>
      <w:pPr>
        <w:pStyle w:val="BookText"/>
        <w:rPr/>
      </w:pPr>
      <w:r>
        <w:rPr>
          <w:rFonts w:ascii="Amiri" w:hAnsi="Amiri" w:eastAsia="Amiri" w:cs="Amiri"/>
          <w:color w:val="111111"/>
          <w:sz w:val="28"/>
          <w:sz w:val="28"/>
          <w:szCs w:val="28"/>
          <w:rtl w:val="true"/>
          <w:lang w:bidi="ar-SA"/>
        </w:rPr>
        <w:t>قوله عليه السلام فإنهما يردان لعل المعني أن في طريان سائر الأمراض يشترط وجود مادة في البدن سابقا تنجر إليها بخلاف الحمي فإنه قد يكون بسبب الأمور الخارجة كتصرف الهواء البارد أو الحار و الأمر في الجراحة ظاهر</w:t>
      </w:r>
      <w:r>
        <w:rPr>
          <w:rFonts w:eastAsia="Amiri" w:cs="Amiri" w:ascii="Amiri" w:hAnsi="Amiri"/>
          <w:color w:val="111111"/>
          <w:sz w:val="28"/>
          <w:szCs w:val="28"/>
          <w:rtl w:val="true"/>
          <w:lang w:bidi="ar-SA"/>
        </w:rPr>
        <w:t>.</w:t>
      </w:r>
    </w:p>
    <w:p>
      <w:pPr>
        <w:pStyle w:val="Heading5"/>
        <w:numPr>
          <w:ilvl w:val="4"/>
          <w:numId w:val="1"/>
        </w:numPr>
        <w:rPr/>
      </w:pPr>
      <w:bookmarkStart w:id="1539" w:name="__RefHeading___Toc606324_1934241801"/>
      <w:bookmarkStart w:id="1540" w:name="_Toc706"/>
      <w:bookmarkEnd w:id="1539"/>
      <w:r>
        <w:rPr>
          <w:rtl w:val="true"/>
        </w:rPr>
        <w:t>«</w:t>
      </w:r>
      <w:r>
        <w:rPr/>
        <w:t>20</w:t>
      </w:r>
      <w:r>
        <w:rPr>
          <w:rtl w:val="true"/>
        </w:rPr>
        <w:t>»</w:t>
      </w:r>
      <w:bookmarkEnd w:id="1540"/>
    </w:p>
    <w:p>
      <w:pPr>
        <w:pStyle w:val="BookText"/>
        <w:rPr/>
      </w:pPr>
      <w:r>
        <w:rPr>
          <w:rFonts w:ascii="Amiri" w:hAnsi="Amiri" w:eastAsia="Amiri" w:cs="Amiri"/>
          <w:color w:val="111111"/>
          <w:sz w:val="28"/>
          <w:sz w:val="28"/>
          <w:szCs w:val="28"/>
          <w:rtl w:val="true"/>
          <w:lang w:bidi="ar-SA"/>
        </w:rPr>
        <w:t>الْخِصَالُ، عَنْ أَبِيهِ عَنْ أَحْمَدَ بْنِ إِدْرِيسَ عَنْ مُحَمَّدِ بْنِ أَحْمَدَ عَنْ عَلِيِّ بْنِ السِّنْدِيِّ عَنْ أَحْمَدَ بْنِ النَّضْرِ الْخَزَّازِ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نَظَرَ إِلَيْهِ فَإِذَا نَظَرَ إِلَيْهِ أَتْحَفَهُ مِنْ ثَلَاثَةٍ بِوَاحِدَةٍ إِمَّا صُدَاعٍ وَ إِمَّا حُمَّي وَ إِمَّا رَمَدٍ</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1" w:name="__RefHeading___Toc606326_1934241801"/>
      <w:bookmarkStart w:id="1542" w:name="_Toc707"/>
      <w:bookmarkEnd w:id="1541"/>
      <w:r>
        <w:rPr>
          <w:rtl w:val="true"/>
        </w:rPr>
        <w:t>«</w:t>
      </w:r>
      <w:r>
        <w:rPr/>
        <w:t>21</w:t>
      </w:r>
      <w:r>
        <w:rPr>
          <w:rtl w:val="true"/>
        </w:rPr>
        <w:t>»</w:t>
      </w:r>
      <w:bookmarkEnd w:id="1542"/>
    </w:p>
    <w:p>
      <w:pPr>
        <w:pStyle w:val="BookText"/>
        <w:rPr/>
      </w:pPr>
      <w:r>
        <w:rPr>
          <w:rFonts w:ascii="Amiri" w:hAnsi="Amiri" w:eastAsia="Amiri" w:cs="Amiri"/>
          <w:color w:val="111111"/>
          <w:sz w:val="28"/>
          <w:sz w:val="28"/>
          <w:szCs w:val="28"/>
          <w:rtl w:val="true"/>
          <w:lang w:bidi="ar-SA"/>
        </w:rPr>
        <w:t>وَ مِنْهُ، عَنْ أَحْمَدَ بْنِ زِيَادٍ الْهَمَدَانِيِّ عَنْ عَلِيِّ بْنِ إِبْرَاهِيمَ عَنْ أَبِيهِ عَنِ ابْنِ أَبِي عُمَيْرٍ عَنْ غِيَاثِ بْنِ إِبْرَاهِيمَ عَنْ جَعْفَرِ بْنِ مُحَمَّدٍ عَنْ أَبِيهِ عَنْ آبَائِهِ عَنْ عَلِيٍّ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تَكْرَهُوا أَرْبَعَةً فَإِنَّهَا لِأَرْبَعَةٍ، لَا تَكْرَهُوا الزُّكَامَ فَإِنَّهُ أَمَانٌ مِنَ الْجُذَامِ وَ لَا تَكْرَهُوا الدَّمَامِيلَ فَإِنَّهَا أَمَانٌ مِنَ الْبَرَصِ وَ لَا</w:t>
      </w:r>
    </w:p>
    <w:p>
      <w:pPr>
        <w:pStyle w:val="BookText"/>
        <w:rPr/>
      </w:pPr>
      <w:r>
        <w:rPr>
          <w:rFonts w:ascii="IRNazanin" w:hAnsi="IRNazanin" w:eastAsia="IRNazanin"/>
          <w:color w:val="111111"/>
          <w:sz w:val="28"/>
          <w:sz w:val="28"/>
          <w:szCs w:val="28"/>
          <w:rtl w:val="true"/>
          <w:lang w:bidi="fa-IR"/>
        </w:rPr>
        <w:t>امام صادق علیه السلام از پدرانش علیهم السلام روایت کرده که امیر 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ارتکاب گناهان بپرهیزید، چرا که انسان به هیچ بلایی حتی یک خراش، افتادن روی زمین و یا مصیبتی گرفتار نمی شود و دچار نقص در رزق و روزی نمی گردد مگر آنکه به سبب ارتکاب گناهان می باشد،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أصابکم مِن مصیبة فبما کسبت أیدیکم و یعفو عن کثیر</w:t>
      </w:r>
      <w:r>
        <w:rPr>
          <w:rFonts w:eastAsia="IRNazanin" w:cs="IRNazanin"/>
          <w:color w:val="111111"/>
          <w:sz w:val="28"/>
          <w:szCs w:val="28"/>
          <w:rtl w:val="true"/>
          <w:lang w:bidi="fa-IR"/>
        </w:rPr>
        <w:t>»</w:t>
      </w:r>
      <w:r>
        <w:rPr>
          <w:rStyle w:val="FootnoteAnchor"/>
          <w:rtl w:val="true"/>
        </w:rPr>
        <w:footnoteReference w:id="8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مصیبتی به شما برسد به سبب دستاورد خود شماست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درمی‌گذرد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دردها و مریضی ها از داخل شکم سرچشمه می گیرد غیر از جراحت و تب که از خارج بر بدن انسان عارض می شوند</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امام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شیعیان مرتکب کاری که ما او را از انجام آن منع کرده ایم نمی شود، مگر آنکه قبل از مرگ گرفتار بلا و مصیبتی در اموال، اولاد و یا جان  خود می شود که به واسطه آن گناهانش زدوده می شود، تا اینکه بدون به دوش کشیدن سنگینی بار گناهان به ملاقات خداوند عزّ و جلّ برود، و به سبب قسمتی از گناهان که در کارنامه اش باقی می ماند هنگام مرگ بر او سخت گرفته می شود</w:t>
      </w:r>
      <w:r>
        <w:rPr>
          <w:rFonts w:eastAsia="IRNazanin" w:cs="IRNazanin"/>
          <w:color w:val="111111"/>
          <w:sz w:val="28"/>
          <w:szCs w:val="28"/>
          <w:rtl w:val="true"/>
          <w:lang w:bidi="fa-IR"/>
        </w:rPr>
        <w:t>.</w:t>
      </w:r>
      <w:r>
        <w:rPr>
          <w:rStyle w:val="FootnoteAnchor"/>
          <w:rtl w:val="true"/>
        </w:rPr>
        <w:footnoteReference w:id="816"/>
      </w:r>
    </w:p>
    <w:p>
      <w:pPr>
        <w:pStyle w:val="Heading5"/>
        <w:numPr>
          <w:ilvl w:val="4"/>
          <w:numId w:val="1"/>
        </w:numPr>
        <w:rPr/>
      </w:pPr>
      <w:bookmarkStart w:id="1543" w:name="__RefHeading___Toc606328_1934241801"/>
      <w:bookmarkStart w:id="1544" w:name="_Toc708"/>
      <w:bookmarkEnd w:id="1543"/>
      <w:r>
        <w:rPr>
          <w:rtl w:val="true"/>
        </w:rPr>
        <w:t>توضیح</w:t>
      </w:r>
      <w:bookmarkEnd w:id="1544"/>
    </w:p>
    <w:p>
      <w:pPr>
        <w:pStyle w:val="BookText"/>
        <w:rPr/>
      </w:pPr>
      <w:r>
        <w:rPr>
          <w:rFonts w:ascii="IRNazanin" w:hAnsi="IRNazanin" w:eastAsia="IRNazanin"/>
          <w:color w:val="111111"/>
          <w:sz w:val="28"/>
          <w:sz w:val="28"/>
          <w:szCs w:val="28"/>
          <w:rtl w:val="true"/>
          <w:lang w:bidi="fa-IR"/>
        </w:rPr>
        <w:t>شاید معنای 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فإنّهما یردان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باشد که سایر امراض به سبب وجود مادهّ ای که سابقاً در بدن وجود داشته و منجر به ابتلای به آن امراض شده است بر انسان حادث می شوند، برخلاف تب که امور خارجی مانند هوای سرد یا گرم سبب پیدایش آن می شود، و مسأله جراحت نیز که آشکار است</w:t>
      </w:r>
      <w:r>
        <w:rPr>
          <w:rFonts w:eastAsia="IRNazanin" w:cs="IRNazanin"/>
          <w:color w:val="111111"/>
          <w:sz w:val="28"/>
          <w:szCs w:val="28"/>
          <w:rtl w:val="true"/>
          <w:lang w:bidi="fa-IR"/>
        </w:rPr>
        <w:t>.</w:t>
      </w:r>
    </w:p>
    <w:p>
      <w:pPr>
        <w:pStyle w:val="Heading5"/>
        <w:numPr>
          <w:ilvl w:val="4"/>
          <w:numId w:val="1"/>
        </w:numPr>
        <w:rPr/>
      </w:pPr>
      <w:bookmarkStart w:id="1545" w:name="__RefHeading___Toc606330_1934241801"/>
      <w:bookmarkStart w:id="1546" w:name="_Toc709"/>
      <w:bookmarkEnd w:id="1545"/>
      <w:r>
        <w:rPr>
          <w:rtl w:val="true"/>
        </w:rPr>
        <w:t xml:space="preserve">روایت </w:t>
      </w:r>
      <w:r>
        <w:rPr/>
        <w:t>20</w:t>
      </w:r>
      <w:bookmarkEnd w:id="1546"/>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بنده ای را دوست بدارد نظر خود را متوجه او می گرداند، و هرگاه که نظر خود را متوجّه او بگرداند یکی از سه مورد زیر را به او هدیه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سردرد، تب و یا چشم درد</w:t>
      </w:r>
      <w:r>
        <w:rPr>
          <w:rFonts w:eastAsia="IRNazanin" w:cs="IRNazanin"/>
          <w:color w:val="111111"/>
          <w:sz w:val="28"/>
          <w:szCs w:val="28"/>
          <w:rtl w:val="true"/>
          <w:lang w:bidi="fa-IR"/>
        </w:rPr>
        <w:t>.</w:t>
      </w:r>
      <w:r>
        <w:rPr>
          <w:rStyle w:val="FootnoteAnchor"/>
          <w:rtl w:val="true"/>
        </w:rPr>
        <w:footnoteReference w:id="817"/>
      </w:r>
    </w:p>
    <w:p>
      <w:pPr>
        <w:pStyle w:val="Heading5"/>
        <w:numPr>
          <w:ilvl w:val="4"/>
          <w:numId w:val="1"/>
        </w:numPr>
        <w:rPr/>
      </w:pPr>
      <w:bookmarkStart w:id="1547" w:name="__RefHeading___Toc606332_1934241801"/>
      <w:bookmarkStart w:id="1548" w:name="_Toc710"/>
      <w:bookmarkEnd w:id="1547"/>
      <w:r>
        <w:rPr>
          <w:rtl w:val="true"/>
        </w:rPr>
        <w:t xml:space="preserve">روایت </w:t>
      </w:r>
      <w:r>
        <w:rPr/>
        <w:t>21</w:t>
      </w:r>
      <w:bookmarkEnd w:id="154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از پدرانش علیهم السلام روایت کرده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را زشت نشمارید که باعث در امان ماندن از چهار چیز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زکام را زشت نشمارید که باعث در امان ماندن از جذام است، دُمل ها را زشت نشمارید که باعث در امان ماندن از پیسی است، </w:t>
      </w:r>
      <w:bookmarkStart w:id="1549" w:name="pg13517_329210"/>
    </w:p>
    <w:p>
      <w:pPr>
        <w:pStyle w:val="BookText"/>
        <w:rPr/>
      </w:pPr>
      <w:bookmarkEnd w:id="1549"/>
      <w:r>
        <w:rPr>
          <w:rFonts w:ascii="Amiri" w:hAnsi="Amiri" w:eastAsia="Amiri" w:cs="Amiri"/>
          <w:color w:val="111111"/>
          <w:sz w:val="28"/>
          <w:sz w:val="28"/>
          <w:szCs w:val="28"/>
          <w:rtl w:val="true"/>
          <w:lang w:bidi="ar-SA"/>
        </w:rPr>
        <w:t>تَكْرَهُوا الرَّمَدَ فَإِنَّهُ أَمَانٌ مِنَ الْعَمَي وَ لَا تَكْرَهُوا السُّعَالَ فَإِنَّهُ أَمَانٌ مِنَ الْفَالِجِ‌</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الراوندي،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550" w:name="__RefHeading___Toc606334_1934241801"/>
      <w:bookmarkStart w:id="1551" w:name="_Toc711"/>
      <w:bookmarkEnd w:id="1550"/>
      <w:r>
        <w:rPr>
          <w:rtl w:val="true"/>
        </w:rPr>
        <w:t>«</w:t>
      </w:r>
      <w:r>
        <w:rPr/>
        <w:t>22</w:t>
      </w:r>
      <w:r>
        <w:rPr>
          <w:rtl w:val="true"/>
        </w:rPr>
        <w:t>»</w:t>
      </w:r>
      <w:bookmarkEnd w:id="1551"/>
    </w:p>
    <w:p>
      <w:pPr>
        <w:pStyle w:val="BookText"/>
        <w:rPr/>
      </w:pPr>
      <w:r>
        <w:rPr>
          <w:rFonts w:ascii="Amiri" w:hAnsi="Amiri" w:eastAsia="Amiri" w:cs="Amiri"/>
          <w:color w:val="111111"/>
          <w:sz w:val="28"/>
          <w:sz w:val="28"/>
          <w:szCs w:val="28"/>
          <w:rtl w:val="true"/>
          <w:lang w:bidi="ar-SA"/>
        </w:rPr>
        <w:t>الْخِصَالُ، عَنْ مُحَمَّدِ بْنِ الْحَسَنِ عَنْ مُحَمَّدِ بْنِ يَحْيَي الْعَطَّارِ عَنْ أَحْمَدَ بْنِ مُحَمَّدٍ عَنْ أَبِي عَبْدِ اللَّهِ الرَّازِيِّ عَنِ الْحَسَنِ بْنِ عَلِيِّ بْنِ أَبِي عُثْمَانَ عَنْ أَبِيهِ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خِصَالٍ لَا تَكُونُ فِي مُؤْمِنٍ لَا يَكُونُ مَجْنُوناً وَ لَا يَسْأَلُ عَلَي أَبْوَابِ النَّاسِ وَ لَا يُولَدُ مِنَ الزِّنَا وَ لَا يُنْكَحُ فِي دُبُرِهِ‌</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2" w:name="__RefHeading___Toc606336_1934241801"/>
      <w:bookmarkStart w:id="1553" w:name="_Toc712"/>
      <w:bookmarkEnd w:id="1552"/>
      <w:r>
        <w:rPr>
          <w:rtl w:val="true"/>
        </w:rPr>
        <w:t>«</w:t>
      </w:r>
      <w:r>
        <w:rPr/>
        <w:t>23</w:t>
      </w:r>
      <w:r>
        <w:rPr>
          <w:rtl w:val="true"/>
        </w:rPr>
        <w:t>»</w:t>
      </w:r>
      <w:bookmarkEnd w:id="1553"/>
    </w:p>
    <w:p>
      <w:pPr>
        <w:pStyle w:val="BookText"/>
        <w:rPr/>
      </w:pPr>
      <w:r>
        <w:rPr>
          <w:rFonts w:ascii="Amiri" w:hAnsi="Amiri" w:eastAsia="Amiri" w:cs="Amiri"/>
          <w:color w:val="111111"/>
          <w:sz w:val="28"/>
          <w:sz w:val="28"/>
          <w:szCs w:val="28"/>
          <w:rtl w:val="true"/>
          <w:lang w:bidi="ar-SA"/>
        </w:rPr>
        <w:t>وَ مِنْهُ، عَنْ أَبِيهِ عَنْ مُحَمَّدِ بْنِ يَحْيَي الْعَطَّارِ عَنْ سَهْلِ بْنِ زِيَادٍ عَنِ السَّيَّارِيِّ عَنْ مُحَمَّدِ بْنِ يَحْيَي الْخَزَّازِ عَمَّنْ أَخْبَرَهُ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أَعْفَي شِيعَتَنَا مِنْ سِتٍّ مِنَ الْجُنُونِ وَ الْجُذَامِ وَ الْبَرَصِ وَ الْأُبْنَةِ وَ أَنْ يُولَدَ لَهُ مِنْ زِنًا وَ أَنْ يَسْأَلَ النَّاسَ بِكَفِّهِ‌</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4" w:name="__RefHeading___Toc606338_1934241801"/>
      <w:bookmarkStart w:id="1555" w:name="_Toc713"/>
      <w:bookmarkEnd w:id="1554"/>
      <w:r>
        <w:rPr>
          <w:rtl w:val="true"/>
        </w:rPr>
        <w:t>«</w:t>
      </w:r>
      <w:r>
        <w:rPr/>
        <w:t>24</w:t>
      </w:r>
      <w:r>
        <w:rPr>
          <w:rtl w:val="true"/>
        </w:rPr>
        <w:t>»</w:t>
      </w:r>
      <w:bookmarkEnd w:id="1555"/>
    </w:p>
    <w:p>
      <w:pPr>
        <w:pStyle w:val="BookText"/>
        <w:rPr/>
      </w:pPr>
      <w:r>
        <w:rPr>
          <w:rFonts w:ascii="Amiri" w:hAnsi="Amiri" w:eastAsia="Amiri" w:cs="Amiri"/>
          <w:color w:val="111111"/>
          <w:sz w:val="28"/>
          <w:sz w:val="28"/>
          <w:szCs w:val="28"/>
          <w:rtl w:val="true"/>
          <w:lang w:bidi="ar-SA"/>
        </w:rPr>
        <w:t>وَ مِنْهُ، فِي حَدِيثٍ مَرْفُوعٍ مَوْقُوفٍ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قَلِيلٌ مِنْهَا كَثِيرٌ الْمَرَضُ الْقَلِيلُ مِنْهُ كَثِيرٌ الْخَبَرَ</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6" w:name="__RefHeading___Toc606340_1934241801"/>
      <w:bookmarkStart w:id="1557" w:name="_Toc714"/>
      <w:bookmarkEnd w:id="1556"/>
      <w:r>
        <w:rPr>
          <w:rtl w:val="true"/>
        </w:rPr>
        <w:t>«</w:t>
      </w:r>
      <w:r>
        <w:rPr/>
        <w:t>25</w:t>
      </w:r>
      <w:r>
        <w:rPr>
          <w:rtl w:val="true"/>
        </w:rPr>
        <w:t>»</w:t>
      </w:r>
      <w:bookmarkEnd w:id="1557"/>
    </w:p>
    <w:p>
      <w:pPr>
        <w:pStyle w:val="BookText"/>
        <w:rPr/>
      </w:pPr>
      <w:r>
        <w:rPr>
          <w:rFonts w:ascii="Amiri" w:hAnsi="Amiri" w:eastAsia="Amiri" w:cs="Amiri"/>
          <w:color w:val="111111"/>
          <w:sz w:val="28"/>
          <w:sz w:val="28"/>
          <w:szCs w:val="28"/>
          <w:rtl w:val="true"/>
          <w:lang w:bidi="ar-SA"/>
        </w:rPr>
        <w:t>تَفْسِيرُ عَلِيِّ بْنِ إِبْرَاهِيمَ، عَنْ أَبِيهِ عَنِ ابْنِ أَبِي عُمَيْرٍ عَنْ مَنْصُورِ بْنِ يُونُسَ عَنْ أَبِي حَمْزَةَ عَنْ الْأَصْبَغِ بْنِ نُبَاتَةَ عَنْ أَمِيرِ الْمُؤْمِنِينَ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أُحَدِّثَكُمْ بِحَدِيثٍ يَنْبَغِي لِكُلِّ مُسْلِمٍ أَنْ يَعِيَهُ ثُمَّ أَقْبَلَ عَلَيْنَا فَقَالَ مَا عَاقَبَ اللَّهُ عَبْداً مُؤْمِناً فِي هَذِهِ الدُّنْيَا إِلَّا كَانَ اللَّهُ أَحْلَمَ وَ أَمْجَدَ وَ أَجْوَدَ وَ أَكْرَمَ مِنْ أَنْ يَعُودَ فِي عِقَابِهِ يَوْمَ الْقِيَامَةِ وَ مَا سَتَرَ اللَّهُ عَلَي عَبْدٍ مُؤْمِنٍ فِي هَذِهِ الدُّنْيَا وَ عَفَا عَنْهُ إِلَّا كَانَ اللَّهُ أَمْجَدَ وَ أَجْوَدَ وَ أَكْرَمَ مِنْ أَنْ يَعُودَ فِي عُقُوبَتِهِ يَوْمَ الْقِيَامَةِ ثُمَّ قَالَ وَ قَدْ يَبْتَلِي اللَّهُ الْمُؤْمِنَ بِالْبَلِيَّةِ فِي بَدَنِهِ أَوْ مَالِهِ أَوْ وُلْدِهِ أَوْ أَهْلِهِ ثُمَّ تَلَا هَذِهِ الْآيَةَ وَ ما</w:t>
      </w:r>
    </w:p>
    <w:p>
      <w:pPr>
        <w:pStyle w:val="BookText"/>
        <w:rPr/>
      </w:pPr>
      <w:r>
        <w:rPr>
          <w:rFonts w:ascii="IRNazanin" w:hAnsi="IRNazanin" w:eastAsia="IRNazanin"/>
          <w:color w:val="111111"/>
          <w:sz w:val="28"/>
          <w:sz w:val="28"/>
          <w:szCs w:val="28"/>
          <w:rtl w:val="true"/>
          <w:lang w:bidi="fa-IR"/>
        </w:rPr>
        <w:t>چشم درد را زشت نشمارید که باعث در امان ماندن از نابینایی است، و سیاه سرفه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زشت نشمارید که باعث در امان ماندن از فلج شدن است</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به صورت مرسل روایت شده است</w:t>
      </w:r>
      <w:r>
        <w:rPr>
          <w:rFonts w:eastAsia="IRNazanin" w:cs="IRNazanin"/>
          <w:color w:val="111111"/>
          <w:sz w:val="28"/>
          <w:szCs w:val="28"/>
          <w:rtl w:val="true"/>
          <w:lang w:bidi="fa-IR"/>
        </w:rPr>
        <w:t>.</w:t>
      </w:r>
    </w:p>
    <w:p>
      <w:pPr>
        <w:pStyle w:val="Heading5"/>
        <w:numPr>
          <w:ilvl w:val="4"/>
          <w:numId w:val="1"/>
        </w:numPr>
        <w:rPr/>
      </w:pPr>
      <w:bookmarkStart w:id="1558" w:name="__RefHeading___Toc606342_1934241801"/>
      <w:bookmarkStart w:id="1559" w:name="_Toc715"/>
      <w:bookmarkEnd w:id="1558"/>
      <w:r>
        <w:rPr>
          <w:rtl w:val="true"/>
        </w:rPr>
        <w:t xml:space="preserve">روایت </w:t>
      </w:r>
      <w:r>
        <w:rPr/>
        <w:t>22</w:t>
      </w:r>
      <w:bookmarkEnd w:id="1559"/>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وجود دارد که در مؤمن یافت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مجنون نیست، به درگاه مردم دستِ گدائی دراز نمی کند، بر اثر زنا متولّد نمی شود، و از پشتش نزدیکی نمی شود</w:t>
      </w:r>
      <w:r>
        <w:rPr>
          <w:rFonts w:eastAsia="IRNazanin" w:cs="IRNazanin"/>
          <w:color w:val="111111"/>
          <w:sz w:val="28"/>
          <w:szCs w:val="28"/>
          <w:rtl w:val="true"/>
          <w:lang w:bidi="fa-IR"/>
        </w:rPr>
        <w:t>.</w:t>
      </w:r>
      <w:r>
        <w:rPr>
          <w:rStyle w:val="FootnoteAnchor"/>
          <w:rtl w:val="true"/>
        </w:rPr>
        <w:footnoteReference w:id="823"/>
      </w:r>
    </w:p>
    <w:p>
      <w:pPr>
        <w:pStyle w:val="Heading5"/>
        <w:numPr>
          <w:ilvl w:val="4"/>
          <w:numId w:val="1"/>
        </w:numPr>
        <w:rPr/>
      </w:pPr>
      <w:bookmarkStart w:id="1560" w:name="__RefHeading___Toc606344_1934241801"/>
      <w:bookmarkStart w:id="1561" w:name="_Toc716"/>
      <w:bookmarkEnd w:id="1560"/>
      <w:r>
        <w:rPr>
          <w:rtl w:val="true"/>
        </w:rPr>
        <w:t xml:space="preserve">روایت </w:t>
      </w:r>
      <w:r>
        <w:rPr/>
        <w:t>23</w:t>
      </w:r>
      <w:bookmarkEnd w:id="1561"/>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عزّ و جلّ شیعیان ما را از شش خصلت در امان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جذام، پیسی، میخچه، متولّد شدن براثر زنا، و گدایی کردن از مردم با دست خود</w:t>
      </w:r>
      <w:r>
        <w:rPr>
          <w:rFonts w:eastAsia="IRNazanin" w:cs="IRNazanin"/>
          <w:color w:val="111111"/>
          <w:sz w:val="28"/>
          <w:szCs w:val="28"/>
          <w:rtl w:val="true"/>
          <w:lang w:bidi="fa-IR"/>
        </w:rPr>
        <w:t>.</w:t>
      </w:r>
      <w:r>
        <w:rPr>
          <w:rStyle w:val="FootnoteAnchor"/>
          <w:rtl w:val="true"/>
        </w:rPr>
        <w:footnoteReference w:id="824"/>
      </w:r>
    </w:p>
    <w:p>
      <w:pPr>
        <w:pStyle w:val="Heading5"/>
        <w:numPr>
          <w:ilvl w:val="4"/>
          <w:numId w:val="1"/>
        </w:numPr>
        <w:rPr/>
      </w:pPr>
      <w:bookmarkStart w:id="1562" w:name="__RefHeading___Toc606346_1934241801"/>
      <w:bookmarkStart w:id="1563" w:name="_Toc717"/>
      <w:bookmarkEnd w:id="1562"/>
      <w:r>
        <w:rPr>
          <w:rtl w:val="true"/>
        </w:rPr>
        <w:t xml:space="preserve">روایت </w:t>
      </w:r>
      <w:r>
        <w:rPr/>
        <w:t>24</w:t>
      </w:r>
      <w:bookmarkEnd w:id="1563"/>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ضمن حدیثی مرفوع و موقوف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وجود دارد که اندک آن ها کثیر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اندکِ آن نیز کثیر است، حدیث</w:t>
      </w:r>
      <w:r>
        <w:rPr>
          <w:rFonts w:eastAsia="IRNazanin" w:cs="IRNazanin"/>
          <w:color w:val="111111"/>
          <w:sz w:val="28"/>
          <w:szCs w:val="28"/>
          <w:rtl w:val="true"/>
          <w:lang w:bidi="fa-IR"/>
        </w:rPr>
        <w:t>.</w:t>
      </w:r>
      <w:r>
        <w:rPr>
          <w:rStyle w:val="FootnoteAnchor"/>
          <w:rtl w:val="true"/>
        </w:rPr>
        <w:footnoteReference w:id="825"/>
      </w:r>
    </w:p>
    <w:p>
      <w:pPr>
        <w:pStyle w:val="Heading5"/>
        <w:numPr>
          <w:ilvl w:val="4"/>
          <w:numId w:val="1"/>
        </w:numPr>
        <w:rPr/>
      </w:pPr>
      <w:bookmarkStart w:id="1564" w:name="__RefHeading___Toc606348_1934241801"/>
      <w:bookmarkStart w:id="1565" w:name="_Toc718"/>
      <w:bookmarkEnd w:id="1564"/>
      <w:r>
        <w:rPr>
          <w:rtl w:val="true"/>
        </w:rPr>
        <w:t xml:space="preserve">روایت </w:t>
      </w:r>
      <w:r>
        <w:rPr/>
        <w:t>25</w:t>
      </w:r>
      <w:bookmarkEnd w:id="156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أصبغ بن نباته از امیر مؤمنان علی علیه السلام روایت کرده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شما سخنی می گویم که سزاوار است هر مؤمنی از آن آگاه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أصبغ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به ما روی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بنده مؤمنی را در این دنیا مجازات نمی کند مگر آنکه باوقارتر، بزرگوارتر، سخاوتمندتر و بخشنده تر از آن است که مجازاتش را در روز قیامت دوباره کند، و خداوند گناه هیچ بنده مؤمنی را نمی پوشاند و او را نمی بخشد مگر آنکه بزرگوارتر، سخاوتمندتر و بخشنده تر از آن است که مجازاتش را در روز قیامت دوباره کند،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مؤمن را با مصیبت نقص در جسم، اموال، اولاد و نزدیکانش مبتلا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آزماید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w:t>
      </w:r>
      <w:bookmarkStart w:id="1566" w:name="pg13517_329211"/>
    </w:p>
    <w:p>
      <w:pPr>
        <w:pStyle w:val="BookText"/>
        <w:rPr/>
      </w:pPr>
      <w:bookmarkEnd w:id="1566"/>
      <w:r>
        <w:rPr>
          <w:rFonts w:ascii="Amiri" w:hAnsi="Amiri" w:eastAsia="Amiri" w:cs="Amiri"/>
          <w:color w:val="111111"/>
          <w:sz w:val="28"/>
          <w:sz w:val="28"/>
          <w:szCs w:val="28"/>
          <w:rtl w:val="true"/>
          <w:lang w:bidi="ar-SA"/>
        </w:rPr>
        <w:t>أَصابَكُمْ مِنْ مُصِيبَةٍ فَبِما كَسَبَتْ أَيْدِيكُمْ وَ يَعْفُوا عَنْ كَثِيرٍ وَ حَثَا بِيَدِهِ ثَلَاثَ مَرَّاتٍ‌</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7" w:name="__RefHeading___Toc606350_1934241801"/>
      <w:bookmarkStart w:id="1568" w:name="_Toc719"/>
      <w:bookmarkEnd w:id="1567"/>
      <w:r>
        <w:rPr>
          <w:rtl w:val="true"/>
        </w:rPr>
        <w:t>بيان</w:t>
      </w:r>
      <w:bookmarkEnd w:id="1568"/>
    </w:p>
    <w:p>
      <w:pPr>
        <w:pStyle w:val="BookText"/>
        <w:rPr/>
      </w:pPr>
      <w:r>
        <w:rPr>
          <w:rFonts w:ascii="Amiri" w:hAnsi="Amiri" w:eastAsia="Amiri" w:cs="Amiri"/>
          <w:color w:val="111111"/>
          <w:sz w:val="28"/>
          <w:sz w:val="28"/>
          <w:szCs w:val="28"/>
          <w:rtl w:val="true"/>
          <w:lang w:bidi="ar-SA"/>
        </w:rPr>
        <w:t>حثيه عليه السلام بيده ثلاث مرات كما يحثي التراب لبيان كثرة ما يعفو الله عنه</w:t>
      </w:r>
      <w:r>
        <w:rPr>
          <w:rFonts w:eastAsia="Amiri" w:cs="Amiri" w:ascii="Amiri" w:hAnsi="Amiri"/>
          <w:color w:val="111111"/>
          <w:sz w:val="28"/>
          <w:szCs w:val="28"/>
          <w:rtl w:val="true"/>
          <w:lang w:bidi="ar-SA"/>
        </w:rPr>
        <w:t>.</w:t>
      </w:r>
    </w:p>
    <w:p>
      <w:pPr>
        <w:pStyle w:val="Heading5"/>
        <w:numPr>
          <w:ilvl w:val="4"/>
          <w:numId w:val="1"/>
        </w:numPr>
        <w:rPr/>
      </w:pPr>
      <w:bookmarkStart w:id="1569" w:name="__RefHeading___Toc606352_1934241801"/>
      <w:bookmarkStart w:id="1570" w:name="_Toc720"/>
      <w:bookmarkEnd w:id="1569"/>
      <w:r>
        <w:rPr>
          <w:rtl w:val="true"/>
        </w:rPr>
        <w:t>«</w:t>
      </w:r>
      <w:r>
        <w:rPr/>
        <w:t>26</w:t>
      </w:r>
      <w:r>
        <w:rPr>
          <w:rtl w:val="true"/>
        </w:rPr>
        <w:t>»</w:t>
      </w:r>
      <w:bookmarkEnd w:id="1570"/>
    </w:p>
    <w:p>
      <w:pPr>
        <w:pStyle w:val="BookText"/>
        <w:rPr/>
      </w:pPr>
      <w:r>
        <w:rPr>
          <w:rFonts w:ascii="Amiri" w:hAnsi="Amiri" w:eastAsia="Amiri" w:cs="Amiri"/>
          <w:color w:val="111111"/>
          <w:sz w:val="28"/>
          <w:sz w:val="28"/>
          <w:szCs w:val="28"/>
          <w:rtl w:val="true"/>
          <w:lang w:bidi="ar-SA"/>
        </w:rPr>
        <w:t>التَّفْسِيرُ، عَنْ أَبِيهِ عَنِ الْحَسَنِ بْنِ مَحْبُوبٍ عَنْ عَلِيِّ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أَصابَكُمْ مِنْ مُصِيبَةٍ فَبِما كَسَبَتْ أَيْدِيكُمْ وَ يَعْفُوا عَنْ كَثِيرٍ قَالَ أَ رَأَيْتَ مَا أَصَابَ عَلِيّاً وَ أَهْلَ بَيْتِهِ هُوَ بِمَا كَسَبَتْ أَيْدِيهِمْ وَ هُمْ أَهْلُ طَهَارَةٍ مَعْصُومِينَ قَالَ إِنَّ رَسُولَ اللَّهِ صلي الله عليه و آله كَانَ يَتُوبُ إِلَي اللَّهِ وَ يَسْتَغْفِرُهُ فِي كُلِّ يَوْمٍ وَ لَيْلَةٍ مِائَةَ مَرَّةٍ مِنْ غَيْرِ ذَنْبٍ إِنَّ اللَّهَ يَخُصُّ أَوْلِيَاءَهُ بِالْمَصَائِبِ لِيَأْجُرَهُمْ عَلَيْهَا مِنْ غَيْرِ ذَنْبٍ‌</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 عن أبيه عن سعد بن عبد الله عن أحمد بن محمد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28"/>
      </w:r>
    </w:p>
    <w:p>
      <w:pPr>
        <w:pStyle w:val="Heading5"/>
        <w:numPr>
          <w:ilvl w:val="4"/>
          <w:numId w:val="1"/>
        </w:numPr>
        <w:rPr/>
      </w:pPr>
      <w:bookmarkStart w:id="1571" w:name="__RefHeading___Toc606354_1934241801"/>
      <w:bookmarkStart w:id="1572" w:name="_Toc721"/>
      <w:bookmarkEnd w:id="1571"/>
      <w:r>
        <w:rPr>
          <w:rtl w:val="true"/>
        </w:rPr>
        <w:t>توضيح</w:t>
      </w:r>
      <w:bookmarkEnd w:id="1572"/>
    </w:p>
    <w:p>
      <w:pPr>
        <w:pStyle w:val="BookText"/>
        <w:rPr/>
      </w:pPr>
      <w:r>
        <w:rPr>
          <w:rFonts w:ascii="Amiri" w:hAnsi="Amiri" w:eastAsia="Amiri" w:cs="Amiri"/>
          <w:color w:val="111111"/>
          <w:sz w:val="28"/>
          <w:sz w:val="28"/>
          <w:szCs w:val="28"/>
          <w:rtl w:val="true"/>
          <w:lang w:bidi="ar-SA"/>
        </w:rPr>
        <w:t>أي كما أن استغفاره صلي الله عليه و آله لم يكن لحط الذنوب بل لرفع الدرجات فكذا ابتلاؤهم و الحاصل أن المخاطب في الآية غيرهم كما سيأتي</w:t>
      </w:r>
      <w:r>
        <w:rPr>
          <w:rFonts w:eastAsia="Amiri" w:cs="Amiri" w:ascii="Amiri" w:hAnsi="Amiri"/>
          <w:color w:val="111111"/>
          <w:sz w:val="28"/>
          <w:szCs w:val="28"/>
          <w:rtl w:val="true"/>
          <w:lang w:bidi="ar-SA"/>
        </w:rPr>
        <w:t>.</w:t>
      </w:r>
    </w:p>
    <w:p>
      <w:pPr>
        <w:pStyle w:val="Heading5"/>
        <w:numPr>
          <w:ilvl w:val="4"/>
          <w:numId w:val="1"/>
        </w:numPr>
        <w:rPr/>
      </w:pPr>
      <w:bookmarkStart w:id="1573" w:name="__RefHeading___Toc606356_1934241801"/>
      <w:bookmarkStart w:id="1574" w:name="_Toc722"/>
      <w:bookmarkEnd w:id="1573"/>
      <w:r>
        <w:rPr>
          <w:rtl w:val="true"/>
        </w:rPr>
        <w:t>«</w:t>
      </w:r>
      <w:r>
        <w:rPr/>
        <w:t>27</w:t>
      </w:r>
      <w:r>
        <w:rPr>
          <w:rtl w:val="true"/>
        </w:rPr>
        <w:t>»</w:t>
      </w:r>
      <w:bookmarkEnd w:id="1574"/>
    </w:p>
    <w:p>
      <w:pPr>
        <w:pStyle w:val="BookText"/>
        <w:rPr/>
      </w:pPr>
      <w:r>
        <w:rPr>
          <w:rFonts w:ascii="Amiri" w:hAnsi="Amiri" w:eastAsia="Amiri" w:cs="Amiri"/>
          <w:color w:val="111111"/>
          <w:sz w:val="28"/>
          <w:sz w:val="28"/>
          <w:szCs w:val="28"/>
          <w:rtl w:val="true"/>
          <w:lang w:bidi="ar-SA"/>
        </w:rPr>
        <w:t>التَّفْسِيرُ،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أُدْخِلَ عَلِيُّ بْنُ الْحُسَيْنِ عليهما السلام عَلَي يَزِيدَ لَعَنَهُ اللَّهُ نَظَرَ إِلَيْهِ ثُمَّ قَالَ لَهُ يَا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أَصابَكُمْ مِنْ مُصِيبَةٍ فَبِما كَسَبَتْ أَيْدِيكُمْ فَقَالَ عَلِيُّ بْنُ الْحُسَيْنِ عليه السلام كَلَّا مَا هَذِهِ فِينَا نَزَلَتْ وَ إِنَّمَا نَزَلَتْ فِينَا ما أَصابَ مِنْ مُصِيبَةٍ فِي الْأَرْضِ وَ لا فِي أَنْفُسِكُمْ إِلَّا فِي كِتابٍ مِنْ قَبْلِ أَنْ نَبْرَأَها إِنَّ ذلِكَ عَلَي اللَّهِ يَسِيرٌ لِكَيْلا تَأْسَوْا عَلي ما فاتَكُمْ وَ لا تَفْرَحُوا بِما آتاكُمْ فَنَحْنُ الَّذِينَ لَا نَأْسَي عَلَي مَا فَاتَنَا مِنْ أَمْرِ الدُّنْيَا وَ لَا نَفْرَحُ بِمَا أُوتِينَا</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أَصابَکُمْ مِنْ مُصِیبَةٍ فَبِما کَسَبَتْ أَیْدِیکُمْ وَ یَعْفُوا عَنْ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با دستش پاشید</w:t>
      </w:r>
      <w:r>
        <w:rPr>
          <w:rFonts w:eastAsia="IRNazanin" w:cs="IRNazanin"/>
          <w:color w:val="111111"/>
          <w:sz w:val="28"/>
          <w:szCs w:val="28"/>
          <w:rtl w:val="true"/>
          <w:lang w:bidi="fa-IR"/>
        </w:rPr>
        <w:t>.</w:t>
      </w:r>
      <w:r>
        <w:rPr>
          <w:rStyle w:val="FootnoteAnchor"/>
          <w:rtl w:val="true"/>
        </w:rPr>
        <w:footnoteReference w:id="830"/>
      </w:r>
    </w:p>
    <w:p>
      <w:pPr>
        <w:pStyle w:val="Heading5"/>
        <w:numPr>
          <w:ilvl w:val="4"/>
          <w:numId w:val="1"/>
        </w:numPr>
        <w:rPr/>
      </w:pPr>
      <w:bookmarkStart w:id="1575" w:name="__RefHeading___Toc606358_1934241801"/>
      <w:bookmarkStart w:id="1576" w:name="_Toc723"/>
      <w:bookmarkEnd w:id="1575"/>
      <w:r>
        <w:rPr>
          <w:rtl w:val="true"/>
        </w:rPr>
        <w:t>توضیح</w:t>
      </w:r>
      <w:bookmarkEnd w:id="1576"/>
    </w:p>
    <w:p>
      <w:pPr>
        <w:pStyle w:val="BookText"/>
        <w:rPr/>
      </w:pPr>
      <w:r>
        <w:rPr>
          <w:rFonts w:ascii="IRNazanin" w:hAnsi="IRNazanin" w:eastAsia="IRNazanin"/>
          <w:color w:val="111111"/>
          <w:sz w:val="28"/>
          <w:sz w:val="28"/>
          <w:szCs w:val="28"/>
          <w:rtl w:val="true"/>
          <w:lang w:bidi="fa-IR"/>
        </w:rPr>
        <w:t>سه بار پاشیدن امام علیه السلام با دستش مانند پاشیدن خاک، برای بیان کثرت چیزی است که خداوند آن را می بخشد</w:t>
      </w:r>
      <w:r>
        <w:rPr>
          <w:rFonts w:eastAsia="IRNazanin" w:cs="IRNazanin"/>
          <w:color w:val="111111"/>
          <w:sz w:val="28"/>
          <w:szCs w:val="28"/>
          <w:rtl w:val="true"/>
          <w:lang w:bidi="fa-IR"/>
        </w:rPr>
        <w:t>.</w:t>
      </w:r>
    </w:p>
    <w:p>
      <w:pPr>
        <w:pStyle w:val="Heading5"/>
        <w:numPr>
          <w:ilvl w:val="4"/>
          <w:numId w:val="1"/>
        </w:numPr>
        <w:rPr/>
      </w:pPr>
      <w:bookmarkStart w:id="1577" w:name="__RefHeading___Toc606360_1934241801"/>
      <w:bookmarkStart w:id="1578" w:name="_Toc724"/>
      <w:bookmarkEnd w:id="1577"/>
      <w:r>
        <w:rPr>
          <w:rtl w:val="true"/>
        </w:rPr>
        <w:t xml:space="preserve">روایت </w:t>
      </w:r>
      <w:r>
        <w:rPr/>
        <w:t>26</w:t>
      </w:r>
      <w:bookmarkEnd w:id="1578"/>
    </w:p>
    <w:p>
      <w:pPr>
        <w:pStyle w:val="BookText"/>
        <w:rPr/>
      </w:pP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رئاب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أصابکم من مصیبة فبما کسبت أیدیکم و یعفو عن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شما مصیبت های علی و اهل بیتش به سبب گناهانی است که مرتکب شده اند، حال آنکه آنان اهل طهارت و معصوم هستند؟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هر شبانه روز صد بار به درگاه خداوند توبه می کرد و طلب بخشش می نمود بدون آنکه مرتکب گناهی شده باشد، به راستی که خداوند اولیای خود را با مصیبت ها گرفتار می سازد تا آنان را بدون ارتکاب گناه مأجور دارد</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روایت شده است</w:t>
      </w:r>
      <w:r>
        <w:rPr>
          <w:rFonts w:eastAsia="IRNazanin" w:cs="IRNazanin"/>
          <w:color w:val="111111"/>
          <w:sz w:val="28"/>
          <w:szCs w:val="28"/>
          <w:rtl w:val="true"/>
          <w:lang w:bidi="fa-IR"/>
        </w:rPr>
        <w:t>.</w:t>
      </w:r>
      <w:r>
        <w:rPr>
          <w:rStyle w:val="FootnoteAnchor"/>
          <w:rtl w:val="true"/>
        </w:rPr>
        <w:footnoteReference w:id="832"/>
      </w:r>
    </w:p>
    <w:p>
      <w:pPr>
        <w:pStyle w:val="Heading5"/>
        <w:numPr>
          <w:ilvl w:val="4"/>
          <w:numId w:val="1"/>
        </w:numPr>
        <w:rPr/>
      </w:pPr>
      <w:bookmarkStart w:id="1579" w:name="__RefHeading___Toc606362_1934241801"/>
      <w:bookmarkStart w:id="1580" w:name="_Toc725"/>
      <w:bookmarkEnd w:id="1579"/>
      <w:r>
        <w:rPr>
          <w:rtl w:val="true"/>
        </w:rPr>
        <w:t>توضیح</w:t>
      </w:r>
      <w:bookmarkEnd w:id="1580"/>
    </w:p>
    <w:p>
      <w:pPr>
        <w:pStyle w:val="BookText"/>
        <w:rPr/>
      </w:pPr>
      <w:r>
        <w:rPr>
          <w:rFonts w:ascii="IRNazanin" w:hAnsi="IRNazanin" w:eastAsia="IRNazanin"/>
          <w:color w:val="111111"/>
          <w:sz w:val="28"/>
          <w:sz w:val="28"/>
          <w:szCs w:val="28"/>
          <w:rtl w:val="true"/>
          <w:lang w:bidi="fa-IR"/>
        </w:rPr>
        <w:t>آن گونه که استغفار و طلب بخشش از سوی پیامبرصلّی الله علیه و آله برای از بین بردن گناهان نبوده بلکه برای بالا بردن مقام و منزلت ایشان بوده است، گرفتار شدن امام علی و اهل بیتش نیز به همین منظور بوده است، و نتیجه اینکه مخاطبِ آیه مذکور امامان علیهم السلام نیستند چنان که ذکر خواهد شد</w:t>
      </w:r>
      <w:r>
        <w:rPr>
          <w:rFonts w:eastAsia="IRNazanin" w:cs="IRNazanin"/>
          <w:color w:val="111111"/>
          <w:sz w:val="28"/>
          <w:szCs w:val="28"/>
          <w:rtl w:val="true"/>
          <w:lang w:bidi="fa-IR"/>
        </w:rPr>
        <w:t>.</w:t>
      </w:r>
    </w:p>
    <w:p>
      <w:pPr>
        <w:pStyle w:val="Heading5"/>
        <w:numPr>
          <w:ilvl w:val="4"/>
          <w:numId w:val="1"/>
        </w:numPr>
        <w:rPr/>
      </w:pPr>
      <w:bookmarkStart w:id="1581" w:name="__RefHeading___Toc606364_1934241801"/>
      <w:bookmarkStart w:id="1582" w:name="_Toc726"/>
      <w:bookmarkEnd w:id="1581"/>
      <w:r>
        <w:rPr>
          <w:rtl w:val="true"/>
        </w:rPr>
        <w:t xml:space="preserve">روایت </w:t>
      </w:r>
      <w:r>
        <w:rPr/>
        <w:t>27</w:t>
      </w:r>
      <w:bookmarkEnd w:id="158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علی بن حسین علیهما السلام نزد یزید لعنه الله برده شد، یزید به ایشان نگاه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أصابکم من مصیبة فبما کسبت أیدیکم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مصیبتی به شما برسد به سبب دستاورد خود شماست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درمی‌گذرد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آیه در مورد ما نازل نشده است، بلکه در مورد ما این آیه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 من مصیبة فی الأرض و لا فی أنفسکم إلّا فی کتاب من قبل أن نبرأها إنّ ذلک علی الله یسیر لکیلا تأسو علی ما فاتکم ولا تفرحوا بما آتیکم</w:t>
      </w:r>
      <w:r>
        <w:rPr>
          <w:rFonts w:eastAsia="IRNazanin" w:cs="IRNazanin"/>
          <w:color w:val="111111"/>
          <w:sz w:val="28"/>
          <w:szCs w:val="28"/>
          <w:rtl w:val="true"/>
          <w:lang w:bidi="fa-IR"/>
        </w:rPr>
        <w:t>»</w:t>
      </w:r>
      <w:r>
        <w:rPr>
          <w:rStyle w:val="FootnoteAnchor"/>
          <w:rtl w:val="true"/>
        </w:rPr>
        <w:footnoteReference w:id="8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بر آنچه از دست‌شما رفته اندوهگین نشوید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داده است‌شادمانی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کسانی هستیم که به خاطر از دست دادن امور دنیایی اندوهگین نشده و به خاطر آنچه بدان بخشیده می شویم شادمان نمی گردیم</w:t>
      </w:r>
      <w:r>
        <w:rPr>
          <w:rFonts w:eastAsia="IRNazanin" w:cs="IRNazanin"/>
          <w:color w:val="111111"/>
          <w:sz w:val="28"/>
          <w:szCs w:val="28"/>
          <w:rtl w:val="true"/>
          <w:lang w:bidi="fa-IR"/>
        </w:rPr>
        <w:t>.</w:t>
      </w:r>
      <w:r>
        <w:rPr>
          <w:rStyle w:val="FootnoteAnchor"/>
          <w:rtl w:val="true"/>
        </w:rPr>
        <w:footnoteReference w:id="834"/>
      </w:r>
      <w:bookmarkStart w:id="1583" w:name="pg13517_329212"/>
    </w:p>
    <w:p>
      <w:pPr>
        <w:pStyle w:val="Heading5"/>
        <w:numPr>
          <w:ilvl w:val="4"/>
          <w:numId w:val="1"/>
        </w:numPr>
        <w:rPr/>
      </w:pPr>
      <w:bookmarkStart w:id="1584" w:name="__RefHeading___Toc606366_1934241801"/>
      <w:bookmarkStart w:id="1585" w:name="_Toc727"/>
      <w:bookmarkEnd w:id="1583"/>
      <w:bookmarkEnd w:id="1584"/>
      <w:r>
        <w:rPr>
          <w:rtl w:val="true"/>
        </w:rPr>
        <w:t>بيان</w:t>
      </w:r>
      <w:bookmarkEnd w:id="1585"/>
    </w:p>
    <w:p>
      <w:pPr>
        <w:pStyle w:val="BookText"/>
        <w:rPr/>
      </w:pPr>
      <w:r>
        <w:rPr>
          <w:rFonts w:ascii="Amiri" w:hAnsi="Amiri" w:eastAsia="Amiri" w:cs="Amiri"/>
          <w:color w:val="111111"/>
          <w:sz w:val="28"/>
          <w:sz w:val="28"/>
          <w:szCs w:val="28"/>
          <w:rtl w:val="true"/>
          <w:lang w:bidi="ar-SA"/>
        </w:rPr>
        <w:t>لعل المعني أن الآية الأولي مخصوصة بغيرهم و الثانية و إن كانت عامة لكن المنتفع بها هم عليهم السلام و ظهرت الفائدة فيهم و لا يبعد اختصاص الخطاب فيها بهم و بأمثالهم من الكاملين لاطلاعهم علي حكم الأشياء و تدبرهم فيها بل بهم عليهم السلام خاصة لما مر في حديث‌</w:t>
      </w:r>
      <w:r>
        <w:rPr>
          <w:rStyle w:val="FootnoteAnchor"/>
          <w:rtl w:val="true"/>
        </w:rPr>
        <w:footnoteReference w:id="835"/>
      </w:r>
      <w:r>
        <w:rPr>
          <w:rFonts w:ascii="Amiri" w:hAnsi="Amiri" w:eastAsia="Amiri" w:cs="Amiri"/>
          <w:color w:val="111111"/>
          <w:sz w:val="28"/>
          <w:sz w:val="28"/>
          <w:szCs w:val="28"/>
          <w:rtl w:val="true"/>
          <w:lang w:bidi="ar-SA"/>
        </w:rPr>
        <w:t>تفسير إنا أنزلناه في ليلة القدر أن الآية نزلت في غصب الخلافة و خطاب لِكَيْلا تَأْسَوْا إلي علي عليه السلام و المراد بما فاتكم الخلافة و لا تَفْرَحُوا خطاب إلي الغاصبين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مجمع البيان ما أَصابَ مِنْ مُصِيبَةٍ فِي الْأَرْضِ مثل قحط المطر و قلة النبات و نقص الثمار وَ لا فِي أَنْفُسِكُمْ من الأمراض و الثكل بالأولاد إِلَّا فِي كِتابٍ أي إلا و هو مثبت مذكور في اللوح المحفوظ قبل أن تخلق الأنفس‌</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6" w:name="__RefHeading___Toc606368_1934241801"/>
      <w:bookmarkStart w:id="1587" w:name="_Toc728"/>
      <w:bookmarkEnd w:id="1586"/>
      <w:r>
        <w:rPr>
          <w:rtl w:val="true"/>
        </w:rPr>
        <w:t>«</w:t>
      </w:r>
      <w:r>
        <w:rPr/>
        <w:t>28</w:t>
      </w:r>
      <w:r>
        <w:rPr>
          <w:rtl w:val="true"/>
        </w:rPr>
        <w:t>»</w:t>
      </w:r>
      <w:bookmarkEnd w:id="1587"/>
    </w:p>
    <w:p>
      <w:pPr>
        <w:pStyle w:val="BookText"/>
        <w:rPr/>
      </w:pPr>
      <w:r>
        <w:rPr>
          <w:rFonts w:ascii="Amiri" w:hAnsi="Amiri" w:eastAsia="Amiri" w:cs="Amiri"/>
          <w:color w:val="111111"/>
          <w:sz w:val="28"/>
          <w:sz w:val="28"/>
          <w:szCs w:val="28"/>
          <w:rtl w:val="true"/>
          <w:lang w:bidi="ar-SA"/>
        </w:rPr>
        <w:t>قُرْبُ الْإِسْنَادِ، عَنْ هَارُونَ بْنِ مُسْلِمٍ عَنْ مَسْعَدَةَ بْنِ صَدَقَةَ عَنْ جَعْفَرِ بْنِ مُحَمَّدٍ عَنْ أَبِيهِ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صلي الله عليه و آله قَالَ لِأَصْحَابِهِ يَوْماً مَلْعُونٌ كُلُّ مَالٍ لَا يُزَكَّي مَلْعُونٌ كُلُّ جَسَدٍ لَا يُزَكَّي وَ لَوْ فِي كُلِّ أَرْبَعِينَ يَوْماً مَرَّةً فَقِيلَ يَا رَسُولَ اللَّهِ صلي الله عليه و آله أَمَّا زَكَاةُ الْمَالِ فَقَدْ عَرَفْنَاهَا فَمَا زَكَاةُ الْأَجْسَادِ قَالَ لَهُمْ أَنْ تُصَابَ بِآفَةٍ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فَتَغَيَّرَتْ وُجُوهُ الْقَوْمِ الَّذِينَ سَمِعُوا ذَلِكَ مِنْهُ فَلَمَّا رَآهُمْ قَدْ تَغَيَّرَتْ أَلْوَانُهُمْ قَالَ لَهُمْ هَلْ تَدْرُونَ مَا عَنَيْتُ بِقَوْلِي قَالُوا لَا يَا رَسُولَ اللَّهِ قَالَ صلي الله عليه و آله بَلَي الرَّجُلُ يُخْدَشُ الْخَدْشَ وَ يُنْكَبُ النَّكْبَةَ وَ يَعْثُرُ الْعَثْرَةَ وَ يُمْرَضُ الْمَرْضَةَ وَ يُشَاكُ الشَّوْكَةَ وَ مَا أَشْبَهَ هَذَا حَتَّي ذَكَرَ فِي آخِرِ حَدِيثِهِ اخْتِلَاجَ الْعَيْنِ‌</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8" w:name="__RefHeading___Toc606370_1934241801"/>
      <w:bookmarkStart w:id="1589" w:name="_Toc729"/>
      <w:bookmarkEnd w:id="1588"/>
      <w:r>
        <w:rPr>
          <w:rtl w:val="true"/>
        </w:rPr>
        <w:t>«</w:t>
      </w:r>
      <w:r>
        <w:rPr/>
        <w:t>29</w:t>
      </w:r>
      <w:r>
        <w:rPr>
          <w:rtl w:val="true"/>
        </w:rPr>
        <w:t>»</w:t>
      </w:r>
      <w:bookmarkEnd w:id="1589"/>
    </w:p>
    <w:p>
      <w:pPr>
        <w:pStyle w:val="BookText"/>
        <w:rPr/>
      </w:pPr>
      <w:r>
        <w:rPr>
          <w:rFonts w:ascii="Amiri" w:hAnsi="Amiri" w:eastAsia="Amiri" w:cs="Amiri"/>
          <w:color w:val="111111"/>
          <w:sz w:val="28"/>
          <w:sz w:val="28"/>
          <w:szCs w:val="28"/>
          <w:rtl w:val="true"/>
          <w:lang w:bidi="ar-SA"/>
        </w:rPr>
        <w:t>وَ مِنْهُ، عَنْ مُحَمَّدِ بْنِ عِيسَي عَنْ عَبْدِ اللَّهِ بْنِ مَيْمُونٍ عَنْ جَعْفَرِ بْنِ مُحَمَّدٍ</w:t>
      </w:r>
    </w:p>
    <w:p>
      <w:pPr>
        <w:pStyle w:val="Heading5"/>
        <w:numPr>
          <w:ilvl w:val="4"/>
          <w:numId w:val="1"/>
        </w:numPr>
        <w:rPr/>
      </w:pPr>
      <w:bookmarkStart w:id="1590" w:name="__RefHeading___Toc606372_1934241801"/>
      <w:bookmarkStart w:id="1591" w:name="_Toc730"/>
      <w:bookmarkEnd w:id="1590"/>
      <w:r>
        <w:rPr>
          <w:rtl w:val="true"/>
        </w:rPr>
        <w:t>توضیح</w:t>
      </w:r>
      <w:bookmarkEnd w:id="1591"/>
    </w:p>
    <w:p>
      <w:pPr>
        <w:pStyle w:val="BookText"/>
        <w:rPr/>
      </w:pPr>
      <w:r>
        <w:rPr>
          <w:rFonts w:ascii="IRNazanin" w:hAnsi="IRNazanin" w:eastAsia="IRNazanin"/>
          <w:color w:val="111111"/>
          <w:sz w:val="28"/>
          <w:sz w:val="28"/>
          <w:szCs w:val="28"/>
          <w:rtl w:val="true"/>
          <w:lang w:bidi="fa-IR"/>
        </w:rPr>
        <w:t xml:space="preserve">شاید معنا چنین باشد که آیه نخست مخصوص کسانی غیر از امامان معصوم علیهم السلام است و آیه دوم اگر چه عمومی است امّا امامان از معنای آن منتفع می شوند و مصداقیّت آن در مورد ایشان آشکار است، و اختصاص داشتن روی سخن این آیه با امامان و انسان های کامل مانند ایشان بعید نیست، چرا که از احکام امور آگاه هستند و در آنها تدبّر می کنند، بلکه روی سخن این آیه مخصوصاً با امامان معصوم می باشد، به خاطر اینکه در حدیثی که به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ذکر شد که آیه دوّم در مورد غصب خلافت نازل شده است،</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 xml:space="preserve">و مورد خطاب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لِکَیْلا تَأْسَوْا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می باشد،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و مورد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کنندگان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در مجمع البیان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مصیبت 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 مِن مصیبه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قحطیِ باران، کمبود گیاهان و نقص در میوه ها و در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مریضی ها و داغ از دست دادن فرزند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قبل از آفریده شدن جان ها در لوح المحفوظ ثابت شده و مذکور است</w:t>
      </w:r>
      <w:r>
        <w:rPr>
          <w:rFonts w:eastAsia="IRNazanin" w:cs="IRNazanin"/>
          <w:color w:val="111111"/>
          <w:sz w:val="28"/>
          <w:szCs w:val="28"/>
          <w:rtl w:val="true"/>
          <w:lang w:bidi="fa-IR"/>
        </w:rPr>
        <w:t>.</w:t>
      </w:r>
      <w:r>
        <w:rPr>
          <w:rStyle w:val="FootnoteAnchor"/>
          <w:rtl w:val="true"/>
        </w:rPr>
        <w:footnoteReference w:id="839"/>
      </w:r>
    </w:p>
    <w:p>
      <w:pPr>
        <w:pStyle w:val="Heading5"/>
        <w:numPr>
          <w:ilvl w:val="4"/>
          <w:numId w:val="1"/>
        </w:numPr>
        <w:rPr/>
      </w:pPr>
      <w:bookmarkStart w:id="1592" w:name="__RefHeading___Toc606374_1934241801"/>
      <w:bookmarkStart w:id="1593" w:name="_Toc731"/>
      <w:bookmarkEnd w:id="1592"/>
      <w:r>
        <w:rPr>
          <w:rtl w:val="true"/>
        </w:rPr>
        <w:t xml:space="preserve">روایت </w:t>
      </w:r>
      <w:r>
        <w:rPr/>
        <w:t>28</w:t>
      </w:r>
      <w:bookmarkEnd w:id="1593"/>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روایت کرده که روزی پیامبر صلّی الله علیه و آله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مالی که زکاتش پرداخت نشود نفرین شده است، هر جسمی که زکاتش پرداخت نشود ملعون است، اگر چه پرداخت این زکات هر چهل روز یک بار باشد، پس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با زکات اموال آشنا هستیم، ولی زکات اجساد چیست؟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به آفت و مرض گرفتار آیند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چهره کسانی که این سخن را از پیامبر شنیدند تغییر کرد، هنگامی که پیامبر تغییر رنگ چهره آنان را مشاهده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منظورم از این سخن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جسم انسان خراش برمی دارد، بر زمین می افتد، پایش می لغزد، دچار مریضی می شود، خاری در بدنش فرو می رود، و مانند اینها؛ تا اینکه در آخر کلام خویش چشم درد را نیز ذکر فرمود</w:t>
      </w:r>
      <w:r>
        <w:rPr>
          <w:rFonts w:eastAsia="IRNazanin" w:cs="IRNazanin"/>
          <w:color w:val="111111"/>
          <w:sz w:val="28"/>
          <w:szCs w:val="28"/>
          <w:rtl w:val="true"/>
          <w:lang w:bidi="fa-IR"/>
        </w:rPr>
        <w:t>.</w:t>
      </w:r>
      <w:r>
        <w:rPr>
          <w:rStyle w:val="FootnoteAnchor"/>
          <w:rtl w:val="true"/>
        </w:rPr>
        <w:footnoteReference w:id="840"/>
      </w:r>
    </w:p>
    <w:p>
      <w:pPr>
        <w:pStyle w:val="Heading5"/>
        <w:numPr>
          <w:ilvl w:val="4"/>
          <w:numId w:val="1"/>
        </w:numPr>
        <w:rPr/>
      </w:pPr>
      <w:bookmarkStart w:id="1594" w:name="__RefHeading___Toc606376_1934241801"/>
      <w:bookmarkStart w:id="1595" w:name="_Toc732"/>
      <w:bookmarkEnd w:id="1594"/>
      <w:r>
        <w:rPr>
          <w:rtl w:val="true"/>
        </w:rPr>
        <w:t xml:space="preserve">روایت </w:t>
      </w:r>
      <w:r>
        <w:rPr/>
        <w:t>29</w:t>
      </w:r>
      <w:bookmarkEnd w:id="159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bookmarkStart w:id="1596" w:name="pg13517_329213"/>
    </w:p>
    <w:p>
      <w:pPr>
        <w:pStyle w:val="BookText"/>
        <w:rPr/>
      </w:pPr>
      <w:bookmarkEnd w:id="1596"/>
      <w:r>
        <w:rPr>
          <w:rFonts w:ascii="Amiri" w:hAnsi="Amiri" w:eastAsia="Amiri" w:cs="Amiri"/>
          <w:color w:val="111111"/>
          <w:sz w:val="28"/>
          <w:sz w:val="28"/>
          <w:szCs w:val="28"/>
          <w:rtl w:val="true"/>
          <w:lang w:bidi="ar-SA"/>
        </w:rPr>
        <w:t>عَنْ أَبِيهِ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 تَبَارَكَ وَ تَعَالَي ضَنَائِنَ مِنْ خَلْقِهِ يَغْذُوهُمْ بِنِعْمَتِهِ وَ يَحْبُوهُمْ بِعَافِيَتِهِ وَ يُدْخِلُهُمُ الْجَنَّةَ بِرَحْمَتِهِ تَمُرُّ بِهِمُ الْبَلَايَا وَ الْفِتَنُ مِثْلُ الرِّيَاحِ مَا تَضُرُّهُمْ شَيْئاً</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7" w:name="__RefHeading___Toc606378_1934241801"/>
      <w:bookmarkStart w:id="1598" w:name="_Toc733"/>
      <w:bookmarkEnd w:id="1597"/>
      <w:r>
        <w:rPr>
          <w:rtl w:val="true"/>
        </w:rPr>
        <w:t>بيان</w:t>
      </w:r>
      <w:bookmarkEnd w:id="1598"/>
    </w:p>
    <w:p>
      <w:pPr>
        <w:pStyle w:val="BookText"/>
        <w:rPr/>
      </w:pPr>
      <w:r>
        <w:rPr>
          <w:rFonts w:ascii="Amiri" w:hAnsi="Amiri" w:eastAsia="Amiri" w:cs="Amiri"/>
          <w:color w:val="111111"/>
          <w:sz w:val="28"/>
          <w:sz w:val="28"/>
          <w:szCs w:val="28"/>
          <w:rtl w:val="true"/>
          <w:lang w:bidi="ar-SA"/>
        </w:rPr>
        <w:t>قال في النهاية فيه إن لله ضنائن من خلقه يحييهم في عافية الضنائن الخصائص واحدهم ضنينة فعيلة بمعني مفعولة من الضن و هو ما تختصه و تضن به أي تبخل لمكانه منك و موقعه عندك يقال فلان ضني من بين إخواني و ضنتي أي اختص به و أضن بمودته انتهي و ربما يقال سموا ضنائن لأنهم ضن بالبلاء عنهم</w:t>
      </w:r>
      <w:r>
        <w:rPr>
          <w:rFonts w:eastAsia="Amiri" w:cs="Amiri" w:ascii="Amiri" w:hAnsi="Amiri"/>
          <w:color w:val="111111"/>
          <w:sz w:val="28"/>
          <w:szCs w:val="28"/>
          <w:rtl w:val="true"/>
          <w:lang w:bidi="ar-SA"/>
        </w:rPr>
        <w:t>.</w:t>
      </w:r>
    </w:p>
    <w:p>
      <w:pPr>
        <w:pStyle w:val="Heading5"/>
        <w:numPr>
          <w:ilvl w:val="4"/>
          <w:numId w:val="1"/>
        </w:numPr>
        <w:rPr/>
      </w:pPr>
      <w:bookmarkStart w:id="1599" w:name="__RefHeading___Toc606380_1934241801"/>
      <w:bookmarkStart w:id="1600" w:name="_Toc734"/>
      <w:bookmarkEnd w:id="1599"/>
      <w:r>
        <w:rPr>
          <w:rtl w:val="true"/>
        </w:rPr>
        <w:t>«</w:t>
      </w:r>
      <w:r>
        <w:rPr/>
        <w:t>30</w:t>
      </w:r>
      <w:r>
        <w:rPr>
          <w:rtl w:val="true"/>
        </w:rPr>
        <w:t>»</w:t>
      </w:r>
      <w:bookmarkEnd w:id="1600"/>
    </w:p>
    <w:p>
      <w:pPr>
        <w:pStyle w:val="BookText"/>
        <w:rPr/>
      </w:pPr>
      <w:r>
        <w:rPr>
          <w:rFonts w:ascii="Amiri" w:hAnsi="Amiri" w:eastAsia="Amiri" w:cs="Amiri"/>
          <w:color w:val="111111"/>
          <w:sz w:val="28"/>
          <w:sz w:val="28"/>
          <w:szCs w:val="28"/>
          <w:rtl w:val="true"/>
          <w:lang w:bidi="ar-SA"/>
        </w:rPr>
        <w:t>قُرْبُ الْإِسْنَادِ، عَنْ مُحَمَّدِ بْنِ عَبْدِ الْحَمِيدِ عَنِ الْحَسَنِ بْنِ عَلِيِّ بْنِ فَضَّالٍ قَالَ سَمِعْتُ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سُلِبَ أَحَدٌ كَرِيمَتَهُ إِلَّا عَوَّضَهُ اللَّهُ مِنْهُ الْجَنَّةَ</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1" w:name="__RefHeading___Toc606382_1934241801"/>
      <w:bookmarkStart w:id="1602" w:name="_Toc735"/>
      <w:bookmarkEnd w:id="1601"/>
      <w:r>
        <w:rPr>
          <w:rtl w:val="true"/>
        </w:rPr>
        <w:t>«</w:t>
      </w:r>
      <w:r>
        <w:rPr/>
        <w:t>31</w:t>
      </w:r>
      <w:r>
        <w:rPr>
          <w:rtl w:val="true"/>
        </w:rPr>
        <w:t>»</w:t>
      </w:r>
      <w:bookmarkEnd w:id="1602"/>
    </w:p>
    <w:p>
      <w:pPr>
        <w:pStyle w:val="BookText"/>
        <w:rPr/>
      </w:pPr>
      <w:r>
        <w:rPr>
          <w:rFonts w:ascii="Amiri" w:hAnsi="Amiri" w:eastAsia="Amiri" w:cs="Amiri"/>
          <w:color w:val="111111"/>
          <w:sz w:val="28"/>
          <w:sz w:val="28"/>
          <w:szCs w:val="28"/>
          <w:rtl w:val="true"/>
          <w:lang w:bidi="ar-SA"/>
        </w:rPr>
        <w:t>الْعِلَلُ، عَنْ أَبِيهِ عَنْ سَعْدِ بْنِ عَبْدِ اللَّهِ عَنْ يَعْقُوبَ بْنِ يَزِيدَ عَنْ مُحَمَّدِ بْنِ أَبِي عُمَيْرٍ عَنْ حَفْصِ بْنِ الْبَخْتَرِيِّ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الْعَاهَاتُ فِي أَهْلِ الْحَاجَةِ لِئَلَّا يَسْتُرُوا وَ لَوْ جُعِلَتْ فِي الْأَغْنِيَاءِ لَسُتِرَتْ‌</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3" w:name="__RefHeading___Toc606384_1934241801"/>
      <w:bookmarkStart w:id="1604" w:name="_Toc736"/>
      <w:bookmarkEnd w:id="1603"/>
      <w:r>
        <w:rPr>
          <w:rtl w:val="true"/>
        </w:rPr>
        <w:t>«</w:t>
      </w:r>
      <w:r>
        <w:rPr/>
        <w:t>32</w:t>
      </w:r>
      <w:r>
        <w:rPr>
          <w:rtl w:val="true"/>
        </w:rPr>
        <w:t>»</w:t>
      </w:r>
      <w:bookmarkEnd w:id="1604"/>
    </w:p>
    <w:p>
      <w:pPr>
        <w:pStyle w:val="BookText"/>
        <w:rPr/>
      </w:pPr>
      <w:r>
        <w:rPr>
          <w:rFonts w:ascii="Amiri" w:hAnsi="Amiri" w:eastAsia="Amiri" w:cs="Amiri"/>
          <w:color w:val="111111"/>
          <w:sz w:val="28"/>
          <w:sz w:val="28"/>
          <w:szCs w:val="28"/>
          <w:rtl w:val="true"/>
          <w:lang w:bidi="ar-SA"/>
        </w:rPr>
        <w:t>وَ مِنْهُ، عَنْ أَبِيهِ عَنْ سَعْدِ بْنِ عَبْدِ اللَّهِ عَنِ الْقَاسِمِ بْنِ مُحَمَّدٍ عَنْ سُلَيْمَانَ بْنِ دَاوُدَ عَنْ سُفْيَانَ بْنِ عُيَيْنَةَ عَنِ الزُّهْرِيِّ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 لَيْلَةٍ كَفَّارَةُ سَنَةٍ وَ ذَلِكَ أَنَّ أَلَمَهَا يَبْقَي فِي الْجَسَدِ سَنَةً</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عن محمد بن الحسن 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رواه عن علي بن الحسين زين العابدين عليه السلام‌</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از پدرش علیهما السلام روایت کرده است که خداوند متعال در میان آفریدگانش بندگان برگزیده ای دارد که آنان را با نعمت خویش تغذیه می کند و از عافیت خویش به آنان می بخشد و به واسطه رحمتش آنان را وارد بهشت می گرداند، مصیبت ها و فتنه ها مانند باد برآن ها گذر می کند و زیانی به آن ها نمی رساند</w:t>
      </w:r>
      <w:r>
        <w:rPr>
          <w:rFonts w:eastAsia="IRNazanin" w:cs="IRNazanin"/>
          <w:color w:val="111111"/>
          <w:sz w:val="28"/>
          <w:szCs w:val="28"/>
          <w:rtl w:val="true"/>
          <w:lang w:bidi="fa-IR"/>
        </w:rPr>
        <w:t>.</w:t>
      </w:r>
      <w:r>
        <w:rPr>
          <w:rStyle w:val="FootnoteAnchor"/>
          <w:rtl w:val="true"/>
        </w:rPr>
        <w:footnoteReference w:id="846"/>
      </w:r>
    </w:p>
    <w:p>
      <w:pPr>
        <w:pStyle w:val="Heading5"/>
        <w:numPr>
          <w:ilvl w:val="4"/>
          <w:numId w:val="1"/>
        </w:numPr>
        <w:rPr/>
      </w:pPr>
      <w:bookmarkStart w:id="1605" w:name="__RefHeading___Toc606386_1934241801"/>
      <w:bookmarkStart w:id="1606" w:name="_Toc737"/>
      <w:bookmarkEnd w:id="1605"/>
      <w:r>
        <w:rPr>
          <w:rtl w:val="true"/>
        </w:rPr>
        <w:t>توضیح</w:t>
      </w:r>
      <w:bookmarkEnd w:id="1606"/>
    </w:p>
    <w:p>
      <w:pPr>
        <w:pStyle w:val="BookText"/>
        <w:rPr/>
      </w:pPr>
      <w:r>
        <w:rPr>
          <w:rFonts w:ascii="IRNazanin" w:hAnsi="IRNazanin" w:eastAsia="IRNazanin"/>
          <w:color w:val="111111"/>
          <w:sz w:val="28"/>
          <w:sz w:val="28"/>
          <w:szCs w:val="28"/>
          <w:rtl w:val="true"/>
          <w:lang w:bidi="fa-IR"/>
        </w:rPr>
        <w:t>شیخ در النهایة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در میان آفریدگانش بندگان برگزیده ای دارد که آنان را در عافیت زنده می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الضنائن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ویژه و مخصوص هستند،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معنای آنچه که آن را مخصوص و ویژه می گردانی،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جایگاه و موقعیت یک چیز نزد تو نسبت به آن بخل و خساست به خرج می دهی،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ضَنّی مِن بین إخوانی و ضَنّتی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دوستانم دوست مخصوص من است و نسبت به از دست دادن محبت او بخل می ورزم،پایان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برگزیده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اند چرا که نسبت به نزول بلایا بر آنان بخل ورزیده می شود یا مخصوص می شوند </w:t>
      </w:r>
      <w:r>
        <w:rPr>
          <w:rFonts w:eastAsia="IRNazanin" w:cs="IRNazanin"/>
          <w:color w:val="111111"/>
          <w:sz w:val="28"/>
          <w:szCs w:val="28"/>
          <w:rtl w:val="true"/>
          <w:lang w:bidi="fa-IR"/>
        </w:rPr>
        <w:t>.</w:t>
      </w:r>
    </w:p>
    <w:p>
      <w:pPr>
        <w:pStyle w:val="Heading5"/>
        <w:numPr>
          <w:ilvl w:val="4"/>
          <w:numId w:val="1"/>
        </w:numPr>
        <w:rPr/>
      </w:pPr>
      <w:bookmarkStart w:id="1607" w:name="__RefHeading___Toc606388_1934241801"/>
      <w:bookmarkStart w:id="1608" w:name="_Toc738"/>
      <w:bookmarkEnd w:id="1607"/>
      <w:r>
        <w:rPr>
          <w:rtl w:val="true"/>
        </w:rPr>
        <w:t xml:space="preserve">روایت </w:t>
      </w:r>
      <w:r>
        <w:rPr/>
        <w:t>30</w:t>
      </w:r>
      <w:bookmarkEnd w:id="1608"/>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علی بن فضّال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یکی از اعضای ارزنده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دست یا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بدهد، خداوند در عوض آن بهشت را به او می بخشد</w:t>
      </w:r>
      <w:r>
        <w:rPr>
          <w:rFonts w:eastAsia="IRNazanin" w:cs="IRNazanin"/>
          <w:color w:val="111111"/>
          <w:sz w:val="28"/>
          <w:szCs w:val="28"/>
          <w:rtl w:val="true"/>
          <w:lang w:bidi="fa-IR"/>
        </w:rPr>
        <w:t>.</w:t>
      </w:r>
      <w:r>
        <w:rPr>
          <w:rStyle w:val="FootnoteAnchor"/>
          <w:rtl w:val="true"/>
        </w:rPr>
        <w:footnoteReference w:id="847"/>
      </w:r>
    </w:p>
    <w:p>
      <w:pPr>
        <w:pStyle w:val="Heading5"/>
        <w:numPr>
          <w:ilvl w:val="4"/>
          <w:numId w:val="1"/>
        </w:numPr>
        <w:rPr/>
      </w:pPr>
      <w:bookmarkStart w:id="1609" w:name="__RefHeading___Toc606390_1934241801"/>
      <w:bookmarkStart w:id="1610" w:name="_Toc739"/>
      <w:bookmarkEnd w:id="1609"/>
      <w:r>
        <w:rPr>
          <w:rtl w:val="true"/>
        </w:rPr>
        <w:t xml:space="preserve">روایت </w:t>
      </w:r>
      <w:r>
        <w:rPr/>
        <w:t>31</w:t>
      </w:r>
      <w:bookmarkEnd w:id="1610"/>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ها و بیماری ها در میان نیازمندان قرار داده شده است تا پنهان نمانند، و اگر در میان ثروتمندان قرار داده می شد پنهان می ماند</w:t>
      </w:r>
      <w:r>
        <w:rPr>
          <w:rFonts w:eastAsia="IRNazanin" w:cs="IRNazanin"/>
          <w:color w:val="111111"/>
          <w:sz w:val="28"/>
          <w:szCs w:val="28"/>
          <w:rtl w:val="true"/>
          <w:lang w:bidi="fa-IR"/>
        </w:rPr>
        <w:t>.</w:t>
      </w:r>
      <w:r>
        <w:rPr>
          <w:rStyle w:val="FootnoteAnchor"/>
          <w:rtl w:val="true"/>
        </w:rPr>
        <w:footnoteReference w:id="848"/>
      </w:r>
    </w:p>
    <w:p>
      <w:pPr>
        <w:pStyle w:val="Heading5"/>
        <w:numPr>
          <w:ilvl w:val="4"/>
          <w:numId w:val="1"/>
        </w:numPr>
        <w:rPr/>
      </w:pPr>
      <w:bookmarkStart w:id="1611" w:name="__RefHeading___Toc606392_1934241801"/>
      <w:bookmarkStart w:id="1612" w:name="_Toc740"/>
      <w:bookmarkEnd w:id="1611"/>
      <w:r>
        <w:rPr>
          <w:rtl w:val="true"/>
        </w:rPr>
        <w:t xml:space="preserve">روایت </w:t>
      </w:r>
      <w:r>
        <w:rPr/>
        <w:t>32</w:t>
      </w:r>
      <w:bookmarkEnd w:id="1612"/>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یک شب کفّاره گناهان یک سال است، چرا که درد و رنج آن به مدّت یک سال در بدن باقی می ماند</w:t>
      </w:r>
      <w:r>
        <w:rPr>
          <w:rFonts w:eastAsia="IRNazanin" w:cs="IRNazanin"/>
          <w:color w:val="111111"/>
          <w:sz w:val="28"/>
          <w:szCs w:val="28"/>
          <w:rtl w:val="true"/>
          <w:lang w:bidi="fa-IR"/>
        </w:rPr>
        <w:t>.</w:t>
      </w:r>
      <w:r>
        <w:rPr>
          <w:rStyle w:val="FootnoteAnchor"/>
          <w:rtl w:val="true"/>
        </w:rPr>
        <w:footnoteReference w:id="849"/>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از امام زین العابدین روایت شده است</w:t>
      </w:r>
      <w:r>
        <w:rPr>
          <w:rFonts w:eastAsia="IRNazanin" w:cs="IRNazanin"/>
          <w:color w:val="111111"/>
          <w:sz w:val="28"/>
          <w:szCs w:val="28"/>
          <w:rtl w:val="true"/>
          <w:lang w:bidi="fa-IR"/>
        </w:rPr>
        <w:t>.</w:t>
      </w:r>
      <w:r>
        <w:rPr>
          <w:rStyle w:val="FootnoteAnchor"/>
          <w:rtl w:val="true"/>
        </w:rPr>
        <w:footnoteReference w:id="850"/>
      </w:r>
      <w:bookmarkStart w:id="1613" w:name="pg13517_329214"/>
    </w:p>
    <w:p>
      <w:pPr>
        <w:pStyle w:val="Heading5"/>
        <w:numPr>
          <w:ilvl w:val="4"/>
          <w:numId w:val="1"/>
        </w:numPr>
        <w:rPr/>
      </w:pPr>
      <w:bookmarkStart w:id="1614" w:name="__RefHeading___Toc606394_1934241801"/>
      <w:bookmarkStart w:id="1615" w:name="_Toc741"/>
      <w:bookmarkEnd w:id="1613"/>
      <w:bookmarkEnd w:id="1614"/>
      <w:r>
        <w:rPr>
          <w:rtl w:val="true"/>
        </w:rPr>
        <w:t>«</w:t>
      </w:r>
      <w:r>
        <w:rPr/>
        <w:t>33</w:t>
      </w:r>
      <w:r>
        <w:rPr>
          <w:rtl w:val="true"/>
        </w:rPr>
        <w:t>»</w:t>
      </w:r>
      <w:bookmarkEnd w:id="1615"/>
    </w:p>
    <w:p>
      <w:pPr>
        <w:pStyle w:val="BookText"/>
        <w:rPr/>
      </w:pPr>
      <w:r>
        <w:rPr>
          <w:rFonts w:ascii="Amiri" w:hAnsi="Amiri" w:eastAsia="Amiri" w:cs="Amiri"/>
          <w:color w:val="111111"/>
          <w:sz w:val="28"/>
          <w:sz w:val="28"/>
          <w:szCs w:val="28"/>
          <w:rtl w:val="true"/>
          <w:lang w:bidi="ar-SA"/>
        </w:rPr>
        <w:t>مَجَالِسُ ابْنِ الشَّيْخِ، بِإِسْنَادِهِ عَنْ أَنَسِ بْنِ مَالِكٍ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يُبْتَلَي فِي جَسَدِهِ إِلَّا قَالَ اللَّهُ عَزَّ وَ جَلَّ لِمَلَائِكَتِهِ اكْتُبُوا لِعَبْدِي أَفْضَلَ مَا كَانَ يَعْمَلُ فِي صِحَّتِهِ‌</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6" w:name="__RefHeading___Toc606396_1934241801"/>
      <w:bookmarkStart w:id="1617" w:name="_Toc742"/>
      <w:bookmarkEnd w:id="1616"/>
      <w:r>
        <w:rPr>
          <w:rtl w:val="true"/>
        </w:rPr>
        <w:t>«</w:t>
      </w:r>
      <w:r>
        <w:rPr/>
        <w:t>34</w:t>
      </w:r>
      <w:r>
        <w:rPr>
          <w:rtl w:val="true"/>
        </w:rPr>
        <w:t>»</w:t>
      </w:r>
      <w:bookmarkEnd w:id="1617"/>
    </w:p>
    <w:p>
      <w:pPr>
        <w:pStyle w:val="BookText"/>
        <w:rPr/>
      </w:pPr>
      <w:r>
        <w:rPr>
          <w:rFonts w:ascii="Amiri" w:hAnsi="Amiri" w:eastAsia="Amiri" w:cs="Amiri"/>
          <w:color w:val="111111"/>
          <w:sz w:val="28"/>
          <w:sz w:val="28"/>
          <w:szCs w:val="28"/>
          <w:rtl w:val="true"/>
          <w:lang w:bidi="ar-SA"/>
        </w:rPr>
        <w:t>ثَوَابُ الْأَعْمَالِ، عَنْ أَبِيهِ عَنْ أَحْمَدَ بْنِ إِدْرِيسَ عَنْ مُحَمَّدِ بْنِ أَحْمَدَ عَنْ الْهَيْثَمِ بْنِ أَبِي مَسْرُوقٍ عَنْ شَيْخٍ مِنْ أَصْحَابِنَا يُكَنَّي بِأَبِي عَبْدِ اللَّهِ عَنْ رَجُلٍ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 رَائِدُ الْمَوْتِ وَ سِجْنُ اللَّهِ فِي أَرْضِهِ وَ فَوْرُهَا وَ حَرُّهَا مِنْ جَهَنَّمَ وَ هِيَ حَظُّ كُلِّ مُؤْمِنٍ مِنَ النَّارِ</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8" w:name="__RefHeading___Toc606398_1934241801"/>
      <w:bookmarkStart w:id="1619" w:name="_Toc743"/>
      <w:bookmarkEnd w:id="1618"/>
      <w:r>
        <w:rPr>
          <w:rtl w:val="true"/>
        </w:rPr>
        <w:t>توضيح</w:t>
      </w:r>
      <w:bookmarkEnd w:id="1619"/>
    </w:p>
    <w:p>
      <w:pPr>
        <w:pStyle w:val="BookText"/>
        <w:rPr/>
      </w:pPr>
      <w:r>
        <w:rPr>
          <w:rFonts w:ascii="Amiri" w:hAnsi="Amiri" w:eastAsia="Amiri" w:cs="Amiri"/>
          <w:color w:val="111111"/>
          <w:sz w:val="28"/>
          <w:sz w:val="28"/>
          <w:szCs w:val="28"/>
          <w:rtl w:val="true"/>
          <w:lang w:bidi="ar-SA"/>
        </w:rPr>
        <w:t>قال في النهاية الرائد الذي يتقدم القوم يبصر لهم الكلاء و مساقط الغيث و منه الحديث الحمي رائد الموت أي رسوله الذي يتقدمه كما يتقدم الرائد قومه</w:t>
      </w:r>
      <w:r>
        <w:rPr>
          <w:rFonts w:eastAsia="Amiri" w:cs="Amiri" w:ascii="Amiri" w:hAnsi="Amiri"/>
          <w:color w:val="111111"/>
          <w:sz w:val="28"/>
          <w:szCs w:val="28"/>
          <w:rtl w:val="true"/>
          <w:lang w:bidi="ar-SA"/>
        </w:rPr>
        <w:t>.</w:t>
      </w:r>
    </w:p>
    <w:p>
      <w:pPr>
        <w:pStyle w:val="Heading5"/>
        <w:numPr>
          <w:ilvl w:val="4"/>
          <w:numId w:val="1"/>
        </w:numPr>
        <w:rPr/>
      </w:pPr>
      <w:bookmarkStart w:id="1620" w:name="__RefHeading___Toc606400_1934241801"/>
      <w:bookmarkStart w:id="1621" w:name="_Toc744"/>
      <w:bookmarkEnd w:id="1620"/>
      <w:r>
        <w:rPr>
          <w:rtl w:val="true"/>
        </w:rPr>
        <w:t>«</w:t>
      </w:r>
      <w:r>
        <w:rPr/>
        <w:t>35</w:t>
      </w:r>
      <w:r>
        <w:rPr>
          <w:rtl w:val="true"/>
        </w:rPr>
        <w:t>»</w:t>
      </w:r>
      <w:bookmarkEnd w:id="1621"/>
    </w:p>
    <w:p>
      <w:pPr>
        <w:pStyle w:val="BookText"/>
        <w:rPr/>
      </w:pPr>
      <w:r>
        <w:rPr>
          <w:rFonts w:ascii="Amiri" w:hAnsi="Amiri" w:eastAsia="Amiri" w:cs="Amiri"/>
          <w:color w:val="111111"/>
          <w:sz w:val="28"/>
          <w:sz w:val="28"/>
          <w:szCs w:val="28"/>
          <w:rtl w:val="true"/>
          <w:lang w:bidi="ar-SA"/>
        </w:rPr>
        <w:t>ثَوَابُ الْأَعْمَالِ، عَنْ مُحَمَّدِ بْنِ الْحَسَنِ بْنِ الْوَلِيدِ عَنْ مُحَمَّدِ بْنِ الْحَسَنِ الصَّفَّارِ عَنْ عَلِيِّ بْنِ مُحَمَّدٍ الْقَاشَانِيِّ عَنِ الْقَاسِمِ بْنِ مُحَمَّدٍ عَنْ سُلَيْمَانَ بْنِ دَاوُدَ عَنْ سُفْيَانَ بْنِ عُيَيْنَةَ عَنِ الزُّهْرِيِّ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الْوَجَعُ الْحُمَّي تُعْطِي كُلَّ عُضْوٍ قِسْطَهُ مِنَ الْبَلَاءِ وَ لَا خَيْرَ فِيمَنْ لَا يُبْتَلَي‌</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عَبْدِ اللَّهِ بْنِ جَعْفَرٍ الْحِمْيَرِيِّ عَنِ ابْنِ أَبِي الْخَطَّابِ عَنِ الْحَكَمِ بْنِ مِسْكِينٍ عَنْ مُحَمَّدِ بْنِ مَرْوَانَ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 لَيْلَةٍ كَفَّارَةٌ لِمَا قَبْلَهَا وَ لِمَا بَعْدَهَا</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أَحْمَدَ بْنِ مُحَمَّدٍ عَنْ أَبِيهِ عَنْ مُحَمَّدِ بْنِ أَحْمَدَ عَنْ إِبْرَاهِيمَ بْنِ إِسْحَاقَ عَنْ عَبْدِ اللَّهِ بْنِ أَحْمَدَ عَنْ مُحَمَّدِ بْنِ سِنَانٍ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لِلْمُؤْمِنِ تَطْهِيرٌ وَ رَحْمَةٌ وَ لِلْكَافِرِ تَعْذِيبٌ وَ لَعْنَةٌ وَ إِنَّ الْمَرَضَ لَا يَزَالُ بِالْمُؤْمِنِ حَتَّي لَا يَكُونَ عَلَيْهِ ذَنْبٌ‌</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2" w:name="__RefHeading___Toc606402_1934241801"/>
      <w:bookmarkStart w:id="1623" w:name="_Toc745"/>
      <w:bookmarkEnd w:id="1622"/>
      <w:r>
        <w:rPr>
          <w:rtl w:val="true"/>
        </w:rPr>
        <w:t xml:space="preserve">روایت </w:t>
      </w:r>
      <w:r>
        <w:rPr/>
        <w:t>33</w:t>
      </w:r>
      <w:bookmarkEnd w:id="1623"/>
    </w:p>
    <w:p>
      <w:p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هیچ مسلمانی دچار بلا و مصیبت نمی شود مگر آنکه خداوند عزّ و جلّ به فرشتگان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بنده ام پاداشی بهتر از پاداش اعمالی که در دوران تندرستی انجام می داد را ثبت نمایید</w:t>
      </w:r>
      <w:r>
        <w:rPr>
          <w:rFonts w:eastAsia="IRNazanin" w:cs="IRNazanin"/>
          <w:color w:val="111111"/>
          <w:sz w:val="28"/>
          <w:szCs w:val="28"/>
          <w:rtl w:val="true"/>
          <w:lang w:bidi="fa-IR"/>
        </w:rPr>
        <w:t>.</w:t>
      </w:r>
      <w:r>
        <w:rPr>
          <w:rStyle w:val="FootnoteAnchor"/>
          <w:rtl w:val="true"/>
        </w:rPr>
        <w:footnoteReference w:id="856"/>
      </w:r>
    </w:p>
    <w:p>
      <w:pPr>
        <w:pStyle w:val="Heading5"/>
        <w:numPr>
          <w:ilvl w:val="4"/>
          <w:numId w:val="1"/>
        </w:numPr>
        <w:rPr/>
      </w:pPr>
      <w:bookmarkStart w:id="1624" w:name="__RefHeading___Toc606404_1934241801"/>
      <w:bookmarkStart w:id="1625" w:name="_Toc746"/>
      <w:bookmarkEnd w:id="1624"/>
      <w:r>
        <w:rPr>
          <w:rtl w:val="true"/>
        </w:rPr>
        <w:t xml:space="preserve">روایت </w:t>
      </w:r>
      <w:r>
        <w:rPr/>
        <w:t>34</w:t>
      </w:r>
      <w:bookmarkEnd w:id="1625"/>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طلایه دار مرگ و زندان خداوند بر روی زمین است، حرارت و گرمای آن از آتش جهنّم است، تب سهم انسان مؤمن از آتش جهنّم می باشد</w:t>
      </w:r>
      <w:r>
        <w:rPr>
          <w:rFonts w:eastAsia="IRNazanin" w:cs="IRNazanin"/>
          <w:color w:val="111111"/>
          <w:sz w:val="28"/>
          <w:szCs w:val="28"/>
          <w:rtl w:val="true"/>
          <w:lang w:bidi="fa-IR"/>
        </w:rPr>
        <w:t>.</w:t>
      </w:r>
      <w:r>
        <w:rPr>
          <w:rStyle w:val="FootnoteAnchor"/>
          <w:rtl w:val="true"/>
        </w:rPr>
        <w:footnoteReference w:id="857"/>
      </w:r>
    </w:p>
    <w:p>
      <w:pPr>
        <w:pStyle w:val="Heading5"/>
        <w:numPr>
          <w:ilvl w:val="4"/>
          <w:numId w:val="1"/>
        </w:numPr>
        <w:rPr/>
      </w:pPr>
      <w:bookmarkStart w:id="1626" w:name="__RefHeading___Toc606406_1934241801"/>
      <w:bookmarkStart w:id="1627" w:name="_Toc747"/>
      <w:bookmarkEnd w:id="1626"/>
      <w:r>
        <w:rPr>
          <w:rtl w:val="true"/>
        </w:rPr>
        <w:t>توضیح</w:t>
      </w:r>
      <w:bookmarkEnd w:id="1627"/>
    </w:p>
    <w:p>
      <w:pPr>
        <w:pStyle w:val="BookText"/>
        <w:rPr/>
      </w:pPr>
      <w:r>
        <w:rPr>
          <w:rFonts w:ascii="IRNazanin" w:hAnsi="IRNazanin" w:eastAsia="IRNazanin"/>
          <w:color w:val="111111"/>
          <w:sz w:val="28"/>
          <w:sz w:val="28"/>
          <w:szCs w:val="28"/>
          <w:rtl w:val="true"/>
          <w:lang w:bidi="fa-IR"/>
        </w:rPr>
        <w:t>شیخ در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است که پیشاپیش قوم حرکت می کند و چراگاه و اماکن پرآب و علف را برای آنان جستجو می کند،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 رائد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همین معناست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فرستاده مرگ است و پیشاپیش آن حرکت می کند، آن گونه که طلایه دار قبل از قوم حرکت می کند</w:t>
      </w:r>
      <w:r>
        <w:rPr>
          <w:rFonts w:eastAsia="IRNazanin" w:cs="IRNazanin"/>
          <w:color w:val="111111"/>
          <w:sz w:val="28"/>
          <w:szCs w:val="28"/>
          <w:rtl w:val="true"/>
          <w:lang w:bidi="fa-IR"/>
        </w:rPr>
        <w:t>.</w:t>
      </w:r>
    </w:p>
    <w:p>
      <w:pPr>
        <w:pStyle w:val="Heading5"/>
        <w:numPr>
          <w:ilvl w:val="4"/>
          <w:numId w:val="1"/>
        </w:numPr>
        <w:rPr/>
      </w:pPr>
      <w:bookmarkStart w:id="1628" w:name="__RefHeading___Toc606408_1934241801"/>
      <w:bookmarkStart w:id="1629" w:name="_Toc748"/>
      <w:bookmarkEnd w:id="1628"/>
      <w:r>
        <w:rPr>
          <w:rtl w:val="true"/>
        </w:rPr>
        <w:t xml:space="preserve">روایت </w:t>
      </w:r>
      <w:r>
        <w:rPr/>
        <w:t>35</w:t>
      </w:r>
      <w:bookmarkEnd w:id="1629"/>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چه بیماری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هر عضوی از بلا و مصیبت را به آن می بخشد، و هیچ خیری در کسی که گرفتار بلا و مصیبت نمی شود وجود ندارد</w:t>
      </w:r>
      <w:r>
        <w:rPr>
          <w:rFonts w:eastAsia="IRNazanin" w:cs="IRNazanin"/>
          <w:color w:val="111111"/>
          <w:sz w:val="28"/>
          <w:szCs w:val="28"/>
          <w:rtl w:val="true"/>
          <w:lang w:bidi="fa-IR"/>
        </w:rPr>
        <w:t xml:space="preserve">. </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یک شب کفّاره گناهان قبل و بعداز آن است</w:t>
      </w:r>
      <w:r>
        <w:rPr>
          <w:rFonts w:eastAsia="IRNazanin" w:cs="IRNazanin"/>
          <w:color w:val="111111"/>
          <w:sz w:val="28"/>
          <w:szCs w:val="28"/>
          <w:rtl w:val="true"/>
          <w:lang w:bidi="fa-IR"/>
        </w:rPr>
        <w:t>.</w:t>
      </w:r>
      <w:r>
        <w:rPr>
          <w:rStyle w:val="FootnoteAnchor"/>
          <w:rtl w:val="true"/>
        </w:rPr>
        <w:footnoteReference w:id="859"/>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برای مؤمن پاک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است و برای کافر عذاب و لعنت، و بیماری همچنان در بدن انسان مؤمن است تا هیچ گناهی بر دوش او باقی نماند</w:t>
      </w:r>
      <w:r>
        <w:rPr>
          <w:rFonts w:eastAsia="IRNazanin" w:cs="IRNazanin"/>
          <w:color w:val="111111"/>
          <w:sz w:val="28"/>
          <w:szCs w:val="28"/>
          <w:rtl w:val="true"/>
          <w:lang w:bidi="fa-IR"/>
        </w:rPr>
        <w:t>.</w:t>
      </w:r>
      <w:r>
        <w:rPr>
          <w:rStyle w:val="FootnoteAnchor"/>
          <w:rtl w:val="true"/>
        </w:rPr>
        <w:footnoteReference w:id="860"/>
      </w:r>
      <w:bookmarkStart w:id="1630" w:name="pg13517_329215"/>
    </w:p>
    <w:p>
      <w:pPr>
        <w:pStyle w:val="BookText"/>
        <w:rPr/>
      </w:pPr>
      <w:bookmarkEnd w:id="1630"/>
      <w:r>
        <w:rPr>
          <w:rFonts w:ascii="Amiri" w:hAnsi="Amiri" w:eastAsia="Amiri" w:cs="Amiri"/>
          <w:color w:val="111111"/>
          <w:sz w:val="28"/>
          <w:sz w:val="28"/>
          <w:szCs w:val="28"/>
          <w:rtl w:val="true"/>
          <w:lang w:bidi="ar-SA"/>
        </w:rPr>
        <w:t>وَ مِنْهُ عَنْ أَبِيهِ عَنْ أَحْمَدَ بْنِ إِدْرِيسَ عَنْ مُحَمَّدِ بْنِ أَحْمَدَ عَنْ مُحَمَّدِ بْنِ الْأَصْبَغِ عَنْ إِسْمَاعِيلَ بْنِ مِهْرَانَ عَنْ سَعْدَانَ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صُدَاعُ لَيْلَةٍ تَحُطُّ كُلَّ خَطِيئَةٍ إِلَّا الْكَبَائِرَ</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الْحَسَنِ عَنْ مُحَمَّدِ بْنِ يَحْيَي عَنْ مُحَمَّدِ بْنِ أَحْمَدَ عَنْ سَهْلِ بْنِ زِيَادٍ عَنْ جَعْفَرِ بْنِ مُحَمَّدِ بْنِ بَشَّارٍ عَنْ عُبَيْدِ اللَّهِ بْنِ عَبْدِ اللَّهِ عَنْ دُرُسْتَ عَنْ إِبْرَاهِيمَ بْنِ عَبْدِ الْحَمِيدِ عَنْ أَبِي إِبْرَاهِيمَ مُوسَي بْنِ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لِلْمَرِيضِ أَرْبَعُ خِصَالٍ يُرْفَعُ عَنْهُ الْقَلَمُ وَ يَأْمُرُ اللَّهُ الْمَلَكَ يَكْتُبُ لَهُ كُلَّ فَضْلٍ كَانَ يَعْمَلُهُ فِي صِحَّتِهِ وَ يَتَّبَّعُ مَرَضُهُ كُلَّ عُضْوٍ فِي جَسَدِهِ فَيَسْتَخْرِجُ ذُنُوبَهُ مِنْهُ فَإِنْ مَاتَ مَاتَ مَغْفُوراً لَهُ وَ إِنْ عَاشَ عَاشَ مَغْفُوراً لَهُ‌</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سَعْدِ بْنِ عَبْدِ اللَّهِ عَنْ أَحْمَدَ بْنِ مُحَمَّدٍ عَنِ الْحُسَيْنِ بْنِ سَيْفٍ عَنْ أَخِيهِ عَلِيٍّ عَنْ أَبِيهِ عَنْ دَاوُدَ بْنِ سُلَيْمَانَ عَنْ كَثِيرِ بْنِ سُلَيْمٍ عَنِ الْحَسَنِ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مَرِضَ الْمُسْلِمُ كُتِبَ لَهُ كَأَحْسَنِ مَا كَانَ يَعْمَلُهُ فِي صِحَّتِهِ وَ تَسَاقَطَتْ ذُنُوبُهُ كَمَا يَتَسَاقَطُ وَرَقُ الشَّجَرِ</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سَعْدِ بْنِ عَبْدِ اللَّهِ عَنْ إِبْرَاهِيمَ بْنِ هَاشِمٍ عَنْ عَمْرِو بْنِ عُثْمَانَ عَنْ مُحَمَّدِ بْنِ عُذَافِرٍ الصَّيْرَفِيِّ وَ أَبِي حَمْزَةَ الثُّمَالِيِّ عَنْ مُحَمَّدِ بْنِ مُسْلِمٍ عَنْ أَبِي جَعْفَرٍ مُحَمَّدِ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لَقِيَ اللَّهَ مَكْفُوفاً مُحْتَسِباً مُوَالِياً لآِلِ مُحَمَّدٍ صلي الله عليه و آله لَقِيَ اللَّهَ عَزَّ وَ جَلَّ وَ لَا حِسَابَ عَلَيْهِ‌</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يَسْلُبُ اللَّهُ عَزَّ وَ جَلَّ عَبْداً مُؤْمِناً كَرِيمَتَيْهِ أَوْ إِحْدَاهُمَا ثُمَّ يَسْأَلُهُ عَنْ ذَنْبٍ‌</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1" w:name="__RefHeading___Toc606410_1934241801"/>
      <w:bookmarkStart w:id="1632" w:name="_Toc749"/>
      <w:bookmarkEnd w:id="1631"/>
      <w:r>
        <w:rPr>
          <w:rtl w:val="true"/>
        </w:rPr>
        <w:t>«</w:t>
      </w:r>
      <w:r>
        <w:rPr/>
        <w:t>36</w:t>
      </w:r>
      <w:r>
        <w:rPr>
          <w:rtl w:val="true"/>
        </w:rPr>
        <w:t>»</w:t>
      </w:r>
      <w:bookmarkEnd w:id="1632"/>
    </w:p>
    <w:p>
      <w:pPr>
        <w:pStyle w:val="BookText"/>
        <w:rPr/>
      </w:pPr>
      <w:r>
        <w:rPr>
          <w:rFonts w:ascii="Amiri" w:hAnsi="Amiri" w:eastAsia="Amiri" w:cs="Amiri"/>
          <w:color w:val="111111"/>
          <w:sz w:val="28"/>
          <w:sz w:val="28"/>
          <w:szCs w:val="28"/>
          <w:rtl w:val="true"/>
          <w:lang w:bidi="ar-SA"/>
        </w:rPr>
        <w:t>طِبُّ الْأَئِمَّةِ، عَنْ مُحَمَّدِ بْنِ خَلَفٍ عَنِ الْحَسَنِ بْنِ عَلِيٍّ عَنْ عَبْدِ اللَّهِ بْنِ</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سردرد یک شب تمام گناهان غیر از گناهان کبیره را از بین می برد</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بْن جَعْفَر علیه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چهار خصوصیت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از نوشتن اعمال در کارنامه او باز می ایستد، خداوند به فرشته نوسینده اعمال امر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نیکی که در دوران تندرستی انجام می دهد را برای او ثبت کنید، درد و مرض در هر عضوی از بدنش به گردش در می آید و گناهانش را از آن ها خارج می سازد، پس اگر بر اثر بیماری وفات کند در حالی که بخشیده شده وفات نموده است و اگر زنده بماند درحالی که بخشیده شده به زندگی ادامه می دهد</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مسلمان مریض شود، پاداشی بهتر از پاداش اعمالی که در دوران تندرستی انجام می داد برای او در کارنامه اعمالش ثبت می شود و گناهان او مانند ریزش برگ درختان می ریزد و از بین می رود</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نابینایی به حضور خداوند برسد در حالی که راضی به رضای او باشد و موالات اهل بیت علیهم السلام را به دل داشته باشد، حساب و کتابی بر او نیست</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و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دو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 عضو از اعضای با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مؤمن یا یکی از آن ها را از او نمی گیرد سپس در روز قیامت او را به خاطر گناهانش بازخواست کند</w:t>
      </w:r>
      <w:r>
        <w:rPr>
          <w:rFonts w:eastAsia="IRNazanin" w:cs="IRNazanin"/>
          <w:color w:val="111111"/>
          <w:sz w:val="28"/>
          <w:szCs w:val="28"/>
          <w:rtl w:val="true"/>
          <w:lang w:bidi="fa-IR"/>
        </w:rPr>
        <w:t>.</w:t>
      </w:r>
      <w:r>
        <w:rPr>
          <w:rStyle w:val="FootnoteAnchor"/>
          <w:rtl w:val="true"/>
        </w:rPr>
        <w:footnoteReference w:id="870"/>
      </w:r>
    </w:p>
    <w:p>
      <w:pPr>
        <w:pStyle w:val="Heading5"/>
        <w:numPr>
          <w:ilvl w:val="4"/>
          <w:numId w:val="1"/>
        </w:numPr>
        <w:rPr/>
      </w:pPr>
      <w:bookmarkStart w:id="1633" w:name="__RefHeading___Toc606412_1934241801"/>
      <w:bookmarkStart w:id="1634" w:name="_Toc750"/>
      <w:bookmarkEnd w:id="1633"/>
      <w:r>
        <w:rPr>
          <w:rtl w:val="true"/>
        </w:rPr>
        <w:t xml:space="preserve">روایت </w:t>
      </w:r>
      <w:r>
        <w:rPr/>
        <w:t>36</w:t>
      </w:r>
      <w:bookmarkEnd w:id="163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 xml:space="preserve">: </w:t>
      </w:r>
      <w:bookmarkStart w:id="1635" w:name="pg13517_329216"/>
    </w:p>
    <w:p>
      <w:pPr>
        <w:pStyle w:val="BookText"/>
        <w:rPr/>
      </w:pPr>
      <w:bookmarkEnd w:id="1635"/>
      <w:r>
        <w:rPr>
          <w:rFonts w:ascii="Amiri" w:hAnsi="Amiri" w:eastAsia="Amiri" w:cs="Amiri"/>
          <w:color w:val="111111"/>
          <w:sz w:val="28"/>
          <w:sz w:val="28"/>
          <w:szCs w:val="28"/>
          <w:rtl w:val="true"/>
          <w:lang w:bidi="ar-SA"/>
        </w:rPr>
        <w:t>سِنَانٍ عَنْ أَخِيهِ عَنْ مُفَضَّلِ بْنِ عُمَرَ عَنْ أَبِي عَبْدِ اللَّهِ عليه السلام‌</w:t>
      </w:r>
      <w:r>
        <w:rPr>
          <w:rStyle w:val="FootnoteAnchor"/>
          <w:rtl w:val="true"/>
        </w:rPr>
        <w:footnoteReference w:id="87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مَرِضَ الْمُؤْمِنُ أَوْحَي اللَّهُ تَعَالَي إِلَي صَاحِبِ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 عَلَي عَبْدِي مَا دَامَ فِي حَبْسِي وَ وَثَاقِي وَ يُوحِي إِلَي صَاحِبِ الْيَمِينِ أَنِ اكْتُبْ لِعَبْدِي مَا كُنْتَ تَكْتُبُ لَهُ فِي صِحَّتِهِ مِنَ الْحَسَنَاتِ‌</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6" w:name="__RefHeading___Toc606414_1934241801"/>
      <w:bookmarkStart w:id="1637" w:name="_Toc751"/>
      <w:bookmarkEnd w:id="1636"/>
      <w:r>
        <w:rPr>
          <w:rtl w:val="true"/>
        </w:rPr>
        <w:t>«</w:t>
      </w:r>
      <w:r>
        <w:rPr/>
        <w:t>37</w:t>
      </w:r>
      <w:r>
        <w:rPr>
          <w:rtl w:val="true"/>
        </w:rPr>
        <w:t>»</w:t>
      </w:r>
      <w:bookmarkEnd w:id="1637"/>
    </w:p>
    <w:p>
      <w:pPr>
        <w:pStyle w:val="BookText"/>
        <w:rPr/>
      </w:pPr>
      <w:r>
        <w:rPr>
          <w:rFonts w:ascii="Amiri" w:hAnsi="Amiri" w:eastAsia="Amiri" w:cs="Amiri"/>
          <w:color w:val="111111"/>
          <w:sz w:val="28"/>
          <w:sz w:val="28"/>
          <w:szCs w:val="28"/>
          <w:rtl w:val="true"/>
          <w:lang w:bidi="ar-SA"/>
        </w:rPr>
        <w:t>مَجَالِسُ الصَّدُوقِ، عَنْ جَعْفَرِ بْنِ مُحَمَّدِ بْنِ مَسْرُورٍ عَنِ الْحُسَيْنِ بْنِ مُحَمَّدِ بْنِ عَامِرٍ عَنْ عَمِّهِ عَبْدِ اللَّهِ عَنِ ابْنِ أَبِي عُمَيْرٍ عَنْ أَبَانِ بْنِ عُثْمَانَ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رَسُولُ اللَّهِ صلي الله عليه و آله سَلْمَانَ الْفَارِسِيَّ رَحْمَةُ اللَّهِ عَلَيْهِ فِي عِلَّتِهِ فَقَالَ يَا سَلْمَانُ إِنَّ لَكَ فِي عِلَّتِكَ إِذَا اعْتَلَلْتَ ثَلَاثَ خِصَالٍ أَنْتَ مِنَ اللَّهِ عَزَّ وَ جَلَّ بِذِكْرٍ وَ دُعَاؤُكَ فِيهَا مُسْتَجَابٌ وَ لَا تَدَعُ الْعِلَّةُ عَلَيْكَ ذَنْباً إِلَّا حَطَّتْهُ مَتَّعَكَ اللَّهُ بِالْعَافِيَةِ إِلَي انْقِضَاءِ أَجَلِكَ‌</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8" w:name="__RefHeading___Toc606416_1934241801"/>
      <w:bookmarkStart w:id="1639" w:name="_Toc752"/>
      <w:bookmarkEnd w:id="1638"/>
      <w:r>
        <w:rPr>
          <w:rtl w:val="true"/>
        </w:rPr>
        <w:t>«</w:t>
      </w:r>
      <w:r>
        <w:rPr/>
        <w:t>38</w:t>
      </w:r>
      <w:r>
        <w:rPr>
          <w:rtl w:val="true"/>
        </w:rPr>
        <w:t>»</w:t>
      </w:r>
      <w:bookmarkEnd w:id="1639"/>
    </w:p>
    <w:p>
      <w:pPr>
        <w:pStyle w:val="BookText"/>
        <w:rPr/>
      </w:pPr>
      <w:r>
        <w:rPr>
          <w:rFonts w:ascii="Amiri" w:hAnsi="Amiri" w:eastAsia="Amiri" w:cs="Amiri"/>
          <w:color w:val="111111"/>
          <w:sz w:val="28"/>
          <w:sz w:val="28"/>
          <w:szCs w:val="28"/>
          <w:rtl w:val="true"/>
          <w:lang w:bidi="ar-SA"/>
        </w:rPr>
        <w:t>الْخِصَالُ، عَنْ مُحَمَّدِ بْنِ عَلِيِّ بْنِ الشَّاهِ عَنْ أَبِي حَامِدٍ عَنْ أَحْمَدَ بْنِ خَالِدٍ عَنْ مُحَمَّدِ بْنِ أَحْمَدَ التَّمِيمِيِّ عَنْ أَبِيهِ عَنْ مُحَمَّدِ بْنِ حَاتِمٍ عَنْ حَمَّادِ بْنِ عَمْرٍو عَنْ جَعْفَرِ بْنِ مُحَمَّدٍ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0" w:name="__RefHeading___Toc606418_1934241801"/>
      <w:bookmarkStart w:id="1641" w:name="_Toc753"/>
      <w:bookmarkEnd w:id="1640"/>
      <w:r>
        <w:rPr>
          <w:rtl w:val="true"/>
        </w:rPr>
        <w:t>«</w:t>
      </w:r>
      <w:r>
        <w:rPr/>
        <w:t>39</w:t>
      </w:r>
      <w:r>
        <w:rPr>
          <w:rtl w:val="true"/>
        </w:rPr>
        <w:t>»</w:t>
      </w:r>
      <w:bookmarkEnd w:id="1641"/>
    </w:p>
    <w:p>
      <w:pPr>
        <w:pStyle w:val="BookText"/>
        <w:rPr/>
      </w:pPr>
      <w:r>
        <w:rPr>
          <w:rFonts w:ascii="Amiri" w:hAnsi="Amiri" w:eastAsia="Amiri" w:cs="Amiri"/>
          <w:color w:val="111111"/>
          <w:sz w:val="28"/>
          <w:sz w:val="28"/>
          <w:szCs w:val="28"/>
          <w:rtl w:val="true"/>
          <w:lang w:bidi="ar-SA"/>
        </w:rPr>
        <w:t>طِبُّ الْأَئِمَّةِ، عَنْ مُحَمَّدِ بْنِ خَلَفٍ عَنِ الْحَسَنِ بْنِ عَلِيٍّ الْوَشَّاءِ عَنْ عَبْدِ اللَّهِ بْنِ سِنَانٍ عَنْ أَخِيهِ مُحَمَّدٍ عَنْ جَعْفَرِ بْنِ مُحَمَّدٍ الصَّادِقِ عَنْ آبَائِهِ عَنْ عَلِيٍّ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عَادَ سَلْمَانَ الْفَارِسِيَّ فَقَالَ لَهُ يَا سَلْمَانُ مَا مِنْ أَحَدٍ مِنْ شِيعَتِنَا يُصِيبُهُ وَجَعٌ إِلَّا بِذَنْبٍ قَدْ سَبَقَ مِنْهُ وَ ذَلِكَ الْوَجَعُ تَطْهِيرٌ لَهُ قَالَ سَلْمَانُ فَلَيْسَ لَنَا فِي شَيْ‌ءٍ مِنْ ذَلِكَ أَجْرٌ خَلَا التَّطْهِيرِ قَالَ عَلِيٌّ عليه السلام يَا سَلْمَانُ لَكُمُ الْأَجْرُ بِالصَّبْرِ عَلَيْهِ وَ التَّضَرُّعُ إِلَي اللَّهِ وَ الدُّعَاءُ لَهُ بِهِمَا تُكْتَبُ لَكُمُ الْحَسَنَاتُ وَ تُرْفَعُ لَكُمُ الدَّرَجَاتُ فَأَمَّا</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مؤمن مریض می گردد خداوند متعال به فرشته ای که در طرف چپ او قرار دارد وحی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بنده ام در زندان و غل و زنجیر من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واسطه مرضی که او را بدان گرفتار کرده ام و از انجام گناه منعش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را در نامه اعمال او ثبت نکن، و به فرشته ای که در طرف راست او قرار 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نیکی را که در دوران تندرستی  برای بنده ام ثبت می کردی اکنون نیز ثبت کن</w:t>
      </w:r>
      <w:r>
        <w:rPr>
          <w:rFonts w:eastAsia="IRNazanin" w:cs="IRNazanin"/>
          <w:color w:val="111111"/>
          <w:sz w:val="28"/>
          <w:szCs w:val="28"/>
          <w:rtl w:val="true"/>
          <w:lang w:bidi="fa-IR"/>
        </w:rPr>
        <w:t>.</w:t>
      </w:r>
      <w:r>
        <w:rPr>
          <w:rStyle w:val="FootnoteAnchor"/>
          <w:rtl w:val="true"/>
        </w:rPr>
        <w:footnoteReference w:id="875"/>
      </w:r>
    </w:p>
    <w:p>
      <w:pPr>
        <w:pStyle w:val="Heading5"/>
        <w:numPr>
          <w:ilvl w:val="4"/>
          <w:numId w:val="1"/>
        </w:numPr>
        <w:rPr/>
      </w:pPr>
      <w:bookmarkStart w:id="1642" w:name="__RefHeading___Toc606420_1934241801"/>
      <w:bookmarkStart w:id="1643" w:name="_Toc754"/>
      <w:bookmarkEnd w:id="1642"/>
      <w:r>
        <w:rPr>
          <w:rtl w:val="true"/>
        </w:rPr>
        <w:t xml:space="preserve">روایت </w:t>
      </w:r>
      <w:r>
        <w:rPr/>
        <w:t>37</w:t>
      </w:r>
      <w:bookmarkEnd w:id="1643"/>
    </w:p>
    <w:p>
      <w:p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عیادت سلمان فارسی رحمة الله علیه که مریض بود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همانا تو را به هنگام مریضی سه خصوصیت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یاد توست، در زمان مریضی دعایت مستجاب است، و مریضی تمام گناهان تو را از بین می برد، خداوند تا زمان فرا رسیدن اجلت تو را از عافیت و سلامتی بهره مند گرداند</w:t>
      </w:r>
      <w:r>
        <w:rPr>
          <w:rFonts w:eastAsia="IRNazanin" w:cs="IRNazanin"/>
          <w:color w:val="111111"/>
          <w:sz w:val="28"/>
          <w:szCs w:val="28"/>
          <w:rtl w:val="true"/>
          <w:lang w:bidi="fa-IR"/>
        </w:rPr>
        <w:t>.</w:t>
      </w:r>
      <w:r>
        <w:rPr>
          <w:rStyle w:val="FootnoteAnchor"/>
          <w:rtl w:val="true"/>
        </w:rPr>
        <w:footnoteReference w:id="876"/>
      </w:r>
    </w:p>
    <w:p>
      <w:pPr>
        <w:pStyle w:val="Heading5"/>
        <w:numPr>
          <w:ilvl w:val="4"/>
          <w:numId w:val="1"/>
        </w:numPr>
        <w:rPr/>
      </w:pPr>
      <w:bookmarkStart w:id="1644" w:name="__RefHeading___Toc606422_1934241801"/>
      <w:bookmarkStart w:id="1645" w:name="_Toc755"/>
      <w:bookmarkEnd w:id="1644"/>
      <w:r>
        <w:rPr>
          <w:rtl w:val="true"/>
        </w:rPr>
        <w:t xml:space="preserve">روایت </w:t>
      </w:r>
      <w:r>
        <w:rPr/>
        <w:t>38</w:t>
      </w:r>
      <w:bookmarkEnd w:id="1645"/>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جعفرصادق علیه السلام از پدرانش علیهم السلام نظیر این حدیث را روایت کرده است</w:t>
      </w:r>
      <w:r>
        <w:rPr>
          <w:rFonts w:eastAsia="IRNazanin" w:cs="IRNazanin"/>
          <w:color w:val="111111"/>
          <w:sz w:val="28"/>
          <w:szCs w:val="28"/>
          <w:rtl w:val="true"/>
          <w:lang w:bidi="fa-IR"/>
        </w:rPr>
        <w:t>.</w:t>
      </w:r>
      <w:r>
        <w:rPr>
          <w:rStyle w:val="FootnoteAnchor"/>
          <w:rtl w:val="true"/>
        </w:rPr>
        <w:footnoteReference w:id="877"/>
      </w:r>
    </w:p>
    <w:p>
      <w:pPr>
        <w:pStyle w:val="Heading5"/>
        <w:numPr>
          <w:ilvl w:val="4"/>
          <w:numId w:val="1"/>
        </w:numPr>
        <w:rPr/>
      </w:pPr>
      <w:bookmarkStart w:id="1646" w:name="__RefHeading___Toc606424_1934241801"/>
      <w:bookmarkStart w:id="1647" w:name="_Toc756"/>
      <w:bookmarkEnd w:id="1646"/>
      <w:r>
        <w:rPr>
          <w:rtl w:val="true"/>
        </w:rPr>
        <w:t xml:space="preserve">روایت </w:t>
      </w:r>
      <w:r>
        <w:rPr/>
        <w:t>39</w:t>
      </w:r>
      <w:bookmarkEnd w:id="164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 السلام روایت کرده که امام علی علیه السلام به عیادت سلمان فارسی 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هیچ یک از شیعیان ما به هیچ مرضی مبتلا نمی شود مگر به خاطر گناهی پیش تر مرتکب شده است و آن مرض پاک کننده او از آن گناه است،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در مبتلا شدن ما به آن مرض هیچ پاداشی غیراز پاک کردن گناهان وجود ندارد؟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به واسطه صبر شما بر آن مرض و تضرع و زاری به درگاه خداوند و فراخواندن او، در کارنامه شما اعمال نیک ثبت و جایگاه و منزلت تان رفیع می گردد، امّا </w:t>
      </w:r>
      <w:bookmarkStart w:id="1648" w:name="pg13517_329217"/>
    </w:p>
    <w:p>
      <w:pPr>
        <w:pStyle w:val="BookText"/>
        <w:rPr/>
      </w:pPr>
      <w:bookmarkEnd w:id="1648"/>
      <w:r>
        <w:rPr>
          <w:rFonts w:ascii="Amiri" w:hAnsi="Amiri" w:eastAsia="Amiri" w:cs="Amiri"/>
          <w:color w:val="111111"/>
          <w:sz w:val="28"/>
          <w:sz w:val="28"/>
          <w:szCs w:val="28"/>
          <w:rtl w:val="true"/>
          <w:lang w:bidi="ar-SA"/>
        </w:rPr>
        <w:t>الْوَجَعُ خَاصَّةً فَهُوَ تَطْهِيرٌ وَ كَفَّارَةٌ</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سَهَرُ لَيْلَةٍ فِي الْعِلَّةِ الَّتِي تُصِيبُ الْمُؤْمِنَ عِبَادَةُ سَنَةٍ</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 لَيْلَةٍ كَفَّارَةُ سَنَةٍ</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9" w:name="__RefHeading___Toc606426_1934241801"/>
      <w:bookmarkStart w:id="1650" w:name="_Toc757"/>
      <w:bookmarkEnd w:id="1649"/>
      <w:r>
        <w:rPr>
          <w:rtl w:val="true"/>
        </w:rPr>
        <w:t>«</w:t>
      </w:r>
      <w:r>
        <w:rPr/>
        <w:t>40</w:t>
      </w:r>
      <w:r>
        <w:rPr>
          <w:rtl w:val="true"/>
        </w:rPr>
        <w:t>»</w:t>
      </w:r>
      <w:bookmarkEnd w:id="1650"/>
    </w:p>
    <w:p>
      <w:pPr>
        <w:pStyle w:val="BookText"/>
        <w:rPr/>
      </w:pPr>
      <w:r>
        <w:rPr>
          <w:rFonts w:ascii="Amiri" w:hAnsi="Amiri" w:eastAsia="Amiri" w:cs="Amiri"/>
          <w:color w:val="111111"/>
          <w:sz w:val="28"/>
          <w:sz w:val="28"/>
          <w:szCs w:val="28"/>
          <w:rtl w:val="true"/>
          <w:lang w:bidi="ar-SA"/>
        </w:rPr>
        <w:t>ثَوَابُ الْأَعْمَالِ، عَنْ أَبِيهِ عَنْ أَحْمَدَ بْنِ إِدْرِيسَ وَ مُحَمَّدِ بْنِ يَحْيَي عَنْ أَحْمَدَ بْنِ مُحَمَّدٍ عَنْ مُحَمَّدِ بْنِ سِنَانٍ عَنِ النَّوْفَلِيِّ عَنْ جَعْفَرِ بْنِ مُحَمَّدٍ عَنْ مُحَمَّدِ بْنِ عَلِيٍّ عَنْ عِيسَي بْنِ عَبْدِ اللَّهِ الْعُمَرِيِّ عَنْ أَبِيهِ عَنْ جَدِّهِ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الْمَرَضِ يُصِيبُ الصَّبِيَّ قَالَ كَفَّارَةٌ لِوَالِدَيْهِ‌</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1" w:name="__RefHeading___Toc606428_1934241801"/>
      <w:bookmarkStart w:id="1652" w:name="_Toc758"/>
      <w:bookmarkEnd w:id="1651"/>
      <w:r>
        <w:rPr>
          <w:rtl w:val="true"/>
        </w:rPr>
        <w:t>«</w:t>
      </w:r>
      <w:r>
        <w:rPr/>
        <w:t>41</w:t>
      </w:r>
      <w:r>
        <w:rPr>
          <w:rtl w:val="true"/>
        </w:rPr>
        <w:t>»</w:t>
      </w:r>
      <w:bookmarkEnd w:id="1652"/>
    </w:p>
    <w:p>
      <w:pPr>
        <w:pStyle w:val="BookText"/>
        <w:rPr/>
      </w:pPr>
      <w:r>
        <w:rPr>
          <w:rFonts w:ascii="Amiri" w:hAnsi="Amiri" w:eastAsia="Amiri" w:cs="Amiri"/>
          <w:color w:val="111111"/>
          <w:sz w:val="28"/>
          <w:sz w:val="28"/>
          <w:szCs w:val="28"/>
          <w:rtl w:val="true"/>
          <w:lang w:bidi="ar-SA"/>
        </w:rPr>
        <w:t>مَجَالِسُ الْمُفِيدِ، عَنْ مُحَمَّدِ بْنِ عُمَرَ الْجِعَابِيِّ عَنْ جَعْفَرِ بْنِ مُحَمَّدٍ الْحَسَنِيِّ عَنِ الْفَضْلِ بْنِ الْقَاسِمِ عَنْ أَبِيهِ عَنْ جَدِّهِ عَنْ أَبِيهِ عَنْ جَدِّهِ عَبْدِ اللَّهِ بْنِ مُحَمَّدِ بْنِ عَقِيلِ بْنِ أَبِي طَالِبٍ قَالَ سَمِعْتُ عَلِيَّ بْنَ الْحُسَيْنِ زَيْنَ الْعَابِدِينَ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اخْتَلَجَ عِرْقٌ وَ لَا صُدِعَ مُؤْمِنٌ قَطُّ إِلَّا بِذَنْبِهِ وَ مَا يَعْفُو اللَّهُ عَنْهُ أَكْثَرُ وَ كَانَ إِذَا رَأَي الْمَرِيضَ قَدْ بَرِئَ قَالَ لَهُ لِيَهْنِئْكَ الطُّهْرُ أَيْ مِنَ الذُّنُوبِ فَاسْتَأْنِفِ الْعَمَلَ‌</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3" w:name="__RefHeading___Toc606430_1934241801"/>
      <w:bookmarkStart w:id="1654" w:name="_Toc759"/>
      <w:bookmarkEnd w:id="1653"/>
      <w:r>
        <w:rPr>
          <w:rtl w:val="true"/>
        </w:rPr>
        <w:t>«</w:t>
      </w:r>
      <w:r>
        <w:rPr/>
        <w:t>42</w:t>
      </w:r>
      <w:r>
        <w:rPr>
          <w:rtl w:val="true"/>
        </w:rPr>
        <w:t>»</w:t>
      </w:r>
      <w:bookmarkEnd w:id="1654"/>
    </w:p>
    <w:p>
      <w:pPr>
        <w:pStyle w:val="BookText"/>
        <w:rPr/>
      </w:pPr>
      <w:r>
        <w:rPr>
          <w:rFonts w:ascii="Amiri" w:hAnsi="Amiri" w:eastAsia="Amiri" w:cs="Amiri"/>
          <w:color w:val="111111"/>
          <w:sz w:val="28"/>
          <w:sz w:val="28"/>
          <w:szCs w:val="28"/>
          <w:rtl w:val="true"/>
          <w:lang w:bidi="ar-SA"/>
        </w:rPr>
        <w:t>مَجَالِسُ الشَّيْخِ، عَنْ جَمَاعَةٍ عَنْ أَبِي الْمُفَضَّلِ عَنْ جَعْفَرِ بْنِ مُحَمَّدِ بْنِ جَعْفَرٍ عَنِ الْفَضْلِ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5" w:name="__RefHeading___Toc606432_1934241801"/>
      <w:bookmarkStart w:id="1656" w:name="_Toc760"/>
      <w:bookmarkEnd w:id="1655"/>
      <w:r>
        <w:rPr>
          <w:rtl w:val="true"/>
        </w:rPr>
        <w:t>«</w:t>
      </w:r>
      <w:r>
        <w:rPr/>
        <w:t>43</w:t>
      </w:r>
      <w:r>
        <w:rPr>
          <w:rtl w:val="true"/>
        </w:rPr>
        <w:t>»</w:t>
      </w:r>
      <w:bookmarkEnd w:id="1656"/>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يَسْتَأْنِفُونَ الْعَمَلَ الْمَرِيضُ إِذَا بَرِئَ وَ الْمُشْرِكُ</w:t>
      </w:r>
    </w:p>
    <w:p>
      <w:pPr>
        <w:pStyle w:val="BookText"/>
        <w:rPr/>
      </w:pPr>
      <w:r>
        <w:rPr>
          <w:rFonts w:ascii="IRNazanin" w:hAnsi="IRNazanin" w:eastAsia="IRNazanin"/>
          <w:color w:val="111111"/>
          <w:sz w:val="28"/>
          <w:sz w:val="28"/>
          <w:szCs w:val="28"/>
          <w:rtl w:val="true"/>
          <w:lang w:bidi="fa-IR"/>
        </w:rPr>
        <w:t>بیماری به صورت مخصوص باعث پاک کردن گناهان و کفّاره آن می شود</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با سند حدیث قبل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ماندن مؤمن در طول یک شب به خاطر بیماری  به منزله عبادت یک سال است</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و با همین سند 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یک شب باعث کفّاره گناهان یک سال است</w:t>
      </w:r>
      <w:r>
        <w:rPr>
          <w:rFonts w:eastAsia="IRNazanin" w:cs="IRNazanin"/>
          <w:color w:val="111111"/>
          <w:sz w:val="28"/>
          <w:szCs w:val="28"/>
          <w:rtl w:val="true"/>
          <w:lang w:bidi="fa-IR"/>
        </w:rPr>
        <w:t>.</w:t>
      </w:r>
      <w:r>
        <w:rPr>
          <w:rStyle w:val="FootnoteAnchor"/>
          <w:rtl w:val="true"/>
        </w:rPr>
        <w:footnoteReference w:id="886"/>
      </w:r>
    </w:p>
    <w:p>
      <w:pPr>
        <w:pStyle w:val="Heading5"/>
        <w:numPr>
          <w:ilvl w:val="4"/>
          <w:numId w:val="1"/>
        </w:numPr>
        <w:rPr/>
      </w:pPr>
      <w:bookmarkStart w:id="1657" w:name="__RefHeading___Toc606434_1934241801"/>
      <w:bookmarkStart w:id="1658" w:name="_Toc761"/>
      <w:bookmarkEnd w:id="1657"/>
      <w:r>
        <w:rPr>
          <w:rtl w:val="true"/>
        </w:rPr>
        <w:t xml:space="preserve">روایت </w:t>
      </w:r>
      <w:r>
        <w:rPr/>
        <w:t>40</w:t>
      </w:r>
      <w:bookmarkEnd w:id="1658"/>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علیه السلام روایت شده که درباره مرضی  که کودکی به آن دچار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مریضی باعث کفّاره گناهان والدین این کودک می شود</w:t>
      </w:r>
      <w:r>
        <w:rPr>
          <w:rFonts w:eastAsia="IRNazanin" w:cs="IRNazanin"/>
          <w:color w:val="111111"/>
          <w:sz w:val="28"/>
          <w:szCs w:val="28"/>
          <w:rtl w:val="true"/>
          <w:lang w:bidi="fa-IR"/>
        </w:rPr>
        <w:t>.</w:t>
      </w:r>
      <w:r>
        <w:rPr>
          <w:rStyle w:val="FootnoteAnchor"/>
          <w:rtl w:val="true"/>
        </w:rPr>
        <w:footnoteReference w:id="887"/>
      </w:r>
    </w:p>
    <w:p>
      <w:pPr>
        <w:pStyle w:val="Heading5"/>
        <w:numPr>
          <w:ilvl w:val="4"/>
          <w:numId w:val="1"/>
        </w:numPr>
        <w:rPr/>
      </w:pPr>
      <w:bookmarkStart w:id="1659" w:name="__RefHeading___Toc606436_1934241801"/>
      <w:bookmarkStart w:id="1660" w:name="_Toc762"/>
      <w:bookmarkEnd w:id="1659"/>
      <w:r>
        <w:rPr>
          <w:rtl w:val="true"/>
        </w:rPr>
        <w:t xml:space="preserve">روایت </w:t>
      </w:r>
      <w:r>
        <w:rPr/>
        <w:t>41</w:t>
      </w:r>
      <w:bookmarkEnd w:id="1660"/>
    </w:p>
    <w:p>
      <w:pPr>
        <w:pStyle w:val="BookText"/>
        <w:rPr/>
      </w:pP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بن عقیل بن أبی طالب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زین العابدین علیه السلام شنیدم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رگهای بدن مؤمن دچار گرفتگی نمی شود و یا حتی به سر درد مبتلا نمی گردد مگر آنکه به سبب ارتکاب گناهان است، و آنچه خداوند از آن در می گذرد بیشتر است؛ و هنگامی که مریضی را مشاهده می کرد که شفا یافته است به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برتو مبارک باد، یعنی پاکی از گناهان، پس اعمال خویش را از نوآغاز کن</w:t>
      </w:r>
      <w:r>
        <w:rPr>
          <w:rFonts w:eastAsia="IRNazanin" w:cs="IRNazanin"/>
          <w:color w:val="111111"/>
          <w:sz w:val="28"/>
          <w:szCs w:val="28"/>
          <w:rtl w:val="true"/>
          <w:lang w:bidi="fa-IR"/>
        </w:rPr>
        <w:t>.</w:t>
      </w:r>
      <w:r>
        <w:rPr>
          <w:rStyle w:val="FootnoteAnchor"/>
          <w:rtl w:val="true"/>
        </w:rPr>
        <w:footnoteReference w:id="888"/>
      </w:r>
    </w:p>
    <w:p>
      <w:pPr>
        <w:pStyle w:val="Heading5"/>
        <w:numPr>
          <w:ilvl w:val="4"/>
          <w:numId w:val="1"/>
        </w:numPr>
        <w:rPr/>
      </w:pPr>
      <w:bookmarkStart w:id="1661" w:name="__RefHeading___Toc606438_1934241801"/>
      <w:bookmarkStart w:id="1662" w:name="_Toc763"/>
      <w:bookmarkEnd w:id="1661"/>
      <w:r>
        <w:rPr>
          <w:rtl w:val="true"/>
        </w:rPr>
        <w:t xml:space="preserve">روایت </w:t>
      </w:r>
      <w:r>
        <w:rPr/>
        <w:t>42</w:t>
      </w:r>
      <w:bookmarkEnd w:id="1662"/>
    </w:p>
    <w:p>
      <w:p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روایت شده است</w:t>
      </w:r>
      <w:r>
        <w:rPr>
          <w:rFonts w:eastAsia="IRNazanin" w:cs="IRNazanin"/>
          <w:color w:val="111111"/>
          <w:sz w:val="28"/>
          <w:szCs w:val="28"/>
          <w:rtl w:val="true"/>
          <w:lang w:bidi="fa-IR"/>
        </w:rPr>
        <w:t>.</w:t>
      </w:r>
      <w:r>
        <w:rPr>
          <w:rStyle w:val="FootnoteAnchor"/>
          <w:rtl w:val="true"/>
        </w:rPr>
        <w:footnoteReference w:id="889"/>
      </w:r>
    </w:p>
    <w:p>
      <w:pPr>
        <w:pStyle w:val="Heading5"/>
        <w:numPr>
          <w:ilvl w:val="4"/>
          <w:numId w:val="1"/>
        </w:numPr>
        <w:rPr/>
      </w:pPr>
      <w:bookmarkStart w:id="1663" w:name="__RefHeading___Toc606440_1934241801"/>
      <w:bookmarkStart w:id="1664" w:name="_Toc764"/>
      <w:bookmarkEnd w:id="1663"/>
      <w:r>
        <w:rPr>
          <w:rtl w:val="true"/>
        </w:rPr>
        <w:t xml:space="preserve">روایت </w:t>
      </w:r>
      <w:r>
        <w:rPr/>
        <w:t>43</w:t>
      </w:r>
      <w:bookmarkEnd w:id="1664"/>
    </w:p>
    <w:p>
      <w:pPr>
        <w:pStyle w:val="BookText"/>
        <w:rPr/>
      </w:pPr>
      <w:r>
        <w:rPr>
          <w:rFonts w:ascii="IRNazanin" w:hAnsi="IRNazanin" w:eastAsia="IRNazanin"/>
          <w:color w:val="111111"/>
          <w:sz w:val="28"/>
          <w:sz w:val="28"/>
          <w:szCs w:val="28"/>
          <w:rtl w:val="true"/>
          <w:lang w:bidi="fa-IR"/>
        </w:rPr>
        <w:t>نوادرالراوندی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از پدرانش علیهم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اعمال خود را از نو آغاز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آن گاه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شفا یابد؛ مشرک </w:t>
      </w:r>
      <w:bookmarkStart w:id="1665" w:name="pg13517_329218"/>
    </w:p>
    <w:p>
      <w:pPr>
        <w:pStyle w:val="BookText"/>
        <w:rPr/>
      </w:pPr>
      <w:bookmarkEnd w:id="1665"/>
      <w:r>
        <w:rPr>
          <w:rFonts w:ascii="Amiri" w:hAnsi="Amiri" w:eastAsia="Amiri" w:cs="Amiri"/>
          <w:color w:val="111111"/>
          <w:sz w:val="28"/>
          <w:sz w:val="28"/>
          <w:szCs w:val="28"/>
          <w:rtl w:val="true"/>
          <w:lang w:bidi="ar-SA"/>
        </w:rPr>
        <w:t>إِذَا أَسْلَمَ وَ الْحَاجُّ إِذَا فَرَغَ وَ الْمُنْصَرِفُ مِنَ الْجُمُعَةِ إِيمَاناً وَ احْتِسَاباً</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6" w:name="__RefHeading___Toc606442_1934241801"/>
      <w:bookmarkStart w:id="1667" w:name="_Toc765"/>
      <w:bookmarkEnd w:id="1666"/>
      <w:r>
        <w:rPr>
          <w:rtl w:val="true"/>
        </w:rPr>
        <w:t>«</w:t>
      </w:r>
      <w:r>
        <w:rPr/>
        <w:t>44</w:t>
      </w:r>
      <w:r>
        <w:rPr>
          <w:rtl w:val="true"/>
        </w:rPr>
        <w:t>»</w:t>
      </w:r>
      <w:bookmarkEnd w:id="1667"/>
    </w:p>
    <w:p>
      <w:pPr>
        <w:pStyle w:val="BookText"/>
        <w:rPr/>
      </w:pPr>
      <w:r>
        <w:rPr>
          <w:rFonts w:ascii="Amiri" w:hAnsi="Amiri" w:eastAsia="Amiri" w:cs="Amiri"/>
          <w:color w:val="111111"/>
          <w:sz w:val="28"/>
          <w:sz w:val="28"/>
          <w:szCs w:val="28"/>
          <w:rtl w:val="true"/>
          <w:lang w:bidi="ar-SA"/>
        </w:rPr>
        <w:t>مَجَالِسُ الشَّيْخِ، عَنْ جَمَاعَةٍ عَنْ أَبِي الْمُفَضَّلِ عَنْ عُبَيْدِ اللَّهِ بْنِ الْحُسَيْنِ الْعَلَوِيِّ عَنْ عَبْدِ الْعَظِيمِ الْحَسَنِيِّ عَنْ أَبِي جَعْفَرٍ الْجَوَادِ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لَا أَجْرَ فِيهِ وَ لَكِنَّهُ لَا يَدَعُ عَلَي الْعَبْدِ ذَنْباً إِلَّا حَطَّهُ وَ إِنَّمَا الْأَجْرُ فِي الْقَوْلِ بِاللِّسَانِ وَ الْعَمَلِ بِالْجَوَارِحِ وَ إِنَّ اللَّهَ بِكَرَمِهِ وَ فَضْلِهِ يُدْخِلُ الْعَبْدَ بِصِدْقِ النِّيَّةِ وَ السَّرِيرَةِ الصَّالِحَةِ الْجَنَّةَ</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جَمَاعَةٍ عَنْ أَبِي الْمُفَضَّلِ عَنْ عُبَيْدِ اللَّهِ بْنِ الْحُسَيْنِ بْنِ إِبْرَاهِيمَ عَنْ مُحَمَّدِ بْنِ عَلِيِّ بْنِ حَمْزَةَ عَنْ أَبِيهِ عَنِ الرِّضَا عَنْ آبَائِهِ عليهم السلام عَنْ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 إِذَا عُوفِيَ مِنْ مَرَضِهِ مَثَلُ الْبُرْدَةِ الْبَيْضَاءِ تُنْزَلُ مِنَ السَّمَاءِ فِي حُسْنِهَا وَ صِفَاتِهَا</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جَمَاعَةٍ عَنْ أَبِي الْمُفَضَّلِ عَنْ مُحَمَّدِ بْنِ عَلِيِّ بْنِ مَعْمَرٍ عَنْ حَمْدَانَ بْنِ الْمُعَافِي عَنْ مُوسَي بْنِ سَعْدَانَ عَنْ يُونُسَ بْنِ يَعْقُوبَ قَالَ سَمِعْتُ أَبَا عَبْدِ اللَّهِ جَعْفَرَ بْنَ مُحَمَّدٍ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أَكْرَمُ عَلَي اللَّهِ أَنَّ يَمُرَّ بِهِ أَرْبَعُونَ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يُمَحِّصُهُ اللَّهُ تَعَالَي فِيهَا مِنْ ذُنُوبِهِ وَ إِنَّ الْخَدْشَ وَ الْعَثْرَةَ وَ انْقِطَاعَ الشِّسْعِ وَ اخْتِلَاجَ الْعَيْنِ وَ أَشْبَاهَ ذَلِكَ لَيُمَحَّصُ بِهِ وَلِيُّنَا مِنْ ذُنُوبِهِ وَ أَنْ يَغْتَمَّ لَا يَدْرِي مَا وَجْهُهُ فَأَمَّا الْحُمَّي فَإِنَّ أَبِي حَدَّثَنِي عَنْ آبَائِهِ عَنْ رَسُولِ اللَّهِ صلي الله عليه و آله قَالَ حُمَّي لَيْلَةٍ كَفَّارَةُ سَنَةٍ</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8" w:name="__RefHeading___Toc606444_1934241801"/>
      <w:bookmarkStart w:id="1669" w:name="_Toc766"/>
      <w:bookmarkEnd w:id="1668"/>
      <w:r>
        <w:rPr>
          <w:rtl w:val="true"/>
        </w:rPr>
        <w:t>«</w:t>
      </w:r>
      <w:r>
        <w:rPr/>
        <w:t>45</w:t>
      </w:r>
      <w:r>
        <w:rPr>
          <w:rtl w:val="true"/>
        </w:rPr>
        <w:t>»</w:t>
      </w:r>
      <w:bookmarkEnd w:id="1669"/>
    </w:p>
    <w:p>
      <w:pPr>
        <w:pStyle w:val="BookText"/>
        <w:rPr/>
      </w:pPr>
      <w:r>
        <w:rPr>
          <w:rFonts w:ascii="Amiri" w:hAnsi="Amiri" w:eastAsia="Amiri" w:cs="Amiri"/>
          <w:color w:val="111111"/>
          <w:sz w:val="28"/>
          <w:sz w:val="28"/>
          <w:szCs w:val="28"/>
          <w:rtl w:val="true"/>
          <w:lang w:bidi="ar-SA"/>
        </w:rPr>
        <w:t>دَعَوَاتُ الرَّاوَنْدِيِّ، قَالَ النَّبِيُّ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 إِذَا ضَعُفَ مِنَ الْكِبَرِ يَأْمُرُ اللَّهُ الْمَلَكَ أَنْ يَكْتُبَ لَهُ فِي حَالِهِ تِلْكَ مَا كَانَ يَعْمَلُ وَ هُوَ شَابٌّ نَشِيطٌ مُجْتَمِعٌ وَ مِثْلُ ذَلِكَ إِذَا مَرِضَ وَكَّلَ اللَّهُ بِهِ مَلَكاً يَكْتُبُ لَهُ فِي سُقْمِهِ مَا كَانَ يَعْمَلُ مِنَ الْخَيْرِ فِي صِحَّتِهِ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که اسلام آورد، حاجی آن گاه که از مناسک حج فارغ شود، و کسی که با ایمان و کسب رضایت خداوند از نماز جمعه باز می گردد</w:t>
      </w:r>
      <w:r>
        <w:rPr>
          <w:rFonts w:eastAsia="IRNazanin" w:cs="IRNazanin"/>
          <w:color w:val="111111"/>
          <w:sz w:val="28"/>
          <w:szCs w:val="28"/>
          <w:rtl w:val="true"/>
          <w:lang w:bidi="fa-IR"/>
        </w:rPr>
        <w:t>.</w:t>
      </w:r>
      <w:r>
        <w:rPr>
          <w:rStyle w:val="FootnoteAnchor"/>
          <w:rtl w:val="true"/>
        </w:rPr>
        <w:footnoteReference w:id="894"/>
      </w:r>
    </w:p>
    <w:p>
      <w:pPr>
        <w:pStyle w:val="Heading5"/>
        <w:numPr>
          <w:ilvl w:val="4"/>
          <w:numId w:val="1"/>
        </w:numPr>
        <w:rPr/>
      </w:pPr>
      <w:bookmarkStart w:id="1670" w:name="__RefHeading___Toc606446_1934241801"/>
      <w:bookmarkStart w:id="1671" w:name="_Toc767"/>
      <w:bookmarkEnd w:id="1670"/>
      <w:r>
        <w:rPr>
          <w:rtl w:val="true"/>
        </w:rPr>
        <w:t xml:space="preserve">روایت </w:t>
      </w:r>
      <w:r>
        <w:rPr/>
        <w:t>44</w:t>
      </w:r>
      <w:bookmarkEnd w:id="1671"/>
    </w:p>
    <w:p>
      <w:p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از پدرانش علیهم السلام روایت کرده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پاداشی برای بیماری وجود ندارد، ولی تمام گناهان انسان را از بین می برد، اجر و پاداش فقط برای گفتار با زبان و عمل با اعضا و جوارح در نظر گرفته شده است، و به راستی که خداوند متعال با فضل و کرم خویش و با نگاه به نیّت صادق و نهاد نیک بنده اش او را وارد بهشت می گرداند</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پدرانش علیهم السلام روایت کرده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پاکی و بی آلایشی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از مریضی اش شفا یابد مَثَل تگرگ سفیدی است که از آسمان نازل می شود</w:t>
      </w:r>
      <w:r>
        <w:rPr>
          <w:rFonts w:eastAsia="IRNazanin" w:cs="IRNazanin"/>
          <w:color w:val="111111"/>
          <w:sz w:val="28"/>
          <w:szCs w:val="28"/>
          <w:rtl w:val="true"/>
          <w:lang w:bidi="fa-IR"/>
        </w:rPr>
        <w:t>.</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شنیدم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نزد خداوند گرامی تر از آن است که چهل روز بر او بگذرد و در طول آن چهل روز گناهانش را نزداید، همانا خراش برداشتن جسم، لغزیدن و افتادن، بریده شدن بند نعلین، چشم درد و امثال آن تا دوستار ما را از گناهانش پاک گند و اندوهگین می شود به خاطر چیزی که از علتش آگاه نیست؛ امّا در مورد تب، پدرم از پدرانش برایم نقل کرده است که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یک شب باعث کفّاره گناهان یک سال است</w:t>
      </w:r>
      <w:r>
        <w:rPr>
          <w:rFonts w:eastAsia="IRNazanin" w:cs="IRNazanin"/>
          <w:color w:val="111111"/>
          <w:sz w:val="28"/>
          <w:szCs w:val="28"/>
          <w:rtl w:val="true"/>
          <w:lang w:bidi="fa-IR"/>
        </w:rPr>
        <w:t>.</w:t>
      </w:r>
      <w:r>
        <w:rPr>
          <w:rStyle w:val="FootnoteAnchor"/>
          <w:rtl w:val="true"/>
        </w:rPr>
        <w:footnoteReference w:id="897"/>
      </w:r>
    </w:p>
    <w:p>
      <w:pPr>
        <w:pStyle w:val="Heading5"/>
        <w:numPr>
          <w:ilvl w:val="4"/>
          <w:numId w:val="1"/>
        </w:numPr>
        <w:rPr/>
      </w:pPr>
      <w:bookmarkStart w:id="1672" w:name="__RefHeading___Toc606448_1934241801"/>
      <w:bookmarkStart w:id="1673" w:name="_Toc768"/>
      <w:bookmarkEnd w:id="1672"/>
      <w:r>
        <w:rPr>
          <w:rtl w:val="true"/>
        </w:rPr>
        <w:t xml:space="preserve">روایت </w:t>
      </w:r>
      <w:r>
        <w:rPr/>
        <w:t>45</w:t>
      </w:r>
      <w:bookmarkEnd w:id="167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مسلمان از شدّت کهنسالی ضعیف گردد، خداوند به فرشته نگارنده اعمال فرمان می دهد که در آن وضعیت اعمالی را که در دوران فعّال و پر انرژی جوانی انجام می داده برای او ثبت کند، و هنگامی  که مریض گردد نیز شرایط به همین ترتیب است، یعنی خداوند فرشته ای را مأمور می گرداند تا در زمان بیماری اعمال نیکی را که در زمان تندرستی انجام می داده برای او ثبت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يَعْتَبِطُونَ اعْتِبَاطاً فَلَمَّا كَانَ زَمَنُ إِبْرَاهِيمَ عليه السلام قَالَ يَا رَبِّ اجْعَلْ لِلْمَوْتِ عِلَّةً يُؤْجَرُ بِهَا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عَلِمَ اللَّهُ أَنَّ أَعْمَالَ الْعِبَادِ لَا تَفِي بِذُنُوبِهِمْ خَلَقَ لَهُمُ الْأَمْرَاضَ لِيُكَفِّرَ عَنْهُمْ بِهَا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صلي الله عليه و آله أَيُّ النَّاسِ أَشَدُّ بَلَاءً قَالَ الْأَنْبِيَاءُ ثُمَّ الصَّالِحُونَ ثُمَّ الْأَمْثَلُ فَالْأَمْثَلُ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ابْتَلَاهُ فَإِذَا أَحَبَّهُ اللَّهُ الْحُبَّ الْبَالِغَ افْتَنَاهُ قَالُوا وَ مَا افْتِنَاؤُهُ قَالَ لَا يَتْرُكُ لَهُ مَالًا وَ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بِأَفْضَلِ آيَةٍ فِي كِتَابِ اللَّهِ عَزَّ وَ جَلَّ حَدَّثَنَا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أَصابَكُمْ مِنْ مُصِيبَةٍ فَبِما كَسَبَتْ أَيْدِيكُمْ‌</w:t>
      </w:r>
      <w:r>
        <w:rPr>
          <w:rStyle w:val="FootnoteAnchor"/>
          <w:rtl w:val="true"/>
        </w:rPr>
        <w:footnoteReference w:id="898"/>
      </w:r>
      <w:r>
        <w:rPr>
          <w:rFonts w:ascii="Amiri" w:hAnsi="Amiri" w:eastAsia="Amiri" w:cs="Amiri"/>
          <w:color w:val="111111"/>
          <w:sz w:val="28"/>
          <w:sz w:val="28"/>
          <w:szCs w:val="28"/>
          <w:rtl w:val="true"/>
          <w:lang w:bidi="ar-SA"/>
        </w:rPr>
        <w:t>وَ اللَّهُ عَزَّ وَ جَلَّ أَكْرَمُ مِنْ أَنْ يُثَنِّيَ عَلَيْهِ الْعُقُوبَةَ فِي الْآخِرَةِ وَ مَا عُفِيَ عَنْهُ فِي الدُّنْيَا فَاللَّهُ تَبَارَكَ وَ تَعَالَي أَحْلَمُ مِنْ أَنْ يَعُودَ فِي عَفْوِهِ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 أَبُو ذَرٍّ رَضِيَ اللَّهُ عَنْهُ فَأَتَيْتُ رَسُولَ اللَّهِ صلي الله عليه و آله فَقُلْتُ يَا رَسُولَ اللَّهِ إِنَّ أَبَا ذَرٍّ قَدْ وُعِكَ فَقَالَ صلي الله عليه و آله امْضِ بِنَا إِلَيْهِ نَعُودُهُ فَمَضَيْنَا إِلَيْهِ جَمِيعاً فَلَمَّا جَلَسْنَا قَالَ رَسُولُ اللَّهِ صلي الله عليه و آله كَيْفَ أَصْبَحْتَ يَا أَبَا ذَرٍّ قَالَ أَصْبَحْتُ وَعِكاً يَا رَسُولَ اللَّهِ فَقَالَ صلي الله عليه و آله أَصْبَحْتَ فِي رَوْضَةٍ مِنْ رِيَاضِ الْجَنَّةِ قَدِ انْغَمَسْتَ فِي مَاءِ الْحَيَوَانِ وَ قَدْ غَفَرَ اللَّهُ لَكَ مَا يَقْدَحُ مِنْ دِينِكَ فَأَبْشِرْ يَا أَبَا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 حَظُّ كُلِّ مُؤْمِنٍ مِنَ النَّارِ الْحُمَّي مِنْ فَيْحِ جَهَنَّمَ الْحُمَّي رَائِدُ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ثَلَاثَةٌ فِي ابْنِ آدَمَ مَا طَأْطَأَ رَأْسَهُ شَيْ‌ءٌ الْمَرَضُ وَ الْمَوْتُ وَ الْفَقْرُ وَ كُلُّهُنَّ فِيهِ وَ إِنَّهُ مَعَهُنَّ لَوَثَّابٌ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يُصِيبُ الْمُؤْمِنَ مِنْ وَصَبٍ وَ لَا نَصَبٍ وَ لَا سَقَمٍ وَ لَا أَذًي وَ لَا حُزْنٍ وَ لَا هَمٍّ حَتَّي الْهَمِّ يُهِمُّهُ إِلَّا كَفَّرَ اللَّهُ بِهِ خَطَايَاهُ وَ مَا يَنْتَظِرُ أَحَدُكُمْ مِنَ</w:t>
      </w:r>
    </w:p>
    <w:p>
      <w:pPr>
        <w:pStyle w:val="BookText"/>
        <w:rPr/>
      </w:pP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پیشین بدون علّت و مرض از دنیا می رفتند، تا اینکه حضرت ابراهیم علیه السلام در دوران خویش به درگاه خداوند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برای مرگ علّتی و مرضی قرار ده که شخص مرده به واسطه آن پاداش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خداوند آگاه است که اعمال بندگان برای از بین بردن گناهان کفایت نمی کند، برای آنان امراض مختلف خلق می کند تا به واسطه آن ها گناهانشان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دسته از مردم بیشتر گرفتار بلا و مصیبت می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سپس صالحان سپس انسان های برگزیده به ترتیب مراتب و 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خداوند بنده ای را دوست بدارد به بلا و مصیبت گرفتارش می سازد و هرگاه او را بیش از حدّ دوست بدارد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مال و فرزندی برای او باقی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پرفضیلت ترین آیه در کتاب خداوند عزّ و جلّ آگاه سازم؟ رسول خدا صلّی الله علیه وآله برای ما نقل کرد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أصابکم من مصیبة فبما کسبت أیدیکم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متعال بزرگوارتر از آن است که در آخرت شخص مصیبت زده را دوباره مجازات کند، و خداوند متعال با گذشت تر از آن است که گناهی را که در دنیا از آن چشم پوشی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عفوش بر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رضی الله عنه دچار تب شد، پس نزد رسول خدا صلّی الله علیه و آله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ابوذر دچار تب شده است؛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عیادتش می رویم؛ بنابراین همگی به عیادت ابوذر رفتیم، هنگامی  که نشستیم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چگونه شب را به صبح رساندی،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شب را در حالی که دچار تب بودم به صبح رساندم،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باغی از باغهای بهشت به صبح رسانده ای، در آب حیات غوطه ور بوده ای و خداوند آنچه را به دین تو آسیب می رساند بخشید، پس تو را بشارت باد ای ابوذر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سهم هر انسان مؤمن از آتش جهنّم است؛ تب، از جنس گرمای جهنّم و پیش آهنگ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خصلت در بنی آدم وجود نداشت، هیچ چیز سرِ او را فرو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مرگ و فقر، هرسه خصلت در او وجود دارد و با وجود آن ها نیز بلند پرواز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به هیچ درد، مرض، بیماری، اذیت و آزار، غم و حتی اندوهی که بی تابش می گرداند مبتلا نمی گردد مگر آنکه خداوند به واسطه آن ها گناهانش را می بخشاید، و هیچ یک از شما از </w:t>
      </w:r>
      <w:bookmarkStart w:id="1674" w:name="pg13517_329220"/>
    </w:p>
    <w:p>
      <w:pPr>
        <w:pStyle w:val="BookText"/>
        <w:rPr/>
      </w:pPr>
      <w:bookmarkEnd w:id="1674"/>
      <w:r>
        <w:rPr>
          <w:rFonts w:ascii="Amiri" w:hAnsi="Amiri" w:eastAsia="Amiri" w:cs="Amiri"/>
          <w:color w:val="111111"/>
          <w:sz w:val="28"/>
          <w:sz w:val="28"/>
          <w:szCs w:val="28"/>
          <w:rtl w:val="true"/>
          <w:lang w:bidi="ar-SA"/>
        </w:rPr>
        <w:t>الدُّنْيَا إِلَّا غِنًي مُطْغِياً أَوْ فَقْراً مُنْسِياً أَوْ مَرَضاً مُفْسِداً أَوْ هَرَماً مُنْفِداً أَوْ مَوْتاً مُجْهِزاً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اشْتَكَي الْمُؤْمِنُ أَخْلَصَهُ اللَّهُ مِنَ الذُّنُوبِ كَمَا يُخْلِصُ الْكِيرُ الْخَبَثَ مِنَ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أَنِينُ الْمَرِيضِ تَسْبِيحٌ وَ صِيَاحُهُ تَهْلِيلٌ وَ نَوْمُهُ عَلَي الْفِرَاشِ عِبَادَةٌ وَ تَقَلُّبُهُ جَنْباً إِلَي جَنْبٍ فَكَأَنَّمَا يُجَاهِدُ عَدُوَّ اللَّهِ وَ يَمْشِي فِي النَّاسِ وَ مَا عَلَيْهِ ذَنْبٌ</w:t>
      </w:r>
      <w:r>
        <w:rPr>
          <w:rFonts w:eastAsia="Amiri" w:cs="Amiri" w:ascii="Amiri" w:hAnsi="Amiri"/>
          <w:color w:val="111111"/>
          <w:sz w:val="28"/>
          <w:szCs w:val="28"/>
          <w:rtl w:val="true"/>
          <w:lang w:bidi="ar-SA"/>
        </w:rPr>
        <w:t>.</w:t>
      </w:r>
    </w:p>
    <w:p>
      <w:pPr>
        <w:pStyle w:val="Heading5"/>
        <w:numPr>
          <w:ilvl w:val="4"/>
          <w:numId w:val="1"/>
        </w:numPr>
        <w:rPr/>
      </w:pPr>
      <w:bookmarkStart w:id="1675" w:name="__RefHeading___Toc606450_1934241801"/>
      <w:bookmarkStart w:id="1676" w:name="_Toc769"/>
      <w:bookmarkEnd w:id="1675"/>
      <w:r>
        <w:rPr>
          <w:rtl w:val="true"/>
        </w:rPr>
        <w:t>توضيح</w:t>
      </w:r>
      <w:bookmarkEnd w:id="1676"/>
    </w:p>
    <w:p>
      <w:pPr>
        <w:pStyle w:val="BookText"/>
        <w:rPr/>
      </w:pPr>
      <w:r>
        <w:rPr>
          <w:rFonts w:ascii="Amiri" w:hAnsi="Amiri" w:eastAsia="Amiri" w:cs="Amiri"/>
          <w:color w:val="111111"/>
          <w:sz w:val="28"/>
          <w:sz w:val="28"/>
          <w:szCs w:val="28"/>
          <w:rtl w:val="true"/>
          <w:lang w:bidi="ar-SA"/>
        </w:rPr>
        <w:t>قوله عليه السلام يعتبطون رواه فِي الْكَافِي‌</w:t>
      </w:r>
      <w:r>
        <w:rPr>
          <w:rStyle w:val="FootnoteAnchor"/>
          <w:rtl w:val="true"/>
        </w:rPr>
        <w:footnoteReference w:id="899"/>
      </w:r>
      <w:r>
        <w:rPr>
          <w:rFonts w:ascii="Amiri" w:hAnsi="Amiri" w:eastAsia="Amiri" w:cs="Amiri"/>
          <w:color w:val="111111"/>
          <w:sz w:val="28"/>
          <w:sz w:val="28"/>
          <w:szCs w:val="28"/>
          <w:rtl w:val="true"/>
          <w:lang w:bidi="ar-SA"/>
        </w:rPr>
        <w:t>بِسَنَدَيْنِ عَنْ سَعْدِ بْنِ طَرِيفٍ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يَعْتَبِطُونَ اعْتِبَاطاً فَلَمَّا كَانَ زَمَانُ إِبْرَاهِيمَ عليه السلام قَالَ يَا رَبِّ اجْعَلْ لِلْمَوْتِ عِلَّةً يُؤْجَرُ بِهَا الْمَيِّتُ وَ يُسَلَّي بِهَا عَنِ الْمُصَابِ قَالَ فَأَنْزَلَ اللَّهُ عَزَّ وَ جَلَّ الْمُومَ وَ هُوَ الْبِرْسَامُ ثُمَّ أَنْزَلَ بَعْدَهُ الدَّاءَ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 فيه من اعتبط مؤمنا أي قتله بلا جناية و كل من مات بغير علة فقد اعتبط و مات فلان عبطة أي شابا صحيحا و عبطت الناقة و اعتبطتها إذا ذبحتها من غير مرض و قال الموم هو البرسام مع الحمي و قيل هو بثر أصغر من الجدري و في القاموس البرسام بالكسر علة يهذي فيها و في النهاية فيه أشد الناس بلاء الأنبياء ثم الأمثل فالأمثل أي الأشرف فالأشرف و الأعلي فالأعلي في الرتبة و المنزلة ثم يقال هذا أمثل من هذا أي أفضل و أدني إلي الخير و أماثل الناس خيارهم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الوعك الحمي و قيل ألمها و قد وعكه المرض وعكا و وعك فهو موعوك و قال أجهز علي الجريح أسرع قتله</w:t>
      </w:r>
      <w:r>
        <w:rPr>
          <w:rFonts w:eastAsia="Amiri" w:cs="Amiri" w:ascii="Amiri" w:hAnsi="Amiri"/>
          <w:color w:val="111111"/>
          <w:sz w:val="28"/>
          <w:szCs w:val="28"/>
          <w:rtl w:val="true"/>
          <w:lang w:bidi="ar-SA"/>
        </w:rPr>
        <w:t>.</w:t>
      </w:r>
    </w:p>
    <w:p>
      <w:pPr>
        <w:pStyle w:val="Heading5"/>
        <w:numPr>
          <w:ilvl w:val="4"/>
          <w:numId w:val="1"/>
        </w:numPr>
        <w:rPr/>
      </w:pPr>
      <w:bookmarkStart w:id="1677" w:name="__RefHeading___Toc606452_1934241801"/>
      <w:bookmarkStart w:id="1678" w:name="_Toc770"/>
      <w:bookmarkEnd w:id="1677"/>
      <w:r>
        <w:rPr>
          <w:rtl w:val="true"/>
        </w:rPr>
        <w:t>«</w:t>
      </w:r>
      <w:r>
        <w:rPr/>
        <w:t>46</w:t>
      </w:r>
      <w:r>
        <w:rPr>
          <w:rtl w:val="true"/>
        </w:rPr>
        <w:t>»</w:t>
      </w:r>
      <w:bookmarkEnd w:id="1678"/>
    </w:p>
    <w:p>
      <w:pPr>
        <w:pStyle w:val="BookText"/>
        <w:rPr/>
      </w:pPr>
      <w:r>
        <w:rPr>
          <w:rFonts w:ascii="Amiri" w:hAnsi="Amiri" w:eastAsia="Amiri" w:cs="Amiri"/>
          <w:color w:val="111111"/>
          <w:sz w:val="28"/>
          <w:sz w:val="28"/>
          <w:szCs w:val="28"/>
          <w:rtl w:val="true"/>
          <w:lang w:bidi="ar-SA"/>
        </w:rPr>
        <w:t>كِتَابُ الصِّفِّينِ، لِنَصْرِ بْنِ مُزَاحِمٍ عَنْ عُمَرَ بْنِ سَعْدٍ عَنْ عَبْدِ الرَّحْمَنِ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أَقْبَلَ أَمِيرُ الْمُؤْمِنِينَ عليه السلام مِنْ صِفِّينَ وَ رَأَيْنَا بُيُوتَ الْكُوفَةِ فَإِذَا نَحْنُ بِشَيْخٍ جَالِسٍ فِي ظِلِّ بَيْتٍ عَلَي وَجْهِهِ أَثَرُ الْمَرَضِ فَقَالَ عليه السلام لَهُ مَا لِي</w:t>
      </w:r>
    </w:p>
    <w:p>
      <w:pPr>
        <w:pStyle w:val="BookText"/>
        <w:rPr/>
      </w:pPr>
      <w:r>
        <w:rPr>
          <w:rFonts w:ascii="IRNazanin" w:hAnsi="IRNazanin" w:eastAsia="IRNazanin"/>
          <w:color w:val="111111"/>
          <w:sz w:val="28"/>
          <w:sz w:val="28"/>
          <w:szCs w:val="28"/>
          <w:rtl w:val="true"/>
          <w:lang w:bidi="fa-IR"/>
        </w:rPr>
        <w:t>دنیا انتظاری ندارد 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منتظر ثروتی هستید که باعث سرکشی می شود، یا فقری که باعث فراموشی می شود، یا بیماری ای که باعث تباهی می شود، یا پیری ای که باعث از بین رفتن می شود و یا مرگی که آنی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مؤمن بیمار می شود، خداوند او را از گناهان پاک می  گرداند آن گونه که کوره آهنگری ناخالصی را از آهن می زداید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ناله مریض مانند تسبیح گفتن است و آه و فریادش مانند تهلیل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خوابیدن مریض بر روی بسترش عبادت است و غلتیدنش از یک پهلو به پهلوی دیگر مانند جهاد با دشمنان خدا، و پس از بیماری در میان مردم راه می رود درحالی که هیچ گناهی به دوش ندارد</w:t>
      </w:r>
      <w:r>
        <w:rPr>
          <w:rFonts w:eastAsia="IRNazanin" w:cs="IRNazanin"/>
          <w:color w:val="111111"/>
          <w:sz w:val="28"/>
          <w:szCs w:val="28"/>
          <w:rtl w:val="true"/>
          <w:lang w:bidi="fa-IR"/>
        </w:rPr>
        <w:t>.</w:t>
      </w:r>
    </w:p>
    <w:p>
      <w:pPr>
        <w:pStyle w:val="Heading5"/>
        <w:numPr>
          <w:ilvl w:val="4"/>
          <w:numId w:val="1"/>
        </w:numPr>
        <w:rPr/>
      </w:pPr>
      <w:bookmarkStart w:id="1679" w:name="__RefHeading___Toc606454_1934241801"/>
      <w:bookmarkStart w:id="1680" w:name="_Toc771"/>
      <w:bookmarkEnd w:id="1679"/>
      <w:r>
        <w:rPr>
          <w:rtl w:val="true"/>
        </w:rPr>
        <w:t>توضیح</w:t>
      </w:r>
      <w:bookmarkEnd w:id="1680"/>
    </w:p>
    <w:p>
      <w:pPr>
        <w:pStyle w:val="BookText"/>
        <w:rPr/>
      </w:pPr>
      <w:r>
        <w:rPr>
          <w:rFonts w:ascii="IRNazanin" w:hAnsi="IRNazanin" w:eastAsia="IRNazanin"/>
          <w:color w:val="111111"/>
          <w:sz w:val="28"/>
          <w:sz w:val="28"/>
          <w:szCs w:val="28"/>
          <w:rtl w:val="true"/>
          <w:lang w:bidi="fa-IR"/>
        </w:rPr>
        <w:t>این فرموده 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الکافی</w:t>
      </w:r>
      <w:r>
        <w:rPr>
          <w:rStyle w:val="FootnoteAnchor"/>
          <w:rtl w:val="true"/>
        </w:rPr>
        <w:footnoteReference w:id="900"/>
      </w:r>
      <w:r>
        <w:rPr>
          <w:rFonts w:ascii="IRNazanin" w:hAnsi="IRNazanin" w:eastAsia="IRNazanin"/>
          <w:color w:val="111111"/>
          <w:sz w:val="28"/>
          <w:sz w:val="28"/>
          <w:szCs w:val="28"/>
          <w:rtl w:val="true"/>
          <w:lang w:bidi="fa-IR"/>
        </w:rPr>
        <w:t>این گونه روایت شده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ابتدا بدون دلیل و مرض از دنیا رفتند، تا اینکه حضرت ابراهیم علیه السلام در زمان خویش دست به دعا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دلیل و مرضی برای مردن قرار ده که میّت به خاطر آن پاداش داده شود و از آنچه بدان مبتلا شده تسکین داده شود؛ پس خداوند عزّ و جلّ ابتدا ورم و سپس درد و مرض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اعتبط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بدون گناه کشت،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بدون علت از دنیا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فلان عبطة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درحالی که جوان و سالم بود از دنیا رفت،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عبطتُ الناقة و اعتبطتُها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را در حالی که هیچ مرضی نداشت ذبح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 همراه با تب، و گفته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جوشی که کوچک تر از آبله است، و 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ای که در آن هذیان گفته می شود؛ و در النهایه چنین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بیشتر از همه مردم دچار بلا و مصیبت می شوند پیامبران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الأمثل فالأمثل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برتر و بالاتر از لحاظ مرتبت و جایگاه؛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أمثل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نسبت به خیر برتر و نزدیک تر ار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أماثل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برگزیدگان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شیخ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و گفته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ناشی از تب؛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وَعَک المرضُ وعکاً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او را به درد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وَعک فهو موعوک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او را به درد آورد پس او بیمار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أجهز علی الجریح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مریض را یکسره کرد و او را سریع کشت </w:t>
      </w:r>
      <w:r>
        <w:rPr>
          <w:rFonts w:eastAsia="IRNazanin" w:cs="IRNazanin"/>
          <w:color w:val="111111"/>
          <w:sz w:val="28"/>
          <w:szCs w:val="28"/>
          <w:rtl w:val="true"/>
          <w:lang w:bidi="fa-IR"/>
        </w:rPr>
        <w:t>.</w:t>
      </w:r>
    </w:p>
    <w:p>
      <w:pPr>
        <w:pStyle w:val="Heading5"/>
        <w:numPr>
          <w:ilvl w:val="4"/>
          <w:numId w:val="1"/>
        </w:numPr>
        <w:rPr/>
      </w:pPr>
      <w:bookmarkStart w:id="1681" w:name="__RefHeading___Toc606456_1934241801"/>
      <w:bookmarkStart w:id="1682" w:name="_Toc772"/>
      <w:bookmarkEnd w:id="1681"/>
      <w:r>
        <w:rPr>
          <w:rtl w:val="true"/>
        </w:rPr>
        <w:t xml:space="preserve">روایت </w:t>
      </w:r>
      <w:r>
        <w:rPr/>
        <w:t>46</w:t>
      </w:r>
      <w:bookmarkEnd w:id="168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جندب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 المؤمنین علیه السلام از جنگ صفّین بازگشت و خانه های کوفه را مشاهده کردیم، با پیرمردی مواجه شدیم که در سایه خانه ای نشسته و آثار بیماری بر صورت او پدیدار است، 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w:t>
      </w:r>
      <w:bookmarkStart w:id="1683" w:name="pg13517_329221"/>
    </w:p>
    <w:p>
      <w:pPr>
        <w:pStyle w:val="BookText"/>
        <w:rPr/>
      </w:pPr>
      <w:bookmarkEnd w:id="1683"/>
      <w:r>
        <w:rPr>
          <w:rFonts w:ascii="Amiri" w:hAnsi="Amiri" w:eastAsia="Amiri" w:cs="Amiri"/>
          <w:color w:val="111111"/>
          <w:sz w:val="28"/>
          <w:sz w:val="28"/>
          <w:szCs w:val="28"/>
          <w:rtl w:val="true"/>
          <w:lang w:bidi="ar-SA"/>
        </w:rPr>
        <w:t xml:space="preserve">أَرَي وَجْهَكَ مُتَكَفِّئاً أَ مِنْ مَرَضٍ قَالَ نَعَمْ قَالَ فَلَعَلَّكَ كَرِهْتَهُ فَقَالَ مَا أُحِبُّ أَنَّهُ يَعْتَرِينِي قَالَ أَ لَيْسَ احْتِسَابٌ بِالْخَيْرِ فِيمَا أَصَابَكَ مِنْهُ قَالَ بَلَي قَالَ أَبْشِرْ بِرَحْمَةِ رَبِّكَ وَ غُفْرَانِ ذَنْبِكَ ثُمَّ سَأَلَهُ عَنْ 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أَنْ يَنْصَرِفَ عَنْهُ قَالَ لَهُ جَعَلَ اللَّهُ مَا كَانَ مِنْ شَكْوَاكَ حَطّاً لِسَيِّئَاتِكَ فَإِنَّ الْمَرَضَ لَا أَجْرَ فِيهِ وَ لَكِنْ لَا يَدَعُ لِلْعَبْدِ ذَنْباً إِلَّا حَطَّهُ إِنَّمَا الْأَجْرُ فِي الْقَوْلِ بِاللِّسَانِ وَ الْعَمَلِ بِالْيَدِ وَ الرِّجْلِ وَ إِنَّ اللَّهَ عَزَّ وَ جَلَّ يُدْخِلُ بِصِدْقِ النِّيَّةِ وَ السَّرِيرَةِ الصَّالِحَةِ مَنْ يَشَاءُ مِنْ عِبَادِهِ الْجَنَّةَ ثُمَّ مَضَي عليه السلام‌</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4" w:name="__RefHeading___Toc606458_1934241801"/>
      <w:bookmarkStart w:id="1685" w:name="_Toc773"/>
      <w:bookmarkEnd w:id="1684"/>
      <w:r>
        <w:rPr>
          <w:rtl w:val="true"/>
        </w:rPr>
        <w:t>بيان</w:t>
      </w:r>
      <w:bookmarkEnd w:id="1685"/>
    </w:p>
    <w:p>
      <w:pPr>
        <w:pStyle w:val="BookText"/>
        <w:rPr/>
      </w:pPr>
      <w:r>
        <w:rPr>
          <w:rFonts w:ascii="Amiri" w:hAnsi="Amiri" w:eastAsia="Amiri" w:cs="Amiri"/>
          <w:color w:val="111111"/>
          <w:sz w:val="28"/>
          <w:sz w:val="28"/>
          <w:szCs w:val="28"/>
          <w:rtl w:val="true"/>
          <w:lang w:bidi="ar-SA"/>
        </w:rPr>
        <w:t>قال في النهاية فيه أنه انكفأ لونه عام الرمادة أي تغير عن حاله و منه حديث الأنصاري ما لي أري لونك متكفئا قال من الجوع</w:t>
      </w:r>
      <w:r>
        <w:rPr>
          <w:rFonts w:eastAsia="Amiri" w:cs="Amiri" w:ascii="Amiri" w:hAnsi="Amiri"/>
          <w:color w:val="111111"/>
          <w:sz w:val="28"/>
          <w:szCs w:val="28"/>
          <w:rtl w:val="true"/>
          <w:lang w:bidi="ar-SA"/>
        </w:rPr>
        <w:t>.</w:t>
      </w:r>
    </w:p>
    <w:p>
      <w:pPr>
        <w:pStyle w:val="Heading5"/>
        <w:numPr>
          <w:ilvl w:val="4"/>
          <w:numId w:val="1"/>
        </w:numPr>
        <w:rPr/>
      </w:pPr>
      <w:bookmarkStart w:id="1686" w:name="__RefHeading___Toc606460_1934241801"/>
      <w:bookmarkStart w:id="1687" w:name="_Toc774"/>
      <w:bookmarkEnd w:id="1686"/>
      <w:r>
        <w:rPr>
          <w:rtl w:val="true"/>
        </w:rPr>
        <w:t>«</w:t>
      </w:r>
      <w:r>
        <w:rPr/>
        <w:t>47</w:t>
      </w:r>
      <w:r>
        <w:rPr>
          <w:rtl w:val="true"/>
        </w:rPr>
        <w:t>»</w:t>
      </w:r>
      <w:bookmarkEnd w:id="1687"/>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لِبَعْضِ أَصْحَابِهِ فِي عِلَّةٍ اعْتَلَّهَا جَعَلَ اللَّهُ مَا كَانَ مِنْ شَكْوَاكَ حَطّاً لِسَيِّئَاتِكَ فَإِنَّ الْمَرَضَ لَا أَجْرَ فِيهِ وَ لَكِنَّهُ يَحُطُّ السَّيِّئَاتِ وَ يَحُتُّهَا حَتَّ الْأَوْرَاقِ وَ إِنَّمَا الْأَجْرُ فِي الْقَوْلِ بِاللِّسَانِ وَ الْعَمَلِ بِالْأَيْدِي وَ الْأَقْدَامِ وَ إِنَّ اللَّهَ سُبْحَانَهُ يُدْخِلُ بِصِدْقِ النِّيَّةِ وَ السَّرِيرَةِ الصَّالِحَةِ مَنْ يَشَاءُ مِنْ عِبَادِهِ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رضي الله عنه و أقول صدق عليه السلام أن المرض لا أجر فيه لأنه من قبيل ما يستحق عليه العوض لأن العوض يستحق علي ما كان في مقابلة فعل الله تعالي بالعبد من الآلام و الأمراض و ما يجري مجري ذلك و الأجر و الثواب يستحقان علي ما كان في مقابلة فعل العبد فبينهما فرق قد بينه عليه السلام كما يقضيه علمه الثاقب و رأيه الصائب‌</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رنگ صورتت تغییر کرده، آیا از بیماری است؟گفت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شاید از آن کراهت داشتی؟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به آن دچار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خیری که به واسطه ابتلا به بیماری نصیبت می شود تو را کفایت می کند؟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رحمت پروردگارت و بخشش گناهانت بشارت باد، سپس از او در باره چیزهایی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خواست که از نزد آن پیرمرد برود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اندوهت را سببی برای کاستن از گناهانت قرار داده است، بیماری هیچ اجری ندارد ولی تمام گناهان بنده خدا را از بین می برد، به راستی که اجر و پاداش فقط برای گفتار با زبان و کردار با دست و پا وضع شده است، و خداوند عزّ و جلّ با نظر به نیت صادق و نهاد نیک بندگانش، هریک از آنان را که بخواهد وارد بهشت می گرداند، آن گاه امام علیه السلام از نزد آن پیرمرد رفت</w:t>
      </w:r>
      <w:r>
        <w:rPr>
          <w:rFonts w:eastAsia="IRNazanin" w:cs="IRNazanin"/>
          <w:color w:val="111111"/>
          <w:sz w:val="28"/>
          <w:szCs w:val="28"/>
          <w:rtl w:val="true"/>
          <w:lang w:bidi="fa-IR"/>
        </w:rPr>
        <w:t>.</w:t>
      </w:r>
      <w:r>
        <w:rPr>
          <w:rStyle w:val="FootnoteAnchor"/>
          <w:rtl w:val="true"/>
        </w:rPr>
        <w:footnoteReference w:id="903"/>
      </w:r>
    </w:p>
    <w:p>
      <w:pPr>
        <w:pStyle w:val="Heading5"/>
        <w:numPr>
          <w:ilvl w:val="4"/>
          <w:numId w:val="1"/>
        </w:numPr>
        <w:rPr/>
      </w:pPr>
      <w:bookmarkStart w:id="1688" w:name="__RefHeading___Toc606462_1934241801"/>
      <w:bookmarkStart w:id="1689" w:name="_Toc775"/>
      <w:bookmarkEnd w:id="1688"/>
      <w:r>
        <w:rPr>
          <w:rtl w:val="true"/>
        </w:rPr>
        <w:t>توضیح</w:t>
      </w:r>
      <w:bookmarkEnd w:id="1689"/>
    </w:p>
    <w:p>
      <w:pPr>
        <w:pStyle w:val="BookText"/>
        <w:rPr/>
      </w:pPr>
      <w:r>
        <w:rPr>
          <w:rFonts w:ascii="IRNazanin" w:hAnsi="IRNazanin" w:eastAsia="IRNazanin"/>
          <w:color w:val="111111"/>
          <w:sz w:val="28"/>
          <w:sz w:val="28"/>
          <w:szCs w:val="28"/>
          <w:rtl w:val="true"/>
          <w:lang w:bidi="fa-IR"/>
        </w:rPr>
        <w:t>شیخ در النهایة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انکفأ لونه عام الرّمادة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هلاکت ستوران و مردم حال و وضعش دگرگون شد ، و حدیثی که در مورد مرد انصاری نیز روایت شده به همین معناست آن گاه که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أری لونک متکفّئاً؟ قال من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رنگ چهره ات تغییر کرده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گرسنگی است</w:t>
      </w:r>
      <w:r>
        <w:rPr>
          <w:rFonts w:eastAsia="IRNazanin" w:cs="IRNazanin"/>
          <w:color w:val="111111"/>
          <w:sz w:val="28"/>
          <w:szCs w:val="28"/>
          <w:rtl w:val="true"/>
          <w:lang w:bidi="fa-IR"/>
        </w:rPr>
        <w:t>.</w:t>
      </w:r>
    </w:p>
    <w:p>
      <w:pPr>
        <w:pStyle w:val="Heading5"/>
        <w:numPr>
          <w:ilvl w:val="4"/>
          <w:numId w:val="1"/>
        </w:numPr>
        <w:rPr/>
      </w:pPr>
      <w:bookmarkStart w:id="1690" w:name="__RefHeading___Toc606464_1934241801"/>
      <w:bookmarkStart w:id="1691" w:name="_Toc776"/>
      <w:bookmarkEnd w:id="1690"/>
      <w:r>
        <w:rPr>
          <w:rtl w:val="true"/>
        </w:rPr>
        <w:t xml:space="preserve">روایت </w:t>
      </w:r>
      <w:r>
        <w:rPr/>
        <w:t>47</w:t>
      </w:r>
      <w:bookmarkEnd w:id="1691"/>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یکی از یارانش که مریض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آنچه را که از آن شکایت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کاستن گناهانت قرار داد، در بیماری پاداشی نیست امّا گناهان را از بین می برد، و آن ها را چون برگ درخت می ریزد، و همانا پاداش در مقابل گفتار با زبان و کردار با دست ها و قدم ها وضع می گردد، و خدای سبحان با عنایت به نیّت صادق و سیرت نیک، هر یک از بندگانش را که بخواهد وارد بهشت خواهد کرد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راست فرمود که بیماری پاداشی ندارد، چرا که بیماری از جمله اموری است که استحقاق عوض دارد و عوض در برابر رفتار خداوند بزرگ است نسبت به بنده خود در ناملایمات زندگی و بیماری ها و امثال این امور، امّا اجر و پاداش در برابر کاری است که بنده انجام می دهد، پس بین این دو تفاوت است که امام علیه السلام آن را با علم نافذ و رأی رسای خود بیان فرموده است</w:t>
      </w:r>
      <w:r>
        <w:rPr>
          <w:rFonts w:eastAsia="IRNazanin" w:cs="IRNazanin"/>
          <w:color w:val="111111"/>
          <w:sz w:val="28"/>
          <w:szCs w:val="28"/>
          <w:rtl w:val="true"/>
          <w:lang w:bidi="fa-IR"/>
        </w:rPr>
        <w:t>.</w:t>
      </w:r>
      <w:r>
        <w:rPr>
          <w:rStyle w:val="FootnoteAnchor"/>
          <w:rtl w:val="true"/>
        </w:rPr>
        <w:footnoteReference w:id="904"/>
      </w:r>
      <w:bookmarkStart w:id="1692" w:name="pg13517_329222"/>
    </w:p>
    <w:p>
      <w:pPr>
        <w:pStyle w:val="Heading5"/>
        <w:numPr>
          <w:ilvl w:val="4"/>
          <w:numId w:val="1"/>
        </w:numPr>
        <w:rPr/>
      </w:pPr>
      <w:bookmarkStart w:id="1693" w:name="__RefHeading___Toc606466_1934241801"/>
      <w:bookmarkStart w:id="1694" w:name="_Toc777"/>
      <w:bookmarkEnd w:id="1692"/>
      <w:bookmarkEnd w:id="1693"/>
      <w:r>
        <w:rPr>
          <w:rtl w:val="true"/>
        </w:rPr>
        <w:t>توضيح</w:t>
      </w:r>
      <w:bookmarkEnd w:id="1694"/>
    </w:p>
    <w:p>
      <w:pPr>
        <w:pStyle w:val="BookText"/>
        <w:rPr/>
      </w:pPr>
      <w:r>
        <w:rPr>
          <w:rFonts w:ascii="Amiri" w:hAnsi="Amiri" w:eastAsia="Amiri" w:cs="Amiri"/>
          <w:color w:val="111111"/>
          <w:sz w:val="28"/>
          <w:sz w:val="28"/>
          <w:szCs w:val="28"/>
          <w:rtl w:val="true"/>
          <w:lang w:bidi="ar-SA"/>
        </w:rPr>
        <w:t>قال الفيروزآبادي حته فركه و قشره فانحت و تحات و الورق سقطت كانحت و تحاتت و الشي‌ء حطه</w:t>
      </w:r>
      <w:r>
        <w:rPr>
          <w:rFonts w:eastAsia="Amiri" w:cs="Amiri" w:ascii="Amiri" w:hAnsi="Amiri"/>
          <w:color w:val="111111"/>
          <w:sz w:val="28"/>
          <w:szCs w:val="28"/>
          <w:rtl w:val="true"/>
          <w:lang w:bidi="ar-SA"/>
        </w:rPr>
        <w:t>.</w:t>
      </w:r>
    </w:p>
    <w:p>
      <w:pPr>
        <w:pStyle w:val="Heading5"/>
        <w:numPr>
          <w:ilvl w:val="4"/>
          <w:numId w:val="1"/>
        </w:numPr>
        <w:rPr/>
      </w:pPr>
      <w:bookmarkStart w:id="1695" w:name="__RefHeading___Toc606468_1934241801"/>
      <w:bookmarkStart w:id="1696" w:name="_Toc778"/>
      <w:bookmarkEnd w:id="1695"/>
      <w:r>
        <w:rPr>
          <w:rtl w:val="true"/>
        </w:rPr>
        <w:t>«</w:t>
      </w:r>
      <w:r>
        <w:rPr/>
        <w:t>48</w:t>
      </w:r>
      <w:r>
        <w:rPr>
          <w:rtl w:val="true"/>
        </w:rPr>
        <w:t>»</w:t>
      </w:r>
      <w:bookmarkEnd w:id="1696"/>
    </w:p>
    <w:p>
      <w:pPr>
        <w:pStyle w:val="BookText"/>
        <w:rPr/>
      </w:pPr>
      <w:r>
        <w:rPr>
          <w:rFonts w:ascii="Amiri" w:hAnsi="Amiri" w:eastAsia="Amiri" w:cs="Amiri"/>
          <w:color w:val="111111"/>
          <w:sz w:val="28"/>
          <w:sz w:val="28"/>
          <w:szCs w:val="28"/>
          <w:rtl w:val="true"/>
          <w:lang w:bidi="ar-SA"/>
        </w:rPr>
        <w:t>نَهْجُ الْبَلَاغَةِ،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قَصَّرَ فِي الْعَمَلِ ابْتُلِيَ بِالْهَمِّ وَ لَا حَاجَةَ لِلَّهِ فِيمَنْ لَيْسَ لِلَّهِ فِي نَفْسِهِ وَ مَالِهِ نَصِيبٌ‌</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7" w:name="__RefHeading___Toc606470_1934241801"/>
      <w:bookmarkStart w:id="1698" w:name="_Toc779"/>
      <w:bookmarkEnd w:id="1697"/>
      <w:r>
        <w:rPr>
          <w:rtl w:val="true"/>
        </w:rPr>
        <w:t>بيان</w:t>
      </w:r>
      <w:bookmarkEnd w:id="1698"/>
    </w:p>
    <w:p>
      <w:pPr>
        <w:pStyle w:val="BookText"/>
        <w:rPr/>
      </w:pPr>
      <w:r>
        <w:rPr>
          <w:rFonts w:ascii="Amiri" w:hAnsi="Amiri" w:eastAsia="Amiri" w:cs="Amiri"/>
          <w:color w:val="111111"/>
          <w:sz w:val="28"/>
          <w:sz w:val="28"/>
          <w:szCs w:val="28"/>
          <w:rtl w:val="true"/>
          <w:lang w:bidi="ar-SA"/>
        </w:rPr>
        <w:t>قيل المقصر في العمل لله يكون غالب أحواله متوفرا علي الدنيا مفرطا في طلبها و جمعها و بقدر التوفر عليها يكون شدة الهم في جمعها و تحصيلها ثم في ضبطها و الخوف علي فواتها</w:t>
      </w:r>
      <w:r>
        <w:rPr>
          <w:rFonts w:eastAsia="Amiri" w:cs="Amiri" w:ascii="Amiri" w:hAnsi="Amiri"/>
          <w:color w:val="111111"/>
          <w:sz w:val="28"/>
          <w:szCs w:val="28"/>
          <w:rtl w:val="true"/>
          <w:lang w:bidi="ar-SA"/>
        </w:rPr>
        <w:t>.</w:t>
      </w:r>
    </w:p>
    <w:p>
      <w:pPr>
        <w:pStyle w:val="Heading5"/>
        <w:numPr>
          <w:ilvl w:val="4"/>
          <w:numId w:val="1"/>
        </w:numPr>
        <w:rPr/>
      </w:pPr>
      <w:bookmarkStart w:id="1699" w:name="__RefHeading___Toc606472_1934241801"/>
      <w:bookmarkStart w:id="1700" w:name="_Toc780"/>
      <w:bookmarkEnd w:id="1699"/>
      <w:r>
        <w:rPr>
          <w:rtl w:val="true"/>
        </w:rPr>
        <w:t>أقول</w:t>
      </w:r>
      <w:bookmarkEnd w:id="1700"/>
    </w:p>
    <w:p>
      <w:pPr>
        <w:pStyle w:val="BookText"/>
        <w:rPr/>
      </w:pPr>
      <w:r>
        <w:rPr>
          <w:rFonts w:ascii="Amiri" w:hAnsi="Amiri" w:eastAsia="Amiri" w:cs="Amiri"/>
          <w:color w:val="111111"/>
          <w:sz w:val="28"/>
          <w:sz w:val="28"/>
          <w:szCs w:val="28"/>
          <w:rtl w:val="true"/>
          <w:lang w:bidi="ar-SA"/>
        </w:rPr>
        <w:t>الأظهر أن المعني أن الهموم و الأحزان في الدنيا إنما تعرض لمن قصر فيها في العمل كما قال سبحانه ما أَصابَكُمْ مِنْ مُصِيبَةٍ فَبِما كَسَبَتْ أَيْدِيكُمْ و إنما لا تعرض تلك لمن لم يكن لله فيه حاجة أي لم يكن مستحقا للطفه تعالي و رحمته</w:t>
      </w:r>
      <w:r>
        <w:rPr>
          <w:rFonts w:eastAsia="Amiri" w:cs="Amiri" w:ascii="Amiri" w:hAnsi="Amiri"/>
          <w:color w:val="111111"/>
          <w:sz w:val="28"/>
          <w:szCs w:val="28"/>
          <w:rtl w:val="true"/>
          <w:lang w:bidi="ar-SA"/>
        </w:rPr>
        <w:t>.</w:t>
      </w:r>
    </w:p>
    <w:p>
      <w:pPr>
        <w:pStyle w:val="Heading5"/>
        <w:numPr>
          <w:ilvl w:val="4"/>
          <w:numId w:val="1"/>
        </w:numPr>
        <w:rPr/>
      </w:pPr>
      <w:bookmarkStart w:id="1701" w:name="__RefHeading___Toc606474_1934241801"/>
      <w:bookmarkStart w:id="1702" w:name="_Toc781"/>
      <w:bookmarkEnd w:id="1701"/>
      <w:r>
        <w:rPr>
          <w:rtl w:val="true"/>
        </w:rPr>
        <w:t>«</w:t>
      </w:r>
      <w:r>
        <w:rPr/>
        <w:t>49</w:t>
      </w:r>
      <w:r>
        <w:rPr>
          <w:rtl w:val="true"/>
        </w:rPr>
        <w:t>»</w:t>
      </w:r>
      <w:bookmarkEnd w:id="1702"/>
    </w:p>
    <w:p>
      <w:pPr>
        <w:pStyle w:val="BookText"/>
        <w:rPr/>
      </w:pPr>
      <w:r>
        <w:rPr>
          <w:rFonts w:ascii="Amiri" w:hAnsi="Amiri" w:eastAsia="Amiri" w:cs="Amiri"/>
          <w:color w:val="111111"/>
          <w:sz w:val="28"/>
          <w:sz w:val="28"/>
          <w:szCs w:val="28"/>
          <w:rtl w:val="true"/>
          <w:lang w:bidi="ar-SA"/>
        </w:rPr>
        <w:t>كَنْزُ الْكَرَاجُكِيِّ، عَنْ مُحَمَّدِ بْنِ أَحْمَدَ بْنِ شَاذَانَ عَنْ أَبِيهِ عَنْ مُحَمَّدِ بْنِ الْحَسَنِ بْنِ الْوَلِيدِ عَنْ مُحَمَّدِ بْنِ الْحَسَنِ الصَّفَّارِ عَنْ مُحَمَّدِ بْنِ زِيَادٍ عَنِ الْمُفَضَّلِ بْنِ عُمَرَ عَنْ يُونُسَ بْنِ يَعْقُوبَ قَالَ سَمِعْتُ جَعْفَرَ بْنَ مُحَمَّدٍ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كُلُّ بَدَنٍ لَا يُصَابُ فِي كُلِّ أَرْبَعِينَ يَوْماً قُلْتُ مَلْعُونٌ قَالَ مَلْعُونٌ فَلَمَّا رَأَي عِظَمَ ذَلِكَ عَلَيَّ قَالَ لِي يَا يُونُسُ إِنَّ مِنَ الْبَلِيَّةِ الْخَدْشَةَ وَ اللَّطْمَةَ وَ الْعَثْرَةَ وَ النَّكْبَةَ وَ الْقَفْزَةَ وَ انْقِطَاعَ الشِّسْعِ وَ أَشْبَاهَ ذَلِكَ يَا يُونُسُ إِنَّ الْمُؤْمِنَ أَكْرَمُ عَلَي اللَّهِ تَعَالَي مِنْ أَنْ يَمُرَّ عَلَيْهِ أَرْبَعُونَ لَا يُمَحِّصُ فِيهَا ذُنُوبَهُ وَ لَوْ بِغَمٍّ يُصِيبُهُ لَا يَدْرِي مَا وَجْهُهُ وَ اللَّهِ إِنَّ أَحَدَكُمْ لَيَضَعُ الدَّرَاهِمَ بَيْنَ يَدَيْهِ فَيَزِنُهَا فَيَجِدُهَا نَاقِصَةً فَيَغْتَمُّ بِذَلِكَ ثُمَّ يَزِنُهَا فَيَجِدُهَا سَوَاءً فَيَكُونُ ذَلِكَ حَطّاً لِبَعْضِ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 تُذْهِبُ خَطَايَا بَنِي آدَمَ كَمَا يُذْهِبُ الْكِيرُ خَبَثَ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الْأَوْجَاعِ يَذْهَبْنَ بِسَاعَاتِ الْخَطَايَا</w:t>
      </w:r>
      <w:r>
        <w:rPr>
          <w:rFonts w:eastAsia="Amiri" w:cs="Amiri" w:ascii="Amiri" w:hAnsi="Amiri"/>
          <w:color w:val="111111"/>
          <w:sz w:val="28"/>
          <w:szCs w:val="28"/>
          <w:rtl w:val="true"/>
          <w:lang w:bidi="ar-SA"/>
        </w:rPr>
        <w:t>.</w:t>
      </w:r>
    </w:p>
    <w:p>
      <w:pPr>
        <w:pStyle w:val="Heading5"/>
        <w:numPr>
          <w:ilvl w:val="4"/>
          <w:numId w:val="1"/>
        </w:numPr>
        <w:rPr/>
      </w:pPr>
      <w:bookmarkStart w:id="1703" w:name="__RefHeading___Toc606476_1934241801"/>
      <w:bookmarkStart w:id="1704" w:name="_Toc782"/>
      <w:bookmarkEnd w:id="1703"/>
      <w:r>
        <w:rPr>
          <w:rtl w:val="true"/>
        </w:rPr>
        <w:t>توضیح</w:t>
      </w:r>
      <w:bookmarkEnd w:id="1704"/>
    </w:p>
    <w:p>
      <w:pPr>
        <w:pStyle w:val="BookText"/>
        <w:rPr/>
      </w:pP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مالِش داد و پوستش را کَند، پس ریخت و کنده شد؛ و هنگامی که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الورق 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است که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الورق انحتّ و تحاتّت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ها ریختند،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کَند</w:t>
      </w:r>
      <w:r>
        <w:rPr>
          <w:rFonts w:eastAsia="IRNazanin" w:cs="IRNazanin"/>
          <w:color w:val="111111"/>
          <w:sz w:val="28"/>
          <w:szCs w:val="28"/>
          <w:rtl w:val="true"/>
          <w:lang w:bidi="fa-IR"/>
        </w:rPr>
        <w:t>.</w:t>
      </w:r>
    </w:p>
    <w:p>
      <w:pPr>
        <w:pStyle w:val="Heading5"/>
        <w:numPr>
          <w:ilvl w:val="4"/>
          <w:numId w:val="1"/>
        </w:numPr>
        <w:rPr/>
      </w:pPr>
      <w:bookmarkStart w:id="1705" w:name="__RefHeading___Toc606478_1934241801"/>
      <w:bookmarkStart w:id="1706" w:name="_Toc783"/>
      <w:bookmarkEnd w:id="1705"/>
      <w:r>
        <w:rPr>
          <w:rtl w:val="true"/>
        </w:rPr>
        <w:t xml:space="preserve">روایت </w:t>
      </w:r>
      <w:r>
        <w:rPr/>
        <w:t>48</w:t>
      </w:r>
      <w:bookmarkEnd w:id="1706"/>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 عمل کوتاهی کند دچار اندوه گردد، و آن را که از مال و جانش بهره ای در راه خدا نباشد، خدا را به او نیازی نیست</w:t>
      </w:r>
      <w:r>
        <w:rPr>
          <w:rFonts w:eastAsia="IRNazanin" w:cs="IRNazanin"/>
          <w:color w:val="111111"/>
          <w:sz w:val="28"/>
          <w:szCs w:val="28"/>
          <w:rtl w:val="true"/>
          <w:lang w:bidi="fa-IR"/>
        </w:rPr>
        <w:t>.</w:t>
      </w:r>
      <w:r>
        <w:rPr>
          <w:rStyle w:val="FootnoteAnchor"/>
          <w:rtl w:val="true"/>
        </w:rPr>
        <w:footnoteReference w:id="906"/>
      </w:r>
    </w:p>
    <w:p>
      <w:pPr>
        <w:pStyle w:val="Heading5"/>
        <w:numPr>
          <w:ilvl w:val="4"/>
          <w:numId w:val="1"/>
        </w:numPr>
        <w:rPr/>
      </w:pPr>
      <w:bookmarkStart w:id="1707" w:name="__RefHeading___Toc606480_1934241801"/>
      <w:bookmarkStart w:id="1708" w:name="_Toc784"/>
      <w:bookmarkEnd w:id="1707"/>
      <w:r>
        <w:rPr>
          <w:rtl w:val="true"/>
        </w:rPr>
        <w:t>توضیح</w:t>
      </w:r>
      <w:bookmarkEnd w:id="1708"/>
    </w:p>
    <w:p>
      <w:pPr>
        <w:pStyle w:val="BookText"/>
        <w:rPr/>
      </w:pPr>
      <w:r>
        <w:rPr>
          <w:rFonts w:ascii="IRNazanin" w:hAnsi="IRNazanin" w:eastAsia="IRNazanin"/>
          <w:color w:val="111111"/>
          <w:sz w:val="28"/>
          <w:sz w:val="28"/>
          <w:szCs w:val="28"/>
          <w:rtl w:val="true"/>
          <w:lang w:bidi="fa-IR"/>
        </w:rPr>
        <w:t>گفته شده آنکه در انجام عمل به خاطر خدا کوتاهی می کند در اغلب احوال تمام همّت خود را صرف دنیا می کند و در طلب دنیا و جمع کردن اموال آن زیاده روی می کند، و به همان اندازه ای که همّت صرف دنیا می شود به همان اندازه همّ و غمّ جمع کردن و به دست آوردن اموال دنیا و سپس نگهدری و بیم از دست دادن آنها نیز افزون می گردد</w:t>
      </w:r>
      <w:r>
        <w:rPr>
          <w:rFonts w:eastAsia="IRNazanin" w:cs="IRNazanin"/>
          <w:color w:val="111111"/>
          <w:sz w:val="28"/>
          <w:szCs w:val="28"/>
          <w:rtl w:val="true"/>
          <w:lang w:bidi="fa-IR"/>
        </w:rPr>
        <w:t>.</w:t>
      </w:r>
    </w:p>
    <w:p>
      <w:pPr>
        <w:pStyle w:val="Heading5"/>
        <w:numPr>
          <w:ilvl w:val="4"/>
          <w:numId w:val="1"/>
        </w:numPr>
        <w:rPr/>
      </w:pPr>
      <w:bookmarkStart w:id="1709" w:name="__RefHeading___Toc606482_1934241801"/>
      <w:bookmarkStart w:id="1710" w:name="_Toc785"/>
      <w:bookmarkEnd w:id="1709"/>
      <w:r>
        <w:rPr>
          <w:rtl w:val="true"/>
        </w:rPr>
        <w:t>می گویم</w:t>
      </w:r>
      <w:bookmarkEnd w:id="1710"/>
    </w:p>
    <w:p>
      <w:pPr>
        <w:pStyle w:val="BookText"/>
        <w:rPr/>
      </w:pPr>
      <w:r>
        <w:rPr>
          <w:rFonts w:ascii="IRNazanin" w:hAnsi="IRNazanin" w:eastAsia="IRNazanin"/>
          <w:color w:val="111111"/>
          <w:sz w:val="28"/>
          <w:sz w:val="28"/>
          <w:szCs w:val="28"/>
          <w:rtl w:val="true"/>
          <w:lang w:bidi="fa-IR"/>
        </w:rPr>
        <w:t>واضح است که معنا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ها در دنیا بر کسی عارض می شود که در انجام عمل کوتاهی کند، چنان که خداوند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أَصابَکُمْ مِنْ مُصِیبَةٍ فَبِما کَسَبَتْ أَیْدِیکُمْ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غم و اندوه ها بر کسی که خدا را به او نیازی نیست، یعنی مستحق لطف و رحمت خداوند متعال نیست، عارض نمی شود </w:t>
      </w:r>
      <w:r>
        <w:rPr>
          <w:rFonts w:eastAsia="IRNazanin" w:cs="IRNazanin"/>
          <w:color w:val="111111"/>
          <w:sz w:val="28"/>
          <w:szCs w:val="28"/>
          <w:rtl w:val="true"/>
          <w:lang w:bidi="fa-IR"/>
        </w:rPr>
        <w:t>.</w:t>
      </w:r>
    </w:p>
    <w:p>
      <w:pPr>
        <w:pStyle w:val="Heading5"/>
        <w:numPr>
          <w:ilvl w:val="4"/>
          <w:numId w:val="1"/>
        </w:numPr>
        <w:rPr/>
      </w:pPr>
      <w:bookmarkStart w:id="1711" w:name="__RefHeading___Toc606484_1934241801"/>
      <w:bookmarkStart w:id="1712" w:name="_Toc786"/>
      <w:bookmarkEnd w:id="1711"/>
      <w:r>
        <w:rPr>
          <w:rtl w:val="true"/>
        </w:rPr>
        <w:t xml:space="preserve">روایت </w:t>
      </w:r>
      <w:r>
        <w:rPr/>
        <w:t>49</w:t>
      </w:r>
      <w:bookmarkEnd w:id="1712"/>
    </w:p>
    <w:p>
      <w:pPr>
        <w:pStyle w:val="BookText"/>
        <w:rPr/>
      </w:pPr>
      <w:r>
        <w:rPr>
          <w:rFonts w:ascii="IRNazanin" w:hAnsi="IRNazanin" w:eastAsia="IRNazanin"/>
          <w:color w:val="111111"/>
          <w:sz w:val="28"/>
          <w:sz w:val="28"/>
          <w:szCs w:val="28"/>
          <w:rtl w:val="true"/>
          <w:lang w:bidi="fa-IR"/>
        </w:rPr>
        <w:t>کنز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هر بدنی که در هر چهل روز یک بار به بلا و مصیبت گرفتار نشود،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فرمود 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امام مشاهده کرد آن سخن بر من سخت و گران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همانا خراش خوردن بدن، زده شدن سیلی به صورت، لغزیدن، افتادن، پرت شدن، بریده شدن بند کفش و مانند اینها بلا و مصیبت به شمار می آیند، ای یونس، همانا مؤمن نزد خداوند متعال گرامی تر از آن است که چهل روز بر او بگذرد و گناهانش را در آن چهل روز پاک نکند، هرچند به وسیله اندوهی باشد که بدان گرفتار می شود و دلیلش را نمی داند، به  خدا سوگند، هنگامی  که یکی از شما درهم هایی را در مقابل خود قرار می دهد و آنها را وزن می کند پس درمی یابد که ناقص هستند و به خاطر آن غمگین می شود سپس آنها را دوباره وزن می کند و درمی یابد که کامل هستند، آن غم و اندوه که لحظه ای او را فرا گرفته است بعضی از گناهانش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گناهان بنی آدم را از بین می برد آن گونه که کوره آهن پزی ناخالصی های آهن را از بین می برد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های درد و رنج کشیدن و بیماری، زمانهایی که در آن ها ارتکاب گناه صورت گرفته است را از بین می  برد</w:t>
      </w:r>
      <w:r>
        <w:rPr>
          <w:rFonts w:eastAsia="IRNazanin" w:cs="IRNazanin"/>
          <w:color w:val="111111"/>
          <w:sz w:val="28"/>
          <w:szCs w:val="28"/>
          <w:rtl w:val="true"/>
          <w:lang w:bidi="fa-IR"/>
        </w:rPr>
        <w:t xml:space="preserve">. </w:t>
      </w:r>
      <w:bookmarkStart w:id="1713" w:name="pg13517_329223"/>
    </w:p>
    <w:p>
      <w:pPr>
        <w:pStyle w:val="BookText"/>
        <w:rPr/>
      </w:pPr>
      <w:bookmarkEnd w:id="1713"/>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مَرِضَ فَإِنَّ فِي مَرَضِهِ أَوْحَي اللَّهُ تَعَالَي إِلَي كَاتِبِ الشِّمَالِ لَا تَكْتُبْ عَلَي عَبْدِي خَطِيئَةً مَا دَامَ فِي حَبْسِي وَ وَثَاقِي إِلَي أَنْ أُطْلِقَهُ وَ أَوْحَي إِلَي كَاتِبِ الْيَمِينِ أَنِ اجْعَلْ أَنِينَ عَبْدِي 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نَبِيّاً مِنَ الْأَنْبِيَاءِ مَرَّ بِرَجُلٍ قَدْ جَهَدَهُ الْبَلَاءُ فَقَالَ يَا رَبِّ أَ مَا تَرْحَمُ هَذَا مِمَّا بِهِ فَأَوْحَي اللَّهُ إِلَيْهِ كَيْفَ أَرْحَمُهُ مِمَّا بِهِ أَرْحَمُهُ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نَزَلَتْ هَذِهِ الْآيَةُ لَيْسَ بِأَمانِيِّكُمْ وَ لا أَمانِيِّ أَهْلِ الْكِتابِ مَنْ يَعْمَلْ سُوءاً يُجْزَ بِهِ‌</w:t>
      </w:r>
      <w:r>
        <w:rPr>
          <w:rStyle w:val="FootnoteAnchor"/>
          <w:rtl w:val="true"/>
        </w:rPr>
        <w:footnoteReference w:id="907"/>
      </w:r>
      <w:r>
        <w:rPr>
          <w:rFonts w:ascii="Amiri" w:hAnsi="Amiri" w:eastAsia="Amiri" w:cs="Amiri"/>
          <w:color w:val="111111"/>
          <w:sz w:val="28"/>
          <w:sz w:val="28"/>
          <w:szCs w:val="28"/>
          <w:rtl w:val="true"/>
          <w:lang w:bidi="ar-SA"/>
        </w:rPr>
        <w:t>فَقَالَ رَجُلٌ لِرَسُولِ اللَّهِ صلي الله عليه و آله يَا رَسُولَ اللَّهِ جَاءَتْ قَاصِمَةُ الظَّهْرِ فَقَالَ صلي الله عليه و آله كَلَّا أَ مَا تَحْزَنُ أَ مَا تَمْرَضُ أَ مَا يُصِيبُكَ اللَّأْوَاءُ وَ الْهُمُومُ قَالَ بَلَي قَالَ فَذَلِكَ مِمَّا يُجْزَي بِهِ</w:t>
      </w:r>
      <w:r>
        <w:rPr>
          <w:rFonts w:eastAsia="Amiri" w:cs="Amiri" w:ascii="Amiri" w:hAnsi="Amiri"/>
          <w:color w:val="111111"/>
          <w:sz w:val="28"/>
          <w:szCs w:val="28"/>
          <w:rtl w:val="true"/>
          <w:lang w:bidi="ar-SA"/>
        </w:rPr>
        <w:t>.</w:t>
      </w:r>
    </w:p>
    <w:p>
      <w:pPr>
        <w:pStyle w:val="Heading5"/>
        <w:numPr>
          <w:ilvl w:val="4"/>
          <w:numId w:val="1"/>
        </w:numPr>
        <w:rPr/>
      </w:pPr>
      <w:bookmarkStart w:id="1714" w:name="__RefHeading___Toc606486_1934241801"/>
      <w:bookmarkStart w:id="1715" w:name="_Toc787"/>
      <w:bookmarkEnd w:id="1714"/>
      <w:r>
        <w:rPr>
          <w:rtl w:val="true"/>
        </w:rPr>
        <w:t>إيضاح</w:t>
      </w:r>
      <w:bookmarkEnd w:id="1715"/>
    </w:p>
    <w:p>
      <w:pPr>
        <w:pStyle w:val="BookText"/>
        <w:rPr/>
      </w:pPr>
      <w:r>
        <w:rPr>
          <w:rFonts w:ascii="Amiri" w:hAnsi="Amiri" w:eastAsia="Amiri" w:cs="Amiri"/>
          <w:color w:val="111111"/>
          <w:sz w:val="28"/>
          <w:sz w:val="28"/>
          <w:szCs w:val="28"/>
          <w:rtl w:val="true"/>
          <w:lang w:bidi="ar-SA"/>
        </w:rPr>
        <w:t>قال في النهاية الكير بالكسر كير الحداد و هو المبني علي الطين و قيل الزق الذي ينفخ به النار و المبني الكور و قال القصم كسر الشي‌ء و إبانته و قال اللأواء الشدة و ضيق المعيشة</w:t>
      </w:r>
      <w:r>
        <w:rPr>
          <w:rFonts w:eastAsia="Amiri" w:cs="Amiri" w:ascii="Amiri" w:hAnsi="Amiri"/>
          <w:color w:val="111111"/>
          <w:sz w:val="28"/>
          <w:szCs w:val="28"/>
          <w:rtl w:val="true"/>
          <w:lang w:bidi="ar-SA"/>
        </w:rPr>
        <w:t>.</w:t>
      </w:r>
    </w:p>
    <w:p>
      <w:pPr>
        <w:pStyle w:val="Heading5"/>
        <w:numPr>
          <w:ilvl w:val="4"/>
          <w:numId w:val="1"/>
        </w:numPr>
        <w:rPr/>
      </w:pPr>
      <w:bookmarkStart w:id="1716" w:name="__RefHeading___Toc606488_1934241801"/>
      <w:bookmarkStart w:id="1717" w:name="_Toc788"/>
      <w:bookmarkEnd w:id="1716"/>
      <w:r>
        <w:rPr>
          <w:rtl w:val="true"/>
        </w:rPr>
        <w:t>«</w:t>
      </w:r>
      <w:r>
        <w:rPr/>
        <w:t>50</w:t>
      </w:r>
      <w:r>
        <w:rPr>
          <w:rtl w:val="true"/>
        </w:rPr>
        <w:t>»</w:t>
      </w:r>
      <w:bookmarkEnd w:id="1717"/>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أَوْحَي اللَّهُ إِلَي دَاوُدَ عليه السلام رُبَّمَا أَمْرَضْتُ الْعَبْدَ فَقَلَّتْ صَلَاتُهُ وَ خِدْمَتُهُ وَ لَصَوْتُهُ إِذَا دَعَانِي فِي كُرْبَتِهِ أَحَبُّ إِلَيَّ مِنْ صَلَاةِ الْمُصَلِّينَ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الْمُؤْمِنُ مَا لَهُ فِي الْمَصَائِبِ مِنَ الْأَجْرِ لَتَمَنَّي أَنَّهُ يُقْرَضُ بِالْمَقَارِيضِ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الْعَبْدُ عَلَي طَرِيقَةٍ مِنَ الْخَيْرِ فَمَرِضَ أَوْ سَافَرَ أَوْ عَجَزَ عَنِ الْعَمَلِ بِكِبَرٍ كَتَبَ اللَّهُ لَهُ مِثْلَ مَا كَانَ يَعْمَلُ ثُمَّ قَرَأَ فَلَهُمْ أَجْرٌ غَيْرُ مَمْنُونٍ‌</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8" w:name="__RefHeading___Toc606490_1934241801"/>
      <w:bookmarkStart w:id="1719" w:name="_Toc789"/>
      <w:bookmarkEnd w:id="1718"/>
      <w:r>
        <w:rPr>
          <w:rtl w:val="true"/>
        </w:rPr>
        <w:t>بيان</w:t>
      </w:r>
      <w:bookmarkEnd w:id="1719"/>
    </w:p>
    <w:p>
      <w:pPr>
        <w:pStyle w:val="BookText"/>
        <w:rPr/>
      </w:pPr>
      <w:r>
        <w:rPr>
          <w:rFonts w:ascii="Amiri" w:hAnsi="Amiri" w:eastAsia="Amiri" w:cs="Amiri"/>
          <w:color w:val="111111"/>
          <w:sz w:val="28"/>
          <w:sz w:val="28"/>
          <w:szCs w:val="28"/>
          <w:rtl w:val="true"/>
          <w:lang w:bidi="ar-SA"/>
        </w:rPr>
        <w:t>المشهور بين المفسرين أن المراد بغير ممنون غير المقطوع في الآخرة أو لا يمن عليهم بالثواب و يظهر من الخبر أن المراد به أنه لا يقطع أجرهم و</w:t>
      </w:r>
    </w:p>
    <w:p>
      <w:pPr>
        <w:pStyle w:val="BookText"/>
        <w:rPr/>
      </w:pPr>
      <w:r>
        <w:rPr>
          <w:rFonts w:ascii="IRNazanin" w:hAnsi="IRNazanin" w:eastAsia="IRNazanin"/>
          <w:color w:val="111111"/>
          <w:sz w:val="28"/>
          <w:sz w:val="28"/>
          <w:szCs w:val="28"/>
          <w:rtl w:val="true"/>
          <w:lang w:bidi="fa-IR"/>
        </w:rPr>
        <w:t>همچنین 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بنده هنگامی که مریض می شود، خداوند متعال به فرشته نگارنده اعمال ناپسند که بر شانه چپ بیمار قرار دارد وحی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بنده ام را تا زمانی که در زندان و قید و بند من قرار دارد، در کارنامه اعمال او ننویسید تا او را آزاد می گردانم، و به نگارنده اعمال نیک که بر شانه راست قرار دارد وحی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های بنده ام را به عنوان اعمال نیک برای او ثبت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یکی از پیامبران بر مردی گذر کرد که بلا و مصیبت او را نحیف گردانده بود،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آیا با وضعیتی که این مرد در آن قرار دارد به او رحم و شفقت روا نمی داری؟ خداوند سبحان به آن پیامبر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 رحم و شفقتی که به او روا داشته ام به او رحم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بِأَمانِیِّکُمْ وَ لا أَمانِیِّ أَهْلِ الْکِتابِ مَنْ یَعْمَلْ سُوءاً یُجْزَ بِهِ</w:t>
      </w:r>
      <w:r>
        <w:rPr>
          <w:rFonts w:eastAsia="IRNazanin" w:cs="IRNazanin"/>
          <w:color w:val="111111"/>
          <w:sz w:val="28"/>
          <w:szCs w:val="28"/>
          <w:rtl w:val="true"/>
          <w:lang w:bidi="fa-IR"/>
        </w:rPr>
        <w:t>»</w:t>
      </w:r>
      <w:r>
        <w:rPr>
          <w:rStyle w:val="FootnoteAnchor"/>
          <w:rtl w:val="true"/>
        </w:rPr>
        <w:footnoteReference w:id="9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و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دلخواه شما و به دلخواه اهل کتاب نیست هر کس بدی کند در برابر آن کیفر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مردی به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آیه ای نازل شده که کمر را می شکند،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آیا اندوهگین نمی شوی، آیا بیمار نمی شوی، آیا گرفتار محنت و مشکلات نمی شوی؟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گرفتار می شوم،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جمله اموری هستند که در قبال شان جزا داده می شوی</w:t>
      </w:r>
      <w:r>
        <w:rPr>
          <w:rFonts w:eastAsia="IRNazanin" w:cs="IRNazanin"/>
          <w:color w:val="111111"/>
          <w:sz w:val="28"/>
          <w:szCs w:val="28"/>
          <w:rtl w:val="true"/>
          <w:lang w:bidi="fa-IR"/>
        </w:rPr>
        <w:t>.</w:t>
      </w:r>
    </w:p>
    <w:p>
      <w:pPr>
        <w:pStyle w:val="Heading5"/>
        <w:numPr>
          <w:ilvl w:val="4"/>
          <w:numId w:val="1"/>
        </w:numPr>
        <w:rPr/>
      </w:pPr>
      <w:bookmarkStart w:id="1720" w:name="__RefHeading___Toc606492_1934241801"/>
      <w:bookmarkStart w:id="1721" w:name="_Toc790"/>
      <w:bookmarkEnd w:id="1720"/>
      <w:r>
        <w:rPr>
          <w:rtl w:val="true"/>
        </w:rPr>
        <w:t>توضیح</w:t>
      </w:r>
      <w:bookmarkEnd w:id="1721"/>
    </w:p>
    <w:p>
      <w:pPr>
        <w:pStyle w:val="BookText"/>
        <w:rPr/>
      </w:pPr>
      <w:r>
        <w:rPr>
          <w:rFonts w:ascii="IRNazanin" w:hAnsi="IRNazanin" w:eastAsia="IRNazanin"/>
          <w:color w:val="111111"/>
          <w:sz w:val="28"/>
          <w:sz w:val="28"/>
          <w:szCs w:val="28"/>
          <w:rtl w:val="true"/>
          <w:lang w:bidi="fa-IR"/>
        </w:rPr>
        <w:t>شیخ در النهایة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کوره آهنگری که بر روی گِل بنا می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مشکی است که با آن در آتش دمیده می شود و مبنای 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شکستن و قطع کردن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اللأواء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تنگنای زندگی</w:t>
      </w:r>
      <w:r>
        <w:rPr>
          <w:rFonts w:eastAsia="IRNazanin" w:cs="IRNazanin"/>
          <w:color w:val="111111"/>
          <w:sz w:val="28"/>
          <w:szCs w:val="28"/>
          <w:rtl w:val="true"/>
          <w:lang w:bidi="fa-IR"/>
        </w:rPr>
        <w:t>.</w:t>
      </w:r>
    </w:p>
    <w:p>
      <w:pPr>
        <w:pStyle w:val="Heading5"/>
        <w:numPr>
          <w:ilvl w:val="4"/>
          <w:numId w:val="1"/>
        </w:numPr>
        <w:rPr/>
      </w:pPr>
      <w:bookmarkStart w:id="1722" w:name="__RefHeading___Toc606494_1934241801"/>
      <w:bookmarkStart w:id="1723" w:name="_Toc791"/>
      <w:bookmarkEnd w:id="1722"/>
      <w:r>
        <w:rPr>
          <w:rtl w:val="true"/>
        </w:rPr>
        <w:t xml:space="preserve">روایت </w:t>
      </w:r>
      <w:r>
        <w:rPr/>
        <w:t>50</w:t>
      </w:r>
      <w:bookmarkEnd w:id="1723"/>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 داوود علیه السلام وحی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بنده ام را مریض می گردانم و نماز و خدمت گزاری او کاهش می یابد، ولی صدای او آن گاه که در گرفتاری اش مرا می خواند از نماز گزاردن برای من دوست داشتنی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از میزان اجر و پاداشی که مصیبت ها برای او به همراه دارند آگاه بود، آرزو می کرد که با قیچی قطعه قطعه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بر طریق خیر گام بردارد پس مریض گردد یا به سفر برود و یا به سبب کهن سالی از انجام عمل ناتوان گردد، خداوند اعمالی که قبلاً انجام می داده را برای او ثبت می کند، سپس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فَلَهُمْ أَجْرٌ غَیْرُ مَمْنُونٍ</w:t>
      </w:r>
      <w:r>
        <w:rPr>
          <w:rFonts w:eastAsia="IRNazanin" w:cs="IRNazanin"/>
          <w:color w:val="111111"/>
          <w:sz w:val="28"/>
          <w:szCs w:val="28"/>
          <w:rtl w:val="true"/>
          <w:lang w:bidi="fa-IR"/>
        </w:rPr>
        <w:t>»</w:t>
      </w:r>
      <w:r>
        <w:rPr>
          <w:rStyle w:val="FootnoteAnchor"/>
          <w:rtl w:val="true"/>
        </w:rPr>
        <w:footnoteReference w:id="9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را که گرویده و کارهای شایسته کرده‌اند که پاداشی بی‌منت‌خواهند داشت</w:t>
      </w:r>
      <w:r>
        <w:rPr>
          <w:rFonts w:eastAsia="IRNazanin" w:cs="IRNazanin"/>
          <w:color w:val="111111"/>
          <w:sz w:val="28"/>
          <w:szCs w:val="28"/>
          <w:rtl w:val="true"/>
          <w:lang w:bidi="fa-IR"/>
        </w:rPr>
        <w:t>} .</w:t>
      </w:r>
    </w:p>
    <w:p>
      <w:pPr>
        <w:pStyle w:val="Heading5"/>
        <w:numPr>
          <w:ilvl w:val="4"/>
          <w:numId w:val="1"/>
        </w:numPr>
        <w:rPr/>
      </w:pPr>
      <w:bookmarkStart w:id="1724" w:name="__RefHeading___Toc606496_1934241801"/>
      <w:bookmarkStart w:id="1725" w:name="_Toc792"/>
      <w:bookmarkEnd w:id="1724"/>
      <w:r>
        <w:rPr>
          <w:rtl w:val="true"/>
        </w:rPr>
        <w:t>توضیح</w:t>
      </w:r>
      <w:bookmarkEnd w:id="172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مشهور در بین مفسران این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پاداشی قطع نشونده در آخرت است و یا اینکه با اعطای پاداش برآنان منّت نمی گذارد، و از حدیث چنین برمی آید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اجر و پاداش انسان های مؤمن و </w:t>
      </w:r>
    </w:p>
    <w:p>
      <w:pPr>
        <w:pStyle w:val="BookText"/>
        <w:rPr/>
      </w:pPr>
      <w:r>
        <w:rPr>
          <w:rFonts w:ascii="Amiri" w:hAnsi="Amiri" w:eastAsia="Amiri" w:cs="Amiri"/>
          <w:color w:val="111111"/>
          <w:sz w:val="28"/>
          <w:sz w:val="28"/>
          <w:szCs w:val="28"/>
          <w:rtl w:val="true"/>
          <w:lang w:bidi="ar-SA"/>
        </w:rPr>
        <w:t>كتابته بعد ترك العمل لعذر من الأعذار</w:t>
      </w:r>
    </w:p>
    <w:p>
      <w:pPr>
        <w:pStyle w:val="BookText"/>
        <w:rPr/>
      </w:pPr>
      <w:r>
        <w:rPr>
          <w:rFonts w:ascii="Amiri" w:hAnsi="Amiri" w:eastAsia="Amiri" w:cs="Amiri"/>
          <w:color w:val="111111"/>
          <w:sz w:val="28"/>
          <w:sz w:val="28"/>
          <w:szCs w:val="28"/>
          <w:rtl w:val="true"/>
          <w:lang w:bidi="ar-SA"/>
        </w:rPr>
        <w:t xml:space="preserve">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رَجُلٌ أَصَمُّ أَخْرَسُ حَتَّي وَقَفَ عَلَي رَسُولِ اللَّهِ صلي الله عليه و آله فَأَشَارَ بِيَدِهِ فَقَالَ رَسُولُ اللَّهِ صلي الله عليه و آله أَعْطُوهُ صَحِيفَةً حَتَّي يَكْتُبَ فِيهَا مَا يُرِيدُ فَكَتَبَ إِنِّي أَشْهَدُ أَنْ لَا إِلَهَ إِلَّا اللَّهُ وَ أَنَّ مُحَمَّداً رَسُولُ اللَّهِ فَقَالَ رَسُولُ اللَّهِ صلي الله عليه و آله اكْتُبُوا لَهُ كِتَاباً تُبَشِّرُوهُ بِالْجَنَّةِ فَإِنَّهُ لَيْسَ مِنْ مُسْلِمٍ يُفْجَعُ بِكَرِيمَتِهِ أَوْ بِلِسَانِهِ أَوْ بِسَمْعِهِ أَوْ بِرِجْلِهِ أَوْ بِيَدِهِ فَيَحْمَدُ اللَّهَ عَلَي مَا أَصَابَهُ وَ يَحْتَسِبُ عِنْدَ اللَّهِ ذَلِكَ إِلَّا نَجَّاهُ اللَّهُ مِنَ النَّارِ وَ أَدْخَلَهُ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صلي الله عليه و آله إِنَّ لِأَهْلِ الْبَلَايَا فِي الدُّنْيَا لَدَرَجَاتٍ فِي الْآخِرَةِ مَا تُنَالُ بِالْأَعْمَالِ حَتَّي إِنَّ الرَّجُلَ لَيَتَمَنَّي أَنَّ جَسَدَهُ فِي الدُّنْيَا كَانَ يُقْرَضُ بِالْمَقَارِيضِ مِمَّا يَرَي مِنْ حُسْنِ ثَوَابِ اللَّهِ لِأَهْلِ الْبَلَاءِ مِنَ الْمُوَحِّدِينَ فَإِنَّ اللَّهَ لَا يَقْبَلُ الْعَمَلَ فِي غَيْرِ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أَبُو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مَا أَصَابَ الْمُؤْمِنَ مِنْ بَلَاءٍ أَ فَبِذَنْبٍ قَالَ لَا وَ لَكِنْ لِيَسْمَعَ اللَّهُ أَنِينَهُ وَ شَكْوَاهُ وَ دُعَاءَهُ لِيَكْتُبَ لَهُ الْحَسَنَاتِ وَ يَحُطَّ عَنْهُ السَّيِّئَاتِ وَ إِنَّ اللَّهَ لَيَعْتَذِرُ إِلَي عَبْدِهِ الْمُؤْمِنِ كَمَا يَعْتَذِرُ الْأَخُ إِلَي أَخِيهِ فَيَقُولُ لَا وَ عِزَّتِي مَا أَفْقَرْتُكَ لِهَوَانِكَ عَلَيَّ فَارْفَعْ هَذَا الْغِطَاءَ فَيَكْشِفُ فَيَنْظُرُ فِي عِوَضِهِ فَيَقُولُ مَا ضَرَّنِي يَا رَبِّ مَا زَوَيْتَ عَنِّي وَ مَا أَحَبَّ اللَّهُ قَوْماً إِلَّا ابْتَلَاهُمْ وَ إِنَّ عَظِيمَ الْأَجْرِ لَمَعَ عَظِيمِ الْبَلَاءِ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اللَّهَ يَقُولُ إِنَّ مِنْ عِبَادِيَ الْمُؤْمِنِينَ لَمَنْ لَا يَصْلُحُ لَهُمْ أَمْرُ دِينِهِمْ إِلَّا بِالْغِنَي وَ الصِّحَّةِ فِي الْبَدَنِ فَأَبْلُوهُمْ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مِنَ الْعِبَادِ لَمَنْ لَا يَصْلُحُ لَهُمْ أَمْرُ دِينِهِمْ إِلَّا بِالْفَاقَةِ وَ الْمَسْكَنَةِ وَ السُّقْمِ فِي أَبْدَانِهِمْ فَأَبْلُوهُمْ بِهِ فَيَصْلُحُ لَهُمْ أَمْرُ دِينِهِمْ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أَخَذَ مِيثَاقَ الْمُؤْمِنِ عَلَي أَنْ لَا يُصَدَّقَ فِي مَقَالَتِهِ وَ لَا يُنْتَصَرَ مِنْ عَدُوِّهِ وَ إِنَّ اللَّهَ إِذَا أَحَبَّ عَبْداً غَتَّهُ بِالْبَلَاءِ فَإِذَا دَعَا قَالَ لَهُ لَبَّيْكَ عَبْدِي إِنِّي عَلَي مَا سَأَلْتَ لَقَادِرٌ وَ إِنَّ مَا ادَّخَرْتُ لَكَ فَهُوَ خَيْرٌ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ثبت اعمال نیک آنان بعد از ترک انجام عمل به خاطر وجود عذر، قطع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رحمةالله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کر و لال نزد پیامبر صلّی الله علیه و آله آمد و وقتی در برابر ایشان ایستاد، با دستش شروع به ایماء و اشاره کرد،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کاغذی به او بدهید تا آنچه را که می خواهد بنویسید، پس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أشهد أن لا إله إلا الله و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نوشته ای بنویسید و به بهشت بشارتش دهید، به راستی که هر انسان مسلمانی که چشم ها یا زبان یا شنوایی یا دست و یاپایش را از دست بدهد و خداوند را به خاطر مصیبتی که به آن دچار شده سپاس گوید و چنین کاری را به خاطر کسب رضایت خداوند انجام دهد، خداوند او را از آتش جهنم نجات داده و وارد بهشت می گرداند، 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اهل مصیبت در دنیا به درجاتی درآخرت دست می یابند که با انجام عمل به دست نمی آید، تاجایی که شخص آرزو می کند جسدش در دنیا با قیچی قطعه قطعه می گردید، و این به خاطر مشاهده ثواب نیکویی است که خداوند برای انسان های موحِّد که اهل بلایند در نظر گرفته است، چرا که خداوند هیچ عملی را خارج از دایره اسلام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ابوالصّباح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بلا و مصیبتی که مؤمن به آن گرفتار می شود به خاطر ارتکاب گناه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ولی به خاطر این است که خداوند آه و ناله و شکایت و دعای او را بشنود و حسنات را در کارنامه عملش ثبت و گناهانش را از بین ببرد، به راستی که خداوند متعال از بنده مؤمنش طلب پوزش می کند آن گونه که برادر از برادرش طلب پوزش می کند، 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عزّتم سوگند که به خاطر کم ارزش بودنت تو را گرفتار بلا و مصیبت نکردم،آن گاه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پوشش را کنار بزن، مؤمن پوشش را کنار می زند و به پاداشی که در عوض بلا و مصیبت به او بخشیده شده نگاه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از من منع کرده ای به من زیان نرسانده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ضرر نکرده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خدواند هیچ قومی را دوست نمی دارد مگر آنکه آنان را گرفتار بلا و مصیبت می کند، و به راستی که اجر و پاداش بزرگ در عوض بلا و مصیبت بزرگ به انسان بخشیده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میان بندگان مؤمن من کسانی وجود دارند که امورات دین شان جز با ثروتمندی و سلامت جسمی رو به  راه و درست نمی گردد، پس ایشان را با آن آزمایش کرده و مبتلایشان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میان بندگان مؤمن من کسانی وجود دارند که امورات دین شان جز با فقر و تنگدستی و بیماری جسمی رو به  راه و درست نمی گردد، پس با آن آزمایش شان و مبتلایشان می سازیم و امورات دین شان اصلاح می گردد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مؤمن پیمان گرفته که سخنش، راست انگاشته نشود و بر دشمنش یاری نشود، و خداوند هرگاه بنده اش را دوست بدارد او را با بلا و مصیبت اندوهگین می سازد، و هنگامی  که بنده اش او را بخواند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ام لبیّک، من در برآورده ساختن خواسته ات توانا هستم، و به راستی که آن چیزی که برایت اندوخته ام برای تو بهتر است</w:t>
      </w:r>
      <w:r>
        <w:rPr>
          <w:rFonts w:eastAsia="IRNazanin" w:cs="IRNazanin"/>
          <w:color w:val="111111"/>
          <w:sz w:val="28"/>
          <w:szCs w:val="28"/>
          <w:rtl w:val="true"/>
          <w:lang w:bidi="fa-IR"/>
        </w:rPr>
        <w:t xml:space="preserve">. </w:t>
      </w:r>
      <w:bookmarkStart w:id="1726" w:name="pg13517_329225"/>
    </w:p>
    <w:p>
      <w:pPr>
        <w:pStyle w:val="BookText"/>
        <w:rPr/>
      </w:pPr>
      <w:bookmarkEnd w:id="1726"/>
      <w:r>
        <w:rPr>
          <w:rFonts w:ascii="Amiri" w:hAnsi="Amiri" w:eastAsia="Amiri" w:cs="Amiri"/>
          <w:color w:val="111111"/>
          <w:sz w:val="28"/>
          <w:sz w:val="28"/>
          <w:szCs w:val="28"/>
          <w:rtl w:val="true"/>
          <w:lang w:bidi="ar-SA"/>
        </w:rPr>
        <w:t>وَ إِنَّ حَوَارِيِّي عِيسَي عليه السلام شَكَوْا إِلَيْهِ مَا يَلْقَوْنَ مِنَ النَّاسِ فَقَالَ إِنَّ الْمُؤْمِنِينَ لَا يَزَالُونَ فِي الدُّنْيَا مُنَغَّصِينَ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صلي الله عليه و آله أَنَّ فِي الْجَنَّةِ 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يَنَالُهَا الْعِبَادُ بِأَعْمَالِهِمْ لَيْسَ لَهَا عِلَاقَةٌ مِنْ فَوْقِهَا وَ لَا عِمَادٌ مِنْ تَحْتِهَا قِيلَ يَا رَسُولَ اللَّهِ مَنْ أَهْلُهَا فَقَالَ أَهْلُ الْبَلَايَا وَ الْهُمُومِ</w:t>
      </w:r>
      <w:r>
        <w:rPr>
          <w:rFonts w:eastAsia="Amiri" w:cs="Amiri" w:ascii="Amiri" w:hAnsi="Amiri"/>
          <w:color w:val="111111"/>
          <w:sz w:val="28"/>
          <w:szCs w:val="28"/>
          <w:rtl w:val="true"/>
          <w:lang w:bidi="ar-SA"/>
        </w:rPr>
        <w:t>.</w:t>
      </w:r>
    </w:p>
    <w:p>
      <w:pPr>
        <w:pStyle w:val="Heading5"/>
        <w:numPr>
          <w:ilvl w:val="4"/>
          <w:numId w:val="1"/>
        </w:numPr>
        <w:rPr/>
      </w:pPr>
      <w:bookmarkStart w:id="1727" w:name="__RefHeading___Toc606498_1934241801"/>
      <w:bookmarkStart w:id="1728" w:name="_Toc793"/>
      <w:bookmarkEnd w:id="1727"/>
      <w:r>
        <w:rPr>
          <w:rtl w:val="true"/>
        </w:rPr>
        <w:t>توضيح</w:t>
      </w:r>
      <w:bookmarkEnd w:id="1728"/>
    </w:p>
    <w:p>
      <w:pPr>
        <w:pStyle w:val="BookText"/>
        <w:rPr/>
      </w:pPr>
      <w:r>
        <w:rPr>
          <w:rFonts w:ascii="Amiri" w:hAnsi="Amiri" w:eastAsia="Amiri" w:cs="Amiri"/>
          <w:color w:val="111111"/>
          <w:sz w:val="28"/>
          <w:sz w:val="28"/>
          <w:szCs w:val="28"/>
          <w:rtl w:val="true"/>
          <w:lang w:bidi="ar-SA"/>
        </w:rPr>
        <w:t>قال في النهاية في حديث الدعاء و ما زويت عني أي صرفته عني و قبضته و الانتصار الانتقام و في النهاية في الحديث يغتهم الله في العذاب غتا أي يغمسهم فيه غمسا متتابعا و في القاموس أنغص الله عليه العيش و نغصه عليه فتنغصت معيشته تكدرت</w:t>
      </w:r>
      <w:r>
        <w:rPr>
          <w:rFonts w:eastAsia="Amiri" w:cs="Amiri" w:ascii="Amiri" w:hAnsi="Amiri"/>
          <w:color w:val="111111"/>
          <w:sz w:val="28"/>
          <w:szCs w:val="28"/>
          <w:rtl w:val="true"/>
          <w:lang w:bidi="ar-SA"/>
        </w:rPr>
        <w:t>.</w:t>
      </w:r>
    </w:p>
    <w:p>
      <w:pPr>
        <w:pStyle w:val="Heading5"/>
        <w:numPr>
          <w:ilvl w:val="4"/>
          <w:numId w:val="1"/>
        </w:numPr>
        <w:rPr/>
      </w:pPr>
      <w:bookmarkStart w:id="1729" w:name="__RefHeading___Toc606500_1934241801"/>
      <w:bookmarkStart w:id="1730" w:name="_Toc794"/>
      <w:bookmarkEnd w:id="1729"/>
      <w:r>
        <w:rPr>
          <w:rtl w:val="true"/>
        </w:rPr>
        <w:t>«</w:t>
      </w:r>
      <w:r>
        <w:rPr/>
        <w:t>51</w:t>
      </w:r>
      <w:r>
        <w:rPr>
          <w:rtl w:val="true"/>
        </w:rPr>
        <w:t>»</w:t>
      </w:r>
      <w:bookmarkEnd w:id="1730"/>
    </w:p>
    <w:p>
      <w:pPr>
        <w:pStyle w:val="BookText"/>
        <w:rPr/>
      </w:pPr>
      <w:r>
        <w:rPr>
          <w:rFonts w:ascii="Amiri" w:hAnsi="Amiri" w:eastAsia="Amiri" w:cs="Amiri"/>
          <w:color w:val="111111"/>
          <w:sz w:val="28"/>
          <w:sz w:val="28"/>
          <w:szCs w:val="28"/>
          <w:rtl w:val="true"/>
          <w:lang w:bidi="ar-SA"/>
        </w:rPr>
        <w:t>مُسَكِّنُ الْفُؤَادِ،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النَّاسِ بَلَاءً الْأَنْبِيَاءُ ثُمَّ الْأَوْلِيَاءُ ثُمَّ الْأَمْثَلُ فَالْأَمْثَلُ وَ قَدْ قَالَ صلي الله عليه و آله الدُّنْيَا سِجْنُ الْمُؤْمِنِ وَ جَنَّةُ الْكَافِرِ</w:t>
      </w:r>
      <w:r>
        <w:rPr>
          <w:rFonts w:eastAsia="Amiri" w:cs="Amiri" w:ascii="Amiri" w:hAnsi="Amiri"/>
          <w:color w:val="111111"/>
          <w:sz w:val="28"/>
          <w:szCs w:val="28"/>
          <w:rtl w:val="true"/>
          <w:lang w:bidi="ar-SA"/>
        </w:rPr>
        <w:t>.</w:t>
      </w:r>
    </w:p>
    <w:p>
      <w:pPr>
        <w:pStyle w:val="Heading5"/>
        <w:numPr>
          <w:ilvl w:val="4"/>
          <w:numId w:val="1"/>
        </w:numPr>
        <w:rPr/>
      </w:pPr>
      <w:bookmarkStart w:id="1731" w:name="__RefHeading___Toc606502_1934241801"/>
      <w:bookmarkStart w:id="1732" w:name="_Toc795"/>
      <w:bookmarkEnd w:id="1731"/>
      <w:r>
        <w:rPr>
          <w:rtl w:val="true"/>
        </w:rPr>
        <w:t>«</w:t>
      </w:r>
      <w:r>
        <w:rPr/>
        <w:t>52</w:t>
      </w:r>
      <w:r>
        <w:rPr>
          <w:rtl w:val="true"/>
        </w:rPr>
        <w:t>»</w:t>
      </w:r>
      <w:bookmarkEnd w:id="1732"/>
    </w:p>
    <w:p>
      <w:pPr>
        <w:pStyle w:val="BookText"/>
        <w:rPr/>
      </w:pPr>
      <w:r>
        <w:rPr>
          <w:rFonts w:ascii="Amiri" w:hAnsi="Amiri" w:eastAsia="Amiri" w:cs="Amiri"/>
          <w:color w:val="111111"/>
          <w:sz w:val="28"/>
          <w:sz w:val="28"/>
          <w:szCs w:val="28"/>
          <w:rtl w:val="true"/>
          <w:lang w:bidi="ar-SA"/>
        </w:rPr>
        <w:t>أَعْلَامُ الدِّينِ، لِلدَّيْلَمِيِّ عَنْ مُحَمَّدِ بْنِ عَمَّارٍ عَنْ أَبِي ذَرٍّ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اخْتَلَجَ عِرْقٌ وَ لَا عَثَرَتْ قَدَمُ إِلَّا بِمَا قَدَّمَتْ أَيْدِيكُمْ وَ مَا يَعْفُو اللَّهُ عَنْهُ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 الصَّادِقِ عليه السلام مَا أَلْقَي مِنَ الضِّيقِ وَ الْهَمِّ فَقَالَ مَا ذَنْبِي أَنْتُمُ اخْتَرْتُمْ هَذَا إِنَّهُ لَمَّا عَرَضَ اللَّهُ عَلَيْكُمْ مِيثَاقَ الدُّنْيَا وَ الْآخِرَةِ اخْتَرْتُمُ الْآخِرَةَ عَلَي الدُّنْيَا وَ اخْتَارَ الْكَافِرُ الدُّنْيَا عَلَي الْآخِرَةِ فَأَنْتُمُ الْيَوْمَ تَأْكُلُونَ مَعَهُمْ وَ تَشْرَبُونَ وَ تَنْكِحُونَ مَعَهُمْ وَ هُمْ غَداً إِذَا اسْتَسْقَوْكُمُ الْمَاءَ وَ اسْتَطْعَمُوكُمُ الطَّعَامَ قُلْتُمْ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حَرَّمَهُما عَلَي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إِلَيَّ جَبْرَئِيلُ عليه السلام فِي أَحْسَنِ صُورَةٍ فَقَالَ يَا مُحَمَّدُ الْحَقُّ يُقْرِئُكَ السَّلَامَ وَ يَقُولُ لَكَ إِنِّي أَوْحَيْتُ إِلَي الدُّنْيَا أَنْ تَمَرَّرِي وَ تَكَدَّرِي وَ تَضَيَّقِي وَ تَشَدَّدِي عَلَي أَوْلِيَائِي حَتَّي يُحِبُّوا لِقَائِي وَ تَيَسَّرِي وَ تَسَهَّلِي وَ تَطَيَّبِي لِأَعْدَائِي حَتَّي يُبْغِضُوا لِقَائِي فَإِنِّي جَعَلْتُ الدُّنْيَا سِجْناً لِأَوْلِيَائِي وَ جَنَّةً لِأَعْدَائِي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حواریّون حضرت عیسی علیه السلام از اذیت وآزاری که از مردم می دیدند نزد او شکایت کردند،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مؤمنان پیوسته در دنیا دچار غم و اندوه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جایگاه هایی وجود دارد که بندگان با اعمال شان به آن دست نمی یابند، آن  جایگاه ها به قسمت فوقانی خود متصل نیستند و هیچ ستونی از پایین، آن ها را نگاه نداشته است،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ساکنان این جایگاه ها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دنیا اهل مصیبت  و غم و اندوه بوده اند</w:t>
      </w:r>
      <w:r>
        <w:rPr>
          <w:rFonts w:eastAsia="IRNazanin" w:cs="IRNazanin"/>
          <w:color w:val="111111"/>
          <w:sz w:val="28"/>
          <w:szCs w:val="28"/>
          <w:rtl w:val="true"/>
          <w:lang w:bidi="fa-IR"/>
        </w:rPr>
        <w:t>.</w:t>
      </w:r>
    </w:p>
    <w:p>
      <w:pPr>
        <w:pStyle w:val="Heading5"/>
        <w:numPr>
          <w:ilvl w:val="4"/>
          <w:numId w:val="1"/>
        </w:numPr>
        <w:rPr/>
      </w:pPr>
      <w:bookmarkStart w:id="1733" w:name="__RefHeading___Toc606504_1934241801"/>
      <w:bookmarkStart w:id="1734" w:name="_Toc796"/>
      <w:bookmarkEnd w:id="1733"/>
      <w:r>
        <w:rPr>
          <w:rtl w:val="true"/>
        </w:rPr>
        <w:t>توضیح</w:t>
      </w:r>
      <w:bookmarkEnd w:id="1734"/>
    </w:p>
    <w:p>
      <w:pPr>
        <w:pStyle w:val="BookText"/>
        <w:rPr/>
      </w:pPr>
      <w:r>
        <w:rPr>
          <w:rFonts w:ascii="IRNazanin" w:hAnsi="IRNazanin" w:eastAsia="IRNazanin"/>
          <w:color w:val="111111"/>
          <w:sz w:val="28"/>
          <w:sz w:val="28"/>
          <w:szCs w:val="28"/>
          <w:rtl w:val="true"/>
          <w:lang w:bidi="fa-IR"/>
        </w:rPr>
        <w:t>شیخ در النهایة در تفسیر حدیث الدّعاء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زویت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 را از من باز داشته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و در النهایة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یغتّهم الله فی العذاب غتّاً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صورت پیوسته غرق در عذاب می کند، و 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أنغص الله علیه العیش و نغّصه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عرصه زندگی را بر او تنگ کرد،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تغصّت معیشته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او مکدّر شد</w:t>
      </w:r>
      <w:r>
        <w:rPr>
          <w:rFonts w:eastAsia="IRNazanin" w:cs="IRNazanin"/>
          <w:color w:val="111111"/>
          <w:sz w:val="28"/>
          <w:szCs w:val="28"/>
          <w:rtl w:val="true"/>
          <w:lang w:bidi="fa-IR"/>
        </w:rPr>
        <w:t>.</w:t>
      </w:r>
    </w:p>
    <w:p>
      <w:pPr>
        <w:pStyle w:val="Heading5"/>
        <w:numPr>
          <w:ilvl w:val="4"/>
          <w:numId w:val="1"/>
        </w:numPr>
        <w:rPr/>
      </w:pPr>
      <w:bookmarkStart w:id="1735" w:name="__RefHeading___Toc606506_1934241801"/>
      <w:bookmarkStart w:id="1736" w:name="_Toc797"/>
      <w:bookmarkEnd w:id="1735"/>
      <w:r>
        <w:rPr>
          <w:rtl w:val="true"/>
        </w:rPr>
        <w:t xml:space="preserve">روایت </w:t>
      </w:r>
      <w:r>
        <w:rPr/>
        <w:t>51</w:t>
      </w:r>
      <w:bookmarkEnd w:id="1736"/>
    </w:p>
    <w:p>
      <w:pPr>
        <w:pStyle w:val="BookText"/>
        <w:rPr/>
      </w:pP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بیشتر از سایر مردم دچار بلا و مصیبت می شوند، پس از آنان اولیاء و سپس بندگان برگزیده به ترتیب مقام و منزلت قرار دارند، هم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زندان مؤمن و بهشت کافر است</w:t>
      </w:r>
      <w:r>
        <w:rPr>
          <w:rFonts w:eastAsia="IRNazanin" w:cs="IRNazanin"/>
          <w:color w:val="111111"/>
          <w:sz w:val="28"/>
          <w:szCs w:val="28"/>
          <w:rtl w:val="true"/>
          <w:lang w:bidi="fa-IR"/>
        </w:rPr>
        <w:t>.</w:t>
      </w:r>
    </w:p>
    <w:p>
      <w:pPr>
        <w:pStyle w:val="Heading5"/>
        <w:numPr>
          <w:ilvl w:val="4"/>
          <w:numId w:val="1"/>
        </w:numPr>
        <w:rPr/>
      </w:pPr>
      <w:bookmarkStart w:id="1737" w:name="__RefHeading___Toc606508_1934241801"/>
      <w:bookmarkStart w:id="1738" w:name="_Toc798"/>
      <w:bookmarkEnd w:id="1737"/>
      <w:r>
        <w:rPr>
          <w:rtl w:val="true"/>
        </w:rPr>
        <w:t xml:space="preserve">روایت </w:t>
      </w:r>
      <w:r>
        <w:rPr/>
        <w:t>52</w:t>
      </w:r>
      <w:bookmarkEnd w:id="1738"/>
    </w:p>
    <w:p>
      <w:pPr>
        <w:pStyle w:val="BookText"/>
        <w:rPr/>
      </w:pP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از پیامبر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رگی جا به  جا نمی شود و هیچ قدمی نمی لغزد مگر به واسطه آنچه انجام داده اید، و آنچه خداوند عفو می کند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یکی از یاران امام صادق علیه السلام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و سختی زندگی و غم و اندوهی که به آن دچار بودم نزد امام صادق علیه السلام شکایت کردم،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چیست؟ شما خود برگزیده اید که این گونه زندگی کنید، هنگامی که خداوند پیمان نامه آخرت را بر شما عرضه کرد، آخرت را بر دنیا ترجیح داده و برگزیدید، و کافر دنیا را برآخرت ترجیح داد، پس امروز شما با آنان می خورید و می نوشید و مانند آنان ازدواج می کنید، ولی فردای قیامت هنگامی  که کافران از شما درخواست می کنند به آنان آب نوشانده و غذا بخورانید به آنان می گویید به راستی که خداوند آب و غذا را برای کافران حرام گردانده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در نیکوترین شکل برمن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خداوند به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وحی نموده ام که برای اولیای من تلخ و کدر باش و آنان را در تنگنا و سختی قرار ده تا ملاقات مرا دوست بدارند، و برای دشمنانم سهل و آسان و گوارا باش تا از ملاقات من متنفر باشند، به راستی که دنیا را زندان دوستان و بهشت دشمنان خویش قرار داده ام</w:t>
      </w:r>
      <w:r>
        <w:rPr>
          <w:rFonts w:eastAsia="IRNazanin" w:cs="IRNazanin"/>
          <w:color w:val="111111"/>
          <w:sz w:val="28"/>
          <w:szCs w:val="28"/>
          <w:rtl w:val="true"/>
          <w:lang w:bidi="fa-IR"/>
        </w:rPr>
        <w:t xml:space="preserve">. </w:t>
      </w:r>
      <w:bookmarkStart w:id="1739" w:name="pg13517_329226"/>
    </w:p>
    <w:p>
      <w:pPr>
        <w:pStyle w:val="BookText"/>
        <w:rPr/>
      </w:pPr>
      <w:bookmarkEnd w:id="1739"/>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لَيُغَذِّي عَبْدَهُ الْمُؤْمِنَ بِالْبَلَاءِ كَمَا تُغَذِّي الْوَالِدَةُ وَلَدَهَا بِاللَّبَنِ وَ إِنَّ الْبَلَاءَ إِلَي الْمُؤْمِنِ أَسْرَعُ مِنَ السَّيْلِ إِلَي الْوِهَادِ وَ مِنْ رَكْضِ الْبَرَاذِينِ وَ إِنَّهُ إِذَا نَزَلَ بَلَاءٌ مِنَ السَّمَاءِ بَدَأَ بِالْأَنْبِيَاءِ ثُمَّ بِالْأَوْصِيَاءِ ثُمَّ الْأَمْثَلِ فَالْأَمْثَلِ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إِنَّهُ سُبْحَانَهُ يُعْطِي الدُّنْيَا لِمَنْ يُحِبُّ وَ يُبْغِضُ وَ لَا يُعْطِي الْآخِرَةَ إِلَّا أَهْلَ صَفْوَتِهِ وَ مَحَبَّتِهِ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يَقُولُ سُبْحَانَهُ وَ تَعَالَي لِيَحْذَرْ عَبْدِيَ الَّذِي يَسْتَبْطِئُ رِزْقِي أَنْ أَغْضَبَ فَأَفْتَحَ عَلَيْهِ بَاباً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إِذَا لَمْ يَكُنْ لَهُ فِي الْعَبْدِ حَاجَةٌ فَتَحَ عَلَيْهِ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تَعَالَي وَ عِزَّتِي وَ جَلَالِي وَ عَظَمَتِي وَ ارْتِفَاعِي لَوْ لَا حَيَائِي مِنْ عَبْدِيَ الْمُؤْمِنِ لَمَا جَعَلْتُ لَهُ خِرْقَةً لِيُوَارِيَ بِهَا جَسَدَهُ وَ إِنِّي إِذَا أَكْمَلْتُ لَهُ إِيمَانَهُ ابْتَلَيْتُهُ بِفَقْرٍ فِي مَالِهِ وَ مَرَضٍ فِي بَدَنِهِ فَإِنْ هُوَ حَرِجَ أَضْعَفْتُ عَلَيْهِ وَ إِنْ هُوَ صَبَرَ بَاهَيْتُ بِهِ مَلَائِكَتِي وَ إِنِّي جَعَلْتُ عَلِيّاً عَلَماً لِلْإِيمَانِ فَمَنْ أَحَبَّهُ وَ اتَّبَعَهُ كَانَ هَادِياً مَهْدِيّاً وَ مَنْ أَبْغَضَهُ وَ تَرَكَهُ كَانَ ضَالًّا مُضِلًّا وَ إِنَّهُ لَا يُحِبُّهُ إِلَّا مُؤْمِنٌ تَقِيٌّ وَ لَا يُبْغِضُهُ إِلَّا مُنَافِقٌ 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لَمْ تَخْلُ مِنْهَا الْأَنْبِيَاءُ وَ لَا الْأَوْصِيَاءُ وَ لَا أَتْبَاعُهُمْ الْفَقْرُ فِي الْمَالِ وَ الْمَرَضُ فِي الْجِسْمِ وَ كَافِرٌ يَطْلُبُ قَتْلَهُمْ وَ مُنَافِقٌ يَقْفُو أَثَرَهُمْ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لِأَصْحَابِهِ لَا تَتَمَنَّوُا الْمُسْتَحِيلَ قَالُوا وَ مَنْ يَتَمَنَّي الْمُسْتَحِيلَ فَقَالَ أَنْتُمْ أَ لَسْتُمْ تَمَنَّوْنَ الرَّاحَةَ فِي الدُّنْيَا قَالُوا بَلَي فَقَالَ الرَّاحَةُ لِلْمُؤْمِنِ فِي الدُّنْيَا مُسْتَحِيلَةٌ</w:t>
      </w:r>
      <w:r>
        <w:rPr>
          <w:rFonts w:eastAsia="Amiri" w:cs="Amiri" w:ascii="Amiri" w:hAnsi="Amiri"/>
          <w:color w:val="111111"/>
          <w:sz w:val="28"/>
          <w:szCs w:val="28"/>
          <w:rtl w:val="true"/>
          <w:lang w:bidi="ar-SA"/>
        </w:rPr>
        <w:t>.</w:t>
      </w:r>
    </w:p>
    <w:p>
      <w:pPr>
        <w:pStyle w:val="Heading5"/>
        <w:numPr>
          <w:ilvl w:val="4"/>
          <w:numId w:val="1"/>
        </w:numPr>
        <w:rPr/>
      </w:pPr>
      <w:bookmarkStart w:id="1740" w:name="__RefHeading___Toc606510_1934241801"/>
      <w:bookmarkStart w:id="1741" w:name="_Toc799"/>
      <w:bookmarkEnd w:id="1740"/>
      <w:r>
        <w:rPr>
          <w:rtl w:val="true"/>
        </w:rPr>
        <w:t>«</w:t>
      </w:r>
      <w:r>
        <w:rPr/>
        <w:t>53</w:t>
      </w:r>
      <w:r>
        <w:rPr>
          <w:rtl w:val="true"/>
        </w:rPr>
        <w:t>»</w:t>
      </w:r>
      <w:bookmarkEnd w:id="1741"/>
    </w:p>
    <w:p>
      <w:pPr>
        <w:pStyle w:val="BookText"/>
        <w:rPr/>
      </w:pPr>
      <w:r>
        <w:rPr>
          <w:rFonts w:ascii="Amiri" w:hAnsi="Amiri" w:eastAsia="Amiri" w:cs="Amiri"/>
          <w:color w:val="111111"/>
          <w:sz w:val="28"/>
          <w:sz w:val="28"/>
          <w:szCs w:val="28"/>
          <w:rtl w:val="true"/>
          <w:lang w:bidi="ar-SA"/>
        </w:rPr>
        <w:t>مُسَكِّنُ الْفُؤَادِ، رَوَي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أَبِي عَبْدِ اللَّهِ عليه السلام الْبَلَاءُ وَ مَا يَخْتَصُّ اللَّهُ عَزَّ وَ جَلَّ بِهِ الْمُؤْمِنِينَ فَقَالَ سُئِلَ رَسُولُ اللَّهِ صلي الله عليه و آله مَنْ أَشَدُّ النَّاسِ بَلَاءً فِي الدُّنْيَا فَقَالَ النَّبِيُّونَ ثُمَّ الْأَمْثَلُ فَالْأَمْثَلُ</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بنده مؤمن خویش را با بلا و مصیبت تغذیه می کند آن گونه که مادر کودش را با شیر تغذیه می کند، و سرازیر شدن بلا و مصیبت به سوی مؤمن سریع تر از سرازیر شدن سیل به سوی درّه ها و سریع تر از تاختن استر است، و هنگامی  که بلایی از آسمان نازل می شود ابتدا بر انبیاء سپس بر اوصیاء و پس از آن ها به ترتیب بر بندگان برگزیده فرود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سبحان دنیا را به کسانی که دوست شان دارد و همچنین به کسانی که دشمن شان می دارد می بخشد ولی آخرت را جز به بندگان برگزیده و مورد محبّت خویش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که رسیدن رزق و روزی ام را طلب کند برحذر باشد از اینکه خشمگین شوم و دری از درهای دنیا را به روی او بگشایم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را نیازی به بنده اش نباشد دنیا را بر او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شکوه، عظمت و شأن و منزلت والایم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شرم و حیای من از بنده مؤمنم نبود برای او پوششی خلق نمی کردم تا خود را با آن بپوشاند، و هنگامی  که ایمانش را کامل گرداندم،</w:t>
      </w:r>
    </w:p>
    <w:p>
      <w:pPr>
        <w:pStyle w:val="BookText"/>
        <w:rPr/>
      </w:pPr>
      <w:r>
        <w:rPr>
          <w:rFonts w:ascii="IRNazanin" w:hAnsi="IRNazanin" w:eastAsia="IRNazanin"/>
          <w:color w:val="111111"/>
          <w:sz w:val="28"/>
          <w:sz w:val="28"/>
          <w:szCs w:val="28"/>
          <w:rtl w:val="true"/>
          <w:lang w:bidi="fa-IR"/>
        </w:rPr>
        <w:t>او را به فقر در اموال و بیماری در بدن مبتلا می سازم، پس اگر بی تابی کند و مرتکب گناه شود، بلا و مصیبت او را دو چندان می کنم، و اگر صبر پیشه سازد، نزد فرشتگانم به او مباهات می کنم؛ همانا من علی را نشانه ایمان قرار دادم، پس هر کسی که او را دوست بدارد و از او پیروی کند هدایت گر و هدایت شده است و هر کسی که او را دشمن بدارد و ترک کند گمراه و گمراه کننده است، جز انسان مؤمن و متّقی علی را دوست ندارد و جز انسان منافق و بدبخت او را دشمن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وجود دارد که انبیاء و اوصیاء و پیروان ایشان از گرفتار شدن به آن ها مستثنی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در مال، بیماری در جسم، وجود کافری که در پی کشتن آنان است، و منافقی که به دنبال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دست یافتن به غیر ممکن را نداشته باشید،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آرزوی دست یافتن به غیر ممکن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آیا خواهان راحتی و آسایش در دنیا نیستند؟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شدن راحتی و آسایش در دنیا برای مؤمن غیرممکن است </w:t>
      </w:r>
      <w:r>
        <w:rPr>
          <w:rFonts w:eastAsia="IRNazanin" w:cs="IRNazanin"/>
          <w:color w:val="111111"/>
          <w:sz w:val="28"/>
          <w:szCs w:val="28"/>
          <w:rtl w:val="true"/>
          <w:lang w:bidi="fa-IR"/>
        </w:rPr>
        <w:t>.</w:t>
      </w:r>
    </w:p>
    <w:p>
      <w:pPr>
        <w:pStyle w:val="Heading5"/>
        <w:numPr>
          <w:ilvl w:val="4"/>
          <w:numId w:val="1"/>
        </w:numPr>
        <w:rPr/>
      </w:pPr>
      <w:bookmarkStart w:id="1742" w:name="__RefHeading___Toc606512_1934241801"/>
      <w:bookmarkStart w:id="1743" w:name="_Toc800"/>
      <w:bookmarkEnd w:id="1742"/>
      <w:r>
        <w:rPr>
          <w:rtl w:val="true"/>
        </w:rPr>
        <w:t xml:space="preserve">روایت </w:t>
      </w:r>
      <w:r>
        <w:rPr/>
        <w:t>53</w:t>
      </w:r>
      <w:bookmarkEnd w:id="174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حجّاج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علیه السلام به ذکر بلا و مصیبت پرداخته شد و آنچه که خداوند متعال ویژه مؤمنان قرار داده است، 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در دنیا بیشتر از مردم دچار بلاو مصیبت می شوند؟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و سپس انسا های برگزیده به ترتیب مقام و منزلت، </w:t>
      </w:r>
    </w:p>
    <w:p>
      <w:pPr>
        <w:pStyle w:val="BookText"/>
        <w:rPr/>
      </w:pPr>
      <w:r>
        <w:rPr>
          <w:rFonts w:ascii="Amiri" w:hAnsi="Amiri" w:eastAsia="Amiri" w:cs="Amiri"/>
          <w:color w:val="111111"/>
          <w:sz w:val="28"/>
          <w:sz w:val="28"/>
          <w:szCs w:val="28"/>
          <w:rtl w:val="true"/>
          <w:lang w:bidi="ar-SA"/>
        </w:rPr>
        <w:t>وَ يُبْتَلَي الْمُؤْمِنُ بَعْدُ عَلَي قَدْرِ إِيمَانِهِ وَ حُسْنِ أَعْمَالِهِ فَمَنْ صَحَّ إِيمَانُهُ وَ حَسُنَ عَمَلُهُ اشْتَدَّ بَلَاؤُهُ وَ مَنْ سَخُفَ إِيمَانُهُ وَ ضَعُفَ عَمَلُهُ قَلَّ بَلَاؤُهُ‌</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زَيْدٌ الشَّحَّامُ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عَظِيمَ الْأَجْرِ مَعَ عَظِيمِ الْبَلَاءِ وَ مَا أَحَبَّ اللَّهُ قَوْماً إِلَّا ابْتَلَاهُمْ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عِبَاداً فِي الْأَرْضِ مِنْ خَالِصِ عِبَادِهِ مَا يُنْزِلُ مِنَ السَّمَاءِ تُحْفَةً إِلَي الْأَرْضِ إِلَّا صَرَفَهَا عَنْهُمْ إِلَي غَيْرِهِمْ وَ لَا بَلِيَّةً إِلَّا صَرَفَهَا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الْحُسَيْنِ بْنِ عُلْوَانَ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إِذَا أَحَبَّ عَبْداً غَتَّهُ بِالْبَلَاءِ غَتّاً وَ إِنَّا أَوْ إِيَّاكُمْ لَنُصْبِحُ بِهِ وَ نُمْسِي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إِذَا أَحَبَّ عَبْداً غَتَّهُ بِالْبَلَاءِ غَتّاً وَ ثَجَّهُ بِالْبَلَاءِ ثَجّاً فَإِذَا دَعَاهُ قَالَ لَبَّيْكَ عَبْدِي لَئِنْ عَجَّلْتُ لَكَ مَا سَأَلْتَ إِنِّي عَلَي ذَلِكَ لَقَادِرٌ وَ لَكِنِ ادَّخَرْتُ لَكَ فَمَا ادَّخَرْتُ لَكَ خَيْرٌ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يُبْتَلَي الْمُؤْمِنُ فِي الدُّنْيَا عَلَي قَدْرِ دِينِهِ أَوْ قَالَ عَلَي حَسَبِ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نَاجِيَةَ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إِنَّ الْمُغِيرَةَ يَقُولُ إِنَّ اللَّهَ لَا يَبْتَلِي الْمُؤْمِنَ بِالْجُذَامِ وَ لَا بِالْبَرَصِ وَ لَا بِكَذَا وَ لَا بِكَذَا فَقَالَ إِنْ كَانَ لَغَافِلًا عَنْ مُؤْمِنِ آلِ يس إِنَّهُ كَانَ مُكَنَّعاً ثُمَّ رُدَّ أَصَابِعُهُ فَقَالَ كَأَنِّي أَنْظُرُ إِلَي تَكْنِيعِهِ أَتَاهُمْ فَأَنْذَرَهُمْ ثُمَّ عَادَ إِلَيْهِمْ مِنَ الْغَدِ فَقَتَلُوهُ ثُمَّ قَالَ إِنَّ الْمُؤْمِنَ يُبْتَلَي بِكُلِّ بَلِيَّةٍ وَ يَمُوتُ بِكُلِّ مِيتَةٍ إِلَّا أَنَّهُ لَا يَقْتُلُ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 أَبِي عَبْدِ اللَّهِ عليه السلام مَا أَلْقَي مِنَ الْأَوْجَاعِ وَ كَانَ مِسْقَاماً فَقَالَ لِي يَا عَبْدَ اللَّهِ لَوْ يَعْلَمُ الْمُؤْمِنُ مَا لَهُ مِنَ الْأَجْرِ فِي الْمَصَائِبِ لَتَمَنَّي أَنْ يُقْرَضَ بِالْمَقَارِيضِ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آنان نیز انسان مؤمن به اندازه ایمان و اعمال نیکش گرفتار بلا و مصیبت می شود، هر کسی که ایمان او صحیح و عملش نیکو باشد گرفتار شدنش به بلا و مصیبت شدیدتر خواهد بود و هر کسی که ایمانش ضعیف و عملش اندک باشد بلا و مصیبت بر او اندک خواهد بود</w:t>
      </w:r>
      <w:r>
        <w:rPr>
          <w:rFonts w:eastAsia="IRNazanin" w:cs="IRNazanin"/>
          <w:color w:val="111111"/>
          <w:sz w:val="28"/>
          <w:szCs w:val="28"/>
          <w:rtl w:val="true"/>
          <w:lang w:bidi="fa-IR"/>
        </w:rPr>
        <w:t>.</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زید الشَّحّام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اجر و پاداش بزرگ به دنبال بلا و مصیبت بزرگ می آید، و خداوند هیچ قومی را دوست ندارد مگر آنکه آنان را دچار بلا و مصیبت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 و جلّ بندگانی برگزیده و مخلص در زمین دارد که هدیه ای از آسمان به سوی زمین نازل نمی کند مگر اینکه آن را از آن ها باز می دارد و به دیگران می بخشد، و هیچ بلا و مصیبتی را نازل نمی کند مگر اینکه آن را به سوی ایشان روانه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عُلوان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متعال بنده ای را دوست بدارد، او را در بلا و مصیبت غوطه ور می سازد، و ما و شما روز و شب بر او گذر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متعال بنده ای را دوست بدارد، او را در بلا و مصیبت غوطه ور و بلا و مصیبت را بر او جاری می سازد، و آن گاه که خداوند را فرا بخواند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ام لبیّک، من بر برآورده ساختن سریع خواسته تو توانا هستم، ولی برای تو ذخیره کرده ام انچه برایت ذخیره کردم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در دنیا به اندازه میزان دین داری اش گرفتار بلا و مصیبت می شود، یا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دین داری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ناجیه روایت شده که 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مؤمن را به جذام و پیسی و فلان و فلان بیماری مبتلا نمی سازد،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از مؤمن آل یاسین که دستش شَل بود غافل بوده است، او شَل بود سپس انگشتانش باز 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به شَل بودن دستش نگاه می کنم، نزد قومش آمد و آنان را بیم داد، سپس فردای آن روز نزد آنان بازگشت و به قتلش رساندند،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مؤمن به هر مصیبتی گرفتار می شود و به هر شیوه ای فوت می کند جز اینکه خود را به قتل نمی رساند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عبدالله بن ابی یعفور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بیماری هایی که به آن ها گرفتار بودم نزد امام صادق علیه السلام شکایت کردم، عبدالله کسی بود که بسیار بیمار می شد،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اگر مؤمن از میزان اجر و پاداشی که به خاطر دچار شدن به مصیبت ها برای او در نظر گرفته شده آگاه بود، آرزو می کرد که با قیچی قطعه قطعه شود</w:t>
      </w:r>
      <w:r>
        <w:rPr>
          <w:rFonts w:eastAsia="IRNazanin" w:cs="IRNazanin"/>
          <w:color w:val="111111"/>
          <w:sz w:val="28"/>
          <w:szCs w:val="28"/>
          <w:rtl w:val="true"/>
          <w:lang w:bidi="fa-IR"/>
        </w:rPr>
        <w:t xml:space="preserve">. </w:t>
      </w:r>
      <w:bookmarkStart w:id="1744" w:name="pg13517_329228"/>
    </w:p>
    <w:p>
      <w:pPr>
        <w:pStyle w:val="BookText"/>
        <w:rPr/>
      </w:pPr>
      <w:bookmarkEnd w:id="1744"/>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اللَّهِ لَمْ يَزَالُوا فِي شِدَّةٍ أَمَا إِنَّ ذَلِكَ إِلَي مُدَّةٍ قَلِيلَةٍ وَ عَافِيَةٍ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حُمْرَانَ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لَيَتَعَاهَدُ الْمُؤْمِنَ بِالْبَلَاءِ كَمَا يَتَعَاهَدُ الرَّجُلُ أَهْلَهُ بِالْهَدِيَّةِ وَ يَحْمِيهِ الدُّنْيَا كَمَا يَحْمِي الطَّبِيبُ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النَّبِيُّ إِلَي طَعَامٍ فَلَمَّا دَخَلَ إِلَي مَنْزِلِ الرَّجُلِ نَظَرَ إِلَي دَجَاجَةٍ فَوْقَ حَائِطٍ قَدْ بَاضَتْ فَوَقَعَتِ الْبَيْضَةُ عَلَي وَتِدٍ فِي حَائِطٍ فَثَبَتَتْ عَلَيْهِ وَ لَمْ تَسْقُطْ وَ لَمْ تَنْكَسِرْ فَتَعَجَّبَ النَّبِيُّ صلي الله عليه و آله مِنْهَا فَقَالَ لَهُ الرَّجُلُ أَ عَجِبْتَ مِنْ هَذِهِ الْبَيْضَةِ فَوَ الَّذِي بَعَثَكَ بِالْحَقِّ مَا رُزِئْتُ شَيْئاً قَطُّ فَنَهَضَ رَسُولُ اللَّهِ صلي الله عليه و آله وَ لَمْ يَأْكُلْ مِنْ طَعَامِهِ شَيْئاً وَ قَالَ مَنْ لَمْ يُرْزَأْ فَمَا لِلَّهِ فِيهِ مِنْ حَاجَةٍ</w:t>
      </w:r>
      <w:r>
        <w:rPr>
          <w:rFonts w:eastAsia="Amiri" w:cs="Amiri" w:ascii="Amiri" w:hAnsi="Amiri"/>
          <w:color w:val="111111"/>
          <w:sz w:val="28"/>
          <w:szCs w:val="28"/>
          <w:rtl w:val="true"/>
          <w:lang w:bidi="ar-SA"/>
        </w:rPr>
        <w:t>.</w:t>
      </w:r>
    </w:p>
    <w:p>
      <w:pPr>
        <w:pStyle w:val="Heading5"/>
        <w:numPr>
          <w:ilvl w:val="4"/>
          <w:numId w:val="1"/>
        </w:numPr>
        <w:rPr/>
      </w:pPr>
      <w:bookmarkStart w:id="1745" w:name="__RefHeading___Toc606514_1934241801"/>
      <w:bookmarkStart w:id="1746" w:name="_Toc801"/>
      <w:bookmarkEnd w:id="1745"/>
      <w:r>
        <w:rPr>
          <w:rtl w:val="true"/>
        </w:rPr>
        <w:t>توضيح</w:t>
      </w:r>
      <w:bookmarkEnd w:id="1746"/>
    </w:p>
    <w:p>
      <w:pPr>
        <w:pStyle w:val="BookText"/>
        <w:rPr/>
      </w:pPr>
      <w:r>
        <w:rPr>
          <w:rFonts w:ascii="Amiri" w:hAnsi="Amiri" w:eastAsia="Amiri" w:cs="Amiri"/>
          <w:color w:val="111111"/>
          <w:sz w:val="28"/>
          <w:sz w:val="28"/>
          <w:szCs w:val="28"/>
          <w:rtl w:val="true"/>
          <w:lang w:bidi="ar-SA"/>
        </w:rPr>
        <w:t>قال في القاموس السخف رقة العقل و غيره و سخف ككرم و ثوب سخيف قليل الغزل قوله عليه السلام و ثجه قال في القاموس ثج الماء سال و أثجه أساله</w:t>
      </w:r>
      <w:r>
        <w:rPr>
          <w:rFonts w:eastAsia="Amiri" w:cs="Amiri" w:ascii="Amiri" w:hAnsi="Amiri"/>
          <w:color w:val="111111"/>
          <w:sz w:val="28"/>
          <w:szCs w:val="28"/>
          <w:rtl w:val="true"/>
          <w:lang w:bidi="ar-SA"/>
        </w:rPr>
        <w:t>.</w:t>
      </w:r>
    </w:p>
    <w:p>
      <w:pPr>
        <w:pStyle w:val="Heading5"/>
        <w:numPr>
          <w:ilvl w:val="4"/>
          <w:numId w:val="1"/>
        </w:numPr>
        <w:rPr/>
      </w:pPr>
      <w:bookmarkStart w:id="1747" w:name="__RefHeading___Toc606516_1934241801"/>
      <w:bookmarkStart w:id="1748" w:name="_Toc802"/>
      <w:bookmarkEnd w:id="1747"/>
      <w:r>
        <w:rPr>
          <w:rtl w:val="true"/>
        </w:rPr>
        <w:t>أقول</w:t>
      </w:r>
      <w:bookmarkEnd w:id="1748"/>
    </w:p>
    <w:p>
      <w:pPr>
        <w:pStyle w:val="BookText"/>
        <w:rPr/>
      </w:pPr>
      <w:r>
        <w:rPr>
          <w:rFonts w:ascii="Amiri" w:hAnsi="Amiri" w:eastAsia="Amiri" w:cs="Amiri"/>
          <w:color w:val="111111"/>
          <w:sz w:val="28"/>
          <w:sz w:val="28"/>
          <w:szCs w:val="28"/>
          <w:rtl w:val="true"/>
          <w:lang w:bidi="ar-SA"/>
        </w:rPr>
        <w:t>يحتمل أن يكون فيه حذف و إيصال و الباء زائدة أي ثج عليه بالبلاء أو يكون تسييله كناية عن شدة ألمه و حزنه كأنه يذوب من البلاء و يسيل أو عن توجهه إلي جناب الحق تعالي للدعاء و التضرع لدفعه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كنع كمنع كنوعا تقبض و انضم و أصابعه ضربها فأيبسها و كفرح يبس و تشنج و كمعظم و محمل المقفع اليد أو المقطوعها و كنع يده أشلها و المسقام بالكسر الكثير السقم و في القاموس تعهده و تعاهده تفقده و أحدث العهد به و قال حمي المريض ما يضره منعه إياه</w:t>
      </w:r>
      <w:r>
        <w:rPr>
          <w:rFonts w:eastAsia="Amiri" w:cs="Amiri" w:ascii="Amiri" w:hAnsi="Amiri"/>
          <w:color w:val="111111"/>
          <w:sz w:val="28"/>
          <w:szCs w:val="28"/>
          <w:rtl w:val="true"/>
          <w:lang w:bidi="ar-SA"/>
        </w:rPr>
        <w:t>.</w:t>
      </w:r>
    </w:p>
    <w:p>
      <w:pPr>
        <w:pStyle w:val="Heading5"/>
        <w:numPr>
          <w:ilvl w:val="4"/>
          <w:numId w:val="1"/>
        </w:numPr>
        <w:rPr/>
      </w:pPr>
      <w:bookmarkStart w:id="1749" w:name="__RefHeading___Toc606518_1934241801"/>
      <w:bookmarkStart w:id="1750" w:name="_Toc803"/>
      <w:bookmarkEnd w:id="1749"/>
      <w:r>
        <w:rPr>
          <w:rtl w:val="true"/>
        </w:rPr>
        <w:t>«</w:t>
      </w:r>
      <w:r>
        <w:rPr/>
        <w:t>54</w:t>
      </w:r>
      <w:r>
        <w:rPr>
          <w:rtl w:val="true"/>
        </w:rPr>
        <w:t>»</w:t>
      </w:r>
      <w:bookmarkEnd w:id="1750"/>
    </w:p>
    <w:p>
      <w:pPr>
        <w:pStyle w:val="BookText"/>
        <w:rPr/>
      </w:pPr>
      <w:r>
        <w:rPr>
          <w:rFonts w:ascii="Amiri" w:hAnsi="Amiri" w:eastAsia="Amiri" w:cs="Amiri"/>
          <w:color w:val="111111"/>
          <w:sz w:val="28"/>
          <w:sz w:val="28"/>
          <w:szCs w:val="28"/>
          <w:rtl w:val="true"/>
          <w:lang w:bidi="ar-SA"/>
        </w:rPr>
        <w:t>أَعْلَامُ الدِّينِ،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الْمَرَضَ يُنَقِّي الْجَسَدَ مِنَ الذُّنُوبِ كَمَا يُذْهِبُ الْكِيرُ خَبَثَ الْحَدِيدِ وَ إِذَا مَرِضَ الصَّبِيُّ كَانَ مَرَضُهُ كَفَّارَةً لِوَالِدَيْهِ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الْحَسَنِ بْنِ عَلِيِّ بْنِ فَضَّالٍ عَنْ زُرَارَةَ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قَضَاءِ اللَّهِ لِلْمُؤْمِنِينَ كُلُّ خَيْرٍ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 اللَّهُ تَعَالَي قَضَاءً لِلْمُسْلِمِ إِلَّا كَانَ</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مقرّبان درگاه الهی پیوسته در شدّت و سختی به سر می برند، امّا این وضعیت مدّت اندکی طول می کشد و عافیت و آرامشی طویل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حُمران از امام باقر علیه السلام روایت کرده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 و جلّ با نازل کردن بلا و مصیبت از مؤمن سرکشی کرده و تفقّد می جوید آن گونه که مرد با هدیه دادن از خانواده اش تفقّد می جوید، و او را از نزدیک شدن به دنیا برحذر می دارد آن گونه که پزشک بیمار را از نزدیک شدن به برخی خوراکی ها برحذر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جایی به صرف عذا دعوت شد، هنگامی  که وارد خانه دعوت کننده شد مرغی را مشاهده کرد که بر روی دیوار تخم گذاشته است، پس تخم مرغ بر روی میخی که بر دیوار کوبیده شده بود افتاد و روی آن ایستاد و پایین نیفتاد و نشکست، پیامبر صلّی الله علیه و آله از آن تخم مرغ تعجب کرد، آن مرد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تخم مرغ تعجّب نمودید؟ سوگند به کسی که شما را به حقّ مبعوث گردانده است هرگز چیزی از مال و اموال من کاسته نشده است، پس پیامبر صلّی الله علیه و آله برخاست و چیزی از غذای آن مرد را نخورد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چیزی از اموال او کاسته نشود و ناقص نگردد، خداوند او را به او حاجتی نیست</w:t>
      </w:r>
      <w:r>
        <w:rPr>
          <w:rFonts w:eastAsia="IRNazanin" w:cs="IRNazanin"/>
          <w:color w:val="111111"/>
          <w:sz w:val="28"/>
          <w:szCs w:val="28"/>
          <w:rtl w:val="true"/>
          <w:lang w:bidi="fa-IR"/>
        </w:rPr>
        <w:t>.</w:t>
      </w:r>
    </w:p>
    <w:p>
      <w:pPr>
        <w:pStyle w:val="Heading5"/>
        <w:numPr>
          <w:ilvl w:val="4"/>
          <w:numId w:val="1"/>
        </w:numPr>
        <w:rPr/>
      </w:pPr>
      <w:bookmarkStart w:id="1751" w:name="__RefHeading___Toc606520_1934241801"/>
      <w:bookmarkStart w:id="1752" w:name="_Toc804"/>
      <w:bookmarkEnd w:id="1751"/>
      <w:r>
        <w:rPr>
          <w:rtl w:val="true"/>
        </w:rPr>
        <w:t>توضیح</w:t>
      </w:r>
      <w:bookmarkEnd w:id="1752"/>
    </w:p>
    <w:p>
      <w:pPr>
        <w:pStyle w:val="BookText"/>
        <w:rPr/>
      </w:pP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عقل و غیر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سخیف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نازک و کم  رشته؛ در مورد این فرموده 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ثَجّ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روان و جاری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روان و جاری ساخت</w:t>
      </w:r>
      <w:r>
        <w:rPr>
          <w:rFonts w:eastAsia="IRNazanin" w:cs="IRNazanin"/>
          <w:color w:val="111111"/>
          <w:sz w:val="28"/>
          <w:szCs w:val="28"/>
          <w:rtl w:val="true"/>
          <w:lang w:bidi="fa-IR"/>
        </w:rPr>
        <w:t>.</w:t>
      </w:r>
    </w:p>
    <w:p>
      <w:pPr>
        <w:pStyle w:val="Heading5"/>
        <w:numPr>
          <w:ilvl w:val="4"/>
          <w:numId w:val="1"/>
        </w:numPr>
        <w:rPr/>
      </w:pPr>
      <w:bookmarkStart w:id="1753" w:name="__RefHeading___Toc606522_1934241801"/>
      <w:bookmarkStart w:id="1754" w:name="_Toc805"/>
      <w:bookmarkEnd w:id="1753"/>
      <w:r>
        <w:rPr>
          <w:rtl w:val="true"/>
        </w:rPr>
        <w:t>می گویم</w:t>
      </w:r>
      <w:bookmarkEnd w:id="1754"/>
    </w:p>
    <w:p>
      <w:pPr>
        <w:pStyle w:val="BookText"/>
        <w:rPr/>
      </w:pPr>
      <w:r>
        <w:rPr>
          <w:rFonts w:ascii="IRNazanin" w:hAnsi="IRNazanin" w:eastAsia="IRNazanin"/>
          <w:color w:val="111111"/>
          <w:sz w:val="28"/>
          <w:sz w:val="28"/>
          <w:szCs w:val="28"/>
          <w:rtl w:val="true"/>
          <w:lang w:bidi="fa-IR"/>
        </w:rPr>
        <w:t>ممکن است که در این فرموده 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ثّجه بالبلاء ثّجاً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حذف و وصل صورت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باشد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ثّج علیه بالبلاء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مصیبت را بر او جاری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ممکن است که جاری ساختن بلا و مصیبت کنایه از شدّت درد و غم و اندوه بنده مؤمن باشد، گویی که از شدّت بلا و مصیبت ذوب می گردد و جاری می شود، و یا کنایه باشد از رفتن بنده مؤمن به درگاه حق تعالی به منظور دعا و تضرّع و زاری برای دفع بلا و مصیبت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فشرده و منقبض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 أصابعَه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انگشتانش زد که خشک شدند و از کار افتادند،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 و منقبض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مُعَظّم و 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دستش خشک و یا قطع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او را شَل و چلاغ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زیاد بیمار می شود؛ در قاموس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و تعاهده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توجه نمود و پیوسته از او سرکشی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 المریضَ ما یضرّه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مریض ضرر می رساند از او منع کرد</w:t>
      </w:r>
      <w:r>
        <w:rPr>
          <w:rFonts w:eastAsia="IRNazanin" w:cs="IRNazanin"/>
          <w:color w:val="111111"/>
          <w:sz w:val="28"/>
          <w:szCs w:val="28"/>
          <w:rtl w:val="true"/>
          <w:lang w:bidi="fa-IR"/>
        </w:rPr>
        <w:t>.</w:t>
      </w:r>
    </w:p>
    <w:p>
      <w:pPr>
        <w:pStyle w:val="Heading5"/>
        <w:numPr>
          <w:ilvl w:val="4"/>
          <w:numId w:val="1"/>
        </w:numPr>
        <w:rPr/>
      </w:pPr>
      <w:bookmarkStart w:id="1755" w:name="__RefHeading___Toc606524_1934241801"/>
      <w:bookmarkStart w:id="1756" w:name="_Toc806"/>
      <w:bookmarkEnd w:id="1755"/>
      <w:r>
        <w:rPr>
          <w:rtl w:val="true"/>
        </w:rPr>
        <w:t xml:space="preserve">روایت </w:t>
      </w:r>
      <w:r>
        <w:rPr/>
        <w:t>54</w:t>
      </w:r>
      <w:bookmarkEnd w:id="1756"/>
    </w:p>
    <w:p>
      <w:pPr>
        <w:pStyle w:val="BookText"/>
        <w:rPr/>
      </w:pP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بیماری جسم را از گناهان پاک می گرداند آن گونه که کوره آهنگری ناخالصی آهن را از بین می برد، و هرگاه که کودک مریض شود مریضی او باعث کفّاره گناهان والدینش می شود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زرارة روایت شده که از امام باقر علیه السلام شنیدم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قضا و قدری که از سوی خداوند برای مؤمنان وضع شده خیر نهفته است، 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قضا و قدری را برای انسان مسلمان وضع نمی کند مگر آنکه برای او </w:t>
      </w:r>
      <w:bookmarkStart w:id="1757" w:name="pg13517_329229"/>
    </w:p>
    <w:p>
      <w:pPr>
        <w:pStyle w:val="BookText"/>
        <w:rPr/>
      </w:pPr>
      <w:bookmarkEnd w:id="1757"/>
      <w:r>
        <w:rPr>
          <w:rFonts w:ascii="Amiri" w:hAnsi="Amiri" w:eastAsia="Amiri" w:cs="Amiri"/>
          <w:color w:val="111111"/>
          <w:sz w:val="28"/>
          <w:sz w:val="28"/>
          <w:szCs w:val="28"/>
          <w:rtl w:val="true"/>
          <w:lang w:bidi="ar-SA"/>
        </w:rPr>
        <w:t>خَيْراً لَهُ وَ لَوْ قُطِعَ قِطْعَةً قِطْعَةً كَانَ خَيْراً لَهُ وَ إِنْ مَلَكَ مَشَارِقَ الْأَرْضِ وَ مَغَارِبَهَا كَانَ خَيْراً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الْمُؤْمِنُ مَا لَهُ فِي الْمَصَائِبِ مِنَ الْأَجْرِ لَتَمَنَّي أَنْ يُقْرَضَ بِالْمَقَارِيضِ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لَلْبَلَاءُ وَ الْفَقْرُ وَ الْقَتْلُ أَسْرَعُ إِلَي مَنْ أَحَبَّنَا مِنْ رَكْضِ الْبَرَاذِينِ وَ مِنَ السَّيْلِ إِلَي ضَمِيرِهِ وَ هُوَ مُنْتَهَاهُ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فِيمَا أَوْحَي اللَّهُ إِلَي مُوسَي عليه السلام مَا خَلَقْتُ خَلْقاً أَحَبَّ إِلَيَّ مِنْ عَبْدِيَ الْمُؤْمِنِ فَإِنِّي إِنَّمَا ابْتَلَيْتُهُ لِمَا هُوَ خَيْرٌ لَهُ وَ أَعْطَيْتُهُ لِمَا هُوَ خَيْرٌ لَهُ وَ أُعَاقِبُهُ لِمَا هُوَ خَيْرٌ لَهُ وَ أُرَوِّعُهُ لِمَا هُوَ خَيْرٌ لَهُ وَ أَنَا أَعْلَمُ بِمَا يَصْلُحُ عَلَيْهِ عَبْدِي فَلْيَصْبِرْ عَلَي بَلَائِي وَ لْيَرْضَ بِقَضَائِي وَ لْيَشْكُرْ نَعْمَائِي أَكْتُبْهُ فِي الصِّدِّيقِينَ عِنْدِي إِذَا عَمِلَ بِرِضَايَ وَ أَطَاعَنِي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إِذَا كَانَ مِنْ أَمْرِهِ أَنْ يُكْرِمَ عَبْداً وَ لَهُ عِنْدَهُ ذَنْبٌ ابْتَلَاهُ بِالسُّقْمِ فَإِنْ لَمْ يَفْعَلْ فَبِالْحَاجَةِ فَإِنْ لَمْ يَفْعَلْ شَدَّدَ عَلَيْهِ عِنْدَ الْمَوْتِ وَ إِذَا كَانَ مِنْ أَمْرِهِ أَنْ يُهِينَ عَبْداً وَ لَهُ عِنْدَهُ حَسَنَةٌ أَصَحَّ بَدَنَهُ فَإِنْ لَمْ يَفْعَلْ وَسَّعَ عَلَيْهِ فِي مَعِيشَتِهِ فَإِنْ لَمْ يَفْعَلْ هَوَّنَ عَلَيْهِ الْمَوْتَ</w:t>
      </w:r>
      <w:r>
        <w:rPr>
          <w:rFonts w:eastAsia="Amiri" w:cs="Amiri" w:ascii="Amiri" w:hAnsi="Amiri"/>
          <w:color w:val="111111"/>
          <w:sz w:val="28"/>
          <w:szCs w:val="28"/>
          <w:rtl w:val="true"/>
          <w:lang w:bidi="ar-SA"/>
        </w:rPr>
        <w:t>.</w:t>
      </w:r>
    </w:p>
    <w:p>
      <w:pPr>
        <w:pStyle w:val="Heading5"/>
        <w:numPr>
          <w:ilvl w:val="4"/>
          <w:numId w:val="1"/>
        </w:numPr>
        <w:rPr/>
      </w:pPr>
      <w:bookmarkStart w:id="1758" w:name="__RefHeading___Toc606526_1934241801"/>
      <w:bookmarkStart w:id="1759" w:name="_Toc807"/>
      <w:bookmarkEnd w:id="1758"/>
      <w:r>
        <w:rPr>
          <w:rtl w:val="true"/>
        </w:rPr>
        <w:t>«</w:t>
      </w:r>
      <w:r>
        <w:rPr/>
        <w:t>55</w:t>
      </w:r>
      <w:r>
        <w:rPr>
          <w:rtl w:val="true"/>
        </w:rPr>
        <w:t>»</w:t>
      </w:r>
      <w:bookmarkEnd w:id="1759"/>
    </w:p>
    <w:p>
      <w:pPr>
        <w:pStyle w:val="BookText"/>
        <w:rPr/>
      </w:pPr>
      <w:r>
        <w:rPr>
          <w:rFonts w:ascii="Amiri" w:hAnsi="Amiri" w:eastAsia="Amiri" w:cs="Amiri"/>
          <w:color w:val="111111"/>
          <w:sz w:val="28"/>
          <w:sz w:val="28"/>
          <w:szCs w:val="28"/>
          <w:rtl w:val="true"/>
          <w:lang w:bidi="ar-SA"/>
        </w:rPr>
        <w:t>جَامِعُ الْأَخْبَارِ،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الْبَلَاءَ لِلظَّالِمِ أَدَبٌ وَ لِلْمُؤْمِنِ امْتِحَانٌ وَ لِلْأَنْبِيَاءِ دَرَجَةٌ وَ لِلْأَوْلِيَاءِ كَرَامَةٌ</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لَيَتَعَاهَدُ الْمُؤْمِنَ بِالْبَلَاءِ إِمَّا بِمَرَضٍ فِي جَسَدِهِ أَوْ بِمُصِيبَةٍ فِي أَهْلٍ أَوْ مَالٍ أَوْ مُصِيبَةٍ مِنْ مَصَائِبِ الدُّنْيَا لِيَأْجُرَهُ عَلَيْهَا</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هُوَ يُذَكَّرُ فِي كُلِّ أَرْبَعِينَ يَوْماً بِبَلَاءٍ إِمَّا</w:t>
      </w:r>
    </w:p>
    <w:p>
      <w:pPr>
        <w:pStyle w:val="BookText"/>
        <w:rPr/>
      </w:pPr>
      <w:r>
        <w:rPr>
          <w:rFonts w:ascii="IRNazanin" w:hAnsi="IRNazanin" w:eastAsia="IRNazanin"/>
          <w:color w:val="111111"/>
          <w:sz w:val="28"/>
          <w:sz w:val="28"/>
          <w:szCs w:val="28"/>
          <w:rtl w:val="true"/>
          <w:lang w:bidi="fa-IR"/>
        </w:rPr>
        <w:t>خیر باشد، اگر قطعه قطعه شود و یا به پادشاهی مشرق ها و مغرب های زمین برسد برای او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از میزان اجر و پاداشی که به خاطر دچار شدن به مصیبت ها برای او در نظر گرفته شده آگاه بود، آرزو می کرد که با قیچی قطعه قطعه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بلا و مصیبت، فقر و کشته شدن به دوست داران ما سریع تر از تاختن استرها و جاری شدن سیل در منتهای درّه ها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آنچه خداوند به موسی علیه السلام وحی فرموده،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آفریده ای را خلق نکرده ام که از بنده مؤمنم نزد من دوست داشتنی تر باشد، پس او را مبتلا ساختم به آنچه خیر او است ، به او بخشیدم آنچه که خیر اوست، او را مجازات کرده و بیمش دادم چرا که خیر و صلاحش در آن نهفته است، و من به وضعیتی که خیر و صلاح بنده ام در آن تأمین می شود آگاه ترم، پس باید که در برابر بلا و مصیبت من صبر پیشه سازد و به قضا و قدر وضع شده از سوی من راضی باشد و نعمت هایم را سپاس گوید، و اگر بر حسب رضایت من عمل کند و مرا فرمانبردار باشد او را در جمله صدّیقین نزد خود قرار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 خداوند متعال بر این باشد که بنده ای را گرامی بدارد که در نزد او گنهکار است ، او را به مریضی گرفتار می سازد، پس اگر کار ساز نباشد او را به حاجت و نیازمندی گرفتار می سازد، و اگر دوباره کار ساز نباشد هنگام مرگ بر او سخت می گیرد، همچنین اگر فرمان خداوند بر این باشد که بنده نیکوکاری را خوار سازد بدن او را سلامت می گرداند، اگر کار ساز نباشد زندگانی را برای او فراخ و گشاده می سازد و اگر باز هم کار ساز نباشد هنگام مرگ بر او آسان می گیرد</w:t>
      </w:r>
      <w:r>
        <w:rPr>
          <w:rFonts w:eastAsia="IRNazanin" w:cs="IRNazanin"/>
          <w:color w:val="111111"/>
          <w:sz w:val="28"/>
          <w:szCs w:val="28"/>
          <w:rtl w:val="true"/>
          <w:lang w:bidi="fa-IR"/>
        </w:rPr>
        <w:t>.</w:t>
      </w:r>
    </w:p>
    <w:p>
      <w:pPr>
        <w:pStyle w:val="Heading5"/>
        <w:numPr>
          <w:ilvl w:val="4"/>
          <w:numId w:val="1"/>
        </w:numPr>
        <w:rPr/>
      </w:pPr>
      <w:bookmarkStart w:id="1760" w:name="__RefHeading___Toc606528_1934241801"/>
      <w:bookmarkStart w:id="1761" w:name="_Toc808"/>
      <w:bookmarkEnd w:id="1760"/>
      <w:r>
        <w:rPr>
          <w:rtl w:val="true"/>
        </w:rPr>
        <w:t xml:space="preserve">روایت </w:t>
      </w:r>
      <w:r>
        <w:rPr/>
        <w:t>55</w:t>
      </w:r>
      <w:bookmarkEnd w:id="1761"/>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بلا و مصیبت برای ظالم، ادب کننده و برای مؤمن، امتحان و برای پیامبران، افزایش مرتبه و منزلت و برای اولیاء، کرامت است</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نازل کردن بلا و مصیبت از مؤمن سرکشی کرده و تفقّد می جوید تا او را بدین وسیله مأجور دارد، این بلا و مصیبت یا مرضی است که مؤمن به آن مبتلا می شود، یا نقصی است که در مورد اموال و بستگان روی می دهد، و یا گرفتار شدن به حادثه ای از حوادث دنیا است</w:t>
      </w:r>
      <w:r>
        <w:rPr>
          <w:rFonts w:eastAsia="IRNazanin" w:cs="IRNazanin"/>
          <w:color w:val="111111"/>
          <w:sz w:val="28"/>
          <w:szCs w:val="28"/>
          <w:rtl w:val="true"/>
          <w:lang w:bidi="fa-IR"/>
        </w:rPr>
        <w:t>.</w:t>
      </w:r>
      <w:r>
        <w:rPr>
          <w:rStyle w:val="FootnoteAnchor"/>
          <w:rtl w:val="true"/>
        </w:rPr>
        <w:footnoteReference w:id="916"/>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مؤمنی وجود ندارد مگر آنکه خداوند در طول هر چهل روز یک بار با نازل کردن بلا و مصیبت از او یاد می کند، </w:t>
      </w:r>
      <w:bookmarkStart w:id="1762" w:name="pg13517_329230"/>
    </w:p>
    <w:p>
      <w:pPr>
        <w:pStyle w:val="BookText"/>
        <w:rPr/>
      </w:pPr>
      <w:bookmarkEnd w:id="1762"/>
      <w:r>
        <w:rPr>
          <w:rFonts w:ascii="Amiri" w:hAnsi="Amiri" w:eastAsia="Amiri" w:cs="Amiri"/>
          <w:color w:val="111111"/>
          <w:sz w:val="28"/>
          <w:sz w:val="28"/>
          <w:szCs w:val="28"/>
          <w:rtl w:val="true"/>
          <w:lang w:bidi="ar-SA"/>
        </w:rPr>
        <w:t>فِي مَالِهِ أَوْ فِي وَلَدِهِ أَوْ فِي نَفْسِهِ فَيُؤْجَرُ عَلَيْهِ أَوْ هَمٍّ لَا يَدْرِي مِنْ أَيْنَ هُوَ</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لَيَكُونُ لِلْعَبْدِ مَنْزِلَةٌ عِنْدَ اللَّهِ فَمَا يَنَالُهَا إِلَّا بِإِحْدَي خَصْلَتَيْنِ إِمَّا بِذَهَابِ مَالِهِ أَوْ بَلِيَّةٍ فِي جَسَدِهِ‌</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لَمَنْزِلَةً لَا يَبْلُغُهَا الْعَبْدُ إِلَّا بِبَلَاءٍ فِي جَسَدِهِ‌</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مُوسَي عليه السلام فَمَرَّ بِرَجُلٍ مِنْ بَنِي إِسْرَائِيلَ فَذَهَبَ بِهِ حَتَّي خَرَجَ إِلَي الظَّهْرِ فَقَالَ لَهُ اجْلِسْ حَتَّي أَجِيئَكَ وَ خَطَّ عَلَيْهِ خَطَّةً ثُمَّ رَفَعَ رَأْسَهُ إِلَي السَّمَاءِ فَقَالَ إِنِّي أَسْتَوْدِعُكَ صَاحِبِي وَ أَنْتَ خَيْرُ مُسْتَوْدَعٍ ثُمَّ مَضَي فَنَاجَاهُ اللَّهُ بِمَا أَحَبَّ أَنْ يُنَاجِيَهُ ثُمَّ انْصَرَفَ نَحْوَ صَاحِبِهِ فَإِذَا أَسَدٌ قَدْ وَثَبَ عَلَيْهِ فَشَقَّ بَطْنَهُ وَ فَرَثَ لَحْمَهُ وَ شَرِبَ دَمَهُ قُلْتُ وَ مَا فَرْثُ اللَّحْمِ قَالَ قَطْعُ أَوْصَالِهِ فَرَفَعَ مُوسَي عليه السلام رَأْسَهُ فَقَالَ يَا رَبِّ اسْتَوْدَعْتُكَ وَ أَنْتَ خَيْرُ مُسْتَوْدَعٍ فَسَلَّطْتَ عَلَيْهِ شَرَّ كِلَابِكَ فَشَقَّ بَطْنَهُ وَ فَرَثَ لَحْمَهُ وَ شَرِبَ دَمَهُ فَقِيلَ يَا مُوسَي إِنَّ صَاحِبَكَ كَانَتْ لَهُ مَنْزِلَةٌ فِي الْجَنَّةِ لَمْ يَكُنْ يَبْلُغُهَا إِلَّا بِمَا صَنَعَتُ بِهِ انْظُرْ وَ كَشَفَ لَهُ الْغِطَاءَ فَنَظَرَ مُوسَي عليه السلام فَإِذَا مَنْزِلٌ شَرِيفٌ فَقَالَ رَبِّ رَضِيتُ‌</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3" w:name="__RefHeading___Toc606530_1934241801"/>
      <w:bookmarkStart w:id="1764" w:name="_Toc809"/>
      <w:bookmarkEnd w:id="1763"/>
      <w:r>
        <w:rPr>
          <w:rtl w:val="true"/>
        </w:rPr>
        <w:t>بيان</w:t>
      </w:r>
      <w:bookmarkEnd w:id="1764"/>
    </w:p>
    <w:p>
      <w:pPr>
        <w:pStyle w:val="BookText"/>
        <w:rPr/>
      </w:pPr>
      <w:r>
        <w:rPr>
          <w:rFonts w:ascii="Amiri" w:hAnsi="Amiri" w:eastAsia="Amiri" w:cs="Amiri"/>
          <w:color w:val="111111"/>
          <w:sz w:val="28"/>
          <w:sz w:val="28"/>
          <w:szCs w:val="28"/>
          <w:rtl w:val="true"/>
          <w:lang w:bidi="ar-SA"/>
        </w:rPr>
        <w:t>قال الجوهري فرثت كبده أفرثها فرثا و فرثتها تفريثا إذا ضربته و هو حي فانفرثت كبده أي انتثرت و أفرثت الكرش إذا شققتها و ألقيت ما فيها</w:t>
      </w:r>
      <w:r>
        <w:rPr>
          <w:rFonts w:eastAsia="Amiri" w:cs="Amiri" w:ascii="Amiri" w:hAnsi="Amiri"/>
          <w:color w:val="111111"/>
          <w:sz w:val="28"/>
          <w:szCs w:val="28"/>
          <w:rtl w:val="true"/>
          <w:lang w:bidi="ar-SA"/>
        </w:rPr>
        <w:t>.</w:t>
      </w:r>
    </w:p>
    <w:p>
      <w:pPr>
        <w:pStyle w:val="Heading5"/>
        <w:numPr>
          <w:ilvl w:val="4"/>
          <w:numId w:val="1"/>
        </w:numPr>
        <w:rPr/>
      </w:pPr>
      <w:bookmarkStart w:id="1765" w:name="__RefHeading___Toc606532_1934241801"/>
      <w:bookmarkStart w:id="1766" w:name="_Toc810"/>
      <w:bookmarkEnd w:id="1765"/>
      <w:r>
        <w:rPr>
          <w:rtl w:val="true"/>
        </w:rPr>
        <w:t>«</w:t>
      </w:r>
      <w:r>
        <w:rPr/>
        <w:t>56</w:t>
      </w:r>
      <w:r>
        <w:rPr>
          <w:rtl w:val="true"/>
        </w:rPr>
        <w:t>»</w:t>
      </w:r>
      <w:bookmarkEnd w:id="1766"/>
    </w:p>
    <w:p>
      <w:pPr>
        <w:pStyle w:val="BookText"/>
        <w:rPr/>
      </w:pPr>
      <w:r>
        <w:rPr>
          <w:rFonts w:ascii="Amiri" w:hAnsi="Amiri" w:eastAsia="Amiri" w:cs="Amiri"/>
          <w:color w:val="111111"/>
          <w:sz w:val="28"/>
          <w:sz w:val="28"/>
          <w:szCs w:val="28"/>
          <w:rtl w:val="true"/>
          <w:lang w:bidi="ar-SA"/>
        </w:rPr>
        <w:t>الْجَامِعُ، عَنِ الْكَاظِمِ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تَكُونُوا مُؤْمِنِينَ حَتَّي تَعُدُّوا الْبَلَاءَ نِعْمَةً وَ الرَّخَاءَ مُصِيبَةً وَ ذَلِكَ أَنَّ الصَّبْرَ عِنْدَ الْبَلَاءِ أَعْظَمُ مِنَ الْغَفْلَةِ عِنْدَ 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الْجَارُودِ عَنْ أَبِي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قَارَفَ الذُّنُوبَ ابْتُلِيَ بِهَا بِالْفَقْرِ فَإِنْ كَانَ فِي ذَلِكَ كَفَّارَةٌ لِذُنُوبِهِ وَ إِلَّا ابْتُلِيَ بِالْمَرَضِ فَإِنْ كَانَ ذَلِكَ كَفَّارَةً لِذُنُوبِهِ وَ إِلَّا ابْتُلِيَ بِالْخَوْفِ مِنَ السُّلْطَانِ يَطْلُبُهُ فَإِنْ كَانَ ذَلِكَ كَفَّارَةً لِذُنُوبِهِ وَ إِلَّا ضَيَّقَ عَلَيْهِ عِنْدَ خُرُوجِ نَفْسِهِ حَتَّي يَلْقَي</w:t>
      </w:r>
    </w:p>
    <w:p>
      <w:pPr>
        <w:pStyle w:val="BookText"/>
        <w:rPr/>
      </w:pPr>
      <w:r>
        <w:rPr>
          <w:rFonts w:ascii="IRNazanin" w:hAnsi="IRNazanin" w:eastAsia="IRNazanin"/>
          <w:color w:val="111111"/>
          <w:sz w:val="28"/>
          <w:sz w:val="28"/>
          <w:szCs w:val="28"/>
          <w:rtl w:val="true"/>
          <w:lang w:bidi="fa-IR"/>
        </w:rPr>
        <w:t>و این بلا و مصیبت یا بر اموال او نازل می شود یا بر فرزندان و یا بر خود او و یا با غم و اندوهی که نمی داند از کجا آمده است، و به خاطر تمام این امور مأجور خواهد بود</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بنده مؤمن نزد خداوند جایگاهی دارد که جز با حاصل شدن دو خصلت در او آن جایگاه را به دست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مال و اموال، مبتلا شدن به مرضی در جسم</w:t>
      </w:r>
      <w:r>
        <w:rPr>
          <w:rFonts w:eastAsia="IRNazanin" w:cs="IRNazanin"/>
          <w:color w:val="111111"/>
          <w:sz w:val="28"/>
          <w:szCs w:val="28"/>
          <w:rtl w:val="true"/>
          <w:lang w:bidi="fa-IR"/>
        </w:rPr>
        <w:t>.</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جایگاهی وجود دارد که بنده خداوند جز با مبتلا شدن به مرضی در جسمش به آن دست نمی یابد</w:t>
      </w:r>
      <w:r>
        <w:rPr>
          <w:rFonts w:eastAsia="IRNazanin" w:cs="IRNazanin"/>
          <w:color w:val="111111"/>
          <w:sz w:val="28"/>
          <w:szCs w:val="28"/>
          <w:rtl w:val="true"/>
          <w:lang w:bidi="fa-IR"/>
        </w:rPr>
        <w:t>.</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از خانه خارج شد و بر مردی از بنی اسرائیل گذر کرد، پس او را همراه خود برد تا به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پس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به سوی تو باز گردم،و خطی بر او کشید سپس سرش را به سوی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همراهم را به تو سپردم که بهترینِ سپرده شدگان هستی، آن گاه از آنجا رفت و خداوند با سخنانی که دوست می داشت با او نجوا کرد، سپس به سوی همراهش بازگشت و ناگهان مشاهده کرد شیری به او حمله کرده و شکمش را دریده است و گوشتش را پاره پاره کرده و خونش را سرکشیده است،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فرث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کردن بندبند گوشت، پس موسی علیه السلام سرش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همراهم را به تو که بهترین سپرده شدگان هستی سپردم، و تو بدترین سگانت را بر او مسلّط گرداندی که شکم او را دریده و گوشتش را پاره پاره کرد و خونش را سرکشیده است؟ ندایی موسی را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همراه تو صاحب جایگاهی در بهشت بود که جز با بلایی که او را بدان گرفتار ساختم به آن جایگاه دست نمی یافت،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پرده از مقابل دیدگان موسی علیه السلام کنار رفت و به بهشت نگاه کرد و جایگاهی شریف را در آن مشاهده کرد،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راضی شدم</w:t>
      </w:r>
      <w:r>
        <w:rPr>
          <w:rFonts w:eastAsia="IRNazanin" w:cs="IRNazanin"/>
          <w:color w:val="111111"/>
          <w:sz w:val="28"/>
          <w:szCs w:val="28"/>
          <w:rtl w:val="true"/>
          <w:lang w:bidi="fa-IR"/>
        </w:rPr>
        <w:t>.</w:t>
      </w:r>
      <w:r>
        <w:rPr>
          <w:rStyle w:val="FootnoteAnchor"/>
          <w:rtl w:val="true"/>
        </w:rPr>
        <w:footnoteReference w:id="924"/>
      </w:r>
    </w:p>
    <w:p>
      <w:pPr>
        <w:pStyle w:val="Heading5"/>
        <w:numPr>
          <w:ilvl w:val="4"/>
          <w:numId w:val="1"/>
        </w:numPr>
        <w:rPr/>
      </w:pPr>
      <w:bookmarkStart w:id="1767" w:name="__RefHeading___Toc606534_1934241801"/>
      <w:bookmarkStart w:id="1768" w:name="_Toc811"/>
      <w:bookmarkEnd w:id="1767"/>
      <w:r>
        <w:rPr>
          <w:rtl w:val="true"/>
        </w:rPr>
        <w:t>توضیح</w:t>
      </w:r>
      <w:bookmarkEnd w:id="1768"/>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فرثتُ کبدَه أفرثُها فرثاً و فرّثتُها تفریثاً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کبد او ضربه ای زدم و آن را پاره پاره کردم در حالی که زنده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فانفرثت کبده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کبدش پاره پاره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أقرثتُ الکَرِش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شکمبه را پاره پاره کردم و محتویات آن را بیرون ریختم</w:t>
      </w:r>
      <w:r>
        <w:rPr>
          <w:rFonts w:eastAsia="IRNazanin" w:cs="IRNazanin"/>
          <w:color w:val="111111"/>
          <w:sz w:val="28"/>
          <w:szCs w:val="28"/>
          <w:rtl w:val="true"/>
          <w:lang w:bidi="fa-IR"/>
        </w:rPr>
        <w:t>.</w:t>
      </w:r>
    </w:p>
    <w:p>
      <w:pPr>
        <w:pStyle w:val="Heading5"/>
        <w:numPr>
          <w:ilvl w:val="4"/>
          <w:numId w:val="1"/>
        </w:numPr>
        <w:rPr/>
      </w:pPr>
      <w:bookmarkStart w:id="1769" w:name="__RefHeading___Toc606536_1934241801"/>
      <w:bookmarkStart w:id="1770" w:name="_Toc812"/>
      <w:bookmarkEnd w:id="1769"/>
      <w:r>
        <w:rPr>
          <w:rtl w:val="true"/>
        </w:rPr>
        <w:t xml:space="preserve">روایت </w:t>
      </w:r>
      <w:r>
        <w:rPr/>
        <w:t>56</w:t>
      </w:r>
      <w:bookmarkEnd w:id="1770"/>
    </w:p>
    <w:p>
      <w:pPr>
        <w:pStyle w:val="BookText"/>
        <w:rPr/>
      </w:pP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مؤمن نخواهید بود تا زمانی که بلا و مصیبت را نعمت، و آسودگی و رفاه را مصیبت بشمارید، و این بدان سبب است که صبر پیشه  ساختن هنگام بلا و مصیبت از غفلت هنگام رفاه و آسایش با عظمت تر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از پدرانش علیهم السلام روایت کرده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مؤمن آن گاه که مرتکب گناهان می شود به سبب آن ها به فقر مبتلا می گردد، پس اگر این فقر باعث کفّاره تمام گناهانش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غیر این صورت به بیماری مبتلا می شود، اگر بیماری باعث کفّاره تمام گناهانش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غیر این صورت به ترس از سلطانی گرفتار می آید که او را طلب می کند، اگر این ترس باعث کفّاره تمام گناهانش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غیر این صورت هنگام خارج شدن روح از جسمش بر او سخت گرفته می شود، تا اینکه سرانجام </w:t>
      </w:r>
      <w:bookmarkStart w:id="1771" w:name="pg13517_329231"/>
    </w:p>
    <w:p>
      <w:pPr>
        <w:pStyle w:val="BookText"/>
        <w:rPr/>
      </w:pPr>
      <w:bookmarkEnd w:id="1771"/>
      <w:r>
        <w:rPr>
          <w:rFonts w:ascii="Amiri" w:hAnsi="Amiri" w:eastAsia="Amiri" w:cs="Amiri"/>
          <w:color w:val="111111"/>
          <w:sz w:val="28"/>
          <w:sz w:val="28"/>
          <w:szCs w:val="28"/>
          <w:rtl w:val="true"/>
          <w:lang w:bidi="ar-SA"/>
        </w:rPr>
        <w:t>اللَّهَ حِينَ يَلْقَاهُ وَ مَا لَهُ مِنْ ذَنْبٍ يَدَّعِيهِ عَلَيْهِ فَيَأْمُرُ بِهِ إِلَي الْجَنَّةِ وَ إِنَّ الْكَافِرَ وَ الْمُنَافِقَ لَيُهَوَّنُ عَلَيْهِمَا خُرُوجُ أَنْفُسِهِمَا حَتَّي يَلْقَيَانِ اللَّهَ حِينَ يَلْقَيَانِهِ وَ مَا لَهُمَا عِنْدَهُ مِنْ حَسَنَةٍ يَدَّعِيَانِهَا عَلَيْهِ فَيَأْمُرُ بِهِمَا إِلَي النَّارِ</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2" w:name="__RefHeading___Toc606538_1934241801"/>
      <w:bookmarkStart w:id="1773" w:name="_Toc813"/>
      <w:bookmarkEnd w:id="1772"/>
      <w:r>
        <w:rPr>
          <w:rtl w:val="true"/>
        </w:rPr>
        <w:t>«</w:t>
      </w:r>
      <w:r>
        <w:rPr/>
        <w:t>57</w:t>
      </w:r>
      <w:r>
        <w:rPr>
          <w:rtl w:val="true"/>
        </w:rPr>
        <w:t>»</w:t>
      </w:r>
      <w:bookmarkEnd w:id="1773"/>
    </w:p>
    <w:p>
      <w:pPr>
        <w:pStyle w:val="BookText"/>
        <w:rPr/>
      </w:pPr>
      <w:r>
        <w:rPr>
          <w:rFonts w:ascii="Amiri" w:hAnsi="Amiri" w:eastAsia="Amiri" w:cs="Amiri"/>
          <w:color w:val="111111"/>
          <w:sz w:val="28"/>
          <w:sz w:val="28"/>
          <w:szCs w:val="28"/>
          <w:rtl w:val="true"/>
          <w:lang w:bidi="ar-SA"/>
        </w:rPr>
        <w:t>مَكَارِمُ الْأَخْلَاقِ،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مِنْ عِرْقٍ يَضْرِبُ وَ لَا نَكْبَةٍ وَ لَا صُدَاعٍ وَ لَا مَرَضٍ إِلَّا بِذَنْبٍ وَ ذَلِكَ قَوْلُهُ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أَصابَكُمْ مِنْ مُصِيبَةٍ فَبِما كَسَبَتْ أَيْدِيكُمْ وَ يَعْفُوا عَنْ كَثِيرٍ</w:t>
      </w:r>
      <w:r>
        <w:rPr>
          <w:rStyle w:val="FootnoteAnchor"/>
          <w:rtl w:val="true"/>
        </w:rPr>
        <w:footnoteReference w:id="926"/>
      </w:r>
      <w:r>
        <w:rPr>
          <w:rFonts w:ascii="Amiri" w:hAnsi="Amiri" w:eastAsia="Amiri" w:cs="Amiri"/>
          <w:color w:val="111111"/>
          <w:sz w:val="28"/>
          <w:sz w:val="28"/>
          <w:szCs w:val="28"/>
          <w:rtl w:val="true"/>
          <w:lang w:bidi="ar-SA"/>
        </w:rPr>
        <w:t>ثُمَّ قَالَ وَ مَا يَعْفُو اللَّهُ أَكْثَرُ مِمَّا يُؤَاخِذُ بِهِ‌</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سَهَرُ لَيْلَةٍ مِنْ مَرَضٍ أَفْضَلُ مِنْ عِبَادَةِ سَنَةٍ</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 لَيْلَةٍ مِنْ مَرَضٍ تَعْدِلُ عِبَادَةَ سَنَةٍ وَ حُمَّي لَيْلَتَيْنِ تَعْدِلُ عِبَادَةَ سَنَتَيْنِ وَ حُمَّي ثَلَاثٍ تَعْدِلُ عِبَادَةَ سَبْعِينَ سَنَةً قَالَ أَبُو حَمْزَةَ قُلْتُ فَإِنْ لَمْ يَبْلُغْ سَبْعِينَ سَنَةً قَالَ عليه السلام فَلِأَبِيهِ وَ أُمِّهِ قَالَ قُلْتُ فَإِنْ لَمْ يَبْلُغَا قَالَ لِقَرَابَتِهِ قَالَ قُلْتُ وَ إِنْ لَمْ يَبْلُغْ قَرَابَتُهُ قَالَ عليه السلام فَجِيرَانِهِ‌</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4" w:name="__RefHeading___Toc606540_1934241801"/>
      <w:bookmarkStart w:id="1775" w:name="_Toc814"/>
      <w:bookmarkEnd w:id="1774"/>
      <w:r>
        <w:rPr>
          <w:rtl w:val="true"/>
        </w:rPr>
        <w:t>بيان</w:t>
      </w:r>
      <w:bookmarkEnd w:id="1775"/>
    </w:p>
    <w:p>
      <w:pPr>
        <w:pStyle w:val="BookText"/>
        <w:rPr/>
      </w:pPr>
      <w:r>
        <w:rPr>
          <w:rFonts w:ascii="Amiri" w:hAnsi="Amiri" w:eastAsia="Amiri" w:cs="Amiri"/>
          <w:color w:val="111111"/>
          <w:sz w:val="28"/>
          <w:sz w:val="28"/>
          <w:szCs w:val="28"/>
          <w:rtl w:val="true"/>
          <w:lang w:bidi="ar-SA"/>
        </w:rPr>
        <w:t>يمكن أن يقال إن العبادات لما كان أثرها رفع الدرجات و تكفير السيئات فإذا لم يكن له سيئة بقدر سبعين سنة يكفر به ذنوب أبويه أو يكون المراد بقوله يعدل عبادة سبعين سنة قبول عباداته في تلك المدة أو المراد عبادة سبعين سنة من عمره و قيل لما كانت العبادات مختلفة بالنظر إلي الأشخاص في الفضل فالمراد أنه إذا لم يكن له سبعون سنة فبم تقاس عباداته فالجواب أنه تقاس البقية بعبادات والديه و لا يخفي بعده</w:t>
      </w:r>
      <w:r>
        <w:rPr>
          <w:rFonts w:eastAsia="Amiri" w:cs="Amiri" w:ascii="Amiri" w:hAnsi="Amiri"/>
          <w:color w:val="111111"/>
          <w:sz w:val="28"/>
          <w:szCs w:val="28"/>
          <w:rtl w:val="true"/>
          <w:lang w:bidi="ar-SA"/>
        </w:rPr>
        <w:t>.</w:t>
      </w:r>
    </w:p>
    <w:p>
      <w:pPr>
        <w:pStyle w:val="Heading5"/>
        <w:numPr>
          <w:ilvl w:val="4"/>
          <w:numId w:val="1"/>
        </w:numPr>
        <w:rPr/>
      </w:pPr>
      <w:bookmarkStart w:id="1776" w:name="__RefHeading___Toc606542_1934241801"/>
      <w:bookmarkStart w:id="1777" w:name="_Toc815"/>
      <w:bookmarkEnd w:id="1776"/>
      <w:r>
        <w:rPr>
          <w:rtl w:val="true"/>
        </w:rPr>
        <w:t>«</w:t>
      </w:r>
      <w:r>
        <w:rPr/>
        <w:t>58</w:t>
      </w:r>
      <w:r>
        <w:rPr>
          <w:rtl w:val="true"/>
        </w:rPr>
        <w:t>»</w:t>
      </w:r>
      <w:bookmarkEnd w:id="1777"/>
    </w:p>
    <w:p>
      <w:pPr>
        <w:pStyle w:val="BookText"/>
        <w:rPr/>
      </w:pPr>
      <w:r>
        <w:rPr>
          <w:rFonts w:ascii="Amiri" w:hAnsi="Amiri" w:eastAsia="Amiri" w:cs="Amiri"/>
          <w:color w:val="111111"/>
          <w:sz w:val="28"/>
          <w:sz w:val="28"/>
          <w:szCs w:val="28"/>
          <w:rtl w:val="true"/>
          <w:lang w:bidi="ar-SA"/>
        </w:rPr>
        <w:t>الْمَكَارِمُ،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صُدَاعُ لَيْلَةٍ يَحُطُّ كُلَّ خَطِيئَةٍ إِلَّا الْكَبَائِرَ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را در روز قیامت ملاقات کند در حالی که گناهی ندارد، بنابراین فرمان داده می شود که به سوی بهشت روانه گردد، و کافر و منافق به راحتی روح از جسمشان خارج می شود تا به حضور خداوند بروند در روزی که او را ملاقات می کنند در حالی  که هیچ عمل نیکی نزد او ندارند که به خاطر آن نزد خداوند مدّعی باشند، بنابراین فرمان داده می شود تا به سوی آتش جهنّم روانه گردند</w:t>
      </w:r>
      <w:r>
        <w:rPr>
          <w:rFonts w:eastAsia="IRNazanin" w:cs="IRNazanin"/>
          <w:color w:val="111111"/>
          <w:sz w:val="28"/>
          <w:szCs w:val="28"/>
          <w:rtl w:val="true"/>
          <w:lang w:bidi="fa-IR"/>
        </w:rPr>
        <w:t>.</w:t>
      </w:r>
      <w:r>
        <w:rPr>
          <w:rStyle w:val="FootnoteAnchor"/>
          <w:rtl w:val="true"/>
        </w:rPr>
        <w:footnoteReference w:id="930"/>
      </w:r>
    </w:p>
    <w:p>
      <w:pPr>
        <w:pStyle w:val="Heading5"/>
        <w:numPr>
          <w:ilvl w:val="4"/>
          <w:numId w:val="1"/>
        </w:numPr>
        <w:rPr/>
      </w:pPr>
      <w:bookmarkStart w:id="1778" w:name="__RefHeading___Toc606544_1934241801"/>
      <w:bookmarkStart w:id="1779" w:name="_Toc816"/>
      <w:bookmarkEnd w:id="1778"/>
      <w:r>
        <w:rPr>
          <w:rtl w:val="true"/>
        </w:rPr>
        <w:t xml:space="preserve">روایت </w:t>
      </w:r>
      <w:r>
        <w:rPr/>
        <w:t>57</w:t>
      </w:r>
      <w:bookmarkEnd w:id="1779"/>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هیچ رگی نمی زند و هیچ گرفتاری و مصیبتی و سردرد و مرضی روی نمی دهد مگر به سبب ارتکاب گناه، و این مصداق فرموده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أصابکم من مصیبة فبما کسبت أیدیکم و یعفو عن کثیر</w:t>
      </w:r>
      <w:r>
        <w:rPr>
          <w:rFonts w:eastAsia="IRNazanin" w:cs="IRNazanin"/>
          <w:color w:val="111111"/>
          <w:sz w:val="28"/>
          <w:szCs w:val="28"/>
          <w:rtl w:val="true"/>
          <w:lang w:bidi="fa-IR"/>
        </w:rPr>
        <w:t>»</w:t>
      </w:r>
      <w:r>
        <w:rPr>
          <w:rStyle w:val="FootnoteAnchor"/>
          <w:rtl w:val="true"/>
        </w:rPr>
        <w:footnoteReference w:id="93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 عفو خداوند بیشتر از مؤاخذه و بازخواست اوست</w:t>
      </w:r>
      <w:r>
        <w:rPr>
          <w:rFonts w:eastAsia="IRNazanin" w:cs="IRNazanin"/>
          <w:color w:val="111111"/>
          <w:sz w:val="28"/>
          <w:szCs w:val="28"/>
          <w:rtl w:val="true"/>
          <w:lang w:bidi="fa-IR"/>
        </w:rPr>
        <w:t>.</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ماندن یک شب به خاطر بیماری برتر از عبادت یک سال است</w:t>
      </w:r>
      <w:r>
        <w:rPr>
          <w:rFonts w:eastAsia="IRNazanin" w:cs="IRNazanin"/>
          <w:color w:val="111111"/>
          <w:sz w:val="28"/>
          <w:szCs w:val="28"/>
          <w:rtl w:val="true"/>
          <w:lang w:bidi="fa-IR"/>
        </w:rPr>
        <w:t>.</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یک شب که به خاطر بیماری باشد با عبادت یک سال، تب دو شب با عبادت دو سال و تب سه شب با عبادت هفتاد سال برابری می کند، أبوحمزه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مریض و یا میزان گناهان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هفتاد سال نرسد چه اتفاقی می افتد؟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به حساب پدر و مادرش نوشته می شود، گفتم اگر سنّ و یا میزان گناهان آن دو نیز به هفتاد نرسد؟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به حساب نزدیکانش نوشته می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 نزدیکان و یا میزان گناهان آنان هم به هفتاد نرسد؟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به حساب همسایه اش نوشته می شود</w:t>
      </w:r>
      <w:r>
        <w:rPr>
          <w:rFonts w:eastAsia="IRNazanin" w:cs="IRNazanin"/>
          <w:color w:val="111111"/>
          <w:sz w:val="28"/>
          <w:szCs w:val="28"/>
          <w:rtl w:val="true"/>
          <w:lang w:bidi="fa-IR"/>
        </w:rPr>
        <w:t>.</w:t>
      </w:r>
      <w:r>
        <w:rPr>
          <w:rStyle w:val="FootnoteAnchor"/>
          <w:rtl w:val="true"/>
        </w:rPr>
        <w:footnoteReference w:id="934"/>
      </w:r>
    </w:p>
    <w:p>
      <w:pPr>
        <w:pStyle w:val="Heading5"/>
        <w:numPr>
          <w:ilvl w:val="4"/>
          <w:numId w:val="1"/>
        </w:numPr>
        <w:rPr/>
      </w:pPr>
      <w:bookmarkStart w:id="1780" w:name="__RefHeading___Toc606546_1934241801"/>
      <w:bookmarkStart w:id="1781" w:name="_Toc817"/>
      <w:bookmarkEnd w:id="1780"/>
      <w:r>
        <w:rPr>
          <w:rtl w:val="true"/>
        </w:rPr>
        <w:t>توضیح</w:t>
      </w:r>
      <w:bookmarkEnd w:id="1781"/>
    </w:p>
    <w:p>
      <w:pPr>
        <w:pStyle w:val="BookText"/>
        <w:rPr/>
      </w:pPr>
      <w:r>
        <w:rPr>
          <w:rFonts w:ascii="IRNazanin" w:hAnsi="IRNazanin" w:eastAsia="IRNazanin"/>
          <w:color w:val="111111"/>
          <w:sz w:val="28"/>
          <w:sz w:val="28"/>
          <w:szCs w:val="28"/>
          <w:rtl w:val="true"/>
          <w:lang w:bidi="fa-IR"/>
        </w:rPr>
        <w:t xml:space="preserve">ممکن است گفته شود از آنجا که اثر عبادات، بالا رفتن درجات و از بین بردن گناهان است، پس اگر میزان گناهان بیمار به اندازه هفتاد سال نباشد از میزان گناهان پدر و مادرش کاسته می شود، و یا منظور از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یعدل عبادة سبعین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پذیرش عبادت های انجام شده توسط بیمار در مدّت هفتاد سال باشد، یا منظور برابری کردن تب سه شب با عبادت هفتاد سال از عمر بیمار باشد،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عبادات با توجه فضیلت و برتری شخصیت ها مختلف می باشد پس منظور از این فرموده این است که اگر مریض هفتاد سال سن نداشته باشد عبادت های باقیمانده او با چه چیزی مقایسه می شود؟ و در پاسخ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باقی مانده او با عبادت پدر و مادرش مقایسه می شود، و بعید بودن این نظر آشکار است</w:t>
      </w:r>
      <w:r>
        <w:rPr>
          <w:rFonts w:eastAsia="IRNazanin" w:cs="IRNazanin"/>
          <w:color w:val="111111"/>
          <w:sz w:val="28"/>
          <w:szCs w:val="28"/>
          <w:rtl w:val="true"/>
          <w:lang w:bidi="fa-IR"/>
        </w:rPr>
        <w:t>.</w:t>
      </w:r>
    </w:p>
    <w:p>
      <w:pPr>
        <w:pStyle w:val="Heading5"/>
        <w:numPr>
          <w:ilvl w:val="4"/>
          <w:numId w:val="1"/>
        </w:numPr>
        <w:rPr/>
      </w:pPr>
      <w:bookmarkStart w:id="1782" w:name="__RefHeading___Toc606548_1934241801"/>
      <w:bookmarkStart w:id="1783" w:name="_Toc818"/>
      <w:bookmarkEnd w:id="1782"/>
      <w:r>
        <w:rPr>
          <w:rtl w:val="true"/>
        </w:rPr>
        <w:t xml:space="preserve">روایت </w:t>
      </w:r>
      <w:r>
        <w:rPr/>
        <w:t>58</w:t>
      </w:r>
      <w:bookmarkEnd w:id="178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سردرد یک شب تمام گناهان غیراز گناهان کبیره را از بین می برد</w:t>
      </w:r>
      <w:r>
        <w:rPr>
          <w:rFonts w:eastAsia="IRNazanin" w:cs="IRNazanin"/>
          <w:color w:val="111111"/>
          <w:sz w:val="28"/>
          <w:szCs w:val="28"/>
          <w:rtl w:val="true"/>
          <w:lang w:bidi="fa-IR"/>
        </w:rPr>
        <w:t xml:space="preserve">. </w:t>
      </w:r>
      <w:bookmarkStart w:id="1784" w:name="pg13517_329232"/>
    </w:p>
    <w:p>
      <w:pPr>
        <w:pStyle w:val="Heading5"/>
        <w:numPr>
          <w:ilvl w:val="4"/>
          <w:numId w:val="1"/>
        </w:numPr>
        <w:rPr/>
      </w:pPr>
      <w:bookmarkStart w:id="1785" w:name="__RefHeading___Toc606550_1934241801"/>
      <w:bookmarkStart w:id="1786" w:name="_Toc819"/>
      <w:bookmarkEnd w:id="1784"/>
      <w:bookmarkEnd w:id="1785"/>
      <w:r>
        <w:rPr>
          <w:rtl w:val="true"/>
        </w:rPr>
        <w:t>«</w:t>
      </w:r>
      <w:r>
        <w:rPr/>
        <w:t>59</w:t>
      </w:r>
      <w:r>
        <w:rPr>
          <w:rtl w:val="true"/>
        </w:rPr>
        <w:t>»</w:t>
      </w:r>
      <w:bookmarkEnd w:id="1786"/>
    </w:p>
    <w:p>
      <w:pPr>
        <w:pStyle w:val="BookText"/>
        <w:rPr/>
      </w:pPr>
      <w:r>
        <w:rPr>
          <w:rFonts w:ascii="Amiri" w:hAnsi="Amiri" w:eastAsia="Amiri" w:cs="Amiri"/>
          <w:color w:val="111111"/>
          <w:sz w:val="28"/>
          <w:sz w:val="28"/>
          <w:szCs w:val="28"/>
          <w:rtl w:val="true"/>
          <w:lang w:bidi="ar-SA"/>
        </w:rPr>
        <w:t>كِتَابُ دَلَائِلِ الْإِمَامَةِ لِلطَّبَرِيِّ الْإِمَامِيِّ، بِإِسْنَادِهِ عَنْ عَلِيِّ بْنِ الْحَكَمِ عَنْ مُثَنًّي الْحَنَّاطِ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جَعْفَرٍ عليه السلام فَقُلْتُ لَهُ أَنْتُمْ وَرَثَةُ رَسُولِ اللَّهِ صلي الله عليه و آله قَالَ نَعَمْ قُلْتُ وَ رَسُولُ اللَّهِ صلي الله عليه و آله وَارِثُ الْأَنْبِيَاءِ عَلَي مَا عَلِمُوا قَالَ نَعَمْ قُلْتُ فَأَنْتُمْ تَقْدِرُونَ عَلَي أَنْ تُحْيُوا الْمَوْتَي وَ تُبْرِءُوا الْأَكْمَهَ وَ الْأَبْرَصَ قَالَ نَعَمْ بِإِذْنِ اللَّهِ ثُمَّ قَالَ ادْنُ مِنِّي يَا بَا مُحَمَّدٍ فَمَسَحَ يَدَهُ عَلَي عَيْنِي وَ وَجْهِي فَأَبْصَرْتُ الشَّمْسَ وَ السَّمَاءَ وَ الْأَرْضَ وَ الْبُيُوتَ وَ كُلَّ شَيْ‌ءٍ فِي الدَّارِ قَالَ فَقَالَ تُحِبُّ أَنْ تَكُونَ عَلَي هَذَا وَ لَكَ مَا لِلنَّاسِ وَ عَلَيْكَ مَا عَلَيْهِمْ يَوْمَ الْقِيَامَةِ أَوْ تَعُودَ كَمَا كُنْتَ وَ لَكَ الْجَنَّةُ خَالِصَةً قَالَ قُلْتُ أَعُودُ كَمَا كُنْتُ قَالَ فَمَسَحَ يَدَهُ عَلَي عَيْنِي فَعُدْتُ كَمَا كُنْتُ‌</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7" w:name="__RefHeading___Toc606552_1934241801"/>
      <w:bookmarkStart w:id="1788" w:name="_Toc820"/>
      <w:bookmarkEnd w:id="1787"/>
      <w:r>
        <w:rPr>
          <w:rtl w:val="true"/>
        </w:rPr>
        <w:t xml:space="preserve">روایت </w:t>
      </w:r>
      <w:r>
        <w:rPr/>
        <w:t>59</w:t>
      </w:r>
      <w:bookmarkEnd w:id="1788"/>
    </w:p>
    <w:p>
      <w:pPr>
        <w:pStyle w:val="BookText"/>
        <w:rPr/>
      </w:pPr>
      <w:r>
        <w:rPr>
          <w:rFonts w:ascii="IRNazanin" w:hAnsi="IRNazanin" w:eastAsia="IRNazanin"/>
          <w:color w:val="111111"/>
          <w:sz w:val="28"/>
          <w:sz w:val="28"/>
          <w:szCs w:val="28"/>
          <w:rtl w:val="true"/>
          <w:lang w:bidi="fa-IR"/>
        </w:rPr>
        <w:t>کتاب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علیه السلام رفتم و از ایشان پرسیدم آیا شما ورثه رسول خدا صلّی الله علیه و آله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نیز در اموری که انبیاء از آن آگاهی داشته اند وارث آنان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شما می توانید مردگان را زنده گردانید و نابینایان و مبتلایان به پیسی را شفا بخشید؟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آری،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 به من نزدیک شو، پس دستش را بر روی چشمها و صورت من کشید و من خورشید، آسمان، زمین و خانه ها و هر چیزی که در خانه است را مشاهده کردم، آن 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در این وضعیت بمانی و در روز قیامت صاحب چیزی باشی که مردم صاحب آنند و عقوباتی که در مورد آنان به اجرا در می آید</w:t>
      </w:r>
    </w:p>
    <w:p>
      <w:pPr>
        <w:pStyle w:val="BookText"/>
        <w:rPr/>
      </w:pPr>
      <w:r>
        <w:rPr>
          <w:rFonts w:ascii="IRNazanin" w:hAnsi="IRNazanin" w:eastAsia="IRNazanin"/>
          <w:color w:val="111111"/>
          <w:sz w:val="28"/>
          <w:sz w:val="28"/>
          <w:szCs w:val="28"/>
          <w:rtl w:val="true"/>
          <w:lang w:bidi="fa-IR"/>
        </w:rPr>
        <w:t>در مورد تو نیز به اجرا درآید یا به حالت اولیه خود بازگردی و بهشت به صورت خالص از آنِ تو باشد؟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به حالت اولیّه خود بازگردم، پس امام دستش را بر روی چشمانم کشید و به حالت اولیه خود بازگشتم</w:t>
      </w:r>
      <w:r>
        <w:rPr>
          <w:rFonts w:eastAsia="IRNazanin" w:cs="IRNazanin"/>
          <w:color w:val="111111"/>
          <w:sz w:val="28"/>
          <w:szCs w:val="28"/>
          <w:rtl w:val="true"/>
          <w:lang w:bidi="fa-IR"/>
        </w:rPr>
        <w:t>.</w:t>
      </w:r>
      <w:r>
        <w:rPr>
          <w:rStyle w:val="FootnoteAnchor"/>
          <w:rtl w:val="true"/>
        </w:rPr>
        <w:footnoteReference w:id="936"/>
      </w:r>
      <w:bookmarkStart w:id="1789" w:name="pg13517_329233"/>
    </w:p>
    <w:p>
      <w:pPr>
        <w:pStyle w:val="Heading3"/>
        <w:numPr>
          <w:ilvl w:val="2"/>
          <w:numId w:val="1"/>
        </w:numPr>
        <w:rPr/>
      </w:pPr>
      <w:bookmarkStart w:id="1790" w:name="__RefHeading___Toc606554_1934241801"/>
      <w:bookmarkStart w:id="1791" w:name="_Toc821"/>
      <w:bookmarkEnd w:id="1789"/>
      <w:bookmarkEnd w:id="1790"/>
      <w:r>
        <w:rPr>
          <w:rtl w:val="true"/>
        </w:rPr>
        <w:t xml:space="preserve">باب </w:t>
      </w:r>
      <w:r>
        <w:rPr/>
        <w:t>2</w:t>
      </w:r>
      <w:r>
        <w:rPr>
          <w:rtl w:val="true"/>
        </w:rPr>
        <w:t xml:space="preserve"> </w:t>
      </w:r>
      <w:r>
        <w:rPr>
          <w:rtl w:val="true"/>
        </w:rPr>
        <w:t>آداب المريض و أحكامه و شكواه و صبره و غيرها</w:t>
      </w:r>
      <w:bookmarkEnd w:id="1791"/>
    </w:p>
    <w:p>
      <w:pPr>
        <w:pStyle w:val="Heading4"/>
        <w:numPr>
          <w:ilvl w:val="3"/>
          <w:numId w:val="1"/>
        </w:numPr>
        <w:rPr/>
      </w:pPr>
      <w:bookmarkStart w:id="1792" w:name="__RefHeading___Toc606556_1934241801"/>
      <w:bookmarkStart w:id="1793" w:name="_Toc822"/>
      <w:bookmarkEnd w:id="1792"/>
      <w:r>
        <w:rPr>
          <w:rtl w:val="true"/>
        </w:rPr>
        <w:t>روايات</w:t>
      </w:r>
      <w:bookmarkEnd w:id="1793"/>
    </w:p>
    <w:p>
      <w:pPr>
        <w:pStyle w:val="Heading5"/>
        <w:numPr>
          <w:ilvl w:val="4"/>
          <w:numId w:val="1"/>
        </w:numPr>
        <w:rPr/>
      </w:pPr>
      <w:bookmarkStart w:id="1794" w:name="__RefHeading___Toc606558_1934241801"/>
      <w:bookmarkStart w:id="1795" w:name="_Toc823"/>
      <w:bookmarkEnd w:id="1794"/>
      <w:r>
        <w:rPr>
          <w:rtl w:val="true"/>
        </w:rPr>
        <w:t>«</w:t>
      </w:r>
      <w:r>
        <w:rPr/>
        <w:t>1</w:t>
      </w:r>
      <w:r>
        <w:rPr>
          <w:rtl w:val="true"/>
        </w:rPr>
        <w:t>»</w:t>
      </w:r>
      <w:bookmarkEnd w:id="1795"/>
    </w:p>
    <w:p>
      <w:pPr>
        <w:pStyle w:val="BookText"/>
        <w:rPr/>
      </w:pPr>
      <w:r>
        <w:rPr>
          <w:rFonts w:ascii="Amiri" w:hAnsi="Amiri" w:eastAsia="Amiri" w:cs="Amiri"/>
          <w:color w:val="111111"/>
          <w:sz w:val="28"/>
          <w:sz w:val="28"/>
          <w:szCs w:val="28"/>
          <w:rtl w:val="true"/>
          <w:lang w:bidi="ar-SA"/>
        </w:rPr>
        <w:t>مَعَانِي الْأَخْبَارِ، عَنْ جَعْفَرِ بْنِ مُحَمَّدِ بْنِ مَسْرُورٍ عَنِ الْحُسَيْنِ بْنِ مُحَمَّدِ بْنِ عَامِرٍ عَنْ عَمِّهِ عَنْ أَبِي عَبْدِ اللَّهِ عَنِ ابْنِ أَبِي عُمَيْرٍ عَنْ جَمِيلِ بْنِ صَالِحٍ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الشَّكْوَي أَنْ تَقُولَ قَدِ ابْتُلِيتُ بِمَا لَمْ يُبْتَلَ بِهِ أَحَدٌ أَوْ تَقُولَ لَقَدْ أَصَابَنِي مَا لَمْ يُصِبْ أَحَداً وَ لَيْسَ الشَّكْوَي أَنْ تَقُولَ سَهِرْتُ الْبَارِحَةَ وَ حُمِمْتُ الْيَوْمَ وَ نَحْوَ هَذَا</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6" w:name="__RefHeading___Toc606560_1934241801"/>
      <w:bookmarkStart w:id="1797" w:name="_Toc824"/>
      <w:bookmarkEnd w:id="1796"/>
      <w:r>
        <w:rPr>
          <w:rtl w:val="true"/>
        </w:rPr>
        <w:t>«</w:t>
      </w:r>
      <w:r>
        <w:rPr/>
        <w:t>2</w:t>
      </w:r>
      <w:r>
        <w:rPr>
          <w:rtl w:val="true"/>
        </w:rPr>
        <w:t>»</w:t>
      </w:r>
      <w:bookmarkEnd w:id="1797"/>
    </w:p>
    <w:p>
      <w:pPr>
        <w:pStyle w:val="BookText"/>
        <w:rPr/>
      </w:pPr>
      <w:r>
        <w:rPr>
          <w:rFonts w:ascii="Amiri" w:hAnsi="Amiri" w:eastAsia="Amiri" w:cs="Amiri"/>
          <w:color w:val="111111"/>
          <w:sz w:val="28"/>
          <w:sz w:val="28"/>
          <w:szCs w:val="28"/>
          <w:rtl w:val="true"/>
          <w:lang w:bidi="ar-SA"/>
        </w:rPr>
        <w:t>وَ مِنْهُ، عَنْ أَبِيهِ عَنْ سَعْدِ بْنِ عَبْدِ اللَّهِ عَنْ أَحْمَدَ بْنِ مُحَمَّدٍ عَنْ أَبِيهِ عَنْ حَمَّادِ بْنِ عِيسَي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الشِّكَايَةُ أَنْ يَقُولَ الرَّجُلُ مَرِضْتُ الْبَارِحَةَ أَوْ وُعِكْتُ الْبَارِحَةَ وَ لَكِنَّ الشِّكَايَةَ أَنْ يَقُولَ بُلِيتُ بِمَا لَمْ يُبْلَ بِهِ أَحَدٌ</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8" w:name="__RefHeading___Toc606562_1934241801"/>
      <w:bookmarkStart w:id="1799" w:name="_Toc825"/>
      <w:bookmarkEnd w:id="1798"/>
      <w:r>
        <w:rPr>
          <w:rtl w:val="true"/>
        </w:rPr>
        <w:t>بيان</w:t>
      </w:r>
      <w:bookmarkEnd w:id="1799"/>
    </w:p>
    <w:p>
      <w:pPr>
        <w:pStyle w:val="BookText"/>
        <w:rPr/>
      </w:pPr>
      <w:r>
        <w:rPr>
          <w:rFonts w:ascii="Amiri" w:hAnsi="Amiri" w:eastAsia="Amiri" w:cs="Amiri"/>
          <w:color w:val="111111"/>
          <w:sz w:val="28"/>
          <w:sz w:val="28"/>
          <w:szCs w:val="28"/>
          <w:rtl w:val="true"/>
          <w:lang w:bidi="ar-SA"/>
        </w:rPr>
        <w:t>يحتمل أن يكون هذا تفسيرا للشكاية التي تحبط الأجر أو يحمل علي الإخبار لغرض كإخبار الطبيب إذ الظاهر من بعض الأخبار أن الأفضل أن لا يخبر به أحدا</w:t>
      </w:r>
      <w:r>
        <w:rPr>
          <w:rFonts w:eastAsia="Amiri" w:cs="Amiri" w:ascii="Amiri" w:hAnsi="Amiri"/>
          <w:color w:val="111111"/>
          <w:sz w:val="28"/>
          <w:szCs w:val="28"/>
          <w:rtl w:val="true"/>
          <w:lang w:bidi="ar-SA"/>
        </w:rPr>
        <w:t>.</w:t>
      </w:r>
    </w:p>
    <w:p>
      <w:pPr>
        <w:pStyle w:val="Heading5"/>
        <w:numPr>
          <w:ilvl w:val="4"/>
          <w:numId w:val="1"/>
        </w:numPr>
        <w:rPr/>
      </w:pPr>
      <w:bookmarkStart w:id="1800" w:name="__RefHeading___Toc606564_1934241801"/>
      <w:bookmarkStart w:id="1801" w:name="_Toc826"/>
      <w:bookmarkEnd w:id="1800"/>
      <w:r>
        <w:rPr>
          <w:rtl w:val="true"/>
        </w:rPr>
        <w:t>«</w:t>
      </w:r>
      <w:r>
        <w:rPr/>
        <w:t>3</w:t>
      </w:r>
      <w:r>
        <w:rPr>
          <w:rtl w:val="true"/>
        </w:rPr>
        <w:t>»</w:t>
      </w:r>
      <w:bookmarkEnd w:id="1801"/>
    </w:p>
    <w:p>
      <w:pPr>
        <w:pStyle w:val="BookText"/>
        <w:rPr/>
      </w:pPr>
      <w:r>
        <w:rPr>
          <w:rFonts w:ascii="Amiri" w:hAnsi="Amiri" w:eastAsia="Amiri" w:cs="Amiri"/>
          <w:color w:val="111111"/>
          <w:sz w:val="28"/>
          <w:sz w:val="28"/>
          <w:szCs w:val="28"/>
          <w:rtl w:val="true"/>
          <w:lang w:bidi="ar-SA"/>
        </w:rPr>
        <w:t>مَعَانِي الْأَخْبَارِ، عَنِ الْحُسَيْنِ بْنِ أَحْمَدَ الْعَلَوِيِّ عَنْ مُحَمَّدِ بْنِ هَمَّامٍ عَنْ عَلِيِّ بْنِ الْحُسَيْنِ عَنْ جَعْفَرِ بْنِ يَحْيَي الْخُزَاعِيِّ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عَبْدِ اللَّهِ عليه السلام عَلَي بَعْضِ مَوَالِيهِ يَعُودُهُ فَرَأَيْتُ الرَّجُلَ يُكْثِرُ مِنْ قَوْلِ آهِ فَقُلْتُ لَهُ يَا أَخِي اذْكُرْ رَبَّكَ وَ اسْتَغِثْ بِهِ فَقَالَ أَبُو عَبْدِ اللَّهِ عليه السلام آهِ اسْمٌ مِنْ أَسْمَاءِ اللَّهِ فَمَنْ قَالَ آهِ اسْتَغَاثَ بِاللَّهِ عَزَّ وَ جَلَ‌</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2" w:name="__RefHeading___Toc606566_1934241801"/>
      <w:bookmarkStart w:id="1803" w:name="_Toc827"/>
      <w:bookmarkEnd w:id="1802"/>
      <w:r>
        <w:rPr>
          <w:rtl w:val="true"/>
        </w:rPr>
        <w:t xml:space="preserve">باب دوم </w:t>
      </w:r>
      <w:r>
        <w:rPr>
          <w:rtl w:val="true"/>
        </w:rPr>
        <w:t xml:space="preserve">: </w:t>
      </w:r>
      <w:r>
        <w:rPr>
          <w:rtl w:val="true"/>
        </w:rPr>
        <w:t>آداب مریض و احکام او، شکایت کردن، صبر پیشه  ساختن و سایر احکام مربوط به مریض</w:t>
      </w:r>
      <w:bookmarkEnd w:id="1803"/>
    </w:p>
    <w:p>
      <w:pPr>
        <w:pStyle w:val="Heading4"/>
        <w:numPr>
          <w:ilvl w:val="3"/>
          <w:numId w:val="1"/>
        </w:numPr>
        <w:rPr/>
      </w:pPr>
      <w:bookmarkStart w:id="1804" w:name="__RefHeading___Toc606568_1934241801"/>
      <w:bookmarkStart w:id="1805" w:name="_Toc828"/>
      <w:bookmarkEnd w:id="1804"/>
      <w:r>
        <w:rPr>
          <w:rtl w:val="true"/>
        </w:rPr>
        <w:t>روایات</w:t>
      </w:r>
      <w:bookmarkEnd w:id="1805"/>
    </w:p>
    <w:p>
      <w:pPr>
        <w:pStyle w:val="Heading5"/>
        <w:numPr>
          <w:ilvl w:val="4"/>
          <w:numId w:val="1"/>
        </w:numPr>
        <w:rPr/>
      </w:pPr>
      <w:bookmarkStart w:id="1806" w:name="__RefHeading___Toc606570_1934241801"/>
      <w:bookmarkStart w:id="1807" w:name="_Toc829"/>
      <w:bookmarkEnd w:id="1806"/>
      <w:r>
        <w:rPr>
          <w:rtl w:val="true"/>
        </w:rPr>
        <w:t xml:space="preserve">روایت </w:t>
      </w:r>
      <w:r>
        <w:rPr/>
        <w:t>1</w:t>
      </w:r>
      <w:bookmarkEnd w:id="1807"/>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این است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مبتلا شده ام که کسی به آن مبتلا نشده است، یا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بر من نازل شده که بر کسی نازل نشده است، و شکایت این نیست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بیدار بودم و امروز تب کردم و مانند این سخنان</w:t>
      </w:r>
      <w:r>
        <w:rPr>
          <w:rFonts w:eastAsia="IRNazanin" w:cs="IRNazanin"/>
          <w:color w:val="111111"/>
          <w:sz w:val="28"/>
          <w:szCs w:val="28"/>
          <w:rtl w:val="true"/>
          <w:lang w:bidi="fa-IR"/>
        </w:rPr>
        <w:t>.</w:t>
      </w:r>
      <w:r>
        <w:rPr>
          <w:rStyle w:val="FootnoteAnchor"/>
          <w:rtl w:val="true"/>
        </w:rPr>
        <w:footnoteReference w:id="940"/>
      </w:r>
    </w:p>
    <w:p>
      <w:pPr>
        <w:pStyle w:val="Heading5"/>
        <w:numPr>
          <w:ilvl w:val="4"/>
          <w:numId w:val="1"/>
        </w:numPr>
        <w:rPr/>
      </w:pPr>
      <w:bookmarkStart w:id="1808" w:name="__RefHeading___Toc606572_1934241801"/>
      <w:bookmarkStart w:id="1809" w:name="_Toc830"/>
      <w:bookmarkEnd w:id="1808"/>
      <w:r>
        <w:rPr>
          <w:rtl w:val="true"/>
        </w:rPr>
        <w:t xml:space="preserve">روایت </w:t>
      </w:r>
      <w:r>
        <w:rPr/>
        <w:t>2</w:t>
      </w:r>
      <w:bookmarkEnd w:id="1809"/>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این نیست که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مریض و بیمار بودم، بلکه شکایت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بلایی گرفتار شده ام که کسی به آن گرفتار نشده است</w:t>
      </w:r>
      <w:r>
        <w:rPr>
          <w:rFonts w:eastAsia="IRNazanin" w:cs="IRNazanin"/>
          <w:color w:val="111111"/>
          <w:sz w:val="28"/>
          <w:szCs w:val="28"/>
          <w:rtl w:val="true"/>
          <w:lang w:bidi="fa-IR"/>
        </w:rPr>
        <w:t>.</w:t>
      </w:r>
      <w:r>
        <w:rPr>
          <w:rStyle w:val="FootnoteAnchor"/>
          <w:rtl w:val="true"/>
        </w:rPr>
        <w:footnoteReference w:id="941"/>
      </w:r>
    </w:p>
    <w:p>
      <w:pPr>
        <w:pStyle w:val="Heading5"/>
        <w:numPr>
          <w:ilvl w:val="4"/>
          <w:numId w:val="1"/>
        </w:numPr>
        <w:rPr/>
      </w:pPr>
      <w:bookmarkStart w:id="1810" w:name="__RefHeading___Toc606574_1934241801"/>
      <w:bookmarkStart w:id="1811" w:name="_Toc831"/>
      <w:bookmarkEnd w:id="1810"/>
      <w:r>
        <w:rPr>
          <w:rtl w:val="true"/>
        </w:rPr>
        <w:t>توضیح</w:t>
      </w:r>
      <w:bookmarkEnd w:id="1811"/>
    </w:p>
    <w:p>
      <w:pPr>
        <w:pStyle w:val="BookText"/>
        <w:rPr/>
      </w:pPr>
      <w:r>
        <w:rPr>
          <w:rFonts w:ascii="IRNazanin" w:hAnsi="IRNazanin" w:eastAsia="IRNazanin"/>
          <w:color w:val="111111"/>
          <w:sz w:val="28"/>
          <w:sz w:val="28"/>
          <w:szCs w:val="28"/>
          <w:rtl w:val="true"/>
          <w:lang w:bidi="fa-IR"/>
        </w:rPr>
        <w:t>ممکن است که این تفسیر مربوط به شکایتی باشد که اجر و پاداش را از بین می برد، یا برآگاه ساختن دیگران از بیماری با قصد و منظوری مشخص حمل شود، مانند آگاه ساختن پزشک، به طوری که از برخی روایات چنین برمی آید که بهتر آن است که مریض شکایت خود را به آگاهی کسی نرساند</w:t>
      </w:r>
      <w:r>
        <w:rPr>
          <w:rFonts w:eastAsia="IRNazanin" w:cs="IRNazanin"/>
          <w:color w:val="111111"/>
          <w:sz w:val="28"/>
          <w:szCs w:val="28"/>
          <w:rtl w:val="true"/>
          <w:lang w:bidi="fa-IR"/>
        </w:rPr>
        <w:t>.</w:t>
      </w:r>
    </w:p>
    <w:p>
      <w:pPr>
        <w:pStyle w:val="Heading5"/>
        <w:numPr>
          <w:ilvl w:val="4"/>
          <w:numId w:val="1"/>
        </w:numPr>
        <w:rPr/>
      </w:pPr>
      <w:bookmarkStart w:id="1812" w:name="__RefHeading___Toc606576_1934241801"/>
      <w:bookmarkStart w:id="1813" w:name="_Toc832"/>
      <w:bookmarkEnd w:id="1812"/>
      <w:r>
        <w:rPr>
          <w:rtl w:val="true"/>
        </w:rPr>
        <w:t xml:space="preserve">روایت </w:t>
      </w:r>
      <w:r>
        <w:rPr/>
        <w:t>3</w:t>
      </w:r>
      <w:bookmarkEnd w:id="181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یحیی الخُزاعّی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علیه السلام به عیادت یکی از دوست داران و یاران ایشان رفتیم، پس مشاهده کردم که آن مرد بسیار آه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ذکر خداوند بگوی و از او طلب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اسمی از اسم های خداوند است، پس هر که آه می گوید از خداوند عزّ و جلّ طلب کمک می کند</w:t>
      </w:r>
      <w:r>
        <w:rPr>
          <w:rFonts w:eastAsia="IRNazanin" w:cs="IRNazanin"/>
          <w:color w:val="111111"/>
          <w:sz w:val="28"/>
          <w:szCs w:val="28"/>
          <w:rtl w:val="true"/>
          <w:lang w:bidi="fa-IR"/>
        </w:rPr>
        <w:t>.</w:t>
      </w:r>
      <w:r>
        <w:rPr>
          <w:rStyle w:val="FootnoteAnchor"/>
          <w:rtl w:val="true"/>
        </w:rPr>
        <w:footnoteReference w:id="942"/>
      </w:r>
      <w:bookmarkStart w:id="1814" w:name="pg13517_329234"/>
    </w:p>
    <w:p>
      <w:pPr>
        <w:pStyle w:val="BookText"/>
        <w:rPr/>
      </w:pPr>
      <w:bookmarkEnd w:id="1814"/>
      <w:r>
        <w:rPr>
          <w:rFonts w:ascii="Amiri" w:hAnsi="Amiri" w:eastAsia="Amiri" w:cs="Amiri"/>
          <w:color w:val="111111"/>
          <w:sz w:val="28"/>
          <w:sz w:val="28"/>
          <w:szCs w:val="28"/>
          <w:rtl w:val="true"/>
          <w:lang w:bidi="ar-SA"/>
        </w:rPr>
        <w:t>توحيد الصدوق، عن غير واحد عن محمد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43"/>
      </w:r>
    </w:p>
    <w:p>
      <w:pPr>
        <w:pStyle w:val="Heading5"/>
        <w:numPr>
          <w:ilvl w:val="4"/>
          <w:numId w:val="1"/>
        </w:numPr>
        <w:rPr/>
      </w:pPr>
      <w:bookmarkStart w:id="1815" w:name="__RefHeading___Toc606578_1934241801"/>
      <w:bookmarkStart w:id="1816" w:name="_Toc833"/>
      <w:bookmarkEnd w:id="1815"/>
      <w:r>
        <w:rPr>
          <w:rtl w:val="true"/>
        </w:rPr>
        <w:t>بيان</w:t>
      </w:r>
      <w:bookmarkEnd w:id="1816"/>
    </w:p>
    <w:p>
      <w:pPr>
        <w:pStyle w:val="BookText"/>
        <w:rPr/>
      </w:pPr>
      <w:r>
        <w:rPr>
          <w:rFonts w:ascii="Amiri" w:hAnsi="Amiri" w:eastAsia="Amiri" w:cs="Amiri"/>
          <w:color w:val="111111"/>
          <w:sz w:val="28"/>
          <w:sz w:val="28"/>
          <w:szCs w:val="28"/>
          <w:rtl w:val="true"/>
          <w:lang w:bidi="ar-SA"/>
        </w:rPr>
        <w:t>يمكن أن يقال لما كان آه إظهارا للعلة و الحاجة إلي الشفاء و الافتقار إلي رب الأرض و السماء فكأنه يسمي الله عنده مع أنه لا استبعاد في ظاهره</w:t>
      </w:r>
      <w:r>
        <w:rPr>
          <w:rFonts w:eastAsia="Amiri" w:cs="Amiri" w:ascii="Amiri" w:hAnsi="Amiri"/>
          <w:color w:val="111111"/>
          <w:sz w:val="28"/>
          <w:szCs w:val="28"/>
          <w:rtl w:val="true"/>
          <w:lang w:bidi="ar-SA"/>
        </w:rPr>
        <w:t>.</w:t>
      </w:r>
    </w:p>
    <w:p>
      <w:pPr>
        <w:pStyle w:val="Heading5"/>
        <w:numPr>
          <w:ilvl w:val="4"/>
          <w:numId w:val="1"/>
        </w:numPr>
        <w:rPr/>
      </w:pPr>
      <w:bookmarkStart w:id="1817" w:name="__RefHeading___Toc606580_1934241801"/>
      <w:bookmarkStart w:id="1818" w:name="_Toc834"/>
      <w:bookmarkEnd w:id="1817"/>
      <w:r>
        <w:rPr>
          <w:rtl w:val="true"/>
        </w:rPr>
        <w:t>«</w:t>
      </w:r>
      <w:r>
        <w:rPr/>
        <w:t>4</w:t>
      </w:r>
      <w:r>
        <w:rPr>
          <w:rtl w:val="true"/>
        </w:rPr>
        <w:t>»</w:t>
      </w:r>
      <w:bookmarkEnd w:id="1818"/>
    </w:p>
    <w:p>
      <w:pPr>
        <w:pStyle w:val="BookText"/>
        <w:rPr/>
      </w:pPr>
      <w:r>
        <w:rPr>
          <w:rFonts w:ascii="Amiri" w:hAnsi="Amiri" w:eastAsia="Amiri" w:cs="Amiri"/>
          <w:color w:val="111111"/>
          <w:sz w:val="28"/>
          <w:sz w:val="28"/>
          <w:szCs w:val="28"/>
          <w:rtl w:val="true"/>
          <w:lang w:bidi="ar-SA"/>
        </w:rPr>
        <w:t>مَجَالِسُ الصَّدُوقِ، عَنْ حَمْزَةَ الْعَلَوِيِّ عَنْ عَبْدِ الْعَزِيزِ الْأَبْهَرِيِّ عَنْ مُحَمَّدِ بْنِ زَكَرِيَّا الْجَوْهَرِيِّ عَنْ شُعَيْبِ بْنِ وَاقِدٍ عَنِ الْحُسَيْنِ بْنِ زَيْدٍ عَنْ أَبِي عَبْدِ اللَّهِ عليه السلام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مَرِضَ يَوْماً وَ لَيْلَةً فَلَمْ يَشْكُ إِلَي عُوَّادِهِ بَعَثَهُ اللَّهُ يَوْمَ الْقِيَامَةِ مَعَ إِبْرَاهِيمَ خَلِيلِ الرَّحْمَنِ حَتَّي يَجُوزَ الصِّرَاطَ كَالْبَرْقِ اللَّامِعِ‌</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9" w:name="__RefHeading___Toc606582_1934241801"/>
      <w:bookmarkStart w:id="1820" w:name="_Toc835"/>
      <w:bookmarkEnd w:id="1819"/>
      <w:r>
        <w:rPr>
          <w:rtl w:val="true"/>
        </w:rPr>
        <w:t>«</w:t>
      </w:r>
      <w:r>
        <w:rPr/>
        <w:t>5</w:t>
      </w:r>
      <w:r>
        <w:rPr>
          <w:rtl w:val="true"/>
        </w:rPr>
        <w:t>»</w:t>
      </w:r>
      <w:bookmarkEnd w:id="1820"/>
    </w:p>
    <w:p>
      <w:pPr>
        <w:pStyle w:val="BookText"/>
        <w:rPr/>
      </w:pPr>
      <w:r>
        <w:rPr>
          <w:rFonts w:ascii="Amiri" w:hAnsi="Amiri" w:eastAsia="Amiri" w:cs="Amiri"/>
          <w:color w:val="111111"/>
          <w:sz w:val="28"/>
          <w:sz w:val="28"/>
          <w:szCs w:val="28"/>
          <w:rtl w:val="true"/>
          <w:lang w:bidi="ar-SA"/>
        </w:rPr>
        <w:t>الْخِصَالُ، عَنْ أَبِيهِ عَنْ سَعْدٍ عَنِ الْيَقْطِينِيِّ عَنِ الْقَاسِمِ بْنِ يَحْيَي عَنْ جَدِّهِ عَنْ أَبِي بَصِيرٍ وَ مُحَمَّدِ بْنِ مُسْلِمٍ عَنِ الصَّادِقِ عليه السلام عَنْ آبَائِهِ عليهم السلام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اكْسِرُوا حَرَّ الْحُمَّي بِالْبَنَفْسَجِ وَ الْمَاءِ الْبَارِدِ فَإِنَّ حَرَّهَا مِنْ فَيْحِ جَهَنَّمَ‌</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يَتَدَاوَي الْمُسْلِمُ حَتَّي يَغْلِبَ مَرَضُهُ صِحَّتَهُ‌</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دَاوُوا مَرْضَاكُمْ بِالصَّدَقَةِ وَ ادْفَعُوا أَمْوَاجَ الْبَلَاءِ عَنْكُمْ بِالدُّعَاءِ قَبْلَ وُرُودِ الْبَلَاءِ فَوَ الَّذِي فَلَقَ الْحَبَّةَ وَ بَرَأَ النَّسَمَةَ لَلْبَلَاءُ أَسْرَعُ إِلَي الْمُؤْمِنِ مِنِ انْحِدَارِ السَّيْلِ مِنْ أَعْلَي التَّلْعَةِ إِلَي أَسْفَلِهَا وَ مِنْ رَكْضِ الْبَرَاذِينِ‌</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أَهْلَ الْبَيْتِ شِفَاءٌ مِنَ الْوَعْكِ وَ الْأَسْقَامِ وَ وَسْوَاسِ الرَّيْبِ‌</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كَتَمَ وَجَعاً أَصَابَهُ ثَلَاثَةَ أَيَّامٍ مِنَ النَّاسِ وَ شَكَا إِلَي اللَّهِ عَزَّ وَ جَلَّ كَانَ حَقّاً عَلَي اللَّهِ أَنْ يُعَافِيَهُ مِنْهُ‌</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زَالَتْ نِعْمَةٌ وَ لَا نَضَارَةُ عَيْشٍ إِلَّا بِذُنُوبٍ اجْتَرَحُوا إِنَّ اللَّهَ</w:t>
      </w:r>
    </w:p>
    <w:p>
      <w:pPr>
        <w:pStyle w:val="BookText"/>
        <w:rPr/>
      </w:pPr>
      <w:r>
        <w:rPr>
          <w:rFonts w:ascii="IRNazanin" w:hAnsi="IRNazanin" w:eastAsia="IRNazanin"/>
          <w:color w:val="111111"/>
          <w:sz w:val="28"/>
          <w:sz w:val="28"/>
          <w:szCs w:val="28"/>
          <w:rtl w:val="true"/>
          <w:lang w:bidi="fa-IR"/>
        </w:rPr>
        <w:t>توحید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از محمد بن همام روایت شده است</w:t>
      </w:r>
      <w:r>
        <w:rPr>
          <w:rFonts w:eastAsia="IRNazanin" w:cs="IRNazanin"/>
          <w:color w:val="111111"/>
          <w:sz w:val="28"/>
          <w:szCs w:val="28"/>
          <w:rtl w:val="true"/>
          <w:lang w:bidi="fa-IR"/>
        </w:rPr>
        <w:t>.</w:t>
      </w:r>
      <w:r>
        <w:rPr>
          <w:rStyle w:val="FootnoteAnchor"/>
          <w:rtl w:val="true"/>
        </w:rPr>
        <w:footnoteReference w:id="950"/>
      </w:r>
    </w:p>
    <w:p>
      <w:pPr>
        <w:pStyle w:val="Heading5"/>
        <w:numPr>
          <w:ilvl w:val="4"/>
          <w:numId w:val="1"/>
        </w:numPr>
        <w:rPr/>
      </w:pPr>
      <w:bookmarkStart w:id="1821" w:name="__RefHeading___Toc606584_1934241801"/>
      <w:bookmarkStart w:id="1822" w:name="_Toc836"/>
      <w:bookmarkEnd w:id="1821"/>
      <w:r>
        <w:rPr>
          <w:rtl w:val="true"/>
        </w:rPr>
        <w:t>توضیح</w:t>
      </w:r>
      <w:bookmarkEnd w:id="1822"/>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گفتن آه، اظهار مریضی و نیاز به شفا و محتاج بودن به پروردگار زمین و آسمان است، گویا مریض هنگام بر زبان راندن آه، اسم خداوند را بر زبان می آورد، هر چند از نظر ظاهری نیز این دو اسم از هم دور نیستند</w:t>
      </w:r>
      <w:r>
        <w:rPr>
          <w:rFonts w:eastAsia="IRNazanin" w:cs="IRNazanin"/>
          <w:color w:val="111111"/>
          <w:sz w:val="28"/>
          <w:szCs w:val="28"/>
          <w:rtl w:val="true"/>
          <w:lang w:bidi="fa-IR"/>
        </w:rPr>
        <w:t>.</w:t>
      </w:r>
    </w:p>
    <w:p>
      <w:pPr>
        <w:pStyle w:val="Heading5"/>
        <w:numPr>
          <w:ilvl w:val="4"/>
          <w:numId w:val="1"/>
        </w:numPr>
        <w:rPr/>
      </w:pPr>
      <w:bookmarkStart w:id="1823" w:name="__RefHeading___Toc606586_1934241801"/>
      <w:bookmarkStart w:id="1824" w:name="_Toc837"/>
      <w:bookmarkEnd w:id="1823"/>
      <w:r>
        <w:rPr>
          <w:rtl w:val="true"/>
        </w:rPr>
        <w:t xml:space="preserve">روایت </w:t>
      </w:r>
      <w:r>
        <w:rPr/>
        <w:t>4</w:t>
      </w:r>
      <w:bookmarkEnd w:id="1824"/>
    </w:p>
    <w:p>
      <w:p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علیهم السلام روایت کرده که 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یک شبانه روز بیمار شود و نزد عیادت کنندگانش شکایت نکند، خداوند متعال در روز قیامت او را با ابراهیم خلیل الرحمن محشور می گرداند تا مانند برق جهنده از پل صراط عبور کند</w:t>
      </w:r>
      <w:r>
        <w:rPr>
          <w:rFonts w:eastAsia="IRNazanin" w:cs="IRNazanin"/>
          <w:color w:val="111111"/>
          <w:sz w:val="28"/>
          <w:szCs w:val="28"/>
          <w:rtl w:val="true"/>
          <w:lang w:bidi="fa-IR"/>
        </w:rPr>
        <w:t>.</w:t>
      </w:r>
      <w:r>
        <w:rPr>
          <w:rStyle w:val="FootnoteAnchor"/>
          <w:rtl w:val="true"/>
        </w:rPr>
        <w:footnoteReference w:id="951"/>
      </w:r>
    </w:p>
    <w:p>
      <w:pPr>
        <w:pStyle w:val="Heading5"/>
        <w:numPr>
          <w:ilvl w:val="4"/>
          <w:numId w:val="1"/>
        </w:numPr>
        <w:rPr/>
      </w:pPr>
      <w:bookmarkStart w:id="1825" w:name="__RefHeading___Toc606588_1934241801"/>
      <w:bookmarkStart w:id="1826" w:name="_Toc838"/>
      <w:bookmarkEnd w:id="1825"/>
      <w:r>
        <w:rPr>
          <w:rtl w:val="true"/>
        </w:rPr>
        <w:t xml:space="preserve">روایت </w:t>
      </w:r>
      <w:r>
        <w:rPr/>
        <w:t>5</w:t>
      </w:r>
      <w:bookmarkEnd w:id="1826"/>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علیهم السلام روایت کرده که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کاستن شدت گرمای تب از گل بنفشه و آب سرد استفاده کنید، چه که گرمای آن از شراره آتش جهنّم است</w:t>
      </w:r>
      <w:r>
        <w:rPr>
          <w:rFonts w:eastAsia="IRNazanin" w:cs="IRNazanin"/>
          <w:color w:val="111111"/>
          <w:sz w:val="28"/>
          <w:szCs w:val="28"/>
          <w:rtl w:val="true"/>
          <w:lang w:bidi="fa-IR"/>
        </w:rPr>
        <w:t>.</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مسلمان معالجه نمی کند مگر زمانی که بیماری او بر تندرستی اش غلبه کند</w:t>
      </w:r>
      <w:r>
        <w:rPr>
          <w:rFonts w:eastAsia="IRNazanin" w:cs="IRNazanin"/>
          <w:color w:val="111111"/>
          <w:sz w:val="28"/>
          <w:szCs w:val="28"/>
          <w:rtl w:val="true"/>
          <w:lang w:bidi="fa-IR"/>
        </w:rPr>
        <w:t>.</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خود را با صدقه درمان کنید، و امواج بلا را قبل از به وقوع پیوستن آن با دعا از خود دور کنید، سوگند به کسی که هسته را شکافته و انسان ها را خلق کرده است، بلا و مصیبت سریع تر از سرازیر شدن سیل از بالاترین نقطه کوه به پایین ترین نقطه آن و سریع تر از تاختن استران بر مؤمن نازل می شود</w:t>
      </w:r>
      <w:r>
        <w:rPr>
          <w:rFonts w:eastAsia="IRNazanin" w:cs="IRNazanin"/>
          <w:color w:val="111111"/>
          <w:sz w:val="28"/>
          <w:szCs w:val="28"/>
          <w:rtl w:val="true"/>
          <w:lang w:bidi="fa-IR"/>
        </w:rPr>
        <w:t>.</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یاد ما اهل بیت باعث شفای درد، بیماری ها و وسوسه شک و تردید است</w:t>
      </w:r>
      <w:r>
        <w:rPr>
          <w:rFonts w:eastAsia="IRNazanin" w:cs="IRNazanin"/>
          <w:color w:val="111111"/>
          <w:sz w:val="28"/>
          <w:szCs w:val="28"/>
          <w:rtl w:val="true"/>
          <w:lang w:bidi="fa-IR"/>
        </w:rPr>
        <w:t>.</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به مدّت سه روز بیماری خود را از مردم پنهان دارد و نزد خداوند عزّ و جلّ شکایت کند، بر خداوند است که او را از آن بیماری شفا بخشد</w:t>
      </w:r>
      <w:r>
        <w:rPr>
          <w:rFonts w:eastAsia="IRNazanin" w:cs="IRNazanin"/>
          <w:color w:val="111111"/>
          <w:sz w:val="28"/>
          <w:szCs w:val="28"/>
          <w:rtl w:val="true"/>
          <w:lang w:bidi="fa-IR"/>
        </w:rPr>
        <w:t>.</w:t>
      </w:r>
      <w:r>
        <w:rPr>
          <w:rStyle w:val="FootnoteAnchor"/>
          <w:rtl w:val="true"/>
        </w:rPr>
        <w:footnoteReference w:id="956"/>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نعمت و آسایشی در زندگی از بین نمی رود مگر به واسطه گناهانی که مردم مرتکب می شوند، به راستی که خداوند نسبت به بندگان </w:t>
      </w:r>
      <w:bookmarkStart w:id="1827" w:name="pg13517_329235"/>
    </w:p>
    <w:p>
      <w:pPr>
        <w:pStyle w:val="BookText"/>
        <w:rPr/>
      </w:pPr>
      <w:bookmarkEnd w:id="1827"/>
      <w:r>
        <w:rPr>
          <w:rFonts w:ascii="Amiri" w:hAnsi="Amiri" w:eastAsia="Amiri" w:cs="Amiri"/>
          <w:color w:val="111111"/>
          <w:sz w:val="28"/>
          <w:sz w:val="28"/>
          <w:szCs w:val="28"/>
          <w:rtl w:val="true"/>
          <w:lang w:bidi="ar-SA"/>
        </w:rPr>
        <w:t>لَيْسَ بِظَلَّامٍ لِلْعَبِيدِ وَ لَوْ أَنَّهُمُ اسْتَقْبَلُوا ذَلِكَ بِالدُّعَاءِ وَ الْإِنَابَةِ لَمْ تَنْزِلْ وَ لَوْ أَنَّهُمْ إِذَا نَزَلَتْ بِهِمُ النِّقَمُ وَ زَالَتْ عَنْهُمُ النِّعَمُ فَزِعُوا إِلَي اللَّهِ عَزَّ وَ جَلَّ بِصِدْقٍ مِنْ نِيَّاتِهِمْ وَ لَمْ يَتَمَنَّوْا وَ لَمْ يُسْرِفُوا لِأُصْلِحَ لَهُمْ كُلَّ فَاسِدٍ وَ لَرَدَّ عَلَيْهِمْ كُلَّ صَالِحٍ‌</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8" w:name="__RefHeading___Toc606590_1934241801"/>
      <w:bookmarkStart w:id="1829" w:name="_Toc839"/>
      <w:bookmarkEnd w:id="1828"/>
      <w:r>
        <w:rPr>
          <w:rtl w:val="true"/>
        </w:rPr>
        <w:t>بيان</w:t>
      </w:r>
      <w:bookmarkEnd w:id="1829"/>
    </w:p>
    <w:p>
      <w:pPr>
        <w:pStyle w:val="BookText"/>
        <w:rPr/>
      </w:pPr>
      <w:r>
        <w:rPr>
          <w:rFonts w:ascii="Amiri" w:hAnsi="Amiri" w:eastAsia="Amiri" w:cs="Amiri"/>
          <w:color w:val="111111"/>
          <w:sz w:val="28"/>
          <w:sz w:val="28"/>
          <w:szCs w:val="28"/>
          <w:rtl w:val="true"/>
          <w:lang w:bidi="ar-SA"/>
        </w:rPr>
        <w:t>التلعة ما ارتفع من الأرض و ركض الفرس عدوه و وسواس الريب الوساوس الشيطانية التي تصير سببا للريب في الدين و النضارة الحسن و الرونق</w:t>
      </w:r>
      <w:r>
        <w:rPr>
          <w:rFonts w:eastAsia="Amiri" w:cs="Amiri" w:ascii="Amiri" w:hAnsi="Amiri"/>
          <w:color w:val="111111"/>
          <w:sz w:val="28"/>
          <w:szCs w:val="28"/>
          <w:rtl w:val="true"/>
          <w:lang w:bidi="ar-SA"/>
        </w:rPr>
        <w:t>.</w:t>
      </w:r>
    </w:p>
    <w:p>
      <w:pPr>
        <w:pStyle w:val="Heading5"/>
        <w:numPr>
          <w:ilvl w:val="4"/>
          <w:numId w:val="1"/>
        </w:numPr>
        <w:rPr/>
      </w:pPr>
      <w:bookmarkStart w:id="1830" w:name="__RefHeading___Toc606592_1934241801"/>
      <w:bookmarkStart w:id="1831" w:name="_Toc840"/>
      <w:bookmarkEnd w:id="1830"/>
      <w:r>
        <w:rPr>
          <w:rtl w:val="true"/>
        </w:rPr>
        <w:t>«</w:t>
      </w:r>
      <w:r>
        <w:rPr/>
        <w:t>6</w:t>
      </w:r>
      <w:r>
        <w:rPr>
          <w:rtl w:val="true"/>
        </w:rPr>
        <w:t>»</w:t>
      </w:r>
      <w:bookmarkEnd w:id="1831"/>
    </w:p>
    <w:p>
      <w:pPr>
        <w:pStyle w:val="BookText"/>
        <w:rPr/>
      </w:pPr>
      <w:r>
        <w:rPr>
          <w:rFonts w:ascii="Amiri" w:hAnsi="Amiri" w:eastAsia="Amiri" w:cs="Amiri"/>
          <w:color w:val="111111"/>
          <w:sz w:val="28"/>
          <w:sz w:val="28"/>
          <w:szCs w:val="28"/>
          <w:rtl w:val="true"/>
          <w:lang w:bidi="ar-SA"/>
        </w:rPr>
        <w:t>الْخِصَالُ، وَ الْمَحَاسِنُ، بِإِسْنَادِهِمَا إِلَي أَبِي يَحْيَي الْوَاسِطِيِّ عَمَّنْ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قِيلَ لِأَبِي عَبْدِ اللَّهِ عليه السلام أَ تَرَي هَذَا الْخَلْقَ كُلَّهُمْ مِنَ النَّاسِ فَقَالَ أَلْقِ مِنْهُمُ التَّارِكَ لِلسِّوَاكِ وَ سَاقَ الْحَدِيثَ إِلَي قَوْلِهِ وَ الْمُتَمَرِّضَ مِنْ غَيْرِ عِلَّةٍ وَ الْمُتَشَعِّثَ مِنْ غَيْرِ مُصِيبَةٍ إِلَي أَنْ قَالَ وَ هُوَ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هُمْ إِلَّا كَالْأَنْعامِ بَلْ هُمْ أَضَلُّ سَبِيلًا</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2" w:name="__RefHeading___Toc606594_1934241801"/>
      <w:bookmarkStart w:id="1833" w:name="_Toc841"/>
      <w:bookmarkEnd w:id="1832"/>
      <w:r>
        <w:rPr>
          <w:rtl w:val="true"/>
        </w:rPr>
        <w:t>«</w:t>
      </w:r>
      <w:r>
        <w:rPr/>
        <w:t>7</w:t>
      </w:r>
      <w:r>
        <w:rPr>
          <w:rtl w:val="true"/>
        </w:rPr>
        <w:t>»</w:t>
      </w:r>
      <w:bookmarkEnd w:id="1833"/>
    </w:p>
    <w:p>
      <w:pPr>
        <w:pStyle w:val="BookText"/>
        <w:rPr/>
      </w:pPr>
      <w:r>
        <w:rPr>
          <w:rFonts w:ascii="Amiri" w:hAnsi="Amiri" w:eastAsia="Amiri" w:cs="Amiri"/>
          <w:color w:val="111111"/>
          <w:sz w:val="28"/>
          <w:sz w:val="28"/>
          <w:szCs w:val="28"/>
          <w:rtl w:val="true"/>
          <w:lang w:bidi="ar-SA"/>
        </w:rPr>
        <w:t>نَهْجُ الْبَلَاغَةِ،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 بِدَائِكَ مَا مَشَي بِكَ‌</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تَضْطَجِعْ مَا اسْتَطَعْتَ الْقِيَامَ مَعَ الْعِلَّةِ</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4" w:name="__RefHeading___Toc606596_1934241801"/>
      <w:bookmarkStart w:id="1835" w:name="_Toc842"/>
      <w:bookmarkEnd w:id="1834"/>
      <w:r>
        <w:rPr>
          <w:rtl w:val="true"/>
        </w:rPr>
        <w:t>بيان</w:t>
      </w:r>
      <w:bookmarkEnd w:id="1835"/>
    </w:p>
    <w:p>
      <w:pPr>
        <w:pStyle w:val="BookText"/>
        <w:rPr/>
      </w:pPr>
      <w:r>
        <w:rPr>
          <w:rFonts w:ascii="Amiri" w:hAnsi="Amiri" w:eastAsia="Amiri" w:cs="Amiri"/>
          <w:color w:val="111111"/>
          <w:sz w:val="28"/>
          <w:sz w:val="28"/>
          <w:szCs w:val="28"/>
          <w:rtl w:val="true"/>
          <w:lang w:bidi="ar-SA"/>
        </w:rPr>
        <w:t>امش بدائك قال ابن ميثم أي مهما وجدت سبيلا إلي الصبر علي أمر من الأمور النازلة بك و فيها مشقة عليك فاصبر و مثال ذلك من يعرض له مرض ما يمكن أن يحتمله و يدافع الوقت فينبغي أن لا يطرح جانبه إلي الأرض و يخلد إلي النوم علي الفراش بل لا يراجع الأطباء ما لم يضطر كما ورد في الخبر و لعل من ذلك كتمان المرض بل مطلق المصائب مهما أمكن</w:t>
      </w:r>
      <w:r>
        <w:rPr>
          <w:rFonts w:eastAsia="Amiri" w:cs="Amiri" w:ascii="Amiri" w:hAnsi="Amiri"/>
          <w:color w:val="111111"/>
          <w:sz w:val="28"/>
          <w:szCs w:val="28"/>
          <w:rtl w:val="true"/>
          <w:lang w:bidi="ar-SA"/>
        </w:rPr>
        <w:t>.</w:t>
      </w:r>
    </w:p>
    <w:p>
      <w:pPr>
        <w:pStyle w:val="Heading5"/>
        <w:numPr>
          <w:ilvl w:val="4"/>
          <w:numId w:val="1"/>
        </w:numPr>
        <w:rPr/>
      </w:pPr>
      <w:bookmarkStart w:id="1836" w:name="__RefHeading___Toc606598_1934241801"/>
      <w:bookmarkStart w:id="1837" w:name="_Toc843"/>
      <w:bookmarkEnd w:id="1836"/>
      <w:r>
        <w:rPr>
          <w:rtl w:val="true"/>
        </w:rPr>
        <w:t>«</w:t>
      </w:r>
      <w:r>
        <w:rPr/>
        <w:t>8</w:t>
      </w:r>
      <w:r>
        <w:rPr>
          <w:rtl w:val="true"/>
        </w:rPr>
        <w:t>»</w:t>
      </w:r>
      <w:bookmarkEnd w:id="1837"/>
    </w:p>
    <w:p>
      <w:pPr>
        <w:pStyle w:val="BookText"/>
        <w:rPr/>
      </w:pP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مَدْحِ رَجُلٍ وَ كَانَ لَا يَشْكُو وَجَعاً إِلَّا</w:t>
      </w:r>
    </w:p>
    <w:p>
      <w:pPr>
        <w:pStyle w:val="BookText"/>
        <w:rPr/>
      </w:pPr>
      <w:r>
        <w:rPr>
          <w:rFonts w:ascii="IRNazanin" w:hAnsi="IRNazanin" w:eastAsia="IRNazanin"/>
          <w:color w:val="111111"/>
          <w:sz w:val="28"/>
          <w:sz w:val="28"/>
          <w:szCs w:val="28"/>
          <w:rtl w:val="true"/>
          <w:lang w:bidi="fa-IR"/>
        </w:rPr>
        <w:t>ستمگر نیست، و اگر بندگان پیش از نازل شدن بلا و مصیبت دست به دعا بر می داشتند و به درگاه خدا مراجعت می کردند بلا و مصیبت نازل نمی شد، و اگر هنگام نازل شدن بلا و مصیبت بر مردم و زایل شدن نعمت از آنان با نیّت های صادق شان به خداوند عزّ و جلّ پناه می بردند و دروغ نمی گفتند و غافل نمی شدند، خداوند هر فاسدی را برای آنان اصلاح می کرد و تمام خیر و نیکی ها را به آنان باز می گرداند</w:t>
      </w:r>
      <w:r>
        <w:rPr>
          <w:rFonts w:eastAsia="IRNazanin" w:cs="IRNazanin"/>
          <w:color w:val="111111"/>
          <w:sz w:val="28"/>
          <w:szCs w:val="28"/>
          <w:rtl w:val="true"/>
          <w:lang w:bidi="fa-IR"/>
        </w:rPr>
        <w:t>.</w:t>
      </w:r>
      <w:r>
        <w:rPr>
          <w:rStyle w:val="FootnoteAnchor"/>
          <w:rtl w:val="true"/>
        </w:rPr>
        <w:footnoteReference w:id="961"/>
      </w:r>
    </w:p>
    <w:p>
      <w:pPr>
        <w:pStyle w:val="Heading5"/>
        <w:numPr>
          <w:ilvl w:val="4"/>
          <w:numId w:val="1"/>
        </w:numPr>
        <w:rPr/>
      </w:pPr>
      <w:bookmarkStart w:id="1838" w:name="__RefHeading___Toc606600_1934241801"/>
      <w:bookmarkStart w:id="1839" w:name="_Toc844"/>
      <w:bookmarkEnd w:id="1838"/>
      <w:r>
        <w:rPr>
          <w:rtl w:val="true"/>
        </w:rPr>
        <w:t>توضیح</w:t>
      </w:r>
      <w:bookmarkEnd w:id="18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مرتفع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رَکْض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تاختن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 الریب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 های شیطانی که سبب شکّ و تردید در دین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النضارة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و رونق و شادابی</w:t>
      </w:r>
      <w:r>
        <w:rPr>
          <w:rFonts w:eastAsia="IRNazanin" w:cs="IRNazanin"/>
          <w:color w:val="111111"/>
          <w:sz w:val="28"/>
          <w:szCs w:val="28"/>
          <w:rtl w:val="true"/>
          <w:lang w:bidi="fa-IR"/>
        </w:rPr>
        <w:t>.</w:t>
      </w:r>
    </w:p>
    <w:p>
      <w:pPr>
        <w:pStyle w:val="Heading5"/>
        <w:numPr>
          <w:ilvl w:val="4"/>
          <w:numId w:val="1"/>
        </w:numPr>
        <w:rPr/>
      </w:pPr>
      <w:bookmarkStart w:id="1840" w:name="__RefHeading___Toc606602_1934241801"/>
      <w:bookmarkStart w:id="1841" w:name="_Toc845"/>
      <w:bookmarkEnd w:id="1840"/>
      <w:r>
        <w:rPr>
          <w:rtl w:val="true"/>
        </w:rPr>
        <w:t xml:space="preserve">روایت </w:t>
      </w:r>
      <w:r>
        <w:rPr/>
        <w:t>6</w:t>
      </w:r>
      <w:bookmarkEnd w:id="1841"/>
    </w:p>
    <w:p>
      <w:pPr>
        <w:pStyle w:val="BookText"/>
        <w:rPr/>
      </w:pPr>
      <w:r>
        <w:rPr>
          <w:rFonts w:ascii="IRNazanin" w:hAnsi="IRNazanin" w:eastAsia="IRNazanin"/>
          <w:color w:val="111111"/>
          <w:sz w:val="28"/>
          <w:sz w:val="28"/>
          <w:szCs w:val="28"/>
          <w:rtl w:val="true"/>
          <w:lang w:bidi="fa-IR"/>
        </w:rPr>
        <w:t>الخصال و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آفریدگان را از جمله مردم می پنداری؟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کننده سواک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مسواک 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جمله آنان مپندار، و حدیث را پی گرفته تا جایی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که بدون علّت خود را به مریضی می زند و کسی که بدون دچار شدن به مصیبت، آشفته است را نیز از جمله آنان مپندار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مصداق فرموده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هُمْ إِلَّا کَالْأَنْعامِ بَلْ هُمْ أَضَلُّ سَبِیلًا</w:t>
      </w:r>
      <w:r>
        <w:rPr>
          <w:rFonts w:eastAsia="IRNazanin" w:cs="IRNazanin"/>
          <w:color w:val="111111"/>
          <w:sz w:val="28"/>
          <w:szCs w:val="28"/>
          <w:rtl w:val="true"/>
          <w:lang w:bidi="fa-IR"/>
        </w:rPr>
        <w:t>»</w:t>
      </w:r>
      <w:r>
        <w:rPr>
          <w:rStyle w:val="FootnoteAnchor"/>
          <w:rtl w:val="true"/>
        </w:rPr>
        <w:footnoteReference w:id="9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همانند چهارپایان بلکه گمراه‌ترند</w:t>
      </w:r>
      <w:r>
        <w:rPr>
          <w:rFonts w:eastAsia="IRNazanin" w:cs="IRNazanin"/>
          <w:color w:val="111111"/>
          <w:sz w:val="28"/>
          <w:szCs w:val="28"/>
          <w:rtl w:val="true"/>
          <w:lang w:bidi="fa-IR"/>
        </w:rPr>
        <w:t>} .</w:t>
      </w:r>
    </w:p>
    <w:p>
      <w:pPr>
        <w:pStyle w:val="Heading5"/>
        <w:numPr>
          <w:ilvl w:val="4"/>
          <w:numId w:val="1"/>
        </w:numPr>
        <w:rPr/>
      </w:pPr>
      <w:bookmarkStart w:id="1842" w:name="__RefHeading___Toc606604_1934241801"/>
      <w:bookmarkStart w:id="1843" w:name="_Toc846"/>
      <w:bookmarkEnd w:id="1842"/>
      <w:r>
        <w:rPr>
          <w:rtl w:val="true"/>
        </w:rPr>
        <w:t xml:space="preserve">روایت </w:t>
      </w:r>
      <w:r>
        <w:rPr/>
        <w:t>7</w:t>
      </w:r>
      <w:bookmarkEnd w:id="1843"/>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درد خود بساز چندان که با تو سازگار است</w:t>
      </w:r>
      <w:r>
        <w:rPr>
          <w:rFonts w:eastAsia="IRNazanin" w:cs="IRNazanin"/>
          <w:color w:val="111111"/>
          <w:sz w:val="28"/>
          <w:szCs w:val="28"/>
          <w:rtl w:val="true"/>
          <w:lang w:bidi="fa-IR"/>
        </w:rPr>
        <w:t>.</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هنگام بیماری توانایی به پا ایستادن داری به پهلو دراز نکش</w:t>
      </w:r>
      <w:r>
        <w:rPr>
          <w:rFonts w:eastAsia="IRNazanin" w:cs="IRNazanin"/>
          <w:color w:val="111111"/>
          <w:sz w:val="28"/>
          <w:szCs w:val="28"/>
          <w:rtl w:val="true"/>
          <w:lang w:bidi="fa-IR"/>
        </w:rPr>
        <w:t>.</w:t>
      </w:r>
      <w:r>
        <w:rPr>
          <w:rStyle w:val="FootnoteAnchor"/>
          <w:rtl w:val="true"/>
        </w:rPr>
        <w:footnoteReference w:id="964"/>
      </w:r>
    </w:p>
    <w:p>
      <w:pPr>
        <w:pStyle w:val="Heading5"/>
        <w:numPr>
          <w:ilvl w:val="4"/>
          <w:numId w:val="1"/>
        </w:numPr>
        <w:rPr/>
      </w:pPr>
      <w:bookmarkStart w:id="1844" w:name="__RefHeading___Toc606606_1934241801"/>
      <w:bookmarkStart w:id="1845" w:name="_Toc847"/>
      <w:bookmarkEnd w:id="1844"/>
      <w:r>
        <w:rPr>
          <w:rtl w:val="true"/>
        </w:rPr>
        <w:t>توضیح</w:t>
      </w:r>
      <w:bookmarkEnd w:id="1845"/>
    </w:p>
    <w:p>
      <w:pPr>
        <w:pStyle w:val="BookText"/>
        <w:rPr/>
      </w:pPr>
      <w:r>
        <w:rPr>
          <w:rFonts w:ascii="IRNazanin" w:hAnsi="IRNazanin" w:eastAsia="IRNazanin"/>
          <w:color w:val="111111"/>
          <w:sz w:val="28"/>
          <w:sz w:val="28"/>
          <w:szCs w:val="28"/>
          <w:rtl w:val="true"/>
          <w:lang w:bidi="fa-IR"/>
        </w:rPr>
        <w:t xml:space="preserve">ابن میثم در تفسیر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 بدائک ما مشی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امکان صبر پیشه ساختن در مقابل مصیبت هایی که بر تو نازل و باعث تحمیل مشقت و سختی می شود وجود دارد، صبر پیشه ساز؛ و نمونه این امر کسی است که دچار مرضی می شود که تاب تحمّل آن را دارد و دفع الوقت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به پهلو بر روی زمین نخوابد و در بستر خواب ماندگار نشود، بلکه آن گونه که در حدیث ذکر شده است تا زمانی که حال او اضطراری نیست به پزشک نیز مراجعه نکند، و شاید قاعده کتمان بیماری و مصیبت ها به طور عامّ، البته در صورت امکان، از این حدیث استنباط شود</w:t>
      </w:r>
      <w:r>
        <w:rPr>
          <w:rFonts w:eastAsia="IRNazanin" w:cs="IRNazanin"/>
          <w:color w:val="111111"/>
          <w:sz w:val="28"/>
          <w:szCs w:val="28"/>
          <w:rtl w:val="true"/>
          <w:lang w:bidi="fa-IR"/>
        </w:rPr>
        <w:t>.</w:t>
      </w:r>
    </w:p>
    <w:p>
      <w:pPr>
        <w:pStyle w:val="Heading5"/>
        <w:numPr>
          <w:ilvl w:val="4"/>
          <w:numId w:val="1"/>
        </w:numPr>
        <w:rPr/>
      </w:pPr>
      <w:bookmarkStart w:id="1846" w:name="__RefHeading___Toc606608_1934241801"/>
      <w:bookmarkStart w:id="1847" w:name="_Toc848"/>
      <w:bookmarkEnd w:id="1846"/>
      <w:r>
        <w:rPr>
          <w:rtl w:val="true"/>
        </w:rPr>
        <w:t xml:space="preserve">روایت </w:t>
      </w:r>
      <w:r>
        <w:rPr/>
        <w:t>8</w:t>
      </w:r>
      <w:bookmarkEnd w:id="184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مدح مردی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درد شکوه نمی کرد مگر </w:t>
      </w:r>
      <w:bookmarkStart w:id="1848" w:name="pg13517_329236"/>
    </w:p>
    <w:p>
      <w:pPr>
        <w:pStyle w:val="BookText"/>
        <w:rPr/>
      </w:pPr>
      <w:bookmarkEnd w:id="1848"/>
      <w:r>
        <w:rPr>
          <w:rFonts w:ascii="Amiri" w:hAnsi="Amiri" w:eastAsia="Amiri" w:cs="Amiri"/>
          <w:color w:val="111111"/>
          <w:sz w:val="28"/>
          <w:sz w:val="28"/>
          <w:szCs w:val="28"/>
          <w:rtl w:val="true"/>
          <w:lang w:bidi="ar-SA"/>
        </w:rPr>
        <w:t>عِنْدَ بُرْئِهِ‌</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9" w:name="__RefHeading___Toc606610_1934241801"/>
      <w:bookmarkStart w:id="1850" w:name="_Toc849"/>
      <w:bookmarkEnd w:id="1849"/>
      <w:r>
        <w:rPr>
          <w:rtl w:val="true"/>
        </w:rPr>
        <w:t>بيان</w:t>
      </w:r>
      <w:bookmarkEnd w:id="1850"/>
    </w:p>
    <w:p>
      <w:pPr>
        <w:pStyle w:val="BookText"/>
        <w:rPr/>
      </w:pPr>
      <w:r>
        <w:rPr>
          <w:rFonts w:ascii="Amiri" w:hAnsi="Amiri" w:eastAsia="Amiri" w:cs="Amiri"/>
          <w:color w:val="111111"/>
          <w:sz w:val="28"/>
          <w:sz w:val="28"/>
          <w:szCs w:val="28"/>
          <w:rtl w:val="true"/>
          <w:lang w:bidi="ar-SA"/>
        </w:rPr>
        <w:t>قيل كان يكتمه لئلا يتكلف الناس زيارته و الأظهر أنه بعد البرء شكر لا شكاية أو يحمل علي ما إذا كان علي سبيل الشكر</w:t>
      </w:r>
      <w:r>
        <w:rPr>
          <w:rFonts w:eastAsia="Amiri" w:cs="Amiri" w:ascii="Amiri" w:hAnsi="Amiri"/>
          <w:color w:val="111111"/>
          <w:sz w:val="28"/>
          <w:szCs w:val="28"/>
          <w:rtl w:val="true"/>
          <w:lang w:bidi="ar-SA"/>
        </w:rPr>
        <w:t>.</w:t>
      </w:r>
    </w:p>
    <w:p>
      <w:pPr>
        <w:pStyle w:val="Heading5"/>
        <w:numPr>
          <w:ilvl w:val="4"/>
          <w:numId w:val="1"/>
        </w:numPr>
        <w:rPr/>
      </w:pPr>
      <w:bookmarkStart w:id="1851" w:name="__RefHeading___Toc606612_1934241801"/>
      <w:bookmarkStart w:id="1852" w:name="_Toc850"/>
      <w:bookmarkEnd w:id="1851"/>
      <w:r>
        <w:rPr>
          <w:rtl w:val="true"/>
        </w:rPr>
        <w:t>«</w:t>
      </w:r>
      <w:r>
        <w:rPr/>
        <w:t>9</w:t>
      </w:r>
      <w:r>
        <w:rPr>
          <w:rtl w:val="true"/>
        </w:rPr>
        <w:t>»</w:t>
      </w:r>
      <w:bookmarkEnd w:id="1852"/>
    </w:p>
    <w:p>
      <w:pPr>
        <w:pStyle w:val="BookText"/>
        <w:rPr/>
      </w:pPr>
      <w:r>
        <w:rPr>
          <w:rFonts w:ascii="Amiri" w:hAnsi="Amiri" w:eastAsia="Amiri" w:cs="Amiri"/>
          <w:color w:val="111111"/>
          <w:sz w:val="28"/>
          <w:sz w:val="28"/>
          <w:szCs w:val="28"/>
          <w:rtl w:val="true"/>
          <w:lang w:bidi="ar-SA"/>
        </w:rPr>
        <w:t>أَمَالِي ابْنِ الشَّيْخِ، عَنْ أَبِيهِ عَنْ جَمَاعَةٍ عَنْ أَبِي الْمُفَضَّلِ الشَّيْبَانِيِّ عَنْ أَحْمَدَ بْنِ سَعِيدِ بْنِ يَزِيدَ عَنْ مُحَمَّدِ بْنِ سَلَمَةَ عَنْ أَحْمَدَ بْنِ الْقَاسِمِ بْنِ بَهْرَامَ عَنْ أَبِيهِ 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اشْتَكَي الْعَبْدُ ثُمَّ عُوفِيَ فَلَمْ يُحْدِثْ خَيْراً وَ لَمْ يَكُفَّ عَنْ سُوءٍ لَقِيَتِ الْمَلَائِكَةُ بَعْضُهَا بَعْضاً يَعْنِي حَفَظَتَهُ فَقَالَتْ إِنَّ فُلَاناً دَاوَيْنَاهُ فَلَمْ يَنْفَعْهُ الدَّوَاءُ</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3" w:name="__RefHeading___Toc606614_1934241801"/>
      <w:bookmarkStart w:id="1854" w:name="_Toc851"/>
      <w:bookmarkEnd w:id="1853"/>
      <w:r>
        <w:rPr>
          <w:rtl w:val="true"/>
        </w:rPr>
        <w:t>«</w:t>
      </w:r>
      <w:r>
        <w:rPr/>
        <w:t>10</w:t>
      </w:r>
      <w:r>
        <w:rPr>
          <w:rtl w:val="true"/>
        </w:rPr>
        <w:t>»</w:t>
      </w:r>
      <w:bookmarkEnd w:id="1854"/>
    </w:p>
    <w:p>
      <w:pPr>
        <w:pStyle w:val="BookText"/>
        <w:rPr/>
      </w:pPr>
      <w:r>
        <w:rPr>
          <w:rFonts w:ascii="Amiri" w:hAnsi="Amiri" w:eastAsia="Amiri" w:cs="Amiri"/>
          <w:color w:val="111111"/>
          <w:sz w:val="28"/>
          <w:sz w:val="28"/>
          <w:szCs w:val="28"/>
          <w:rtl w:val="true"/>
          <w:lang w:bidi="ar-SA"/>
        </w:rPr>
        <w:t>ثَوَابُ الْأَعْمَالِ، عَنِ الْحُسَيْنِ بْنِ أَحْمَدَ عَنْ أَبِيهِ عَنْ مُحَمَّدِ بْنِ أَحْمَدَ عَنْ يُوسُفَ بْنِ إِسْمَاعِيلَ بِإِسْنَادِهِ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حُمَّ حُمَّي وَاحِدَةً تَنَاثَرَتِ الذُّنُوبُ مِنْهُ كَوَرَقِ الشَّجَرِ فَإِنْ صَارَ عَلَي فِرَاشِهِ فَأَنِينُهُ تَسْبِيحٌ وَ صِيَاحُهُ تَهْلِيلٌ وَ تَقَلُّبُهُ عَلَي فِرَاشِهِ كَمَنْ يَضْرِبُ بِسَيْفِهِ فِي سَبِيلِ اللَّهِ فَإِنْ أَقْبَلَ يَعْبُدُ اللَّهَ بَيْنَ إِخْوَانِهِ وَ أَصْحَابِهِ كَانَ مَغْفُوراً لَهُ فَطُوبَي لَهُ إِنْ تَابَ وَ وَيْلٌ لَهُ إِنْ عَادَ وَ الْعَافِيَةُ أَحَبُّ إِلَيْنَا</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5" w:name="__RefHeading___Toc606616_1934241801"/>
      <w:bookmarkStart w:id="1856" w:name="_Toc852"/>
      <w:bookmarkEnd w:id="1855"/>
      <w:r>
        <w:rPr>
          <w:rtl w:val="true"/>
        </w:rPr>
        <w:t>«</w:t>
      </w:r>
      <w:r>
        <w:rPr/>
        <w:t>11</w:t>
      </w:r>
      <w:r>
        <w:rPr>
          <w:rtl w:val="true"/>
        </w:rPr>
        <w:t>»</w:t>
      </w:r>
      <w:bookmarkEnd w:id="1856"/>
    </w:p>
    <w:p>
      <w:pPr>
        <w:pStyle w:val="BookText"/>
        <w:rPr/>
      </w:pPr>
      <w:r>
        <w:rPr>
          <w:rFonts w:ascii="Amiri" w:hAnsi="Amiri" w:eastAsia="Amiri" w:cs="Amiri"/>
          <w:color w:val="111111"/>
          <w:sz w:val="28"/>
          <w:sz w:val="28"/>
          <w:szCs w:val="28"/>
          <w:rtl w:val="true"/>
          <w:lang w:bidi="ar-SA"/>
        </w:rPr>
        <w:t>وَ مِنْهُ، عَنْ مُحَمَّدِ بْنِ الْحَسَنِ عَنْ مُحَمَّدِ بْنِ الْحَسَنِ الصَّفَّارِ عَنِ الْعَبَّاسِ بْنِ مَعْرُوفٍ عَنِ الْحَسَنِ بْنِ عَلِيِّ بْنِ فَضَّالٍ عَنْ ظَرِيفِ بْنِ نَاصِحٍ عَنْ أَبِي عَبْدِ الرَّحْمَنِ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اشْتَكَي لَيْلَةً فَقَبِلَهَا بِقَبُولِهَا وَ أَدَّي إِلَي اللَّهِ شُكْرَهَا كَانَتْ لَهُ كَفَّارَةَ سِتِّينَ سَنَةً قَالَ قُلْتُ وَ مَا قَبِلَهَا بِقَبُولِهَا قَالَ صَبَرَ عَلَي مَا كَانَ فِيهَا</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تندرستی و بهبودی</w:t>
      </w:r>
      <w:r>
        <w:rPr>
          <w:rFonts w:eastAsia="IRNazanin" w:cs="IRNazanin"/>
          <w:color w:val="111111"/>
          <w:sz w:val="28"/>
          <w:szCs w:val="28"/>
          <w:rtl w:val="true"/>
          <w:lang w:bidi="fa-IR"/>
        </w:rPr>
        <w:t>.</w:t>
      </w:r>
      <w:r>
        <w:rPr>
          <w:rStyle w:val="FootnoteAnchor"/>
          <w:rtl w:val="true"/>
        </w:rPr>
        <w:footnoteReference w:id="969"/>
      </w:r>
    </w:p>
    <w:p>
      <w:pPr>
        <w:pStyle w:val="Heading5"/>
        <w:numPr>
          <w:ilvl w:val="4"/>
          <w:numId w:val="1"/>
        </w:numPr>
        <w:rPr/>
      </w:pPr>
      <w:bookmarkStart w:id="1857" w:name="__RefHeading___Toc606618_1934241801"/>
      <w:bookmarkStart w:id="1858" w:name="_Toc853"/>
      <w:bookmarkEnd w:id="1857"/>
      <w:r>
        <w:rPr>
          <w:rtl w:val="true"/>
        </w:rPr>
        <w:t>توضیح</w:t>
      </w:r>
      <w:bookmarkEnd w:id="1858"/>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بیماری را کتمان می کرد تا مشقّت عیادت از او بر گردن مردم نیفتد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نام او را باز گو نکرد تا مردم برای دیدنش به تکلف نیفتند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آشکار است که سخن گفتن از بیماری بعد از تندرستی شکر است نه شکایت، یا این سخن گفتن بر حالتی حمل می شود که بر سبیل شکر باشد</w:t>
      </w:r>
      <w:r>
        <w:rPr>
          <w:rFonts w:eastAsia="IRNazanin" w:cs="IRNazanin"/>
          <w:color w:val="111111"/>
          <w:sz w:val="28"/>
          <w:szCs w:val="28"/>
          <w:rtl w:val="true"/>
          <w:lang w:bidi="fa-IR"/>
        </w:rPr>
        <w:t>.</w:t>
      </w:r>
    </w:p>
    <w:p>
      <w:pPr>
        <w:pStyle w:val="Heading5"/>
        <w:numPr>
          <w:ilvl w:val="4"/>
          <w:numId w:val="1"/>
        </w:numPr>
        <w:rPr/>
      </w:pPr>
      <w:bookmarkStart w:id="1859" w:name="__RefHeading___Toc606620_1934241801"/>
      <w:bookmarkStart w:id="1860" w:name="_Toc854"/>
      <w:bookmarkEnd w:id="1859"/>
      <w:r>
        <w:rPr>
          <w:rtl w:val="true"/>
        </w:rPr>
        <w:t xml:space="preserve">روایت </w:t>
      </w:r>
      <w:r>
        <w:rPr/>
        <w:t>9</w:t>
      </w:r>
      <w:bookmarkEnd w:id="1860"/>
    </w:p>
    <w:p>
      <w:pPr>
        <w:pStyle w:val="BookText"/>
        <w:rPr/>
      </w:pPr>
      <w:r>
        <w:rPr>
          <w:rFonts w:ascii="IRNazanin" w:hAnsi="IRNazanin" w:eastAsia="IRNazanin"/>
          <w:color w:val="111111"/>
          <w:sz w:val="28"/>
          <w:sz w:val="28"/>
          <w:szCs w:val="28"/>
          <w:rtl w:val="true"/>
          <w:lang w:bidi="fa-IR"/>
        </w:rPr>
        <w:t>أمالی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خداوند مریض شود سپس بهبود یابد ولی پس از بهبودی هیچ کار خیری انجام ندهد و از انجام کار زشت دست بر ندارد، فرشتگان خشمگین شده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را مداوا کردیم ولی مداوا کردن سودی برای او در بر نداشت</w:t>
      </w:r>
      <w:r>
        <w:rPr>
          <w:rFonts w:eastAsia="IRNazanin" w:cs="IRNazanin"/>
          <w:color w:val="111111"/>
          <w:sz w:val="28"/>
          <w:szCs w:val="28"/>
          <w:rtl w:val="true"/>
          <w:lang w:bidi="fa-IR"/>
        </w:rPr>
        <w:t>.</w:t>
      </w:r>
      <w:r>
        <w:rPr>
          <w:rStyle w:val="FootnoteAnchor"/>
          <w:rtl w:val="true"/>
        </w:rPr>
        <w:footnoteReference w:id="970"/>
      </w:r>
    </w:p>
    <w:p>
      <w:pPr>
        <w:pStyle w:val="Heading5"/>
        <w:numPr>
          <w:ilvl w:val="4"/>
          <w:numId w:val="1"/>
        </w:numPr>
        <w:rPr/>
      </w:pPr>
      <w:bookmarkStart w:id="1861" w:name="__RefHeading___Toc606622_1934241801"/>
      <w:bookmarkStart w:id="1862" w:name="_Toc855"/>
      <w:bookmarkEnd w:id="1861"/>
      <w:r>
        <w:rPr>
          <w:rtl w:val="true"/>
        </w:rPr>
        <w:t xml:space="preserve">روایت </w:t>
      </w:r>
      <w:r>
        <w:rPr/>
        <w:t>10</w:t>
      </w:r>
      <w:bookmarkEnd w:id="1862"/>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اسماعیل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مؤمن یک بار تب کند، گناهان او مانند برگ درختان می ریزند، پس اگر در بستر بیماری بیفتد آه و ناله اش به منزله تسبیح است و فریاد کشیدنش به منزله تهلیل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غلت زدنش بر روی بستر مانند کسی است که در راه خدا شمشیر می زند، بنابراین اگر پس از بهبود یافتن در میان برادران و یارانش به عبادت خداوند روی آورد، گناهانش بخشوده می شود و خوشا به سعادت او اگر توبه کند، و وای بر او اگر به انجام اعمال قبلی خود باز گردد، همچنین عافیت و تندرستی نزد ما محبوب تر است</w:t>
      </w:r>
      <w:r>
        <w:rPr>
          <w:rFonts w:eastAsia="IRNazanin" w:cs="IRNazanin"/>
          <w:color w:val="111111"/>
          <w:sz w:val="28"/>
          <w:szCs w:val="28"/>
          <w:rtl w:val="true"/>
          <w:lang w:bidi="fa-IR"/>
        </w:rPr>
        <w:t>.</w:t>
      </w:r>
      <w:r>
        <w:rPr>
          <w:rStyle w:val="FootnoteAnchor"/>
          <w:rtl w:val="true"/>
        </w:rPr>
        <w:footnoteReference w:id="971"/>
      </w:r>
    </w:p>
    <w:p>
      <w:pPr>
        <w:pStyle w:val="Heading5"/>
        <w:numPr>
          <w:ilvl w:val="4"/>
          <w:numId w:val="1"/>
        </w:numPr>
        <w:rPr/>
      </w:pPr>
      <w:bookmarkStart w:id="1863" w:name="__RefHeading___Toc606624_1934241801"/>
      <w:bookmarkStart w:id="1864" w:name="_Toc856"/>
      <w:bookmarkEnd w:id="1863"/>
      <w:r>
        <w:rPr>
          <w:rtl w:val="true"/>
        </w:rPr>
        <w:t xml:space="preserve">روایت </w:t>
      </w:r>
      <w:r>
        <w:rPr/>
        <w:t>11</w:t>
      </w:r>
      <w:bookmarkEnd w:id="186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عبدالرحمن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یک شب بیمار گردد و با صبر از بیماری اش استقبال کند و به درگاه خداوند شکر گزار باشد، این امر باعث کفّاره گناهان یک سال اوست،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بیماری اش استقبال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پیشه ساختن در وضعیتی که در آن به سر می برد</w:t>
      </w:r>
      <w:r>
        <w:rPr>
          <w:rFonts w:eastAsia="IRNazanin" w:cs="IRNazanin"/>
          <w:color w:val="111111"/>
          <w:sz w:val="28"/>
          <w:szCs w:val="28"/>
          <w:rtl w:val="true"/>
          <w:lang w:bidi="fa-IR"/>
        </w:rPr>
        <w:t>.</w:t>
      </w:r>
      <w:r>
        <w:rPr>
          <w:rStyle w:val="FootnoteAnchor"/>
          <w:rtl w:val="true"/>
        </w:rPr>
        <w:footnoteReference w:id="972"/>
      </w:r>
      <w:bookmarkStart w:id="1865" w:name="pg13517_329237"/>
    </w:p>
    <w:p>
      <w:pPr>
        <w:pStyle w:val="Heading5"/>
        <w:numPr>
          <w:ilvl w:val="4"/>
          <w:numId w:val="1"/>
        </w:numPr>
        <w:rPr/>
      </w:pPr>
      <w:bookmarkStart w:id="1866" w:name="__RefHeading___Toc606626_1934241801"/>
      <w:bookmarkStart w:id="1867" w:name="_Toc857"/>
      <w:bookmarkEnd w:id="1865"/>
      <w:bookmarkEnd w:id="1866"/>
      <w:r>
        <w:rPr>
          <w:rtl w:val="true"/>
        </w:rPr>
        <w:t>«</w:t>
      </w:r>
      <w:r>
        <w:rPr/>
        <w:t>12</w:t>
      </w:r>
      <w:r>
        <w:rPr>
          <w:rtl w:val="true"/>
        </w:rPr>
        <w:t>»</w:t>
      </w:r>
      <w:bookmarkEnd w:id="1867"/>
    </w:p>
    <w:p>
      <w:pPr>
        <w:pStyle w:val="BookText"/>
        <w:rPr/>
      </w:pPr>
      <w:r>
        <w:rPr>
          <w:rFonts w:ascii="Amiri" w:hAnsi="Amiri" w:eastAsia="Amiri" w:cs="Amiri"/>
          <w:color w:val="111111"/>
          <w:sz w:val="28"/>
          <w:sz w:val="28"/>
          <w:szCs w:val="28"/>
          <w:rtl w:val="true"/>
          <w:lang w:bidi="ar-SA"/>
        </w:rPr>
        <w:t>مَجَالِسُ الصَّدُوقِ، عَنْ أَبِيهِ عَنْ عَلِيِّ بْنِ إِبْرَاهِيمَ عَنْ أَبِيهِ عَنِ الْحَسَنِ بْنِ مَحْبُوبٍ عَنْ عَبْدِ اللَّهِ بْنِ سِنَانٍ عَنْ مُحَمَّدِ بْنِ الْمُنْكَدِرِ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عَوْنُ بْنُ عَبْدِ اللَّهِ بْنِ مَسْعُودٍ فَأَتَيْتُهُ أَعُودُهُ فَقَالَ أَ فَلَا أُحَدِّثُكَ بِحَدِيثٍ عَنْ عَبْدِ اللَّهِ بْنِ مَسْعُودٍ قُلْتُ بَلَي قَالَ قَالَ عَبْدُ اللَّهِ بَيْنَا نَحْنُ عِنْدَ رَسُولِ اللَّهِ صلي الله عليه و آله إِذْ تَبَسَّمَ فَقُلْتُ لَهُ مَا لَكَ يَا رَسُولَ اللَّهِ تَبَسَّمْتَ فَقَالَ صلي الله عليه و آله عَجِبْتُ لِلْمُؤْمِنِ وَ جَزَعِهِ مِنَ السُّقْمِ وَ لَوْ يَعْلَمُ مَا لَهُ فِي السُّقْمِ مِنَ الثَّوَابِ لَأَحَبَّ أَنْ لَا يَزَالَ سَقِيماً حَتَّي يَلْقَي رَبَّهُ عَزَّ وَ جَلَ‌</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8" w:name="__RefHeading___Toc606628_1934241801"/>
      <w:bookmarkStart w:id="1869" w:name="_Toc858"/>
      <w:bookmarkEnd w:id="1868"/>
      <w:r>
        <w:rPr>
          <w:rtl w:val="true"/>
        </w:rPr>
        <w:t>«</w:t>
      </w:r>
      <w:r>
        <w:rPr/>
        <w:t>13</w:t>
      </w:r>
      <w:r>
        <w:rPr>
          <w:rtl w:val="true"/>
        </w:rPr>
        <w:t>»</w:t>
      </w:r>
      <w:bookmarkEnd w:id="1869"/>
    </w:p>
    <w:p>
      <w:pPr>
        <w:pStyle w:val="BookText"/>
        <w:rPr/>
      </w:pPr>
      <w:r>
        <w:rPr>
          <w:rFonts w:ascii="Amiri" w:hAnsi="Amiri" w:eastAsia="Amiri" w:cs="Amiri"/>
          <w:color w:val="111111"/>
          <w:sz w:val="28"/>
          <w:sz w:val="28"/>
          <w:szCs w:val="28"/>
          <w:rtl w:val="true"/>
          <w:lang w:bidi="ar-SA"/>
        </w:rPr>
        <w:t>وَ مِنْهُ، عَنْ أَبِيهِ عَنْ عَلِيِّ بْنِ إِبْرَاهِيمَ عَنْ أَبِيهِ عَنْ صَفْوَانَ بْنِ يَحْيَي عَنْ أَبِي الصَّبَّاحِ الْكِنَانِيِّ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يَعْرِفِ الْبَلَاءَ يَصْبِرْ عَلَيْهِ وَ مَنْ لَا يَعْرِفْ يُنْكِرْهُ‌</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0" w:name="__RefHeading___Toc606630_1934241801"/>
      <w:bookmarkStart w:id="1871" w:name="_Toc859"/>
      <w:bookmarkEnd w:id="1870"/>
      <w:r>
        <w:rPr>
          <w:rtl w:val="true"/>
        </w:rPr>
        <w:t>«</w:t>
      </w:r>
      <w:r>
        <w:rPr/>
        <w:t>14</w:t>
      </w:r>
      <w:r>
        <w:rPr>
          <w:rtl w:val="true"/>
        </w:rPr>
        <w:t>»</w:t>
      </w:r>
      <w:bookmarkEnd w:id="1871"/>
    </w:p>
    <w:p>
      <w:pPr>
        <w:pStyle w:val="BookText"/>
        <w:rPr/>
      </w:pPr>
      <w:r>
        <w:rPr>
          <w:rFonts w:ascii="Amiri" w:hAnsi="Amiri" w:eastAsia="Amiri" w:cs="Amiri"/>
          <w:color w:val="111111"/>
          <w:sz w:val="28"/>
          <w:sz w:val="28"/>
          <w:szCs w:val="28"/>
          <w:rtl w:val="true"/>
          <w:lang w:bidi="ar-SA"/>
        </w:rPr>
        <w:t>طِبُّ الْأَئِمَّةِ، عَنِ الْوَشَّاءِ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اشْتَكَي فَصَبَرَ وَ احْتَسَبَ كَتَبَ اللَّهُ لَهُ مِنَ الْأَجْرِ أَجْرَ أَلْفِ شَهِيدٍ</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2" w:name="__RefHeading___Toc606632_1934241801"/>
      <w:bookmarkStart w:id="1873" w:name="_Toc860"/>
      <w:bookmarkEnd w:id="1872"/>
      <w:r>
        <w:rPr>
          <w:rtl w:val="true"/>
        </w:rPr>
        <w:t>«</w:t>
      </w:r>
      <w:r>
        <w:rPr/>
        <w:t>15</w:t>
      </w:r>
      <w:r>
        <w:rPr>
          <w:rtl w:val="true"/>
        </w:rPr>
        <w:t>»</w:t>
      </w:r>
      <w:bookmarkEnd w:id="1873"/>
    </w:p>
    <w:p>
      <w:pPr>
        <w:pStyle w:val="BookText"/>
        <w:rPr/>
      </w:pPr>
      <w:r>
        <w:rPr>
          <w:rFonts w:ascii="Amiri" w:hAnsi="Amiri" w:eastAsia="Amiri" w:cs="Amiri"/>
          <w:color w:val="111111"/>
          <w:sz w:val="28"/>
          <w:sz w:val="28"/>
          <w:szCs w:val="28"/>
          <w:rtl w:val="true"/>
          <w:lang w:bidi="ar-SA"/>
        </w:rPr>
        <w:t>الْمَحَاسِنُ، عَنْ مُحَمَّدِ بْنِ عَلِيٍّ عَنْ عَبْدِ الرَّحْمَنِ بْنِ مُحَمَّدٍ الْأَسَدِيِّ عَنْ حُرَيْبٍ الْغَزَّالِ عَنْ صَدَقَةَ الْقَتَّاتِ عَنِ الْحَسَنِ الْبَصْرِيِّ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بِخَمْسِ خِصَالٍ هِيَ مِنَ الْبِرِّ وَ الْبِرُّ يَدْعُو إِلَي الْجَنَّةِ قُلْتُ بَلَي قَالَ إِخْفَاءُ الْمُصِيبَةِ وَ كِتْمَانُهَا الْحَدِيثَ‌</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4" w:name="__RefHeading___Toc606634_1934241801"/>
      <w:bookmarkStart w:id="1875" w:name="_Toc861"/>
      <w:bookmarkEnd w:id="1874"/>
      <w:r>
        <w:rPr>
          <w:rtl w:val="true"/>
        </w:rPr>
        <w:t>«</w:t>
      </w:r>
      <w:r>
        <w:rPr/>
        <w:t>16</w:t>
      </w:r>
      <w:r>
        <w:rPr>
          <w:rtl w:val="true"/>
        </w:rPr>
        <w:t>»</w:t>
      </w:r>
      <w:bookmarkEnd w:id="1875"/>
    </w:p>
    <w:p>
      <w:pPr>
        <w:pStyle w:val="BookText"/>
        <w:rPr/>
      </w:pPr>
      <w:r>
        <w:rPr>
          <w:rFonts w:ascii="Amiri" w:hAnsi="Amiri" w:eastAsia="Amiri" w:cs="Amiri"/>
          <w:color w:val="111111"/>
          <w:sz w:val="28"/>
          <w:sz w:val="28"/>
          <w:szCs w:val="28"/>
          <w:rtl w:val="true"/>
          <w:lang w:bidi="ar-SA"/>
        </w:rPr>
        <w:t>الْخِصَالُ، عَنْ أَبِيهِ عَنْ أَحْمَدَ بْنِ إِدْرِيسَ عَنْ سَهْلِ بْنِ زِيَادٍ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ظَهَرَتْ صِحَّتُهُ عَلَي سُقْمِهِ</w:t>
      </w:r>
    </w:p>
    <w:p>
      <w:pPr>
        <w:pStyle w:val="Heading5"/>
        <w:numPr>
          <w:ilvl w:val="4"/>
          <w:numId w:val="1"/>
        </w:numPr>
        <w:rPr/>
      </w:pPr>
      <w:bookmarkStart w:id="1876" w:name="__RefHeading___Toc606636_1934241801"/>
      <w:bookmarkStart w:id="1877" w:name="_Toc862"/>
      <w:bookmarkEnd w:id="1876"/>
      <w:r>
        <w:rPr>
          <w:rtl w:val="true"/>
        </w:rPr>
        <w:t xml:space="preserve">روایت </w:t>
      </w:r>
      <w:r>
        <w:rPr/>
        <w:t>12</w:t>
      </w:r>
      <w:bookmarkEnd w:id="1877"/>
    </w:p>
    <w:p>
      <w:p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المنکدر روایت شده که عون بن عبدالله بن مسعود بیمار شد، پس به عیادت او رفتم، 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حدیثی از عبدالله بن مسعود را برای تو روایت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نزد رسول خدا صلّی الله علیه و آله نشسته بودیم ایشان تبسّمی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دلیل تبسّم شما چیست؟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 و بی تابی او در برابر بیماری شگفت زده شدم، که اگر می دانست چه ثوابی به ازای بیماری در انتظار اوست، دوست می داشت پیوسته و تا زمانی که به دیدار پروردگار عزّ و جلّ خود نائل می آید مریض باشد</w:t>
      </w:r>
      <w:r>
        <w:rPr>
          <w:rFonts w:eastAsia="IRNazanin" w:cs="IRNazanin"/>
          <w:color w:val="111111"/>
          <w:sz w:val="28"/>
          <w:szCs w:val="28"/>
          <w:rtl w:val="true"/>
          <w:lang w:bidi="fa-IR"/>
        </w:rPr>
        <w:t>.</w:t>
      </w:r>
      <w:r>
        <w:rPr>
          <w:rStyle w:val="FootnoteAnchor"/>
          <w:rtl w:val="true"/>
        </w:rPr>
        <w:footnoteReference w:id="977"/>
      </w:r>
    </w:p>
    <w:p>
      <w:pPr>
        <w:pStyle w:val="Heading5"/>
        <w:numPr>
          <w:ilvl w:val="4"/>
          <w:numId w:val="1"/>
        </w:numPr>
        <w:rPr/>
      </w:pPr>
      <w:bookmarkStart w:id="1878" w:name="__RefHeading___Toc606638_1934241801"/>
      <w:bookmarkStart w:id="1879" w:name="_Toc863"/>
      <w:bookmarkEnd w:id="1878"/>
      <w:r>
        <w:rPr>
          <w:rtl w:val="true"/>
        </w:rPr>
        <w:t xml:space="preserve">روایت </w:t>
      </w:r>
      <w:r>
        <w:rPr/>
        <w:t>13</w:t>
      </w:r>
      <w:bookmarkEnd w:id="1879"/>
    </w:p>
    <w:p>
      <w:p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از ارزش بلا و مصیبت و پاداش در نظر گرفته شده برای آن آگاه باشد در مقابل آن صبر پیشه می سازد، و هر کسی که آگاه نباشد آن را زشت می شمارد</w:t>
      </w:r>
      <w:r>
        <w:rPr>
          <w:rFonts w:eastAsia="IRNazanin" w:cs="IRNazanin"/>
          <w:color w:val="111111"/>
          <w:sz w:val="28"/>
          <w:szCs w:val="28"/>
          <w:rtl w:val="true"/>
          <w:lang w:bidi="fa-IR"/>
        </w:rPr>
        <w:t>.</w:t>
      </w:r>
      <w:r>
        <w:rPr>
          <w:rStyle w:val="FootnoteAnchor"/>
          <w:rtl w:val="true"/>
        </w:rPr>
        <w:footnoteReference w:id="978"/>
      </w:r>
    </w:p>
    <w:p>
      <w:pPr>
        <w:pStyle w:val="Heading5"/>
        <w:numPr>
          <w:ilvl w:val="4"/>
          <w:numId w:val="1"/>
        </w:numPr>
        <w:rPr/>
      </w:pPr>
      <w:bookmarkStart w:id="1880" w:name="__RefHeading___Toc606640_1934241801"/>
      <w:bookmarkStart w:id="1881" w:name="_Toc864"/>
      <w:bookmarkEnd w:id="1880"/>
      <w:r>
        <w:rPr>
          <w:rtl w:val="true"/>
        </w:rPr>
        <w:t xml:space="preserve">روایت </w:t>
      </w:r>
      <w:r>
        <w:rPr/>
        <w:t>14</w:t>
      </w:r>
      <w:bookmarkEnd w:id="1881"/>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بیمار شود و صبر پیشه سازد و قصد کسب رضایت خداوند را داشته باشد، خداوند اجر و پاداش هزار شهید را برای او در نظر می گیرد</w:t>
      </w:r>
      <w:r>
        <w:rPr>
          <w:rFonts w:eastAsia="IRNazanin" w:cs="IRNazanin"/>
          <w:color w:val="111111"/>
          <w:sz w:val="28"/>
          <w:szCs w:val="28"/>
          <w:rtl w:val="true"/>
          <w:lang w:bidi="fa-IR"/>
        </w:rPr>
        <w:t>.</w:t>
      </w:r>
      <w:r>
        <w:rPr>
          <w:rStyle w:val="FootnoteAnchor"/>
          <w:rtl w:val="true"/>
        </w:rPr>
        <w:footnoteReference w:id="979"/>
      </w:r>
    </w:p>
    <w:p>
      <w:pPr>
        <w:pStyle w:val="Heading5"/>
        <w:numPr>
          <w:ilvl w:val="4"/>
          <w:numId w:val="1"/>
        </w:numPr>
        <w:rPr/>
      </w:pPr>
      <w:bookmarkStart w:id="1882" w:name="__RefHeading___Toc606642_1934241801"/>
      <w:bookmarkStart w:id="1883" w:name="_Toc865"/>
      <w:bookmarkEnd w:id="1882"/>
      <w:r>
        <w:rPr>
          <w:rtl w:val="true"/>
        </w:rPr>
        <w:t xml:space="preserve">روایت </w:t>
      </w:r>
      <w:r>
        <w:rPr/>
        <w:t>15</w:t>
      </w:r>
      <w:bookmarkEnd w:id="1883"/>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پنج خصلت با خبر سازم که نیکی به شمار می آید و نیکی باعث ورود به بهشت می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کتمان کردن و پنهان نمودن بلا و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آخرحدیث</w:t>
      </w:r>
      <w:r>
        <w:rPr>
          <w:rFonts w:eastAsia="IRNazanin" w:cs="IRNazanin"/>
          <w:color w:val="111111"/>
          <w:sz w:val="28"/>
          <w:szCs w:val="28"/>
          <w:rtl w:val="true"/>
          <w:lang w:bidi="fa-IR"/>
        </w:rPr>
        <w:t>.</w:t>
      </w:r>
      <w:r>
        <w:rPr>
          <w:rStyle w:val="FootnoteAnchor"/>
          <w:rtl w:val="true"/>
        </w:rPr>
        <w:footnoteReference w:id="980"/>
      </w:r>
    </w:p>
    <w:p>
      <w:pPr>
        <w:pStyle w:val="Heading5"/>
        <w:numPr>
          <w:ilvl w:val="4"/>
          <w:numId w:val="1"/>
        </w:numPr>
        <w:rPr/>
      </w:pPr>
      <w:bookmarkStart w:id="1884" w:name="__RefHeading___Toc606644_1934241801"/>
      <w:bookmarkStart w:id="1885" w:name="_Toc866"/>
      <w:bookmarkEnd w:id="1884"/>
      <w:r>
        <w:rPr>
          <w:rtl w:val="true"/>
        </w:rPr>
        <w:t xml:space="preserve">روایت </w:t>
      </w:r>
      <w:r>
        <w:rPr/>
        <w:t>16</w:t>
      </w:r>
      <w:bookmarkEnd w:id="188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تندرستی او بر بیماری اش چیره باشد </w:t>
      </w:r>
      <w:bookmarkStart w:id="1886" w:name="pg13517_329238"/>
    </w:p>
    <w:p>
      <w:pPr>
        <w:pStyle w:val="BookText"/>
        <w:rPr/>
      </w:pPr>
      <w:bookmarkEnd w:id="1886"/>
      <w:r>
        <w:rPr>
          <w:rFonts w:ascii="Amiri" w:hAnsi="Amiri" w:eastAsia="Amiri" w:cs="Amiri"/>
          <w:color w:val="111111"/>
          <w:sz w:val="28"/>
          <w:sz w:val="28"/>
          <w:szCs w:val="28"/>
          <w:rtl w:val="true"/>
          <w:lang w:bidi="ar-SA"/>
        </w:rPr>
        <w:t>فَيُعَالِجُ نَفْسَهُ بِشَيْ‌ءٍ فَمَاتَ فَأَنَا إِلَي اللَّهِ مِنْهُ بَرِي‌ءٌ</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7" w:name="__RefHeading___Toc606646_1934241801"/>
      <w:bookmarkStart w:id="1888" w:name="_Toc867"/>
      <w:bookmarkEnd w:id="1887"/>
      <w:r>
        <w:rPr>
          <w:rtl w:val="true"/>
        </w:rPr>
        <w:t>«</w:t>
      </w:r>
      <w:r>
        <w:rPr/>
        <w:t>17</w:t>
      </w:r>
      <w:r>
        <w:rPr>
          <w:rtl w:val="true"/>
        </w:rPr>
        <w:t>»</w:t>
      </w:r>
      <w:bookmarkEnd w:id="1888"/>
    </w:p>
    <w:p>
      <w:pPr>
        <w:pStyle w:val="BookText"/>
        <w:rPr/>
      </w:pPr>
      <w:r>
        <w:rPr>
          <w:rFonts w:ascii="Amiri" w:hAnsi="Amiri" w:eastAsia="Amiri" w:cs="Amiri"/>
          <w:color w:val="111111"/>
          <w:sz w:val="28"/>
          <w:sz w:val="28"/>
          <w:szCs w:val="28"/>
          <w:rtl w:val="true"/>
          <w:lang w:bidi="ar-SA"/>
        </w:rPr>
        <w:t>الْعِلَلُ، عَنْ أَبِيهِ عَنْ سَعْدِ بْنِ عَبْدِ اللَّهِ عَنْ أَحْمَدَ بْنِ مُحَمَّدٍ عَنْ بَكْرِ بْنِ صَالِحٍ الْجَعْفَرِيِّ قَالَ سَمِعْتُ أَبَا الْحَسَنِ مُوسَي بْنَ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ادْفَعُوا مُعَالَجَةَ الْأَطِبَّاءِ مَا انْدَفَعَ الدَّاءُ عَنْكُمْ فَإِنَّهُ بِمَنْزِلَةِ الْبِنَاءِ قَلِيلُهُ يَجُرُّ إِلَي كَثِيرِهِ‌</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9" w:name="__RefHeading___Toc606648_1934241801"/>
      <w:bookmarkStart w:id="1890" w:name="_Toc868"/>
      <w:bookmarkEnd w:id="1889"/>
      <w:r>
        <w:rPr>
          <w:rtl w:val="true"/>
        </w:rPr>
        <w:t>«</w:t>
      </w:r>
      <w:r>
        <w:rPr/>
        <w:t>18</w:t>
      </w:r>
      <w:r>
        <w:rPr>
          <w:rtl w:val="true"/>
        </w:rPr>
        <w:t>»</w:t>
      </w:r>
      <w:bookmarkEnd w:id="1890"/>
    </w:p>
    <w:p>
      <w:pPr>
        <w:pStyle w:val="BookText"/>
        <w:rPr/>
      </w:pPr>
      <w:r>
        <w:rPr>
          <w:rFonts w:ascii="Amiri" w:hAnsi="Amiri" w:eastAsia="Amiri" w:cs="Amiri"/>
          <w:color w:val="111111"/>
          <w:sz w:val="28"/>
          <w:sz w:val="28"/>
          <w:szCs w:val="28"/>
          <w:rtl w:val="true"/>
          <w:lang w:bidi="ar-SA"/>
        </w:rPr>
        <w:t>كِتَابُ الْإِخْوَانِ، لِلصَّدُوقِ بِإِسْنَادِهِ عَنِ الْحَسَنِ بْنِ رَاشِدٍ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إِذَا نَزَلَتْ بِكَ نَازِلَةٌ فَلَا تَشْكُهَا إِلَي أَحَدٍ مِنْ أَهْلِ الْخِلَافِ وَ لَكِنِ اذْكُرْهَا لِبَعْضِ إِخْوَانِكَ فَإِنَّكَ لَنْ تُعْدَمَ خَصْلَةً مِنْ خِصَالٍ أَرْبَعٍ إِمَّا كِفَايَةً وَ إِمَّا مَعُونَةً بِجَاهٍ أَوْ دَعْوَةً تُسْتَجَابُ أَوْ مَشُورَةً بِرَأْيٍ‌</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1" w:name="__RefHeading___Toc606650_1934241801"/>
      <w:bookmarkStart w:id="1892" w:name="_Toc869"/>
      <w:bookmarkEnd w:id="1891"/>
      <w:r>
        <w:rPr>
          <w:rtl w:val="true"/>
        </w:rPr>
        <w:t>«</w:t>
      </w:r>
      <w:r>
        <w:rPr/>
        <w:t>19</w:t>
      </w:r>
      <w:r>
        <w:rPr>
          <w:rtl w:val="true"/>
        </w:rPr>
        <w:t>»</w:t>
      </w:r>
      <w:bookmarkEnd w:id="1892"/>
    </w:p>
    <w:p>
      <w:pPr>
        <w:pStyle w:val="BookText"/>
        <w:rPr/>
      </w:pPr>
      <w:r>
        <w:rPr>
          <w:rFonts w:ascii="Amiri" w:hAnsi="Amiri" w:eastAsia="Amiri" w:cs="Amiri"/>
          <w:color w:val="111111"/>
          <w:sz w:val="28"/>
          <w:sz w:val="28"/>
          <w:szCs w:val="28"/>
          <w:rtl w:val="true"/>
          <w:lang w:bidi="ar-SA"/>
        </w:rPr>
        <w:t>مَعَانِي الْأَخْبَارِ، عَنْ أَبِيهِ عَنْ سَعْدِ بْنِ عَبْدِ اللَّهِ عَنْ أَحْمَدَ بْنِ مُحَمَّدٍ عَنْ إِسْمَاعِيلَ بْنِ إِبْرَاهِيمَ عَنْ أَبِي مُعَاوِيَةَ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شَكَا إِلَي مُؤْمِنٍ فَقَدْ شَكَا إِلَي اللَّهِ عَزَّ وَ جَلَّ وَ مَنْ شَكَا إِلَي مُخَالِفٍ فَقَدْ شَكَا اللَّهَ عَزَّ وَ جَلَ‌</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3" w:name="__RefHeading___Toc606652_1934241801"/>
      <w:bookmarkStart w:id="1894" w:name="_Toc870"/>
      <w:bookmarkEnd w:id="1893"/>
      <w:r>
        <w:rPr>
          <w:rtl w:val="true"/>
        </w:rPr>
        <w:t>«</w:t>
      </w:r>
      <w:r>
        <w:rPr/>
        <w:t>20</w:t>
      </w:r>
      <w:r>
        <w:rPr>
          <w:rtl w:val="true"/>
        </w:rPr>
        <w:t>»</w:t>
      </w:r>
      <w:bookmarkEnd w:id="1894"/>
    </w:p>
    <w:p>
      <w:pPr>
        <w:pStyle w:val="BookText"/>
        <w:rPr/>
      </w:pPr>
      <w:r>
        <w:rPr>
          <w:rFonts w:ascii="Amiri" w:hAnsi="Amiri" w:eastAsia="Amiri" w:cs="Amiri"/>
          <w:color w:val="111111"/>
          <w:sz w:val="28"/>
          <w:sz w:val="28"/>
          <w:szCs w:val="28"/>
          <w:rtl w:val="true"/>
          <w:lang w:bidi="ar-SA"/>
        </w:rPr>
        <w:t>قُرْبُ الْإِسْنَادِ، عَنْ هَارُونَ بْنِ مُسْلِمٍ عَنْ مَسْعَدَةَ بْنِ صَدَقَةَ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شَكَا إِلَي أَخِيهِ فَقَدْ شَكَا إِلَي اللَّهِ وَ مَنْ شَكَا إِلَي غَيْرِ أَخِيهِ فَقَدْ شَكَا اللَّهَ قَالَ وَ مَعْنَي ذَلِكَ أَخُوهُ فِي دِينِهِ‌</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5" w:name="__RefHeading___Toc606654_1934241801"/>
      <w:bookmarkStart w:id="1896" w:name="_Toc871"/>
      <w:bookmarkEnd w:id="1895"/>
      <w:r>
        <w:rPr>
          <w:rtl w:val="true"/>
        </w:rPr>
        <w:t>«</w:t>
      </w:r>
      <w:r>
        <w:rPr/>
        <w:t>21</w:t>
      </w:r>
      <w:r>
        <w:rPr>
          <w:rtl w:val="true"/>
        </w:rPr>
        <w:t>»</w:t>
      </w:r>
      <w:bookmarkEnd w:id="1896"/>
    </w:p>
    <w:p>
      <w:pPr>
        <w:pStyle w:val="BookText"/>
        <w:rPr/>
      </w:pPr>
      <w:r>
        <w:rPr>
          <w:rFonts w:ascii="Amiri" w:hAnsi="Amiri" w:eastAsia="Amiri" w:cs="Amiri"/>
          <w:color w:val="111111"/>
          <w:sz w:val="28"/>
          <w:sz w:val="28"/>
          <w:szCs w:val="28"/>
          <w:rtl w:val="true"/>
          <w:lang w:bidi="ar-SA"/>
        </w:rPr>
        <w:t>الْخِصَالُ، عَنْ أَبِيهِ عَنْ مُحَمَّدِ بْنِ يَحْيَي عَنْ سَهْلِ بْنِ زِيَادٍ عَنِ الْحُسَيْنِ بْنِ الْحُسَيْنِ اللُّؤْلُؤِيِّ عَنْ مُحَمَّدِ بْنِ سِنَانٍ عَنْ زَيْدٍ الشَّحَّامِ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عَظِيمَ الْبَلَاءِ يُكَافَأُ بِهِ عَظِيمُ الْجَزَاءِ</w:t>
      </w:r>
    </w:p>
    <w:p>
      <w:pPr>
        <w:pStyle w:val="BookText"/>
        <w:rPr/>
      </w:pPr>
      <w:r>
        <w:rPr>
          <w:rFonts w:ascii="IRNazanin" w:hAnsi="IRNazanin" w:eastAsia="IRNazanin"/>
          <w:color w:val="111111"/>
          <w:sz w:val="28"/>
          <w:sz w:val="28"/>
          <w:szCs w:val="28"/>
          <w:rtl w:val="true"/>
          <w:lang w:bidi="fa-IR"/>
        </w:rPr>
        <w:t>و خود را با چیزی مداوا کند که باعث مرگش شود، من در محضر خداوند از او بری هستم</w:t>
      </w:r>
      <w:r>
        <w:rPr>
          <w:rFonts w:eastAsia="IRNazanin" w:cs="IRNazanin"/>
          <w:color w:val="111111"/>
          <w:sz w:val="28"/>
          <w:szCs w:val="28"/>
          <w:rtl w:val="true"/>
          <w:lang w:bidi="fa-IR"/>
        </w:rPr>
        <w:t>.</w:t>
      </w:r>
      <w:r>
        <w:rPr>
          <w:rStyle w:val="FootnoteAnchor"/>
          <w:rtl w:val="true"/>
        </w:rPr>
        <w:footnoteReference w:id="986"/>
      </w:r>
    </w:p>
    <w:p>
      <w:pPr>
        <w:pStyle w:val="Heading5"/>
        <w:numPr>
          <w:ilvl w:val="4"/>
          <w:numId w:val="1"/>
        </w:numPr>
        <w:rPr/>
      </w:pPr>
      <w:bookmarkStart w:id="1897" w:name="__RefHeading___Toc606656_1934241801"/>
      <w:bookmarkStart w:id="1898" w:name="_Toc872"/>
      <w:bookmarkEnd w:id="1897"/>
      <w:r>
        <w:rPr>
          <w:rtl w:val="true"/>
        </w:rPr>
        <w:t xml:space="preserve">روایت </w:t>
      </w:r>
      <w:r>
        <w:rPr/>
        <w:t>17</w:t>
      </w:r>
      <w:bookmarkEnd w:id="1898"/>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بیماری از شما به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و کم اهمیت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درمان پزشکان را از خود دور کنید، چرا که بیماری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ساختمانی است که اندکش به بسیارِ آن وادار می کند</w:t>
      </w:r>
      <w:r>
        <w:rPr>
          <w:rFonts w:eastAsia="IRNazanin" w:cs="IRNazanin"/>
          <w:color w:val="111111"/>
          <w:sz w:val="28"/>
          <w:szCs w:val="28"/>
          <w:rtl w:val="true"/>
          <w:lang w:bidi="fa-IR"/>
        </w:rPr>
        <w:t>.</w:t>
      </w:r>
      <w:r>
        <w:rPr>
          <w:rStyle w:val="FootnoteAnchor"/>
          <w:rtl w:val="true"/>
        </w:rPr>
        <w:footnoteReference w:id="987"/>
      </w:r>
    </w:p>
    <w:p>
      <w:pPr>
        <w:pStyle w:val="Heading5"/>
        <w:numPr>
          <w:ilvl w:val="4"/>
          <w:numId w:val="1"/>
        </w:numPr>
        <w:rPr/>
      </w:pPr>
      <w:bookmarkStart w:id="1899" w:name="__RefHeading___Toc606658_1934241801"/>
      <w:bookmarkStart w:id="1900" w:name="_Toc873"/>
      <w:bookmarkEnd w:id="1899"/>
      <w:r>
        <w:rPr>
          <w:rtl w:val="true"/>
        </w:rPr>
        <w:t xml:space="preserve">روایت </w:t>
      </w:r>
      <w:r>
        <w:rPr/>
        <w:t>18</w:t>
      </w:r>
      <w:bookmarkEnd w:id="1900"/>
    </w:p>
    <w:p>
      <w:pPr>
        <w:pStyle w:val="BookText"/>
        <w:rPr/>
      </w:pPr>
      <w:r>
        <w:rPr>
          <w:rFonts w:ascii="IRNazanin" w:hAnsi="IRNazanin" w:eastAsia="IRNazanin"/>
          <w:color w:val="111111"/>
          <w:sz w:val="28"/>
          <w:sz w:val="28"/>
          <w:szCs w:val="28"/>
          <w:rtl w:val="true"/>
          <w:lang w:bidi="fa-IR"/>
        </w:rPr>
        <w:t>کتاب 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صدوق از حسن بن راشد روایت شده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هر گاه مصیبتی بر تو نازل شد از آن نزد هیچ یک از مخالفان شکایت نکن، ولی آن را نزد برخی از برادرانت ذکر کن که از یکی از این چهار خصلت بی نصیب نخواهی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 را بی نیاز می گرداند، یا با جاه و مقام تو را یاری می رساند، یا دعوتت را اجابت می گوید و یا با تو مشورت می کند</w:t>
      </w:r>
      <w:r>
        <w:rPr>
          <w:rFonts w:eastAsia="IRNazanin" w:cs="IRNazanin"/>
          <w:color w:val="111111"/>
          <w:sz w:val="28"/>
          <w:szCs w:val="28"/>
          <w:rtl w:val="true"/>
          <w:lang w:bidi="fa-IR"/>
        </w:rPr>
        <w:t>.</w:t>
      </w:r>
      <w:r>
        <w:rPr>
          <w:rStyle w:val="FootnoteAnchor"/>
          <w:rtl w:val="true"/>
        </w:rPr>
        <w:footnoteReference w:id="988"/>
      </w:r>
    </w:p>
    <w:p>
      <w:pPr>
        <w:pStyle w:val="Heading5"/>
        <w:numPr>
          <w:ilvl w:val="4"/>
          <w:numId w:val="1"/>
        </w:numPr>
        <w:rPr/>
      </w:pPr>
      <w:bookmarkStart w:id="1901" w:name="__RefHeading___Toc606660_1934241801"/>
      <w:bookmarkStart w:id="1902" w:name="_Toc874"/>
      <w:bookmarkEnd w:id="1901"/>
      <w:r>
        <w:rPr>
          <w:rtl w:val="true"/>
        </w:rPr>
        <w:t xml:space="preserve">روایت </w:t>
      </w:r>
      <w:r>
        <w:rPr/>
        <w:t>19</w:t>
      </w:r>
      <w:bookmarkEnd w:id="1902"/>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نزد مؤمنی شکوه کند مانند این است که نزد خداوند عزّ و جلّ شکوه کرده باشد، و هر کسی نزد مخالفی از مخالفان ما شکوه کند مانند این است که از خداوند عزّ و جلّ شکایت کرده باشد</w:t>
      </w:r>
      <w:r>
        <w:rPr>
          <w:rFonts w:eastAsia="IRNazanin" w:cs="IRNazanin"/>
          <w:color w:val="111111"/>
          <w:sz w:val="28"/>
          <w:szCs w:val="28"/>
          <w:rtl w:val="true"/>
          <w:lang w:bidi="fa-IR"/>
        </w:rPr>
        <w:t>.</w:t>
      </w:r>
      <w:r>
        <w:rPr>
          <w:rStyle w:val="FootnoteAnchor"/>
          <w:rtl w:val="true"/>
        </w:rPr>
        <w:footnoteReference w:id="989"/>
      </w:r>
    </w:p>
    <w:p>
      <w:pPr>
        <w:pStyle w:val="Heading5"/>
        <w:numPr>
          <w:ilvl w:val="4"/>
          <w:numId w:val="1"/>
        </w:numPr>
        <w:rPr/>
      </w:pPr>
      <w:bookmarkStart w:id="1903" w:name="__RefHeading___Toc606662_1934241801"/>
      <w:bookmarkStart w:id="1904" w:name="_Toc875"/>
      <w:bookmarkEnd w:id="1903"/>
      <w:r>
        <w:rPr>
          <w:rtl w:val="true"/>
        </w:rPr>
        <w:t xml:space="preserve">روایت </w:t>
      </w:r>
      <w:r>
        <w:rPr/>
        <w:t>20</w:t>
      </w:r>
      <w:bookmarkEnd w:id="1904"/>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نزد برادرش شکوه کند مانند این است که نزد خداوند شکایت کرده باشد، و هر کسی نزد غیر برادرش شکوه کند مانند این است که از خداوند شکایت کرده باشد، و منظور از برادر، برادر دینی می باشد</w:t>
      </w:r>
      <w:r>
        <w:rPr>
          <w:rFonts w:eastAsia="IRNazanin" w:cs="IRNazanin"/>
          <w:color w:val="111111"/>
          <w:sz w:val="28"/>
          <w:szCs w:val="28"/>
          <w:rtl w:val="true"/>
          <w:lang w:bidi="fa-IR"/>
        </w:rPr>
        <w:t>.</w:t>
      </w:r>
      <w:r>
        <w:rPr>
          <w:rStyle w:val="FootnoteAnchor"/>
          <w:rtl w:val="true"/>
        </w:rPr>
        <w:footnoteReference w:id="990"/>
      </w:r>
    </w:p>
    <w:p>
      <w:pPr>
        <w:pStyle w:val="Heading5"/>
        <w:numPr>
          <w:ilvl w:val="4"/>
          <w:numId w:val="1"/>
        </w:numPr>
        <w:rPr/>
      </w:pPr>
      <w:bookmarkStart w:id="1905" w:name="__RefHeading___Toc606664_1934241801"/>
      <w:bookmarkStart w:id="1906" w:name="_Toc876"/>
      <w:bookmarkEnd w:id="1905"/>
      <w:r>
        <w:rPr>
          <w:rtl w:val="true"/>
        </w:rPr>
        <w:t xml:space="preserve">روایت </w:t>
      </w:r>
      <w:r>
        <w:rPr/>
        <w:t>21</w:t>
      </w:r>
      <w:bookmarkEnd w:id="190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بلا و مصیبت بزرگ با جزا و پاداش بزرگ پاسخ داده می شود، </w:t>
      </w:r>
      <w:bookmarkStart w:id="1907" w:name="pg13517_329239"/>
    </w:p>
    <w:p>
      <w:pPr>
        <w:pStyle w:val="BookText"/>
        <w:rPr/>
      </w:pPr>
      <w:bookmarkEnd w:id="1907"/>
      <w:r>
        <w:rPr>
          <w:rFonts w:ascii="Amiri" w:hAnsi="Amiri" w:eastAsia="Amiri" w:cs="Amiri"/>
          <w:color w:val="111111"/>
          <w:sz w:val="28"/>
          <w:sz w:val="28"/>
          <w:szCs w:val="28"/>
          <w:rtl w:val="true"/>
          <w:lang w:bidi="ar-SA"/>
        </w:rPr>
        <w:t>فَإِذَا أَحَبَّ اللَّهُ عَبْداً ابْتَلَاهُ بِعَظِيمِ الْبَلَاءِ فَمَنْ رَضِيَ فَلَهُ عِنْدَ اللَّهِ الرِّضَا وَ مَنْ سَخِطَ الْبَلَاءَ فَلَهُ السَّخَطُ</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8" w:name="__RefHeading___Toc606666_1934241801"/>
      <w:bookmarkStart w:id="1909" w:name="_Toc877"/>
      <w:bookmarkEnd w:id="1908"/>
      <w:r>
        <w:rPr>
          <w:rtl w:val="true"/>
        </w:rPr>
        <w:t>بيان</w:t>
      </w:r>
      <w:bookmarkEnd w:id="1909"/>
    </w:p>
    <w:p>
      <w:pPr>
        <w:pStyle w:val="BookText"/>
        <w:rPr/>
      </w:pPr>
      <w:r>
        <w:rPr>
          <w:rFonts w:ascii="Amiri" w:hAnsi="Amiri" w:eastAsia="Amiri" w:cs="Amiri"/>
          <w:color w:val="111111"/>
          <w:sz w:val="28"/>
          <w:sz w:val="28"/>
          <w:szCs w:val="28"/>
          <w:rtl w:val="true"/>
          <w:lang w:bidi="ar-SA"/>
        </w:rPr>
        <w:t>قوله عليه السلام فله عند الله الرضا أي ثوابه أو رضي الله عنه و كذا السخط</w:t>
      </w:r>
      <w:r>
        <w:rPr>
          <w:rFonts w:eastAsia="Amiri" w:cs="Amiri" w:ascii="Amiri" w:hAnsi="Amiri"/>
          <w:color w:val="111111"/>
          <w:sz w:val="28"/>
          <w:szCs w:val="28"/>
          <w:rtl w:val="true"/>
          <w:lang w:bidi="ar-SA"/>
        </w:rPr>
        <w:t>.</w:t>
      </w:r>
    </w:p>
    <w:p>
      <w:pPr>
        <w:pStyle w:val="Heading5"/>
        <w:numPr>
          <w:ilvl w:val="4"/>
          <w:numId w:val="1"/>
        </w:numPr>
        <w:rPr/>
      </w:pPr>
      <w:bookmarkStart w:id="1910" w:name="__RefHeading___Toc606668_1934241801"/>
      <w:bookmarkStart w:id="1911" w:name="_Toc878"/>
      <w:bookmarkEnd w:id="1910"/>
      <w:r>
        <w:rPr>
          <w:rtl w:val="true"/>
        </w:rPr>
        <w:t>«</w:t>
      </w:r>
      <w:r>
        <w:rPr/>
        <w:t>22</w:t>
      </w:r>
      <w:r>
        <w:rPr>
          <w:rtl w:val="true"/>
        </w:rPr>
        <w:t>»</w:t>
      </w:r>
      <w:bookmarkEnd w:id="1911"/>
    </w:p>
    <w:p>
      <w:pPr>
        <w:pStyle w:val="BookText"/>
        <w:rPr/>
      </w:pPr>
      <w:r>
        <w:rPr>
          <w:rFonts w:ascii="Amiri" w:hAnsi="Amiri" w:eastAsia="Amiri" w:cs="Amiri"/>
          <w:color w:val="111111"/>
          <w:sz w:val="28"/>
          <w:sz w:val="28"/>
          <w:szCs w:val="28"/>
          <w:rtl w:val="true"/>
          <w:lang w:bidi="ar-SA"/>
        </w:rPr>
        <w:t>مَجَالِسُ الْمُفِيدِ، عَنِ الْحَسَنِ بْنِ حَمْزَةَ الْعَلَوِيِّ عَنْ مُحَمَّدِ بْنِ الْحَسَنِ بْنِ الْوَلِيدِ عَنْ مُحَمَّدِ بْنِ الْحَسَنِ الصَّفَّارِ عَنْ أَحْمَدَ بْنِ مُحَمَّدِ بْنِ عِيسَي عَنْ بَكْرِ بْنِ صَالِحٍ عَنِ الْحَسَنِ بْنِ عَلِيٍّ عَنْ عَبْدِ اللَّهِ بْنِ إِبْرَاهِيمَ عَنْ أَبِي عَبْدِ اللَّهِ الصَّادِقِ جَعْفَرِ بْنِ مُحَمَّدٍ عليهما السلام عَنْ أَبِيهِ عَنْ جَدِّهِ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كُنُوزِ الْبِرِّ كِتْمَانُ الْحَاجَةِ وَ كِتْمَانُ الصَّدَقَةِ وَ كِتْمَانُ الْمَرَضِ وَ كِتْمَانُ الْمُصِيبَةِ</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2" w:name="__RefHeading___Toc606670_1934241801"/>
      <w:bookmarkStart w:id="1913" w:name="_Toc879"/>
      <w:bookmarkEnd w:id="1912"/>
      <w:r>
        <w:rPr>
          <w:rtl w:val="true"/>
        </w:rPr>
        <w:t>«</w:t>
      </w:r>
      <w:r>
        <w:rPr/>
        <w:t>23</w:t>
      </w:r>
      <w:r>
        <w:rPr>
          <w:rtl w:val="true"/>
        </w:rPr>
        <w:t>»</w:t>
      </w:r>
      <w:bookmarkEnd w:id="1913"/>
    </w:p>
    <w:p>
      <w:pPr>
        <w:pStyle w:val="BookText"/>
        <w:rPr/>
      </w:pPr>
      <w:r>
        <w:rPr>
          <w:rFonts w:ascii="Amiri" w:hAnsi="Amiri" w:eastAsia="Amiri" w:cs="Amiri"/>
          <w:color w:val="111111"/>
          <w:sz w:val="28"/>
          <w:sz w:val="28"/>
          <w:szCs w:val="28"/>
          <w:rtl w:val="true"/>
          <w:lang w:bidi="ar-SA"/>
        </w:rPr>
        <w:t>دَعَوَاتُ الرَّاوَنْدِيِّ،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كُنُوزِ الْجَنَّةِ كِتْمَانُ الْفَاقَةِ وَ كِتْمَانُ الصَّدَقَةِ وَ كِتْمَانُ الْمُصِيبَةِ وَ كِتْمَانُ الْوَجَعِ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كُنُوزِ الْبِرِّ كِتْمَانُ الْمَصَائِبِ وَ الْأَمْرَاضِ وَ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 أَيُّمَا عَبْدٍ مِنْ عَبِيدِي مُؤْمِنٍ ابْتَلَيْتُهُ بِبَلَاءٍ عَلَي فِرَاشِهِ فَلَمْ يَشْكُ إِلَي عُوَّادِهِ أَبْدَلْتُهُ لَحْماً خَيْراً مِنْ لَحْمِهِ وَ دَماً خَيْراً مِنْ دَمِهِ فَإِنْ قَبَضْتُهُ فَإِلَي رَحْمَتِي وَ إِنْ عَافَيْتُهُ عَافَيْتُهُ وَ لَيْسَ لَهُ ذَنْبٌ فَقِيلَ يَا رَسُولَ اللَّهِ مَا لَحْمٌ خَيْرٌ مِنْ لَحْمِهِ قَالَ لَحْمٌ لَمْ يُذْنِبْ وَ دَمٌ خَيْرٌ مِنَ دَمِهِ دَمٌ لَمْ يُذْنِبْ</w:t>
      </w:r>
      <w:r>
        <w:rPr>
          <w:rFonts w:eastAsia="Amiri" w:cs="Amiri" w:ascii="Amiri" w:hAnsi="Amiri"/>
          <w:color w:val="111111"/>
          <w:sz w:val="28"/>
          <w:szCs w:val="28"/>
          <w:rtl w:val="true"/>
          <w:lang w:bidi="ar-SA"/>
        </w:rPr>
        <w:t>.</w:t>
      </w:r>
    </w:p>
    <w:p>
      <w:pPr>
        <w:pStyle w:val="Heading5"/>
        <w:numPr>
          <w:ilvl w:val="4"/>
          <w:numId w:val="1"/>
        </w:numPr>
        <w:rPr/>
      </w:pPr>
      <w:bookmarkStart w:id="1914" w:name="__RefHeading___Toc606672_1934241801"/>
      <w:bookmarkStart w:id="1915" w:name="_Toc880"/>
      <w:bookmarkEnd w:id="1914"/>
      <w:r>
        <w:rPr>
          <w:rtl w:val="true"/>
        </w:rPr>
        <w:t>بيان</w:t>
      </w:r>
      <w:bookmarkEnd w:id="1915"/>
    </w:p>
    <w:p>
      <w:pPr>
        <w:pStyle w:val="BookText"/>
        <w:rPr/>
      </w:pPr>
      <w:r>
        <w:rPr>
          <w:rFonts w:ascii="Amiri" w:hAnsi="Amiri" w:eastAsia="Amiri" w:cs="Amiri"/>
          <w:color w:val="111111"/>
          <w:sz w:val="28"/>
          <w:sz w:val="28"/>
          <w:szCs w:val="28"/>
          <w:rtl w:val="true"/>
          <w:lang w:bidi="ar-SA"/>
        </w:rPr>
        <w:t>لعل المعني أنه تعالي يرفع حكم الذنب و استحقاق العقوبة عنه كما ورد في الأخبار كيوم ولدته أمه</w:t>
      </w:r>
      <w:r>
        <w:rPr>
          <w:rFonts w:eastAsia="Amiri" w:cs="Amiri" w:ascii="Amiri" w:hAnsi="Amiri"/>
          <w:color w:val="111111"/>
          <w:sz w:val="28"/>
          <w:szCs w:val="28"/>
          <w:rtl w:val="true"/>
          <w:lang w:bidi="ar-SA"/>
        </w:rPr>
        <w:t>.</w:t>
      </w:r>
    </w:p>
    <w:p>
      <w:pPr>
        <w:pStyle w:val="Heading5"/>
        <w:numPr>
          <w:ilvl w:val="4"/>
          <w:numId w:val="1"/>
        </w:numPr>
        <w:rPr/>
      </w:pPr>
      <w:bookmarkStart w:id="1916" w:name="__RefHeading___Toc606674_1934241801"/>
      <w:bookmarkStart w:id="1917" w:name="_Toc881"/>
      <w:bookmarkEnd w:id="1916"/>
      <w:r>
        <w:rPr>
          <w:rtl w:val="true"/>
        </w:rPr>
        <w:t>«</w:t>
      </w:r>
      <w:r>
        <w:rPr/>
        <w:t>24</w:t>
      </w:r>
      <w:r>
        <w:rPr>
          <w:rtl w:val="true"/>
        </w:rPr>
        <w:t>»</w:t>
      </w:r>
      <w:bookmarkEnd w:id="1917"/>
    </w:p>
    <w:p>
      <w:pPr>
        <w:pStyle w:val="BookText"/>
        <w:rPr/>
      </w:pPr>
      <w:r>
        <w:rPr>
          <w:rFonts w:ascii="Amiri" w:hAnsi="Amiri" w:eastAsia="Amiri" w:cs="Amiri"/>
          <w:color w:val="111111"/>
          <w:sz w:val="28"/>
          <w:sz w:val="28"/>
          <w:szCs w:val="28"/>
          <w:rtl w:val="true"/>
          <w:lang w:bidi="ar-SA"/>
        </w:rPr>
        <w:t>دَعَوَاتُ الرَّاوَنْدِيِّ، عَنِ الْبَاقِرِ عليه السلام قَالَ 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مَرَضاً شَدِيداً فَقَالَ لِي أَبِي عليه السلام مَا تَشْتَهِي فَقُلْتُ أَشْتَهِي أَنْ أَكُونَ مِمَّنْ لَا أَقْتَرِحُ عَلَي اللَّهِ رَبِّي مَا يُدَبِّرُهُ لِي فَقَالَ لِي أَحْسَنْتَ ضَاهَيْتَ إِبْرَاهِيمَ الْخَلِيلَ صَلَوَاتُ</w:t>
      </w:r>
    </w:p>
    <w:p>
      <w:pPr>
        <w:pStyle w:val="BookText"/>
        <w:rPr/>
      </w:pPr>
      <w:r>
        <w:rPr>
          <w:rFonts w:ascii="IRNazanin" w:hAnsi="IRNazanin" w:eastAsia="IRNazanin"/>
          <w:color w:val="111111"/>
          <w:sz w:val="28"/>
          <w:sz w:val="28"/>
          <w:szCs w:val="28"/>
          <w:rtl w:val="true"/>
          <w:lang w:bidi="fa-IR"/>
        </w:rPr>
        <w:t>پس هر گاه خداوند بنده ای را دوست بدارد او را به بلا و مصیبت بزرگ مبتلا می سازد، اگر به نزول آن راضی باشد ثواب و رضایت خداوند را برای خود کسب کرده است و اگر از نزول بلا و مصیبت خشمگین باشد خشم یا مجازات خداوند را به جان خریده است</w:t>
      </w:r>
      <w:r>
        <w:rPr>
          <w:rFonts w:eastAsia="IRNazanin" w:cs="IRNazanin"/>
          <w:color w:val="111111"/>
          <w:sz w:val="28"/>
          <w:szCs w:val="28"/>
          <w:rtl w:val="true"/>
          <w:lang w:bidi="fa-IR"/>
        </w:rPr>
        <w:t>.</w:t>
      </w:r>
      <w:r>
        <w:rPr>
          <w:rStyle w:val="FootnoteAnchor"/>
          <w:rtl w:val="true"/>
        </w:rPr>
        <w:footnoteReference w:id="993"/>
      </w:r>
    </w:p>
    <w:p>
      <w:pPr>
        <w:pStyle w:val="Heading5"/>
        <w:numPr>
          <w:ilvl w:val="4"/>
          <w:numId w:val="1"/>
        </w:numPr>
        <w:rPr/>
      </w:pPr>
      <w:bookmarkStart w:id="1918" w:name="__RefHeading___Toc606676_1934241801"/>
      <w:bookmarkStart w:id="1919" w:name="_Toc882"/>
      <w:bookmarkEnd w:id="1918"/>
      <w:r>
        <w:rPr>
          <w:rtl w:val="true"/>
        </w:rPr>
        <w:t>توضیح</w:t>
      </w:r>
      <w:bookmarkEnd w:id="1919"/>
    </w:p>
    <w:p>
      <w:pPr>
        <w:pStyle w:val="BookText"/>
        <w:rPr/>
      </w:pPr>
      <w:r>
        <w:rPr>
          <w:rFonts w:ascii="IRNazanin" w:hAnsi="IRNazanin" w:eastAsia="IRNazanin"/>
          <w:color w:val="111111"/>
          <w:sz w:val="28"/>
          <w:sz w:val="28"/>
          <w:szCs w:val="28"/>
          <w:rtl w:val="true"/>
          <w:lang w:bidi="fa-IR"/>
        </w:rPr>
        <w:t>این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 عند الله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و یا رضایت خداوند را برای خود کسب کرده است، 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ترتیب</w:t>
      </w:r>
      <w:r>
        <w:rPr>
          <w:rFonts w:eastAsia="IRNazanin" w:cs="IRNazanin"/>
          <w:color w:val="111111"/>
          <w:sz w:val="28"/>
          <w:szCs w:val="28"/>
          <w:rtl w:val="true"/>
          <w:lang w:bidi="fa-IR"/>
        </w:rPr>
        <w:t>.</w:t>
      </w:r>
    </w:p>
    <w:p>
      <w:pPr>
        <w:pStyle w:val="Heading5"/>
        <w:numPr>
          <w:ilvl w:val="4"/>
          <w:numId w:val="1"/>
        </w:numPr>
        <w:rPr/>
      </w:pPr>
      <w:bookmarkStart w:id="1920" w:name="__RefHeading___Toc606678_1934241801"/>
      <w:bookmarkStart w:id="1921" w:name="_Toc883"/>
      <w:bookmarkEnd w:id="1920"/>
      <w:r>
        <w:rPr>
          <w:rtl w:val="true"/>
        </w:rPr>
        <w:t xml:space="preserve">روایت </w:t>
      </w:r>
      <w:r>
        <w:rPr/>
        <w:t>22</w:t>
      </w:r>
      <w:bookmarkEnd w:id="1921"/>
    </w:p>
    <w:p>
      <w:pPr>
        <w:pStyle w:val="BookText"/>
        <w:rPr/>
      </w:pP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و جدّش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وجود دارد که از جمله گنج های نیکی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داشتن نیازمندی، پنهان داشتن صدقه دادن، پنهان داشتن بیماری و پنهان داشتن مصیبت</w:t>
      </w:r>
      <w:r>
        <w:rPr>
          <w:rFonts w:eastAsia="IRNazanin" w:cs="IRNazanin"/>
          <w:color w:val="111111"/>
          <w:sz w:val="28"/>
          <w:szCs w:val="28"/>
          <w:rtl w:val="true"/>
          <w:lang w:bidi="fa-IR"/>
        </w:rPr>
        <w:t>.</w:t>
      </w:r>
      <w:r>
        <w:rPr>
          <w:rStyle w:val="FootnoteAnchor"/>
          <w:rtl w:val="true"/>
        </w:rPr>
        <w:footnoteReference w:id="994"/>
      </w:r>
    </w:p>
    <w:p>
      <w:pPr>
        <w:pStyle w:val="Heading5"/>
        <w:numPr>
          <w:ilvl w:val="4"/>
          <w:numId w:val="1"/>
        </w:numPr>
        <w:rPr/>
      </w:pPr>
      <w:bookmarkStart w:id="1922" w:name="__RefHeading___Toc606680_1934241801"/>
      <w:bookmarkStart w:id="1923" w:name="_Toc884"/>
      <w:bookmarkEnd w:id="1922"/>
      <w:r>
        <w:rPr>
          <w:rtl w:val="true"/>
        </w:rPr>
        <w:t xml:space="preserve">روایت </w:t>
      </w:r>
      <w:r>
        <w:rPr/>
        <w:t>23</w:t>
      </w:r>
      <w:bookmarkEnd w:id="1923"/>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وجود دارد که از گنج های بهشت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داشتن فقر، پنهان داشتن صدقه دادن، پنهان داشتن مصیبت و پنهان داشتن 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گنج های نیکی، پنهان داشتن مصیبت ها و بیماری ها و صدقه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ای از بندگانم مؤمن باشد او را بر بسترش دچار بلا و مصیبت می گردانم، پس اگر نزد عیادت کنندگانش شکوه نکند، گوشت و خونی بهتر را جایگزین گوشت و خون او می کنم، اگر جانش را گرفتم غرق در رحمت من خواهد شد و اگر او را بهبود بخشم بدون هیچ گناهی به زندگی خود ادامه می دهد،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منظور از گوشتی بهتر از گوشت او چیست؟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گوشتی که مرتکب گناه نشود، و خونی بهتر از خون او که مرتکب گناه نشود</w:t>
      </w:r>
      <w:r>
        <w:rPr>
          <w:rFonts w:eastAsia="IRNazanin" w:cs="IRNazanin"/>
          <w:color w:val="111111"/>
          <w:sz w:val="28"/>
          <w:szCs w:val="28"/>
          <w:rtl w:val="true"/>
          <w:lang w:bidi="fa-IR"/>
        </w:rPr>
        <w:t>.</w:t>
      </w:r>
    </w:p>
    <w:p>
      <w:pPr>
        <w:pStyle w:val="Heading5"/>
        <w:numPr>
          <w:ilvl w:val="4"/>
          <w:numId w:val="1"/>
        </w:numPr>
        <w:rPr/>
      </w:pPr>
      <w:bookmarkStart w:id="1924" w:name="__RefHeading___Toc606682_1934241801"/>
      <w:bookmarkStart w:id="1925" w:name="_Toc885"/>
      <w:bookmarkEnd w:id="1924"/>
      <w:r>
        <w:rPr>
          <w:rtl w:val="true"/>
        </w:rPr>
        <w:t>توضیح</w:t>
      </w:r>
      <w:bookmarkEnd w:id="1925"/>
    </w:p>
    <w:p>
      <w:pPr>
        <w:pStyle w:val="BookText"/>
        <w:rPr/>
      </w:pPr>
      <w:r>
        <w:rPr>
          <w:rFonts w:ascii="IRNazanin" w:hAnsi="IRNazanin" w:eastAsia="IRNazanin"/>
          <w:color w:val="111111"/>
          <w:sz w:val="28"/>
          <w:sz w:val="28"/>
          <w:szCs w:val="28"/>
          <w:rtl w:val="true"/>
          <w:lang w:bidi="fa-IR"/>
        </w:rPr>
        <w:t>شاید معنای این حدیث چنین باشد که خداوند متعال حکم گناه و استحقاق عقوبت را از او ساقط خواهد کرد، و چنان که در احادیث ذکر شده است مانند روزی خواهد بود که از مادر زاده شده است</w:t>
      </w:r>
      <w:r>
        <w:rPr>
          <w:rFonts w:eastAsia="IRNazanin" w:cs="IRNazanin"/>
          <w:color w:val="111111"/>
          <w:sz w:val="28"/>
          <w:szCs w:val="28"/>
          <w:rtl w:val="true"/>
          <w:lang w:bidi="fa-IR"/>
        </w:rPr>
        <w:t>.</w:t>
      </w:r>
    </w:p>
    <w:p>
      <w:pPr>
        <w:pStyle w:val="Heading5"/>
        <w:numPr>
          <w:ilvl w:val="4"/>
          <w:numId w:val="1"/>
        </w:numPr>
        <w:rPr/>
      </w:pPr>
      <w:bookmarkStart w:id="1926" w:name="__RefHeading___Toc606684_1934241801"/>
      <w:bookmarkStart w:id="1927" w:name="_Toc886"/>
      <w:bookmarkEnd w:id="1926"/>
      <w:r>
        <w:rPr>
          <w:rtl w:val="true"/>
        </w:rPr>
        <w:t xml:space="preserve">روایت </w:t>
      </w:r>
      <w:r>
        <w:rPr/>
        <w:t>24</w:t>
      </w:r>
      <w:bookmarkEnd w:id="192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علی بن 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بیمار شدم، 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خواسته و طلبی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جمله کسانی باشم که در اموری که خدای پروردگار برای من تدبیر می کند از او درخواستی نداشته باشم،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احسنت، از ابراهیم خلیل صلوات الله علیه </w:t>
      </w:r>
      <w:bookmarkStart w:id="1928" w:name="pg13517_329240"/>
    </w:p>
    <w:p>
      <w:pPr>
        <w:pStyle w:val="BookText"/>
        <w:rPr/>
      </w:pPr>
      <w:bookmarkEnd w:id="1928"/>
      <w:r>
        <w:rPr>
          <w:rFonts w:ascii="Amiri" w:hAnsi="Amiri" w:eastAsia="Amiri" w:cs="Amiri"/>
          <w:color w:val="111111"/>
          <w:sz w:val="28"/>
          <w:sz w:val="28"/>
          <w:szCs w:val="28"/>
          <w:rtl w:val="true"/>
          <w:lang w:bidi="ar-SA"/>
        </w:rPr>
        <w:t>اللَّهِ عَلَيْهِ حَيْثُ قَالَ جَبْرَئِيلُ عليه السلام هَلْ مِنْ حَاجَةٍ فَقَالَ لَا أَقْتَرِحُ عَلَي رَبِّي بَلْ حَسْبِيَ اللَّهُ وَ نِعْمَ الْوَكِيلُ</w:t>
      </w:r>
      <w:r>
        <w:rPr>
          <w:rFonts w:eastAsia="Amiri" w:cs="Amiri" w:ascii="Amiri" w:hAnsi="Amiri"/>
          <w:color w:val="111111"/>
          <w:sz w:val="28"/>
          <w:szCs w:val="28"/>
          <w:rtl w:val="true"/>
          <w:lang w:bidi="ar-SA"/>
        </w:rPr>
        <w:t>.</w:t>
      </w:r>
    </w:p>
    <w:p>
      <w:pPr>
        <w:pStyle w:val="Heading5"/>
        <w:numPr>
          <w:ilvl w:val="4"/>
          <w:numId w:val="1"/>
        </w:numPr>
        <w:rPr/>
      </w:pPr>
      <w:bookmarkStart w:id="1929" w:name="__RefHeading___Toc606686_1934241801"/>
      <w:bookmarkStart w:id="1930" w:name="_Toc887"/>
      <w:bookmarkEnd w:id="1929"/>
      <w:r>
        <w:rPr>
          <w:rtl w:val="true"/>
        </w:rPr>
        <w:t>بيان</w:t>
      </w:r>
      <w:bookmarkEnd w:id="1930"/>
    </w:p>
    <w:p>
      <w:pPr>
        <w:pStyle w:val="BookText"/>
        <w:rPr/>
      </w:pPr>
      <w:r>
        <w:rPr>
          <w:rFonts w:ascii="Amiri" w:hAnsi="Amiri" w:eastAsia="Amiri" w:cs="Amiri"/>
          <w:color w:val="111111"/>
          <w:sz w:val="28"/>
          <w:sz w:val="28"/>
          <w:szCs w:val="28"/>
          <w:rtl w:val="true"/>
          <w:lang w:bidi="ar-SA"/>
        </w:rPr>
        <w:t>يحتمل اختصاصه بهم و يحتمل التخيير بينه و بين الدعاء مطلقا و يمكن اختلاف الحكم باختلاف الأحوال و بالجملة لا بد من جمع بينه و بين أخبار الحث علي الدعاء و هي أكثر و أشهر و في الخبر ما يؤيد الأول</w:t>
      </w:r>
      <w:r>
        <w:rPr>
          <w:rFonts w:eastAsia="Amiri" w:cs="Amiri" w:ascii="Amiri" w:hAnsi="Amiri"/>
          <w:color w:val="111111"/>
          <w:sz w:val="28"/>
          <w:szCs w:val="28"/>
          <w:rtl w:val="true"/>
          <w:lang w:bidi="ar-SA"/>
        </w:rPr>
        <w:t>.</w:t>
      </w:r>
    </w:p>
    <w:p>
      <w:pPr>
        <w:pStyle w:val="Heading5"/>
        <w:numPr>
          <w:ilvl w:val="4"/>
          <w:numId w:val="1"/>
        </w:numPr>
        <w:rPr/>
      </w:pPr>
      <w:bookmarkStart w:id="1931" w:name="__RefHeading___Toc606688_1934241801"/>
      <w:bookmarkStart w:id="1932" w:name="_Toc888"/>
      <w:bookmarkEnd w:id="1931"/>
      <w:r>
        <w:rPr>
          <w:rtl w:val="true"/>
        </w:rPr>
        <w:t>«</w:t>
      </w:r>
      <w:r>
        <w:rPr/>
        <w:t>25</w:t>
      </w:r>
      <w:r>
        <w:rPr>
          <w:rtl w:val="true"/>
        </w:rPr>
        <w:t>»</w:t>
      </w:r>
      <w:bookmarkEnd w:id="1932"/>
    </w:p>
    <w:p>
      <w:pPr>
        <w:pStyle w:val="BookText"/>
        <w:rPr/>
      </w:pPr>
      <w:r>
        <w:rPr>
          <w:rFonts w:ascii="Amiri" w:hAnsi="Amiri" w:eastAsia="Amiri" w:cs="Amiri"/>
          <w:color w:val="111111"/>
          <w:sz w:val="28"/>
          <w:sz w:val="28"/>
          <w:szCs w:val="28"/>
          <w:rtl w:val="true"/>
          <w:lang w:bidi="ar-SA"/>
        </w:rPr>
        <w:t>الدَّعَوَاتُ،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أَمِيرُ الْمُؤْمِنِينَ عليه السلام فَعَادَهُ قَوْمٌ فَقَالُوا لَهُ كَيْفَ أَصْبَحْتَ يَا أَمِيرَ الْمُؤْمِنِينَ فَقَالَ أَصْبَحْتُ بِشَرٍّ فَقَالُوا لَهُ سُبْحَانَ اللَّهِ هَذَا كَلَامُ مِثْلِكَ فَقَالَ يَقُولُ اللَّهُ تَعَالَي وَ نَبْلُوكُمْ بِالشَّرِّ وَ الْخَيْرِ فِتْنَةً وَ إِلَيْنا تُرْجَعُونَ‌</w:t>
      </w:r>
      <w:r>
        <w:rPr>
          <w:rStyle w:val="FootnoteAnchor"/>
          <w:rtl w:val="true"/>
        </w:rPr>
        <w:footnoteReference w:id="995"/>
      </w:r>
      <w:r>
        <w:rPr>
          <w:rFonts w:ascii="Amiri" w:hAnsi="Amiri" w:eastAsia="Amiri" w:cs="Amiri"/>
          <w:color w:val="111111"/>
          <w:sz w:val="28"/>
          <w:sz w:val="28"/>
          <w:szCs w:val="28"/>
          <w:rtl w:val="true"/>
          <w:lang w:bidi="ar-SA"/>
        </w:rPr>
        <w:t>فَالْخَيْرُ الصِّحَّةُ وَ الْغِنَي وَ الشَّرُّ الْمَرَضُ وَ الْفَقْرُ ابْتِلَاءً وَ اخْتِبَاراً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بعض علماء الإسلام علي الفضل بن يحيي و قد حم و عنده بختيشوع المتطبب فقال له ينبغي لمن حم يوما أو ليلة أن يحتمي سنة فقال العالم صدق الرجل فيما يقول فقال له الفضل سرعان ما صدقته قال إني لا أصدقه و لكن سَمِعْتُ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 يَوْمٍ كَفَّارَةُ سَنَةٍ فَلَوْ لَا أَنَّهُ يَبْقَي تَأْثِيرُهَا فِي الْبَدَنِ سَنَةً لَمَا صَارَتْ كَفَّارَةَ ذُنُوبِ سَنَةٍ وَ إِنَّمَا قَالَ الْفَضْلُ ذَلِكَ لِأَنَّ الْعُلَمَاءَ فِي ذَلِكَ كَانُوا يَلُومُونَ الْخُلَفَاءَ وَ الْوُزَرَاءَ فِي تَعْظِيمِهِمُ النَّصَارَي لِلتَّطَبُّبِ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 إِذَا وَجَّهْتُ إِلَي عَبْدٍ مِنْ عَبِيدِي مُصِيبَةً فِي بَدَنِهِ أَوْ مَالِهِ أَوْ وَلَدِهِ ثُمَّ اسْتَقْبَلَ ذَلِكَ بِصَبْرٍ جَمِيلٍ اسْتَحْيَيْتُ مِنْهُ يَوْمَ الْقِيَامَةِ أَنْ أَنْصِبَ لَهُ مِيزَاناً أَوْ أَنْشُرَ لَهُ دِيوَاناً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دُعَاءِ الْعَلِيلِ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الْمَوْتَ خَيْرَ غَائِبٍ نَنْتَظِرُهُ وَ الْقَبْرَ خَيْرَ مَنْزِلٍ نَعْمُرُهُ وَ اجْعَلْ مَا بَعْدَهُ خَيْراً لَنَا مِنْهُ اللَّهُمَّ أَصْلِحْنِي قَبْلَ الْمَوْتِ وَ ارْحَمْنِي عِنْدَ الْمَوْتِ وَ اغْفِرْ لِي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لِلْمَرِيضِ أَنْ يُعْطِيَ السَّائِلَ بِيَدِهِ وَ يَأْمُرَ السَّائِلَ أَنْ يَدْعُوَ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پیروی نمودی آن گاه که جبرئیل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 و نیازی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درخواست انجام کاری نمی کنم، بلکه خداوند مرا کافی است و او بهترین وکیل می باشد</w:t>
      </w:r>
      <w:r>
        <w:rPr>
          <w:rFonts w:eastAsia="IRNazanin" w:cs="IRNazanin"/>
          <w:color w:val="111111"/>
          <w:sz w:val="28"/>
          <w:szCs w:val="28"/>
          <w:rtl w:val="true"/>
          <w:lang w:bidi="fa-IR"/>
        </w:rPr>
        <w:t>.</w:t>
      </w:r>
    </w:p>
    <w:p>
      <w:pPr>
        <w:pStyle w:val="Heading5"/>
        <w:numPr>
          <w:ilvl w:val="4"/>
          <w:numId w:val="1"/>
        </w:numPr>
        <w:rPr/>
      </w:pPr>
      <w:bookmarkStart w:id="1933" w:name="__RefHeading___Toc606690_1934241801"/>
      <w:bookmarkStart w:id="1934" w:name="_Toc889"/>
      <w:bookmarkEnd w:id="1933"/>
      <w:r>
        <w:rPr>
          <w:rtl w:val="true"/>
        </w:rPr>
        <w:t>توضیح</w:t>
      </w:r>
      <w:bookmarkEnd w:id="1934"/>
    </w:p>
    <w:p>
      <w:pPr>
        <w:pStyle w:val="BookText"/>
        <w:rPr/>
      </w:pPr>
      <w:r>
        <w:rPr>
          <w:rFonts w:ascii="IRNazanin" w:hAnsi="IRNazanin" w:eastAsia="IRNazanin"/>
          <w:color w:val="111111"/>
          <w:sz w:val="28"/>
          <w:sz w:val="28"/>
          <w:szCs w:val="28"/>
          <w:rtl w:val="true"/>
          <w:lang w:bidi="fa-IR"/>
        </w:rPr>
        <w:t>ممکن است این حکم به پیامبران و امامان اختصاص داشته باشد، همچنین ممکن است که امکان برگزیدن این حکم و یا دعا کردن و درخواست داشتن به صورت مطلق وجود داشته باشد، امکان اختلاف حکم در صورت اختلاف وضعیت و موقعیت نیز وجود دارد، در کلّ باید میان حدیثی که حاوی این حکم است و احادیثی که بر لزوم دعا تأکید می کنند و تعداد و شهرت شان نیز بیشتر است اتّفاق حاصل شود، امّا در حدیث مذکور مطلبی است که صحّت حکم نخست را تأیید می کند</w:t>
      </w:r>
      <w:r>
        <w:rPr>
          <w:rFonts w:eastAsia="IRNazanin" w:cs="IRNazanin"/>
          <w:color w:val="111111"/>
          <w:sz w:val="28"/>
          <w:szCs w:val="28"/>
          <w:rtl w:val="true"/>
          <w:lang w:bidi="fa-IR"/>
        </w:rPr>
        <w:t>.</w:t>
      </w:r>
    </w:p>
    <w:p>
      <w:pPr>
        <w:pStyle w:val="Heading5"/>
        <w:numPr>
          <w:ilvl w:val="4"/>
          <w:numId w:val="1"/>
        </w:numPr>
        <w:rPr/>
      </w:pPr>
      <w:bookmarkStart w:id="1935" w:name="__RefHeading___Toc606692_1934241801"/>
      <w:bookmarkStart w:id="1936" w:name="_Toc890"/>
      <w:bookmarkEnd w:id="1935"/>
      <w:r>
        <w:rPr>
          <w:rtl w:val="true"/>
        </w:rPr>
        <w:t xml:space="preserve">روایت </w:t>
      </w:r>
      <w:r>
        <w:rPr/>
        <w:t>25</w:t>
      </w:r>
      <w:bookmarkEnd w:id="1936"/>
    </w:p>
    <w:p>
      <w:pPr>
        <w:pStyle w:val="BookText"/>
        <w:rPr/>
      </w:pP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بیمار شد و گروهی از مردم به عیادت ایشان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حالتان چگونه 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آیا این کلام کسی مثل شماست؟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نبلوکم بالخیر و الشرّ فتنة و إلینا ترجعون</w:t>
      </w:r>
      <w:r>
        <w:rPr>
          <w:rFonts w:eastAsia="IRNazanin" w:cs="IRNazanin"/>
          <w:color w:val="111111"/>
          <w:sz w:val="28"/>
          <w:szCs w:val="28"/>
          <w:rtl w:val="true"/>
          <w:lang w:bidi="fa-IR"/>
        </w:rPr>
        <w:t>»</w:t>
      </w:r>
      <w:r>
        <w:rPr>
          <w:rStyle w:val="FootnoteAnchor"/>
          <w:rtl w:val="true"/>
        </w:rPr>
        <w:footnoteReference w:id="9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از راه آزمایش به بد و نیک خواهیم آزمود و به سوی ما بازگردانیده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خیر، تندرستی و توانگری است و منظور از شرّ، بیماری و تنگدستی است که خداوند آن ها را به عنوان امتحان و آزمایش نازل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علمای اسلامی نزد فضل بن یحیی آمد حال آنکه تب کرده بود و بختیشوع پزشک نزد او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بختیشوع به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کسی که یک شبانه روز تب می کند به مدّت یک سال از خود مراقبت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مرد می گوید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فضل به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سریع سخن او را تصدیق کردی،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تصدیق نمی کنم، ولی از رسول خدا صلّی الله علیه و آله شنیدم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یک روز باعث کفّاره گناهان یک سال است؛ بنابراین اگر تأثیر تب به مدّت یک سال در بدن باقی نمانَد باعث کفّاره گناهان یک سال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این سخن را بدین سبب بر زبان آورده است که علماء، خلفاء و وزیران را به خاطر بزرگداشت مقام مسیحیان در پزشکی سرزنش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مصیبتی را در بدن، اموال یا اولاد متوجّه بنده ای از بندگانم بگردانم و او با صبر جمیل از این مصیبت استقبال کند، شرم می کنم که در روز قیامت میزانی برای سنجش اعمال او نصب کرده و یا کارنامه اعمالش را بگشایم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دعاهایی که مریض بر زبان می آورد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الْمَوْتَ خَیْرَ غَائِبٍ نَنْتَظِرُهُ وَ الْقَبْرَ خَیْرَ مَنْزِلٍ نَعْمُرُهُ وَ اجْعَلْ مَا بَعْدَهُ خَیْراً لَنَا مِنْهُ اللَّهُمَّ أَصْلِحْنِی قَبْلَ الْمَوْتِ وَ ارْحَمْنِی عِنْدَ الْمَوْتِ وَ اغْفِرْ لِی بَعْدَ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مرگ را بهترین غائبی قرار ده که در انتظار آن هستیم، و قبر را بهترین منزلی قرار ده که آن را آباد می گردانیم، و مصیر بعد از قبر را برای ما بهتر از قبر قرار ده؛ خداوندا، قبل از مرگ مرا اصلاح و احوالم را نیکو گردان و هنگام مرگ مرا مورد رحمت خود قرار ده و بعد از مرگ از گناهان من درگذر</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مریض با دست خود به گدا چیزی ببخشد و به او امر کند که برایش دعا کند</w:t>
      </w:r>
      <w:r>
        <w:rPr>
          <w:rFonts w:eastAsia="IRNazanin" w:cs="IRNazanin"/>
          <w:color w:val="111111"/>
          <w:sz w:val="28"/>
          <w:szCs w:val="28"/>
          <w:rtl w:val="true"/>
          <w:lang w:bidi="fa-IR"/>
        </w:rPr>
        <w:t xml:space="preserve">. </w:t>
      </w:r>
      <w:bookmarkStart w:id="1937" w:name="pg13517_329241"/>
    </w:p>
    <w:p>
      <w:pPr>
        <w:pStyle w:val="BookText"/>
        <w:rPr/>
      </w:pPr>
      <w:bookmarkEnd w:id="1937"/>
      <w:r>
        <w:rPr>
          <w:rFonts w:ascii="Amiri" w:hAnsi="Amiri" w:eastAsia="Amiri" w:cs="Amiri"/>
          <w:color w:val="111111"/>
          <w:sz w:val="28"/>
          <w:sz w:val="28"/>
          <w:szCs w:val="28"/>
          <w:rtl w:val="true"/>
          <w:lang w:bidi="ar-SA"/>
        </w:rPr>
        <w:t>و قيل لأبي الدرداء في علة ما تشتكي قال ذنوبي قيل فما تشتهي قال الجنة قيل أ ندعو لك طبيبا قال الطبيب أمرضني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أن امرأة أيوب قالت له يوما لو دعوت الله أن يشفيك فقال ويحك كنا في النعماء سبعين عاما فهلم نصبر في الضراء مثلها فلم يمكث بعد ذلك إلا يسيرا حتي عوفي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المبارك قلت لمجوسي أ لا تؤمن قال إن في المؤمنين أربع خصال لا أحبهن يقولون بالقول و لا يأتون بالعمل قلت و ما هي قال يقولون جميعا إن فقراء أمة محمد يدخلون الجنة قبل الأغنياء بخمسمائة عام و ما أري أحدا منهم يطلب الفقر و لكن يفر منه و يقولون إن المريض يكفر عنه الخطايا و ما أري أحدا يطلب المرض و لكن يشكو و يفر منه و يزعمون أن الله رازق العباد و لا يستريحون بالليل و النهار من طلب الرزق و يزعمون أن الموت حق و عدل و إن مات أحد منهم يبلغ صياحهم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مناظرة هذا المجوسي كانت مع أبي عبد الله عليه السلام و أنه توفي علي الإسلام علي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لِلْمُؤْمِنِ وَ جَزَعِهِ مِنَ السُّقْمِ وَ لَوْ عَلِمَ مَا لَهُ فِي السُّقْمِ لَأَحَبَّ أَنْ لَا يَزَالَ سَقِيماً حَتَّي يَلْقَي رَبَّهُ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خَيْرَ عَيْشِنَا الصَّبْرَ</w:t>
      </w:r>
      <w:r>
        <w:rPr>
          <w:rFonts w:eastAsia="Amiri" w:cs="Amiri" w:ascii="Amiri" w:hAnsi="Amiri"/>
          <w:color w:val="111111"/>
          <w:sz w:val="28"/>
          <w:szCs w:val="28"/>
          <w:rtl w:val="true"/>
          <w:lang w:bidi="ar-SA"/>
        </w:rPr>
        <w:t>.</w:t>
      </w:r>
    </w:p>
    <w:p>
      <w:pPr>
        <w:pStyle w:val="Heading5"/>
        <w:numPr>
          <w:ilvl w:val="4"/>
          <w:numId w:val="1"/>
        </w:numPr>
        <w:rPr/>
      </w:pPr>
      <w:bookmarkStart w:id="1938" w:name="__RefHeading___Toc606694_1934241801"/>
      <w:bookmarkStart w:id="1939" w:name="_Toc891"/>
      <w:bookmarkEnd w:id="1938"/>
      <w:r>
        <w:rPr>
          <w:rtl w:val="true"/>
        </w:rPr>
        <w:t>«</w:t>
      </w:r>
      <w:r>
        <w:rPr/>
        <w:t>26</w:t>
      </w:r>
      <w:r>
        <w:rPr>
          <w:rtl w:val="true"/>
        </w:rPr>
        <w:t>»</w:t>
      </w:r>
      <w:bookmarkEnd w:id="1939"/>
    </w:p>
    <w:p>
      <w:pPr>
        <w:pStyle w:val="BookText"/>
        <w:rPr/>
      </w:pPr>
      <w:r>
        <w:rPr>
          <w:rFonts w:ascii="Amiri" w:hAnsi="Amiri" w:eastAsia="Amiri" w:cs="Amiri"/>
          <w:color w:val="111111"/>
          <w:sz w:val="28"/>
          <w:sz w:val="28"/>
          <w:szCs w:val="28"/>
          <w:rtl w:val="true"/>
          <w:lang w:bidi="ar-SA"/>
        </w:rPr>
        <w:t>مُسَكِّنُ الْفُؤَادِ، رُوِيَ فِي الْإِسْرَائِيلِيَّاتِ أَنَّ عَابِداً عَبَدَ اللَّهَ تَعَالَي دَهْراً طَوِيلًا فَرَأَي فِي الْمَنَامِ فُلَانَةُ رَفِيقَتُكَ فِي الْجَنَّةِ فَسَأَلَ عَنْهَا وَ اسْتَضَافَهَا ثَلَاثاً لِيَنْظُرَ إِلَي عَمَلِهَا فَكَانَ يَبِيتُ قَائِماً وَ تَبِيتُ نَائِمَةً وَ يَظَلُّ صَائِماً وَ تَظَلُّ مُفْطِرَةً فَقَالَ لَهَا أَ مَا لَكِ عَمَلٌ غَيْرُ مَا رَأَيْتُ قَالَتْ مَا هُوَ وَ اللَّهِ غَيْرَ مَا رَأَيْتَ وَ لَا أَعْرِفُ غَيْرَهُ فَلَمْ يَزَلْ يَقُولُ تَذَكَّرِي حَتَّي قَالَتْ خُصَيلَةٌ وَاحِدَةٌ هِيَ إِنْ كُنْتُ فِي شِدَّةٍ لَمْ أَتَمَنَّ أَنْ أَكُونَ فِي رَخَاءٍ وَ إِنْ كُنْتَ فِي مَرَضٍ لَمْ أَتَمَنَّ أَنْ أَكُونَ فِي صِحَّةٍ وَ إِنْ كُنْتُ فِي الشَّمْسِ لَمْ أَتَمَنَّ أَنْ أَكُونَ فِي الظِّلِ</w:t>
      </w:r>
    </w:p>
    <w:p>
      <w:pPr>
        <w:pStyle w:val="BookText"/>
        <w:rPr/>
      </w:pPr>
      <w:r>
        <w:rPr>
          <w:rFonts w:ascii="IRNazanin" w:hAnsi="IRNazanin" w:eastAsia="IRNazanin"/>
          <w:color w:val="111111"/>
          <w:sz w:val="28"/>
          <w:sz w:val="28"/>
          <w:szCs w:val="28"/>
          <w:rtl w:val="true"/>
          <w:lang w:bidi="fa-IR"/>
        </w:rPr>
        <w:t>از ابو الدرداء هنگامی که مریض بود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چیزی شکایت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درخواستی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پزشکی را فرا بخوانیم؟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بیمارم 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همسر ایّوب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به درگاه خداوند دعا می کردی که تو را شفا بخشد، ایّوب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ما هفتاد سال را در ناز و نعمت به سر بردیم، به همین ترتیب هفتاد سال را نیز در سختی و تنگنا صبر پیشه می سازیم؛ و اندکی پس از این حادثه ایّوب بهبود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مبارک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 مجوسی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نمی آوری؟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مؤمنان چهار خصلت وجود دارد که آن ها را نمی پسندم، سخنی را بر زبان می رانند و به آن عمل نمی کنند، گفتم آن چهار خصلت کدامند؟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مؤمنان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مستمندان امّت محمّد پانصد سال قبل از توانگران وارد بهشت می شوند، ولی کسی را نمی بینم که طلب فقر کند بلکه از آن فرار می کنند، همچنین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مریض بخشیده می شود، و کسی را نمی بینم که طلب بیماری کند بلکه از آن شکوه کرده و فرار می کنند، گمان می کنند که خداوند رازق بندگان است، ولی در طلب رزق شبانه روز استراحت نمی کنند، و گمان می کنند که مرگ حقّ است و عین عدالت، ولی اگر یکی از آنان وفات نماید فریادشان به آسمان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روایت شده که مناظره این مجوسی با امام صادق علیه السلام اتفاق افتاده است و بر دین اسلام که به دست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نایل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 و بی تابی او در مقابل بیماری شگفت زده ام، که اگر از پاداشی که به ازای بیماری برای او در نظر گرفته شده آگاه بود، دوست می داشت تا زمانی که پروردگار عزّ و جلّ را ملاقات می کند پیوسته بیمار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عمل زندگی خویش را صبر پیشه ساختن در مقابل مصیبت ها یافتیم</w:t>
      </w:r>
      <w:r>
        <w:rPr>
          <w:rFonts w:eastAsia="IRNazanin" w:cs="IRNazanin"/>
          <w:color w:val="111111"/>
          <w:sz w:val="28"/>
          <w:szCs w:val="28"/>
          <w:rtl w:val="true"/>
          <w:lang w:bidi="fa-IR"/>
        </w:rPr>
        <w:t>.</w:t>
      </w:r>
    </w:p>
    <w:p>
      <w:pPr>
        <w:pStyle w:val="Heading5"/>
        <w:numPr>
          <w:ilvl w:val="4"/>
          <w:numId w:val="1"/>
        </w:numPr>
        <w:rPr/>
      </w:pPr>
      <w:bookmarkStart w:id="1940" w:name="__RefHeading___Toc606696_1934241801"/>
      <w:bookmarkStart w:id="1941" w:name="_Toc892"/>
      <w:bookmarkEnd w:id="1940"/>
      <w:r>
        <w:rPr>
          <w:rtl w:val="true"/>
        </w:rPr>
        <w:t xml:space="preserve">روایت </w:t>
      </w:r>
      <w:r>
        <w:rPr/>
        <w:t>26</w:t>
      </w:r>
      <w:bookmarkEnd w:id="194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اسرائیلیات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 مدّت زمانی طولانی به عبادت خداوند متعال مشغول بود، پس در خواب فلان زن را در بهشت مشاهده کرد که همراه اوست، پس از احوال او سؤال پرسید و سه روز او را مهمانی کرد تا به اعمالش بنگرد، عابد شب را با عبادت به صبح می رساند در حالی که آن زن تا صبح می خوابید، عابد همیشه روزه بود و آن زن هیچ وقت روزه نبود، پس عابد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اعمالی که از تو مشاهده کردم عمل دیگری انجام نمی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عملی غیر از آنچه مشاهده کردی انجام نمی دهم و غیر از آن نیز چیزی را به یاد ندارم، پس عابد پیوسته به آن زن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به یاد آوری؛ تا اینکه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خصلت کوچک را به یاد آوردم به این ترتیب که اگر در شدّت و سختی بودم آرزو نمی کردم که در رفاه و آسایش باشم، اگر بیمار بودم آرزو نمی کردم که تندرست باشم، و اگر در مقابل نور خورشید بودم آرزو نمی کردم که در سایه باشم، </w:t>
      </w:r>
      <w:bookmarkStart w:id="1942" w:name="pg13517_329242"/>
    </w:p>
    <w:p>
      <w:pPr>
        <w:pStyle w:val="BookText"/>
        <w:rPr/>
      </w:pPr>
      <w:bookmarkEnd w:id="1942"/>
      <w:r>
        <w:rPr>
          <w:rFonts w:ascii="Amiri" w:hAnsi="Amiri" w:eastAsia="Amiri" w:cs="Amiri"/>
          <w:color w:val="111111"/>
          <w:sz w:val="28"/>
          <w:sz w:val="28"/>
          <w:szCs w:val="28"/>
          <w:rtl w:val="true"/>
          <w:lang w:bidi="ar-SA"/>
        </w:rPr>
        <w:t>فَوَضَعَ الْعَابِدُ يَدَيْهِ عَلَي رَأْسِهِ وَ قَالَ هَذِهِ خُصَيلَةٌ هَذِهِ وَ اللَّهِ خَصْلَةٌ عَجِيبَةٌ تَعْجِزُ عَنْهَا الْعِبَادُ</w:t>
      </w:r>
      <w:r>
        <w:rPr>
          <w:rFonts w:eastAsia="Amiri" w:cs="Amiri" w:ascii="Amiri" w:hAnsi="Amiri"/>
          <w:color w:val="111111"/>
          <w:sz w:val="28"/>
          <w:szCs w:val="28"/>
          <w:rtl w:val="true"/>
          <w:lang w:bidi="ar-SA"/>
        </w:rPr>
        <w:t>.</w:t>
      </w:r>
    </w:p>
    <w:p>
      <w:pPr>
        <w:pStyle w:val="Heading5"/>
        <w:numPr>
          <w:ilvl w:val="4"/>
          <w:numId w:val="1"/>
        </w:numPr>
        <w:rPr/>
      </w:pPr>
      <w:bookmarkStart w:id="1943" w:name="__RefHeading___Toc606698_1934241801"/>
      <w:bookmarkStart w:id="1944" w:name="_Toc893"/>
      <w:bookmarkEnd w:id="1943"/>
      <w:r>
        <w:rPr>
          <w:rtl w:val="true"/>
        </w:rPr>
        <w:t>«</w:t>
      </w:r>
      <w:r>
        <w:rPr/>
        <w:t>27</w:t>
      </w:r>
      <w:r>
        <w:rPr>
          <w:rtl w:val="true"/>
        </w:rPr>
        <w:t>»</w:t>
      </w:r>
      <w:bookmarkEnd w:id="1944"/>
    </w:p>
    <w:p>
      <w:pPr>
        <w:pStyle w:val="BookText"/>
        <w:rPr/>
      </w:pPr>
      <w:r>
        <w:rPr>
          <w:rFonts w:ascii="Amiri" w:hAnsi="Amiri" w:eastAsia="Amiri" w:cs="Amiri"/>
          <w:color w:val="111111"/>
          <w:sz w:val="28"/>
          <w:sz w:val="28"/>
          <w:szCs w:val="28"/>
          <w:rtl w:val="true"/>
          <w:lang w:bidi="ar-SA"/>
        </w:rPr>
        <w:t>أَعْلَامُ الدِّينِ،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الشَّيَاطِينَ أَكْثَرُ عَلَي الْمُؤْمِنِينَ مِنَ الزَّنَابِيرِ عَلَي اللَّحْمِ وَ مَا مِنْكُمْ مِنْ عَبْدٍ ابْتَلَاهُ اللَّهُ بِمَكْرُوهٍ فَصَبَرَ إِلَّا كَتَبَ اللَّهُ لَهُ أَجْرَ أَلْفِ شَهِيدٍ</w:t>
      </w:r>
      <w:r>
        <w:rPr>
          <w:rFonts w:eastAsia="Amiri" w:cs="Amiri" w:ascii="Amiri" w:hAnsi="Amiri"/>
          <w:color w:val="111111"/>
          <w:sz w:val="28"/>
          <w:szCs w:val="28"/>
          <w:rtl w:val="true"/>
          <w:lang w:bidi="ar-SA"/>
        </w:rPr>
        <w:t>.</w:t>
      </w:r>
    </w:p>
    <w:p>
      <w:pPr>
        <w:pStyle w:val="Heading5"/>
        <w:numPr>
          <w:ilvl w:val="4"/>
          <w:numId w:val="1"/>
        </w:numPr>
        <w:rPr/>
      </w:pPr>
      <w:bookmarkStart w:id="1945" w:name="__RefHeading___Toc606700_1934241801"/>
      <w:bookmarkStart w:id="1946" w:name="_Toc894"/>
      <w:bookmarkEnd w:id="1945"/>
      <w:r>
        <w:rPr>
          <w:rtl w:val="true"/>
        </w:rPr>
        <w:t>«</w:t>
      </w:r>
      <w:r>
        <w:rPr/>
        <w:t>28</w:t>
      </w:r>
      <w:r>
        <w:rPr>
          <w:rtl w:val="true"/>
        </w:rPr>
        <w:t>»</w:t>
      </w:r>
      <w:bookmarkEnd w:id="1946"/>
    </w:p>
    <w:p>
      <w:pPr>
        <w:pStyle w:val="BookText"/>
        <w:rPr/>
      </w:pPr>
      <w:r>
        <w:rPr>
          <w:rFonts w:ascii="Amiri" w:hAnsi="Amiri" w:eastAsia="Amiri" w:cs="Amiri"/>
          <w:color w:val="111111"/>
          <w:sz w:val="28"/>
          <w:sz w:val="28"/>
          <w:szCs w:val="28"/>
          <w:rtl w:val="true"/>
          <w:lang w:bidi="ar-SA"/>
        </w:rPr>
        <w:t>جَامِعُ الْأَخْبَارِ، 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كَتَمَ بَلَاءً ابْتُلِيَ بِهِ مِنَ النَّاسِ وَ شَكَا إِلَي اللَّهِ عَزَّ وَ جَلَّ كَانَ حَقّاً عَلَي اللَّهِ أَنْ يُعَافِيَهُ مِنْ ذَلِكَ الْبَلَاءِ</w:t>
      </w:r>
      <w:r>
        <w:rPr>
          <w:rFonts w:eastAsia="Amiri" w:cs="Amiri" w:ascii="Amiri" w:hAnsi="Amiri"/>
          <w:color w:val="111111"/>
          <w:sz w:val="28"/>
          <w:szCs w:val="28"/>
          <w:rtl w:val="true"/>
          <w:lang w:bidi="ar-SA"/>
        </w:rPr>
        <w:t>.</w:t>
      </w:r>
    </w:p>
    <w:p>
      <w:pPr>
        <w:pStyle w:val="Heading5"/>
        <w:numPr>
          <w:ilvl w:val="4"/>
          <w:numId w:val="1"/>
        </w:numPr>
        <w:rPr/>
      </w:pPr>
      <w:bookmarkStart w:id="1947" w:name="__RefHeading___Toc606702_1934241801"/>
      <w:bookmarkStart w:id="1948" w:name="_Toc895"/>
      <w:bookmarkEnd w:id="1947"/>
      <w:r>
        <w:rPr>
          <w:rtl w:val="true"/>
        </w:rPr>
        <w:t>«</w:t>
      </w:r>
      <w:r>
        <w:rPr/>
        <w:t>29</w:t>
      </w:r>
      <w:r>
        <w:rPr>
          <w:rtl w:val="true"/>
        </w:rPr>
        <w:t>»</w:t>
      </w:r>
      <w:bookmarkEnd w:id="1948"/>
    </w:p>
    <w:p>
      <w:pPr>
        <w:pStyle w:val="BookText"/>
        <w:rPr/>
      </w:pPr>
      <w:r>
        <w:rPr>
          <w:rFonts w:ascii="Amiri" w:hAnsi="Amiri" w:eastAsia="Amiri" w:cs="Amiri"/>
          <w:color w:val="111111"/>
          <w:sz w:val="28"/>
          <w:sz w:val="28"/>
          <w:szCs w:val="28"/>
          <w:rtl w:val="true"/>
          <w:lang w:bidi="ar-SA"/>
        </w:rPr>
        <w:t>دَعَائِمُ الْإِسْلَامِ،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أَنِينُ الْمَرِيضِ حَسَنَاتٍ مَا صَبَرَ فَإِنْ جَزِعَ كُتِبَ هَلُوعاً لَا أَجْرَ لَهُ‌</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فِي سِجْنِ اللَّهِ مَا لَمْ يَشْكُ إِلَي عُوَّادِهِ تُمْحَي سَيِّئَاتُهُ وَ أَيُّمَا مُؤْمِنٍ مَاتَ مَرِيضاً مَاتَ شَهِيداً وَ كُلُّ مُؤْمِنٍ شَهِيدٌ وَ كُلُّ مُؤْمِنَةٍ حَوْرَاءُ وَ أَيُّ مِيتَةٍ مَاتَ بِهَا الْمُؤْمِنُ فَهُوَ شَهِيدٌ وَ تَلَا قَوْلَ اللَّهِ جَلَّ ذِكْرُهُ وَ الَّذِينَ آمَنُوا بِاللَّهِ وَ رُسُلِهِ أُولئِكَ هُمُ الصِّدِّيقُونَ وَ الشُّهَداءُ عِنْدَ رَبِّهِمْ‌</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9" w:name="__RefHeading___Toc606704_1934241801"/>
      <w:bookmarkStart w:id="1950" w:name="_Toc896"/>
      <w:bookmarkEnd w:id="1949"/>
      <w:r>
        <w:rPr>
          <w:rtl w:val="true"/>
        </w:rPr>
        <w:t>«</w:t>
      </w:r>
      <w:r>
        <w:rPr/>
        <w:t>30</w:t>
      </w:r>
      <w:r>
        <w:rPr>
          <w:rtl w:val="true"/>
        </w:rPr>
        <w:t>»</w:t>
      </w:r>
      <w:bookmarkEnd w:id="1950"/>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إِذَا رَأَي مِنْ جِسْمِهِ بَثْرَةً عَاذَ بِاللَّهِ وَ اسْتَكَانَ لَهُ وَ جَأَرَ إِلَيْهِ فَيُقَالُ لَهُ يَا رَسُولَ اللَّهِ صلي الله عليه و آله مَا هُوَ بِبَأْسٍ فَيَقُولُ إِنَّ اللَّهَ إِذَا أَرَادَ أَنْ يُعَظِّمَ صَغِيراً عَظَّمَ وَ إِذَا أَرَادَ أَنْ يُصَغِّرَ عَظِيماً صَغَّرَ</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عَلِيلَانِ صَحِيحٌ مُحْتَمٍ وَ عَلِيلٌ مُخَلِّطٌ</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الدَّوَاءَ مَا احْتَمَلَ بَدَنُكَ الدَّاءَ فَإِذَا لَمْ يَحْتَمِلِ الدَّاءَ فَالدَّوَاءُ</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نَبِيّاً مِنَ الْأَنْبِيَاءِ مَرِضَ فَقَالَ لَا أَتَدَاوَي</w:t>
      </w:r>
    </w:p>
    <w:p>
      <w:pPr>
        <w:pStyle w:val="BookText"/>
        <w:rPr/>
      </w:pPr>
      <w:r>
        <w:rPr>
          <w:rFonts w:ascii="IRNazanin" w:hAnsi="IRNazanin" w:eastAsia="IRNazanin"/>
          <w:color w:val="111111"/>
          <w:sz w:val="28"/>
          <w:sz w:val="28"/>
          <w:szCs w:val="28"/>
          <w:rtl w:val="true"/>
          <w:lang w:bidi="fa-IR"/>
        </w:rPr>
        <w:t>آن گاه عابد دستش را بر روی سرش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خصلت کوچکی است؟ به خدا سوگند که این خصلت عجیبی است که بندگان از کسب آن عاجزند</w:t>
      </w:r>
      <w:r>
        <w:rPr>
          <w:rFonts w:eastAsia="IRNazanin" w:cs="IRNazanin"/>
          <w:color w:val="111111"/>
          <w:sz w:val="28"/>
          <w:szCs w:val="28"/>
          <w:rtl w:val="true"/>
          <w:lang w:bidi="fa-IR"/>
        </w:rPr>
        <w:t>.</w:t>
      </w:r>
    </w:p>
    <w:p>
      <w:pPr>
        <w:pStyle w:val="Heading5"/>
        <w:numPr>
          <w:ilvl w:val="4"/>
          <w:numId w:val="1"/>
        </w:numPr>
        <w:rPr/>
      </w:pPr>
      <w:bookmarkStart w:id="1951" w:name="__RefHeading___Toc606706_1934241801"/>
      <w:bookmarkStart w:id="1952" w:name="_Toc897"/>
      <w:bookmarkEnd w:id="1951"/>
      <w:r>
        <w:rPr>
          <w:rtl w:val="true"/>
        </w:rPr>
        <w:t xml:space="preserve">روایت </w:t>
      </w:r>
      <w:r>
        <w:rPr/>
        <w:t>27</w:t>
      </w:r>
      <w:bookmarkEnd w:id="1952"/>
    </w:p>
    <w:p>
      <w:pPr>
        <w:pStyle w:val="BookText"/>
        <w:rPr/>
      </w:pP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شیاطین بیشتر از آنچه زنبورها بر گوشت جمع شده و بر آن می نشینند، نزد مؤمنان می آیند، و خداوند هیچ یک از بندگان را به بلایی که از آن کراهت دارد مبتلا نمی سازد که در مقابل آن صبر پیشه سازد، مگر آنکه اجر و پاداش هزار شهید را برای او ثبت خواهد کرد</w:t>
      </w:r>
      <w:r>
        <w:rPr>
          <w:rFonts w:eastAsia="IRNazanin" w:cs="IRNazanin"/>
          <w:color w:val="111111"/>
          <w:sz w:val="28"/>
          <w:szCs w:val="28"/>
          <w:rtl w:val="true"/>
          <w:lang w:bidi="fa-IR"/>
        </w:rPr>
        <w:t>.</w:t>
      </w:r>
    </w:p>
    <w:p>
      <w:pPr>
        <w:pStyle w:val="Heading5"/>
        <w:numPr>
          <w:ilvl w:val="4"/>
          <w:numId w:val="1"/>
        </w:numPr>
        <w:rPr/>
      </w:pPr>
      <w:bookmarkStart w:id="1953" w:name="__RefHeading___Toc606708_1934241801"/>
      <w:bookmarkStart w:id="1954" w:name="_Toc898"/>
      <w:bookmarkEnd w:id="1953"/>
      <w:r>
        <w:rPr>
          <w:rtl w:val="true"/>
        </w:rPr>
        <w:t xml:space="preserve">روایت </w:t>
      </w:r>
      <w:r>
        <w:rPr/>
        <w:t>28</w:t>
      </w:r>
      <w:bookmarkEnd w:id="1954"/>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 هر کسی بلا و مصیبتی که به آن مبتلا شده را پنهان سازد و نزد خداوند عزّ و جلّ شکوه کند، شایسته خداوند است که او را از آن بلا و مصیبت نجات بخشد</w:t>
      </w:r>
      <w:r>
        <w:rPr>
          <w:rFonts w:eastAsia="IRNazanin" w:cs="IRNazanin"/>
          <w:color w:val="111111"/>
          <w:sz w:val="28"/>
          <w:szCs w:val="28"/>
          <w:rtl w:val="true"/>
          <w:lang w:bidi="fa-IR"/>
        </w:rPr>
        <w:t>.</w:t>
      </w:r>
    </w:p>
    <w:p>
      <w:pPr>
        <w:pStyle w:val="Heading5"/>
        <w:numPr>
          <w:ilvl w:val="4"/>
          <w:numId w:val="1"/>
        </w:numPr>
        <w:rPr/>
      </w:pPr>
      <w:bookmarkStart w:id="1955" w:name="__RefHeading___Toc606710_1934241801"/>
      <w:bookmarkStart w:id="1956" w:name="_Toc899"/>
      <w:bookmarkEnd w:id="1955"/>
      <w:r>
        <w:rPr>
          <w:rtl w:val="true"/>
        </w:rPr>
        <w:t xml:space="preserve">روایت </w:t>
      </w:r>
      <w:r>
        <w:rPr/>
        <w:t>29</w:t>
      </w:r>
      <w:bookmarkEnd w:id="1956"/>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 ناله بیمار تا زمانی که صبر پیشه سازد به عنوان حسنات برای او ثبت می گردد، پس اگر بی تابی کند به عنوان بی تاب و کم حوصله ثبت می گردد و هیچ پاداشی برای او در نظر گرفته نمی شود</w:t>
      </w:r>
      <w:r>
        <w:rPr>
          <w:rFonts w:eastAsia="IRNazanin" w:cs="IRNazanin"/>
          <w:color w:val="111111"/>
          <w:sz w:val="28"/>
          <w:szCs w:val="28"/>
          <w:rtl w:val="true"/>
          <w:lang w:bidi="fa-IR"/>
        </w:rPr>
        <w:t>.</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از امام علی صلوات الله علیه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در زندان خداوند است و در صورتی که نزد عیادت کنندگانش لب به شکوه نگشاید گناهانش زدوده خواهد شد؛ و هر مؤمنی بر اثر بیماری فوت کند، شهید از دنیا رفته است، هر مرد مؤمن شهید است و هر زن مؤمن حوریّه ای از حوری های بهشتی است، و مؤمن به هر شیوه ای وفات نماید شهید از دنیا رفته است و این فرموده خداوند متعال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بالله و رسله أولئک هم الصدّیقون و الشهداء عند ربّهم</w:t>
      </w:r>
      <w:r>
        <w:rPr>
          <w:rFonts w:eastAsia="IRNazanin" w:cs="IRNazanin"/>
          <w:color w:val="111111"/>
          <w:sz w:val="28"/>
          <w:szCs w:val="28"/>
          <w:rtl w:val="true"/>
          <w:lang w:bidi="fa-IR"/>
        </w:rPr>
        <w:t>»</w:t>
      </w:r>
      <w:r>
        <w:rPr>
          <w:rStyle w:val="FootnoteAnchor"/>
          <w:rtl w:val="true"/>
        </w:rPr>
        <w:footnoteReference w:id="10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به خدا و پیامبران وی ایمان آورده‌اند آنان همان راستینانند و پیش پروردگارشان گواه خواهند بود</w:t>
      </w:r>
      <w:r>
        <w:rPr>
          <w:rFonts w:eastAsia="IRNazanin" w:cs="IRNazanin"/>
          <w:color w:val="111111"/>
          <w:sz w:val="28"/>
          <w:szCs w:val="28"/>
          <w:rtl w:val="true"/>
          <w:lang w:bidi="fa-IR"/>
        </w:rPr>
        <w:t>}.</w:t>
      </w:r>
    </w:p>
    <w:p>
      <w:pPr>
        <w:pStyle w:val="Heading5"/>
        <w:numPr>
          <w:ilvl w:val="4"/>
          <w:numId w:val="1"/>
        </w:numPr>
        <w:rPr/>
      </w:pPr>
      <w:bookmarkStart w:id="1957" w:name="__RefHeading___Toc606712_1934241801"/>
      <w:bookmarkStart w:id="1958" w:name="_Toc900"/>
      <w:bookmarkEnd w:id="1957"/>
      <w:r>
        <w:rPr>
          <w:rtl w:val="true"/>
        </w:rPr>
        <w:t xml:space="preserve">روایت </w:t>
      </w:r>
      <w:r>
        <w:rPr/>
        <w:t>30</w:t>
      </w:r>
      <w:bookmarkEnd w:id="1958"/>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هنگامی که یک جوش را بر بدن خود مشاهده می کرد به خدا پناه می برد و در مقابل او فروتن شده و به درگاهش تضرّع و زاری می کرد، پس به ایشان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این جوش مشکلی به وجود نمی آورد، پیامبر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اگر بخواهد یک مسأله کوچک را بزرگ گرداند، بزرگش می گرداند و اگر بخواهد یک مسأله بزرگ را کوچک گرداند، کوچکش می گرداند</w:t>
      </w:r>
      <w:r>
        <w:rPr>
          <w:rFonts w:eastAsia="IRNazanin" w:cs="IRNazanin"/>
          <w:color w:val="111111"/>
          <w:sz w:val="28"/>
          <w:szCs w:val="28"/>
          <w:rtl w:val="true"/>
          <w:lang w:bidi="fa-IR"/>
        </w:rPr>
        <w:t>.</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بیمارند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 که پرهیز می کند و بیماری که پرهیز می شکند</w:t>
      </w:r>
      <w:r>
        <w:rPr>
          <w:rFonts w:eastAsia="IRNazanin" w:cs="IRNazanin"/>
          <w:color w:val="111111"/>
          <w:sz w:val="28"/>
          <w:szCs w:val="28"/>
          <w:rtl w:val="true"/>
          <w:lang w:bidi="fa-IR"/>
        </w:rPr>
        <w:t>.</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بدنت تحمّل درد کشیدن دارد از مصرف دارو پرهیز کن، و هر گاه بدنت از تحمّل درد عاجز گشت به مصرف دارو روی بیاور</w:t>
      </w:r>
      <w:r>
        <w:rPr>
          <w:rFonts w:eastAsia="IRNazanin" w:cs="IRNazanin"/>
          <w:color w:val="111111"/>
          <w:sz w:val="28"/>
          <w:szCs w:val="28"/>
          <w:rtl w:val="true"/>
          <w:lang w:bidi="fa-IR"/>
        </w:rPr>
        <w:t>.</w:t>
      </w:r>
      <w:r>
        <w:rPr>
          <w:rStyle w:val="FootnoteAnchor"/>
          <w:rtl w:val="true"/>
        </w:rPr>
        <w:footnoteReference w:id="1006"/>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پیامبران بیمار گشت،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مداوا نمی کنم </w:t>
      </w:r>
      <w:bookmarkStart w:id="1959" w:name="pg13517_329243"/>
    </w:p>
    <w:p>
      <w:pPr>
        <w:pStyle w:val="BookText"/>
        <w:rPr/>
      </w:pPr>
      <w:bookmarkEnd w:id="1959"/>
      <w:r>
        <w:rPr>
          <w:rFonts w:ascii="Amiri" w:hAnsi="Amiri" w:eastAsia="Amiri" w:cs="Amiri"/>
          <w:color w:val="111111"/>
          <w:sz w:val="28"/>
          <w:sz w:val="28"/>
          <w:szCs w:val="28"/>
          <w:rtl w:val="true"/>
          <w:lang w:bidi="ar-SA"/>
        </w:rPr>
        <w:t>حَتَّي يَكُونَ الَّذِي أَمْرَضَنِي هُوَ يَشْفِينِي فَأَوْحَي اللَّهُ عَزَّ وَ جَلَّ لَا أَشْفِيكَ حَتَّي تَتَدَاوَي فَإِنَّ الشِّفَاءَ مِنِّي‌</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النَّاسَ قَصَّرُوا فِي الطَّعَامِ لَاسْتَقَامَتْ أَبْدَانُهُمْ‌</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الْحِمْيَةُ مِنَ الشَّيْ‌ءِ تَرْكَهُ إِنَّمَا الْحِمْيَةُ مِنَ الشَّيْ‌ءِ الْإِقْلَالُ مِنْهُ‌</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الْعَالِمِ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الْحِمْيَةُ رَأْسُ الدَّوَاءِ وَ الْمَعِدَةُ بَيْتُ الدَّاءِ وَ عَوِّدْ بَدَناً مَا تَعَوَّدَ</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دَاءٍ دَوَاءٌ فَسُئِلَ عَنْ ذَلِكَ فَقَالَ لِكُلِّ دَاءٍ دُعَاءٌ فَإِذَا أُلْهِمَ الْمَرِيضُ الدُّعَاءَ فَقَدْ أَذِنَ اللَّهُ فِي شِفَائِهِ‌</w:t>
      </w:r>
      <w:r>
        <w:rPr>
          <w:rStyle w:val="FootnoteAnchor"/>
          <w:rtl w:val="true"/>
        </w:rPr>
        <w:footnoteReference w:id="1011"/>
      </w:r>
    </w:p>
    <w:p>
      <w:pPr>
        <w:pStyle w:val="Heading5"/>
        <w:numPr>
          <w:ilvl w:val="4"/>
          <w:numId w:val="1"/>
        </w:numPr>
        <w:rPr/>
      </w:pPr>
      <w:bookmarkStart w:id="1960" w:name="__RefHeading___Toc606714_1934241801"/>
      <w:bookmarkStart w:id="1961" w:name="_Toc901"/>
      <w:bookmarkEnd w:id="1960"/>
      <w:r>
        <w:rPr>
          <w:rtl w:val="true"/>
        </w:rPr>
        <w:t>دُعَاءُ الْمَرِيضِ لِنَفْسِهِ</w:t>
      </w:r>
      <w:bookmarkEnd w:id="1961"/>
    </w:p>
    <w:p>
      <w:pPr>
        <w:pStyle w:val="BookText"/>
        <w:rPr/>
      </w:pPr>
      <w:r>
        <w:rPr>
          <w:rFonts w:ascii="Amiri" w:hAnsi="Amiri" w:eastAsia="Amiri" w:cs="Amiri"/>
          <w:color w:val="111111"/>
          <w:sz w:val="28"/>
          <w:sz w:val="28"/>
          <w:szCs w:val="28"/>
          <w:rtl w:val="true"/>
          <w:lang w:bidi="ar-SA"/>
        </w:rPr>
        <w:t>يُسْتَحَبُّ لِلْمَرِيضِ أَنْ يَقُولَهُ وَ يُكَرِّرَهُ لَا إِلَهَ إِلَّا اللَّهُ يُحْيِي وَ يُمِيتُ وَ هُوَ حَيٌّ لَا يَمُوتُ سُبْحَانَ اللَّهِ رَبِّ الْعِبَادِ وَ الْبِلَادِ وَ الْحَمْدُ لِلَّهِ حَمْداً كَثِيراً طَيِّباً مُبَارَكاً فِيهِ عَلَي كُلِّ حَالٍ وَ اللَّهُ أَكْبَرُ كَبِيراً كِبْرِيَاءَ رَبِّنَا وَ جَلَالَهُ وَ قُدْرَتَهُ بِكُلِّ مَكَانٍ اللَّهُمَّ إِنْ كُنْتَ أَمْرَضْتَنِي لِقَبْضِ رُوحِي فِي مَرَضِي هَذَا فَاجْعَلْ رُوحِي فِي أَرْوَاحِ مَنْ سَبَقَتْ لَهُ مِنْكَ الْحُسْنَي وَ بَاعِدْنِي مِنَ النَّارِ كَمَا بَاعَدْتَ أَوْلِيَاءَكَ الَّذِينَ سَبَقَتْ لَهُمْ مِنْكَ الْحُسْنَي‌</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2" w:name="__RefHeading___Toc606716_1934241801"/>
      <w:bookmarkStart w:id="1963" w:name="_Toc902"/>
      <w:bookmarkEnd w:id="1962"/>
      <w:r>
        <w:rPr>
          <w:rtl w:val="true"/>
        </w:rPr>
        <w:t>أقول</w:t>
      </w:r>
      <w:bookmarkEnd w:id="1963"/>
    </w:p>
    <w:p>
      <w:pPr>
        <w:pStyle w:val="BookText"/>
        <w:rPr/>
      </w:pPr>
      <w:r>
        <w:rPr>
          <w:rFonts w:ascii="Amiri" w:hAnsi="Amiri" w:eastAsia="Amiri" w:cs="Amiri"/>
          <w:color w:val="111111"/>
          <w:sz w:val="28"/>
          <w:sz w:val="28"/>
          <w:szCs w:val="28"/>
          <w:rtl w:val="true"/>
          <w:lang w:bidi="ar-SA"/>
        </w:rPr>
        <w:t>سيأتي أخبار الأدعية في كتاب الدعاء و مضت أخبار الأدوية في كتاب السماء و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کسی که بیمارم گردانده است شفایم بخشد، آن گاه خداوند عزّ و جلّ به او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خود را مداوا نکنی شفایت نمی بخشم، به راستی که شفا و بهبودی از جانب من است</w:t>
      </w:r>
      <w:r>
        <w:rPr>
          <w:rFonts w:eastAsia="IRNazanin" w:cs="IRNazanin"/>
          <w:color w:val="111111"/>
          <w:sz w:val="28"/>
          <w:szCs w:val="28"/>
          <w:rtl w:val="true"/>
          <w:lang w:bidi="fa-IR"/>
        </w:rPr>
        <w:t>.</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از امام رضا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به کم خوری روی می آوردند، بدن هایشان محکم و استوار می گشت</w:t>
      </w:r>
      <w:r>
        <w:rPr>
          <w:rFonts w:eastAsia="IRNazanin" w:cs="IRNazanin"/>
          <w:color w:val="111111"/>
          <w:sz w:val="28"/>
          <w:szCs w:val="28"/>
          <w:rtl w:val="true"/>
          <w:lang w:bidi="fa-IR"/>
        </w:rPr>
        <w:t>.</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کردن پرهیز در مورد یک چیز به معنای ترک آن نیست بلکه به معنای کاستن از مصرف آن است</w:t>
      </w:r>
      <w:r>
        <w:rPr>
          <w:rFonts w:eastAsia="IRNazanin" w:cs="IRNazanin"/>
          <w:color w:val="111111"/>
          <w:sz w:val="28"/>
          <w:szCs w:val="28"/>
          <w:rtl w:val="true"/>
          <w:lang w:bidi="fa-IR"/>
        </w:rPr>
        <w:t>.</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اصل درمان است و معده، خانه درد؛ تا زمانی که بدن عادت پذیر است آن را عادت دهید</w:t>
      </w:r>
      <w:r>
        <w:rPr>
          <w:rFonts w:eastAsia="IRNazanin" w:cs="IRNazanin"/>
          <w:color w:val="111111"/>
          <w:sz w:val="28"/>
          <w:szCs w:val="28"/>
          <w:rtl w:val="true"/>
          <w:lang w:bidi="fa-IR"/>
        </w:rPr>
        <w:t>.</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دردی را درمانی است، پس درباره آن درمان از او سؤال پرسیدند،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دردی را دعایی است، هر گاه آن دعا به بیمار الهام شود خداوند اجازه بهبودی او را صادر خواهد کرد</w:t>
      </w:r>
      <w:r>
        <w:rPr>
          <w:rFonts w:eastAsia="IRNazanin" w:cs="IRNazanin"/>
          <w:color w:val="111111"/>
          <w:sz w:val="28"/>
          <w:szCs w:val="28"/>
          <w:rtl w:val="true"/>
          <w:lang w:bidi="fa-IR"/>
        </w:rPr>
        <w:t>.</w:t>
      </w:r>
      <w:r>
        <w:rPr>
          <w:rStyle w:val="FootnoteAnchor"/>
          <w:rtl w:val="true"/>
        </w:rPr>
        <w:footnoteReference w:id="1017"/>
      </w:r>
    </w:p>
    <w:p>
      <w:pPr>
        <w:pStyle w:val="Heading5"/>
        <w:numPr>
          <w:ilvl w:val="4"/>
          <w:numId w:val="1"/>
        </w:numPr>
        <w:rPr/>
      </w:pPr>
      <w:bookmarkStart w:id="1964" w:name="__RefHeading___Toc606718_1934241801"/>
      <w:bookmarkStart w:id="1965" w:name="_Toc903"/>
      <w:bookmarkEnd w:id="1964"/>
      <w:r>
        <w:rPr>
          <w:rtl w:val="true"/>
        </w:rPr>
        <w:t>دعا خواندن بیمار برای خودش</w:t>
      </w:r>
      <w:bookmarkEnd w:id="1965"/>
    </w:p>
    <w:p>
      <w:pPr>
        <w:pStyle w:val="BookText"/>
        <w:rPr/>
      </w:pPr>
      <w:r>
        <w:rPr>
          <w:rFonts w:ascii="Amiri" w:hAnsi="Amiri" w:eastAsia="Amiri" w:cs="Amiri"/>
          <w:color w:val="111111"/>
          <w:sz w:val="28"/>
          <w:sz w:val="28"/>
          <w:szCs w:val="28"/>
          <w:rtl w:val="true"/>
          <w:lang w:bidi="ar-SA"/>
        </w:rPr>
        <w:t>مستحب است که بیمار این دعا را به زبان آورده و تکرار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یُحْیِی وَ یُمِیتُ وَ هُوَ حَیٌّ لَا یَمُوتُ سُبْحَانَ اللَّهِ رَبِّ الْعِبَادِ وَ الْبِلَادِ وَ الْحَمْدُ لِلَّهِ حَمْداً کَثِیراً طَیِّباً مُبَارَکاً فِیهِ عَلَی کُلِّ حَالٍ وَ اللَّهُ أَکْبَرُ کَبِیراً کِبْرِیَاءُ رَبِّنَا وَ جَلَالُهُ وَ قُدْرَتُهُ بِکُلِّ مَکَانٍ اللَّهُمَّ إِنْ کُنْتَ أَمْرَضْتَنِی لِقَبْضِ رُوحِی فِی مَرَضِی هَذَا فَاجْعَلْ رُوحِی فِی أَرْوَاحِ مَنْ سَبَقَتْ لَهُ مِنْکَ الْحُسْنَی وَ بَاعِدْنِی مِنَ النَّارِ کَمَا بَاعَدْتَ أَوْلِیَاءَکَ الَّذِینَ سَبَقَتْ لَهُمْ مِنْکَ الْحُسْنَی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الله خدایی وجود ندارد، همان که زنده می گرداند و می میراند و خود زنده است و هرگز نمی میرد، الله که پروردگار بندگان و سرزمین هاست پاک و منزّه می باشد؛ در هر حالی حمد و سپاس مخصوص خداوند است، سپاسی بیکران، پاک و مبارک؛ و خداوند بزرگ است به بزرگی و عظمت پروردگارمان و جلال و قدرت او بر هر مکانی؛ پروردگارا، اگر مرا بیمار گردانده ای که به واسطه این بیماری روحم را بستانی، پس روحم را در میان ارواح کسانی جایگزین گردان که پیش تر خیر و نیکی تو آنان را شامل شده است، و مرا از آتش جهنم دور گردان آن گونه که اولیای خود از آن دور گرداندی همان کسانی که پیش تر خیر و نیکی تو آنان را در بر گرفته بود</w:t>
      </w:r>
      <w:r>
        <w:rPr>
          <w:rFonts w:eastAsia="IRNazanin" w:cs="IRNazanin"/>
          <w:color w:val="111111"/>
          <w:sz w:val="28"/>
          <w:szCs w:val="28"/>
          <w:rtl w:val="true"/>
          <w:lang w:bidi="fa-IR"/>
        </w:rPr>
        <w:t>.}</w:t>
      </w:r>
      <w:r>
        <w:rPr>
          <w:rStyle w:val="FootnoteAnchor"/>
          <w:rtl w:val="true"/>
        </w:rPr>
        <w:footnoteReference w:id="1018"/>
      </w:r>
    </w:p>
    <w:p>
      <w:pPr>
        <w:pStyle w:val="Heading5"/>
        <w:numPr>
          <w:ilvl w:val="4"/>
          <w:numId w:val="1"/>
        </w:numPr>
        <w:rPr/>
      </w:pPr>
      <w:bookmarkStart w:id="1966" w:name="__RefHeading___Toc606720_1934241801"/>
      <w:bookmarkStart w:id="1967" w:name="_Toc904"/>
      <w:bookmarkEnd w:id="1966"/>
      <w:r>
        <w:rPr>
          <w:rtl w:val="true"/>
        </w:rPr>
        <w:t>می گویم</w:t>
      </w:r>
      <w:bookmarkEnd w:id="196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احادیثی که حاوی ادعیه هستند در کتاب الدّعا ذکر خواهند شد، و ذکر احادیثی که حاوی درمان دردها هستند در کتاب السماء و العالم گذشت </w:t>
      </w:r>
      <w:r>
        <w:rPr>
          <w:rFonts w:eastAsia="IRNazanin" w:cs="IRNazanin"/>
          <w:color w:val="111111"/>
          <w:sz w:val="28"/>
          <w:szCs w:val="28"/>
          <w:rtl w:val="true"/>
          <w:lang w:bidi="fa-IR"/>
        </w:rPr>
        <w:t xml:space="preserve">. </w:t>
      </w:r>
      <w:bookmarkStart w:id="1968" w:name="pg13517_329244"/>
    </w:p>
    <w:p>
      <w:pPr>
        <w:pStyle w:val="Heading3"/>
        <w:numPr>
          <w:ilvl w:val="2"/>
          <w:numId w:val="1"/>
        </w:numPr>
        <w:rPr/>
      </w:pPr>
      <w:bookmarkStart w:id="1969" w:name="__RefHeading___Toc606722_1934241801"/>
      <w:bookmarkStart w:id="1970" w:name="_Toc905"/>
      <w:bookmarkEnd w:id="1968"/>
      <w:bookmarkEnd w:id="1969"/>
      <w:r>
        <w:rPr>
          <w:rtl w:val="true"/>
        </w:rPr>
        <w:t xml:space="preserve">باب </w:t>
      </w:r>
      <w:r>
        <w:rPr/>
        <w:t>3</w:t>
      </w:r>
      <w:r>
        <w:rPr>
          <w:rtl w:val="true"/>
        </w:rPr>
        <w:t xml:space="preserve"> </w:t>
      </w:r>
      <w:r>
        <w:rPr>
          <w:rtl w:val="true"/>
        </w:rPr>
        <w:t>نادر في الطاعون و الفرار منه و ممن ابتلي به و موت الفجأة</w:t>
      </w:r>
      <w:bookmarkEnd w:id="1970"/>
    </w:p>
    <w:p>
      <w:pPr>
        <w:pStyle w:val="Heading4"/>
        <w:numPr>
          <w:ilvl w:val="3"/>
          <w:numId w:val="1"/>
        </w:numPr>
        <w:rPr/>
      </w:pPr>
      <w:bookmarkStart w:id="1971" w:name="__RefHeading___Toc606724_1934241801"/>
      <w:bookmarkStart w:id="1972" w:name="_Toc906"/>
      <w:bookmarkEnd w:id="1971"/>
      <w:r>
        <w:rPr>
          <w:rtl w:val="true"/>
        </w:rPr>
        <w:t>روايات</w:t>
      </w:r>
      <w:bookmarkEnd w:id="1972"/>
    </w:p>
    <w:p>
      <w:pPr>
        <w:pStyle w:val="Heading5"/>
        <w:numPr>
          <w:ilvl w:val="4"/>
          <w:numId w:val="1"/>
        </w:numPr>
        <w:rPr/>
      </w:pPr>
      <w:bookmarkStart w:id="1973" w:name="__RefHeading___Toc606726_1934241801"/>
      <w:bookmarkStart w:id="1974" w:name="_Toc907"/>
      <w:bookmarkEnd w:id="1973"/>
      <w:r>
        <w:rPr>
          <w:rtl w:val="true"/>
        </w:rPr>
        <w:t>«</w:t>
      </w:r>
      <w:r>
        <w:rPr/>
        <w:t>1</w:t>
      </w:r>
      <w:r>
        <w:rPr>
          <w:rtl w:val="true"/>
        </w:rPr>
        <w:t>»</w:t>
      </w:r>
      <w:bookmarkEnd w:id="1974"/>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زَيْنُ الْعَابِدِينَ عليه السلام عَنِ الطَّاعُونِ أَ نَبْرَأُ مِمَّنْ يَلْحَقُهُ فَإِنَّهُ مُعَذَّبٌ فَقَالَ عليه السلام إِنْ كَانَ عَاصِياً فَابْرَأْ مِنْهُ طُعِنَ أَمْ لَمْ يُطْعَنْ وَ إِنْ كَانَ لِلَّهِ عَزَّ وَ جَلَّ مُطِيعاً فَإِنَّ الطَّاعُونَ مِمَّا يُمَحِّصُ بِهِ ذُنُوبَهُ إِنَّ اللَّهَ عَزَّ وَ جَلَّ عَذَّبَ بِهِ قَوْماً وَ يَرْحَمُ بِهِ آخَرِينَ وَاسِعَةٌ قُدْرَتُهُ لِمَا يَشَاءُ أَ لَا تَرَوْنَ أَنَّهُ جَعَلَ الشَّمْسَ ضِيَاءً لِعِبَادِهِ وَ مُنْضِجاً لِثِمَارِهِمْ وَ مُبَلِّغاً لِأَقْوَاتِهِمْ وَ قَدْ يُعَذِّبُ بِهَا قَوْماً يَبْتَلِيهِمْ بِحَرِّهَا يَوْمَ الْقِيَامَةِ بِذُنُوبِهِمْ وَ فِي الدُّنْيَا بِسُوءِ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الْفَجْأَةِ رَحْمَةٌ لِلْمُؤْمِنِينَ وَ عَذَابٌ لِلْكَافِرِينَ</w:t>
      </w:r>
      <w:r>
        <w:rPr>
          <w:rFonts w:eastAsia="Amiri" w:cs="Amiri" w:ascii="Amiri" w:hAnsi="Amiri"/>
          <w:color w:val="111111"/>
          <w:sz w:val="28"/>
          <w:szCs w:val="28"/>
          <w:rtl w:val="true"/>
          <w:lang w:bidi="ar-SA"/>
        </w:rPr>
        <w:t>.</w:t>
      </w:r>
    </w:p>
    <w:p>
      <w:pPr>
        <w:pStyle w:val="Heading5"/>
        <w:numPr>
          <w:ilvl w:val="4"/>
          <w:numId w:val="1"/>
        </w:numPr>
        <w:rPr/>
      </w:pPr>
      <w:bookmarkStart w:id="1975" w:name="__RefHeading___Toc606728_1934241801"/>
      <w:bookmarkStart w:id="1976" w:name="_Toc908"/>
      <w:bookmarkEnd w:id="1975"/>
      <w:r>
        <w:rPr>
          <w:rtl w:val="true"/>
        </w:rPr>
        <w:t>أقول</w:t>
      </w:r>
      <w:bookmarkEnd w:id="1976"/>
    </w:p>
    <w:p>
      <w:pPr>
        <w:pStyle w:val="BookText"/>
        <w:rPr/>
      </w:pPr>
      <w:r>
        <w:rPr>
          <w:rFonts w:ascii="Amiri" w:hAnsi="Amiri" w:eastAsia="Amiri" w:cs="Amiri"/>
          <w:color w:val="111111"/>
          <w:sz w:val="28"/>
          <w:sz w:val="28"/>
          <w:szCs w:val="28"/>
          <w:rtl w:val="true"/>
          <w:lang w:bidi="ar-SA"/>
        </w:rPr>
        <w:t>قد مرت أخبار الفرار من الطاعون في كتاب العدل و المعاد</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7" w:name="__RefHeading___Toc606730_1934241801"/>
      <w:bookmarkStart w:id="1978" w:name="_Toc909"/>
      <w:bookmarkEnd w:id="1977"/>
      <w:r>
        <w:rPr>
          <w:rtl w:val="true"/>
        </w:rPr>
        <w:t xml:space="preserve">باب سوم </w:t>
      </w:r>
      <w:r>
        <w:rPr>
          <w:rtl w:val="true"/>
        </w:rPr>
        <w:t xml:space="preserve">: </w:t>
      </w:r>
      <w:r>
        <w:rPr>
          <w:rtl w:val="true"/>
        </w:rPr>
        <w:t>بابی نادر درباره طاعون، فرار از طاعون و از کسی که به آن مبتلا شده است و همچنین مرگ ناگهانی</w:t>
      </w:r>
      <w:bookmarkEnd w:id="1978"/>
    </w:p>
    <w:p>
      <w:pPr>
        <w:pStyle w:val="Heading4"/>
        <w:numPr>
          <w:ilvl w:val="3"/>
          <w:numId w:val="1"/>
        </w:numPr>
        <w:rPr/>
      </w:pPr>
      <w:bookmarkStart w:id="1979" w:name="__RefHeading___Toc606732_1934241801"/>
      <w:bookmarkStart w:id="1980" w:name="_Toc910"/>
      <w:bookmarkEnd w:id="1979"/>
      <w:r>
        <w:rPr>
          <w:rtl w:val="true"/>
        </w:rPr>
        <w:t>روایات</w:t>
      </w:r>
      <w:bookmarkEnd w:id="1980"/>
    </w:p>
    <w:p>
      <w:pPr>
        <w:pStyle w:val="Heading5"/>
        <w:numPr>
          <w:ilvl w:val="4"/>
          <w:numId w:val="1"/>
        </w:numPr>
        <w:rPr/>
      </w:pPr>
      <w:bookmarkStart w:id="1981" w:name="__RefHeading___Toc606734_1934241801"/>
      <w:bookmarkStart w:id="1982" w:name="_Toc911"/>
      <w:bookmarkEnd w:id="1981"/>
      <w:r>
        <w:rPr>
          <w:rtl w:val="true"/>
        </w:rPr>
        <w:t xml:space="preserve">روایت </w:t>
      </w:r>
      <w:r>
        <w:rPr/>
        <w:t>1</w:t>
      </w:r>
      <w:bookmarkEnd w:id="1982"/>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زین العابدین علیه السلام درباره طاعون سؤال شد و اینکه آیا از کسی که به آن مبتلا شده دوری گزینیم چون عذاب داده شده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کار باشد از او دوری گزینید چه مبتلا به طاعون باشد چه نباشد، و اگر فرمانبردار خداوند عزّ و جلّ باشد با طاعون گناهان او زدوده شده و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قومی را به واسطه طاعون عذاب می دهد و قوم دیگری را به واسطه آن مورد رحمت قرار می دهد، قدرت خداوند برای انجام هر کاری که اراده کند گسترده است، آیا نمی بینید که خداوند خورشید را برای بندگانش نورانی گردانده و آن را باعث رسیدن میوه ها و فراهم شدن رزق و روزی آنان قرار داده است، در همان حال قومی را به وسیله آن عذاب می دهد و آنان را در روز قیامت و به واسطه گناهانشان و در دنیا و به واسطه اعمال ناپسندشان به گرما و سوزش خورشید مبتلا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ناگهانی برای مؤمنان رحمت و برای کافران عذاب است</w:t>
      </w:r>
      <w:r>
        <w:rPr>
          <w:rFonts w:eastAsia="IRNazanin" w:cs="IRNazanin"/>
          <w:color w:val="111111"/>
          <w:sz w:val="28"/>
          <w:szCs w:val="28"/>
          <w:rtl w:val="true"/>
          <w:lang w:bidi="fa-IR"/>
        </w:rPr>
        <w:t>.</w:t>
      </w:r>
    </w:p>
    <w:p>
      <w:pPr>
        <w:pStyle w:val="Heading5"/>
        <w:numPr>
          <w:ilvl w:val="4"/>
          <w:numId w:val="1"/>
        </w:numPr>
        <w:rPr/>
      </w:pPr>
      <w:bookmarkStart w:id="1983" w:name="__RefHeading___Toc606736_1934241801"/>
      <w:bookmarkStart w:id="1984" w:name="_Toc912"/>
      <w:bookmarkEnd w:id="1983"/>
      <w:r>
        <w:rPr>
          <w:rtl w:val="true"/>
        </w:rPr>
        <w:t>می گویم</w:t>
      </w:r>
      <w:bookmarkEnd w:id="198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فرار از طاعون در کتاب العدل و المعاد ذکر شده است</w:t>
      </w:r>
      <w:r>
        <w:rPr>
          <w:rFonts w:eastAsia="IRNazanin" w:cs="IRNazanin"/>
          <w:color w:val="111111"/>
          <w:sz w:val="28"/>
          <w:szCs w:val="28"/>
          <w:rtl w:val="true"/>
          <w:lang w:bidi="fa-IR"/>
        </w:rPr>
        <w:t>.</w:t>
      </w:r>
      <w:r>
        <w:rPr>
          <w:rStyle w:val="FootnoteAnchor"/>
          <w:rtl w:val="true"/>
        </w:rPr>
        <w:footnoteReference w:id="1020"/>
      </w:r>
      <w:bookmarkStart w:id="1985" w:name="pg13517_329245"/>
    </w:p>
    <w:p>
      <w:pPr>
        <w:pStyle w:val="Heading3"/>
        <w:numPr>
          <w:ilvl w:val="2"/>
          <w:numId w:val="1"/>
        </w:numPr>
        <w:rPr/>
      </w:pPr>
      <w:bookmarkStart w:id="1986" w:name="__RefHeading___Toc606738_1934241801"/>
      <w:bookmarkStart w:id="1987" w:name="_Toc913"/>
      <w:bookmarkEnd w:id="1985"/>
      <w:bookmarkEnd w:id="1986"/>
      <w:r>
        <w:rPr>
          <w:rtl w:val="true"/>
        </w:rPr>
        <w:t xml:space="preserve">باب </w:t>
      </w:r>
      <w:r>
        <w:rPr/>
        <w:t>4</w:t>
      </w:r>
      <w:r>
        <w:rPr>
          <w:rtl w:val="true"/>
        </w:rPr>
        <w:t xml:space="preserve"> </w:t>
      </w:r>
      <w:r>
        <w:rPr>
          <w:rtl w:val="true"/>
        </w:rPr>
        <w:t>ثواب عيادة المريض و آدابها و فضل السعي في حاجته و كيفية معاشرة أصحاب البلاء</w:t>
      </w:r>
      <w:bookmarkEnd w:id="1987"/>
    </w:p>
    <w:p>
      <w:pPr>
        <w:pStyle w:val="Heading4"/>
        <w:numPr>
          <w:ilvl w:val="3"/>
          <w:numId w:val="1"/>
        </w:numPr>
        <w:rPr/>
      </w:pPr>
      <w:bookmarkStart w:id="1988" w:name="__RefHeading___Toc606740_1934241801"/>
      <w:bookmarkStart w:id="1989" w:name="_Toc914"/>
      <w:bookmarkEnd w:id="1988"/>
      <w:r>
        <w:rPr>
          <w:rtl w:val="true"/>
        </w:rPr>
        <w:t>روايات</w:t>
      </w:r>
      <w:bookmarkEnd w:id="1989"/>
    </w:p>
    <w:p>
      <w:pPr>
        <w:pStyle w:val="Heading5"/>
        <w:numPr>
          <w:ilvl w:val="4"/>
          <w:numId w:val="1"/>
        </w:numPr>
        <w:rPr/>
      </w:pPr>
      <w:bookmarkStart w:id="1990" w:name="__RefHeading___Toc606742_1934241801"/>
      <w:bookmarkStart w:id="1991" w:name="_Toc915"/>
      <w:bookmarkEnd w:id="1990"/>
      <w:r>
        <w:rPr>
          <w:rtl w:val="true"/>
        </w:rPr>
        <w:t>«</w:t>
      </w:r>
      <w:r>
        <w:rPr/>
        <w:t>1</w:t>
      </w:r>
      <w:r>
        <w:rPr>
          <w:rtl w:val="true"/>
        </w:rPr>
        <w:t>»</w:t>
      </w:r>
      <w:bookmarkEnd w:id="1991"/>
    </w:p>
    <w:p>
      <w:pPr>
        <w:pStyle w:val="BookText"/>
        <w:rPr/>
      </w:pPr>
      <w:r>
        <w:rPr>
          <w:rFonts w:ascii="Amiri" w:hAnsi="Amiri" w:eastAsia="Amiri" w:cs="Amiri"/>
          <w:color w:val="111111"/>
          <w:sz w:val="28"/>
          <w:sz w:val="28"/>
          <w:szCs w:val="28"/>
          <w:rtl w:val="true"/>
          <w:lang w:bidi="ar-SA"/>
        </w:rPr>
        <w:t>قُرْبُ الْإِسْنَادِ، عَنْ هَارُونَ بْنِ مُسْلِمٍ عَنْ مَسْعَدَةَ بْنِ صَدَقَةَ عَنْ جَعْفَرِ بْنِ مُحَمَّدٍ عَنْ أَبِيهِ أَنَّ عَلِيّاً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أَعْظَمَ الْعُوَّادِ أَجْراً عِنْدَ اللَّهِ لَمَنْ إِذَا عَادَ أَخَاهُ الْمُؤْمِنَ خَفَّفَ الْجُلُوسَ إِلَّا أَنْ يَكُونَ الْمَرِيضُ يُحِبُّ ذَلِكَ وَ يُرِيدُهُ وَ يَسْأَلُهُ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إِنَّ مِنْ تَمَامِ الْعِيَادَةِ أَنْ يَضَعَ الْعَائِدُ إِحْدَي يَدَيْهِ عَلَي الْأُخْرَي أَوْ عَلَي جَبْهَتِهِ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 مَرِيضاً نَادَي مُنَادٍ مِنَ السَّمَاءِ بِاسْمِهِ يَا فُلَانُ طِبْتَ وَ طَابَ مَمْشَاكَ تَبَوَّأْتَ مِنَ الْجَنَّةِ مَنْزِلًا</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2" w:name="__RefHeading___Toc606744_1934241801"/>
      <w:bookmarkStart w:id="1993" w:name="_Toc916"/>
      <w:bookmarkEnd w:id="1992"/>
      <w:r>
        <w:rPr>
          <w:rtl w:val="true"/>
        </w:rPr>
        <w:t>بيان</w:t>
      </w:r>
      <w:bookmarkEnd w:id="1993"/>
    </w:p>
    <w:p>
      <w:pPr>
        <w:pStyle w:val="BookText"/>
        <w:rPr/>
      </w:pPr>
      <w:r>
        <w:rPr>
          <w:rFonts w:ascii="Amiri" w:hAnsi="Amiri" w:eastAsia="Amiri" w:cs="Amiri"/>
          <w:color w:val="111111"/>
          <w:sz w:val="28"/>
          <w:sz w:val="28"/>
          <w:szCs w:val="28"/>
          <w:rtl w:val="true"/>
          <w:lang w:bidi="ar-SA"/>
        </w:rPr>
        <w:t>يحتمل أن يكون وضع اليد علي اليد و علي الجبهة لإظهار الحزن و التأسف علي مرضه كما هو الشائع فلا يبعد أن يكون ذكرهما علي المثال و الممشي مصدر ميمي بمعني المشي</w:t>
      </w:r>
      <w:r>
        <w:rPr>
          <w:rFonts w:eastAsia="Amiri" w:cs="Amiri" w:ascii="Amiri" w:hAnsi="Amiri"/>
          <w:color w:val="111111"/>
          <w:sz w:val="28"/>
          <w:szCs w:val="28"/>
          <w:rtl w:val="true"/>
          <w:lang w:bidi="ar-SA"/>
        </w:rPr>
        <w:t>.</w:t>
      </w:r>
    </w:p>
    <w:p>
      <w:pPr>
        <w:pStyle w:val="Heading5"/>
        <w:numPr>
          <w:ilvl w:val="4"/>
          <w:numId w:val="1"/>
        </w:numPr>
        <w:rPr/>
      </w:pPr>
      <w:bookmarkStart w:id="1994" w:name="__RefHeading___Toc606746_1934241801"/>
      <w:bookmarkStart w:id="1995" w:name="_Toc917"/>
      <w:bookmarkEnd w:id="1994"/>
      <w:r>
        <w:rPr>
          <w:rtl w:val="true"/>
        </w:rPr>
        <w:t>«</w:t>
      </w:r>
      <w:r>
        <w:rPr/>
        <w:t>2</w:t>
      </w:r>
      <w:r>
        <w:rPr>
          <w:rtl w:val="true"/>
        </w:rPr>
        <w:t>»</w:t>
      </w:r>
      <w:bookmarkEnd w:id="1995"/>
    </w:p>
    <w:p>
      <w:pPr>
        <w:pStyle w:val="BookText"/>
        <w:rPr/>
      </w:pPr>
      <w:r>
        <w:rPr>
          <w:rFonts w:ascii="Amiri" w:hAnsi="Amiri" w:eastAsia="Amiri" w:cs="Amiri"/>
          <w:color w:val="111111"/>
          <w:sz w:val="28"/>
          <w:sz w:val="28"/>
          <w:szCs w:val="28"/>
          <w:rtl w:val="true"/>
          <w:lang w:bidi="ar-SA"/>
        </w:rPr>
        <w:t>قُرْبُ الْإِسْنَادِ، بِالْإِسْنَادِ الْمُتَقَدِّمِ عَنْ جَعْفَرِ بْنِ مُحَمَّدٍ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صلي الله عليه و آله بِسَبْعٍ أَمَرَهُمْ بِعِيَادَةِ الْمَرْضَي وَ اتِّبَاعِ الْجَنَائِزِ وَ إِبْرَارِ الْقَسَمِ وَ تَسْمِيتِ الْعَاطِسِ وَ نَصْرِ الْمَظْلُومِ وَ إِفْشَاءِ السَّلَامِ وَ إِجَابَةِ الدَّاعِي‌</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6" w:name="__RefHeading___Toc606748_1934241801"/>
      <w:bookmarkStart w:id="1997" w:name="_Toc918"/>
      <w:bookmarkEnd w:id="1996"/>
      <w:r>
        <w:rPr>
          <w:rtl w:val="true"/>
        </w:rPr>
        <w:t xml:space="preserve">باب چهارم </w:t>
      </w:r>
      <w:r>
        <w:rPr>
          <w:rtl w:val="true"/>
        </w:rPr>
        <w:t xml:space="preserve">: </w:t>
      </w:r>
      <w:r>
        <w:rPr>
          <w:rtl w:val="true"/>
        </w:rPr>
        <w:t>ثواب عیادت کردن از بیمار و آداب آن و فضیلت سعی در رفع حاجت بیمار و چگونگی معاشرت با مصیبت زدگان</w:t>
      </w:r>
      <w:bookmarkEnd w:id="1997"/>
    </w:p>
    <w:p>
      <w:pPr>
        <w:pStyle w:val="Heading4"/>
        <w:numPr>
          <w:ilvl w:val="3"/>
          <w:numId w:val="1"/>
        </w:numPr>
        <w:rPr/>
      </w:pPr>
      <w:bookmarkStart w:id="1998" w:name="__RefHeading___Toc606750_1934241801"/>
      <w:bookmarkStart w:id="1999" w:name="_Toc919"/>
      <w:bookmarkEnd w:id="1998"/>
      <w:r>
        <w:rPr>
          <w:rtl w:val="true"/>
        </w:rPr>
        <w:t>روایات</w:t>
      </w:r>
      <w:bookmarkEnd w:id="1999"/>
    </w:p>
    <w:p>
      <w:pPr>
        <w:pStyle w:val="Heading5"/>
        <w:numPr>
          <w:ilvl w:val="4"/>
          <w:numId w:val="1"/>
        </w:numPr>
        <w:rPr/>
      </w:pPr>
      <w:bookmarkStart w:id="2000" w:name="__RefHeading___Toc606752_1934241801"/>
      <w:bookmarkStart w:id="2001" w:name="_Toc920"/>
      <w:bookmarkEnd w:id="2000"/>
      <w:r>
        <w:rPr>
          <w:rtl w:val="true"/>
        </w:rPr>
        <w:t xml:space="preserve">روایت </w:t>
      </w:r>
      <w:r>
        <w:rPr/>
        <w:t>1</w:t>
      </w:r>
      <w:bookmarkEnd w:id="2001"/>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روایت کرده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مأجورترین عیادت کنندگان نزد خداوند کسی است که هرگاه از برادر مؤمن خویش عیادت می کند نشستن را کوتاه گرداند، مگر آنکه بیمار نشستن او را دوست بدارد و خود آن را درخواست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کارهایی که برای کامل شدن عیادت انجام می پذیرد این است که عیادت کننده یکی از دست هایش را بر روی دست دیگر یا پیشانی اش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فرموده است، هر کسی از شخصی بیمار عیادت کند، ندا دهند ه ای از آسمان او را به اسم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خوش آمدی و قدم گذاردنت نیکوست، جایگاهی را در بهشت برای خود انتخاب نمودی</w:t>
      </w:r>
      <w:r>
        <w:rPr>
          <w:rFonts w:eastAsia="IRNazanin" w:cs="IRNazanin"/>
          <w:color w:val="111111"/>
          <w:sz w:val="28"/>
          <w:szCs w:val="28"/>
          <w:rtl w:val="true"/>
          <w:lang w:bidi="fa-IR"/>
        </w:rPr>
        <w:t>.</w:t>
      </w:r>
      <w:r>
        <w:rPr>
          <w:rStyle w:val="FootnoteAnchor"/>
          <w:rtl w:val="true"/>
        </w:rPr>
        <w:footnoteReference w:id="1023"/>
      </w:r>
    </w:p>
    <w:p>
      <w:pPr>
        <w:pStyle w:val="Heading5"/>
        <w:numPr>
          <w:ilvl w:val="4"/>
          <w:numId w:val="1"/>
        </w:numPr>
        <w:rPr/>
      </w:pPr>
      <w:bookmarkStart w:id="2002" w:name="__RefHeading___Toc606754_1934241801"/>
      <w:bookmarkStart w:id="2003" w:name="_Toc921"/>
      <w:bookmarkEnd w:id="2002"/>
      <w:r>
        <w:rPr>
          <w:rtl w:val="true"/>
        </w:rPr>
        <w:t>توضیح</w:t>
      </w:r>
      <w:bookmarkEnd w:id="2003"/>
    </w:p>
    <w:p>
      <w:pPr>
        <w:pStyle w:val="BookText"/>
        <w:rPr/>
      </w:pPr>
      <w:r>
        <w:rPr>
          <w:rFonts w:ascii="IRNazanin" w:hAnsi="IRNazanin" w:eastAsia="IRNazanin"/>
          <w:color w:val="111111"/>
          <w:sz w:val="28"/>
          <w:sz w:val="28"/>
          <w:szCs w:val="28"/>
          <w:rtl w:val="true"/>
          <w:lang w:bidi="fa-IR"/>
        </w:rPr>
        <w:t xml:space="preserve">ممکن است که گذاردن یک دست بر روی دست دیگر یا پیشانی به منظور اظهار حزن و تأسف از بیمار شدن شخص بیمار باشد چنان که شایع است، پس بعید نیست که ذکر این دو مورد به عنوان مثال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میمی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w:t>
      </w:r>
      <w:r>
        <w:rPr>
          <w:rFonts w:eastAsia="IRNazanin" w:cs="IRNazanin"/>
          <w:color w:val="111111"/>
          <w:sz w:val="28"/>
          <w:szCs w:val="28"/>
          <w:rtl w:val="true"/>
          <w:lang w:bidi="fa-IR"/>
        </w:rPr>
        <w:t>).</w:t>
      </w:r>
    </w:p>
    <w:p>
      <w:pPr>
        <w:pStyle w:val="Heading5"/>
        <w:numPr>
          <w:ilvl w:val="4"/>
          <w:numId w:val="1"/>
        </w:numPr>
        <w:rPr/>
      </w:pPr>
      <w:bookmarkStart w:id="2004" w:name="__RefHeading___Toc606756_1934241801"/>
      <w:bookmarkStart w:id="2005" w:name="_Toc922"/>
      <w:bookmarkEnd w:id="2004"/>
      <w:r>
        <w:rPr>
          <w:rtl w:val="true"/>
        </w:rPr>
        <w:t xml:space="preserve">روایت </w:t>
      </w:r>
      <w:r>
        <w:rPr/>
        <w:t>2</w:t>
      </w:r>
      <w:bookmarkEnd w:id="200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جعفرصادق از پدرانش علیهم السلام روایت کرده است که رسول خدا صلّی الله علیه و آله به انجام هفت کار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عیادت بیمار، تشییع جنازه، عمل نمودن به سوگند، دعا کردن برای عطسه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تو رحمت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یاری دادن مظلوم، بلند گفتن سلام در میان مردم و پاسخ گفتن به کسی که تو را می خواند</w:t>
      </w:r>
      <w:r>
        <w:rPr>
          <w:rFonts w:eastAsia="IRNazanin" w:cs="IRNazanin"/>
          <w:color w:val="111111"/>
          <w:sz w:val="28"/>
          <w:szCs w:val="28"/>
          <w:rtl w:val="true"/>
          <w:lang w:bidi="fa-IR"/>
        </w:rPr>
        <w:t>.</w:t>
      </w:r>
      <w:r>
        <w:rPr>
          <w:rStyle w:val="FootnoteAnchor"/>
          <w:rtl w:val="true"/>
        </w:rPr>
        <w:footnoteReference w:id="1024"/>
      </w:r>
      <w:bookmarkStart w:id="2006" w:name="pg13517_329246"/>
    </w:p>
    <w:p>
      <w:pPr>
        <w:pStyle w:val="Heading5"/>
        <w:numPr>
          <w:ilvl w:val="4"/>
          <w:numId w:val="1"/>
        </w:numPr>
        <w:rPr/>
      </w:pPr>
      <w:bookmarkStart w:id="2007" w:name="__RefHeading___Toc606758_1934241801"/>
      <w:bookmarkStart w:id="2008" w:name="_Toc923"/>
      <w:bookmarkEnd w:id="2006"/>
      <w:bookmarkEnd w:id="2007"/>
      <w:r>
        <w:rPr>
          <w:rtl w:val="true"/>
        </w:rPr>
        <w:t>«</w:t>
      </w:r>
      <w:r>
        <w:rPr/>
        <w:t>3</w:t>
      </w:r>
      <w:r>
        <w:rPr>
          <w:rtl w:val="true"/>
        </w:rPr>
        <w:t>»</w:t>
      </w:r>
      <w:bookmarkEnd w:id="2008"/>
    </w:p>
    <w:p>
      <w:pPr>
        <w:pStyle w:val="BookText"/>
        <w:rPr/>
      </w:pPr>
      <w:r>
        <w:rPr>
          <w:rFonts w:ascii="Amiri" w:hAnsi="Amiri" w:eastAsia="Amiri" w:cs="Amiri"/>
          <w:color w:val="111111"/>
          <w:sz w:val="28"/>
          <w:sz w:val="28"/>
          <w:szCs w:val="28"/>
          <w:rtl w:val="true"/>
          <w:lang w:bidi="ar-SA"/>
        </w:rPr>
        <w:t>الْخِصَالُ، بِإِسْنَادِهِ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صلي الله عليه و آله بِاتِّبَاعِ الْجَنَائِزِ وَ عِيَادَةِ الْمَرِيضِ الْخَبَرَ</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9" w:name="__RefHeading___Toc606760_1934241801"/>
      <w:bookmarkStart w:id="2010" w:name="_Toc924"/>
      <w:bookmarkEnd w:id="2009"/>
      <w:r>
        <w:rPr>
          <w:rtl w:val="true"/>
        </w:rPr>
        <w:t>«</w:t>
      </w:r>
      <w:r>
        <w:rPr/>
        <w:t>4</w:t>
      </w:r>
      <w:r>
        <w:rPr>
          <w:rtl w:val="true"/>
        </w:rPr>
        <w:t>»</w:t>
      </w:r>
      <w:bookmarkEnd w:id="2010"/>
    </w:p>
    <w:p>
      <w:pPr>
        <w:pStyle w:val="BookText"/>
        <w:rPr/>
      </w:pPr>
      <w:r>
        <w:rPr>
          <w:rFonts w:ascii="Amiri" w:hAnsi="Amiri" w:eastAsia="Amiri" w:cs="Amiri"/>
          <w:color w:val="111111"/>
          <w:sz w:val="28"/>
          <w:sz w:val="28"/>
          <w:szCs w:val="28"/>
          <w:rtl w:val="true"/>
          <w:lang w:bidi="ar-SA"/>
        </w:rPr>
        <w:t>وَ مِنْهُ، بِإِسْنَادِهِ عَنْ أَنَسِ بْنِ مُحَمَّدٍ عَنْ جَعْفَرِ بْنِ مُحَمَّدٍ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فِي وَصِيَّتِهِ لِعَلِيٍّ عليه السلام يَا عَلِيُّ لَيْسَ عَلَي النِّسَاءِ جُمُعَةٌ وَ لَا جَمَاعَةٌ وَ لَا أَذَانٌ وَ لَا إِقَامَةٌ وَ لَا عِيَادَةُ مَرِيضٍ وَ لَا اتِّبَاعُ جَنَازَةٍ وَ لَا تُقِيمُ عِنْدَ قَبْرٍ الْخَبَرَ</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1" w:name="__RefHeading___Toc606762_1934241801"/>
      <w:bookmarkStart w:id="2012" w:name="_Toc925"/>
      <w:bookmarkEnd w:id="2011"/>
      <w:r>
        <w:rPr>
          <w:rtl w:val="true"/>
        </w:rPr>
        <w:t>«</w:t>
      </w:r>
      <w:r>
        <w:rPr/>
        <w:t>5</w:t>
      </w:r>
      <w:r>
        <w:rPr>
          <w:rtl w:val="true"/>
        </w:rPr>
        <w:t>»</w:t>
      </w:r>
      <w:bookmarkEnd w:id="2012"/>
    </w:p>
    <w:p>
      <w:pPr>
        <w:pStyle w:val="BookText"/>
        <w:rPr/>
      </w:pPr>
      <w:r>
        <w:rPr>
          <w:rFonts w:ascii="Amiri" w:hAnsi="Amiri" w:eastAsia="Amiri" w:cs="Amiri"/>
          <w:color w:val="111111"/>
          <w:sz w:val="28"/>
          <w:sz w:val="28"/>
          <w:szCs w:val="28"/>
          <w:rtl w:val="true"/>
          <w:lang w:bidi="ar-SA"/>
        </w:rPr>
        <w:t>وَ مِنْهُ، عَنْ أَحْمَدَ بْنِ الْحَسَنِ الْقَطَّانِ عَنِ الْحَسَنِ بْنِ عَلِيٍّ السُّكَّرِيِّ عَنْ مُحَمَّدِ بْنِ زَكَرِيَّا الْبَصْرِيِّ عَنْ جَعْفَرِ بْنِ مُحَمَّدِ بْنِ عُمَارَةَ عَنْ أَبِيهِ عَنْ جَابِرٍ الْجُعْفِيِّ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النِّسَاءِ أَذَانٌ وَ لَا إِقَامَةٌ وَ لَا جُمُعَةٌ وَ لَا جَمَاعَةٌ وَ لَا عِيَادَةُ الْمَرِيضِ وَ لَا اتِّبَاعُ الْجَنَائِزِ</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3" w:name="__RefHeading___Toc606764_1934241801"/>
      <w:bookmarkStart w:id="2014" w:name="_Toc926"/>
      <w:bookmarkEnd w:id="2013"/>
      <w:r>
        <w:rPr>
          <w:rtl w:val="true"/>
        </w:rPr>
        <w:t>«</w:t>
      </w:r>
      <w:r>
        <w:rPr/>
        <w:t>6</w:t>
      </w:r>
      <w:r>
        <w:rPr>
          <w:rtl w:val="true"/>
        </w:rPr>
        <w:t>»</w:t>
      </w:r>
      <w:bookmarkEnd w:id="2014"/>
    </w:p>
    <w:p>
      <w:pPr>
        <w:pStyle w:val="BookText"/>
        <w:rPr/>
      </w:pPr>
      <w:r>
        <w:rPr>
          <w:rFonts w:ascii="Amiri" w:hAnsi="Amiri" w:eastAsia="Amiri" w:cs="Amiri"/>
          <w:color w:val="111111"/>
          <w:sz w:val="28"/>
          <w:sz w:val="28"/>
          <w:szCs w:val="28"/>
          <w:rtl w:val="true"/>
          <w:lang w:bidi="ar-SA"/>
        </w:rPr>
        <w:t>مَجَالِسُ ابْنِ الشَّيْخِ، عَنْ أَبِيهِ عَنِ الْمُفِيدِ عَنْ مُحَمَّدِ بْنِ الْحُسَيْنِ الْحَلَّالِ عَنِ الْحَسَنِ بْنِ الْحُسَيْنِ الْأَنْصَارِيِّ عَنْ زُفَرَ بْنِ سُلَيْمَانَ عَنْ أَشْرَسَ الْخُرَاسَانِيِّ عَنْ أَيُّوبَ السِّجِسْتَانِيِّ عَنْ أَبِي قِلَابَةَ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 مَرِيضاً فَإِنَّهُ يَخُوضُ فِي الرَّحْمَةِ وَ أَوْمَأَ رَسُولُ اللَّهِ صلي الله عليه و آله إِلَي حَقْوَيْهِ فَإِذَا جَلَسَ عِنْدَ الْمَرِيضِ غَمَرَتْهُ الرَّحْمَةُ</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5" w:name="__RefHeading___Toc606766_1934241801"/>
      <w:bookmarkStart w:id="2016" w:name="_Toc927"/>
      <w:bookmarkEnd w:id="2015"/>
      <w:r>
        <w:rPr>
          <w:rtl w:val="true"/>
        </w:rPr>
        <w:t>«</w:t>
      </w:r>
      <w:r>
        <w:rPr/>
        <w:t>7</w:t>
      </w:r>
      <w:r>
        <w:rPr>
          <w:rtl w:val="true"/>
        </w:rPr>
        <w:t>»</w:t>
      </w:r>
      <w:bookmarkEnd w:id="2016"/>
    </w:p>
    <w:p>
      <w:pPr>
        <w:pStyle w:val="BookText"/>
        <w:rPr/>
      </w:pPr>
      <w:r>
        <w:rPr>
          <w:rFonts w:ascii="Amiri" w:hAnsi="Amiri" w:eastAsia="Amiri" w:cs="Amiri"/>
          <w:color w:val="111111"/>
          <w:sz w:val="28"/>
          <w:sz w:val="28"/>
          <w:szCs w:val="28"/>
          <w:rtl w:val="true"/>
          <w:lang w:bidi="ar-SA"/>
        </w:rPr>
        <w:t>وَ مِنْهُ، عَنْ أَبِيهِ عَنْ حَمَّوَيْهِ بْنِ عَلِيٍّ الْبَصْرِيِّ عَنْ مُحَمَّدِ بْنِ بَكْرٍ عَنِ الْفَضْلِ بْنِ حُبَابٍ عَنِ مُحَمَّدِ بْنِ كَثِيرٍ عَنْ شُعْبَةَ عَنِ الْحَكَمِ بْنِ عَبْدِ اللَّهِ 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مُوسَي عَادَ الْحَسَنَ بْنَ عَلِيٍّ عليهما السلام فَقَالَ الْحَسَنُ عليه السلام أَ عَائِداً جِئْتَ أَوْ زَائِراً فَقَالَ عَائِداً فَقَالَ مَا مِنْ رَجُلٍ يَعُودُ مَرِيضاً مُمْسِياً إِلَّا خَرَجَ مَعَهُ سَبْعُونَ أَلْفَ</w:t>
      </w:r>
    </w:p>
    <w:p>
      <w:pPr>
        <w:pStyle w:val="Heading5"/>
        <w:numPr>
          <w:ilvl w:val="4"/>
          <w:numId w:val="1"/>
        </w:numPr>
        <w:rPr/>
      </w:pPr>
      <w:bookmarkStart w:id="2017" w:name="__RefHeading___Toc606768_1934241801"/>
      <w:bookmarkStart w:id="2018" w:name="_Toc928"/>
      <w:bookmarkEnd w:id="2017"/>
      <w:r>
        <w:rPr>
          <w:rtl w:val="true"/>
        </w:rPr>
        <w:t xml:space="preserve">روایت </w:t>
      </w:r>
      <w:r>
        <w:rPr/>
        <w:t>3</w:t>
      </w:r>
      <w:bookmarkEnd w:id="2018"/>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عازب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ما را به تشییع جنازه و عیادت مریض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w:t>
      </w:r>
      <w:r>
        <w:rPr>
          <w:rStyle w:val="FootnoteAnchor"/>
          <w:rtl w:val="true"/>
        </w:rPr>
        <w:footnoteReference w:id="1029"/>
      </w:r>
    </w:p>
    <w:p>
      <w:pPr>
        <w:pStyle w:val="Heading5"/>
        <w:numPr>
          <w:ilvl w:val="4"/>
          <w:numId w:val="1"/>
        </w:numPr>
        <w:rPr/>
      </w:pPr>
      <w:bookmarkStart w:id="2019" w:name="__RefHeading___Toc606770_1934241801"/>
      <w:bookmarkStart w:id="2020" w:name="_Toc929"/>
      <w:bookmarkEnd w:id="2019"/>
      <w:r>
        <w:rPr>
          <w:rtl w:val="true"/>
        </w:rPr>
        <w:t xml:space="preserve">روایت </w:t>
      </w:r>
      <w:r>
        <w:rPr/>
        <w:t>4</w:t>
      </w:r>
      <w:bookmarkEnd w:id="2020"/>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 السلام روایت کرده که رسول خدا صلّی الله علیه و آله در وصیّتی به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نماز جمعه و جماعت، اذان و اقامه گفتن، عیادت مریض، تشییع جنازه و ایستادن کنار قبر بر زنان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w:t>
      </w:r>
      <w:r>
        <w:rPr>
          <w:rStyle w:val="FootnoteAnchor"/>
          <w:rtl w:val="true"/>
        </w:rPr>
        <w:footnoteReference w:id="1030"/>
      </w:r>
    </w:p>
    <w:p>
      <w:pPr>
        <w:pStyle w:val="Heading5"/>
        <w:numPr>
          <w:ilvl w:val="4"/>
          <w:numId w:val="1"/>
        </w:numPr>
        <w:rPr/>
      </w:pPr>
      <w:bookmarkStart w:id="2021" w:name="__RefHeading___Toc606772_1934241801"/>
      <w:bookmarkStart w:id="2022" w:name="_Toc930"/>
      <w:bookmarkEnd w:id="2021"/>
      <w:r>
        <w:rPr>
          <w:rtl w:val="true"/>
        </w:rPr>
        <w:t xml:space="preserve">روایت </w:t>
      </w:r>
      <w:r>
        <w:rPr/>
        <w:t>5</w:t>
      </w:r>
      <w:bookmarkEnd w:id="2022"/>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اذان و اقامه، نماز جمعه و جماعت، عیادت مریض و تشییع جنازه برزنان واجب نیست</w:t>
      </w:r>
      <w:r>
        <w:rPr>
          <w:rFonts w:eastAsia="IRNazanin" w:cs="IRNazanin"/>
          <w:color w:val="111111"/>
          <w:sz w:val="28"/>
          <w:szCs w:val="28"/>
          <w:rtl w:val="true"/>
          <w:lang w:bidi="fa-IR"/>
        </w:rPr>
        <w:t>.</w:t>
      </w:r>
      <w:r>
        <w:rPr>
          <w:rStyle w:val="FootnoteAnchor"/>
          <w:rtl w:val="true"/>
        </w:rPr>
        <w:footnoteReference w:id="1031"/>
      </w:r>
    </w:p>
    <w:p>
      <w:pPr>
        <w:pStyle w:val="Heading5"/>
        <w:numPr>
          <w:ilvl w:val="4"/>
          <w:numId w:val="1"/>
        </w:numPr>
        <w:rPr/>
      </w:pPr>
      <w:bookmarkStart w:id="2023" w:name="__RefHeading___Toc606774_1934241801"/>
      <w:bookmarkStart w:id="2024" w:name="_Toc931"/>
      <w:bookmarkEnd w:id="2023"/>
      <w:r>
        <w:rPr>
          <w:rtl w:val="true"/>
        </w:rPr>
        <w:t xml:space="preserve">روایت </w:t>
      </w:r>
      <w:r>
        <w:rPr/>
        <w:t>6</w:t>
      </w:r>
      <w:bookmarkEnd w:id="2024"/>
    </w:p>
    <w:p>
      <w:p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شخصی بیمار عیادت کند در رحمت خداوند غرق می گردد، و به دو خاصره خویش اشاره فرمود، پس آن گاه که نزد بیمار بنشیند رحمت او را در بر می گیرد</w:t>
      </w:r>
      <w:r>
        <w:rPr>
          <w:rFonts w:eastAsia="IRNazanin" w:cs="IRNazanin"/>
          <w:color w:val="111111"/>
          <w:sz w:val="28"/>
          <w:szCs w:val="28"/>
          <w:rtl w:val="true"/>
          <w:lang w:bidi="fa-IR"/>
        </w:rPr>
        <w:t>.</w:t>
      </w:r>
      <w:r>
        <w:rPr>
          <w:rStyle w:val="FootnoteAnchor"/>
          <w:rtl w:val="true"/>
        </w:rPr>
        <w:footnoteReference w:id="1032"/>
      </w:r>
    </w:p>
    <w:p>
      <w:pPr>
        <w:pStyle w:val="Heading5"/>
        <w:numPr>
          <w:ilvl w:val="4"/>
          <w:numId w:val="1"/>
        </w:numPr>
        <w:rPr/>
      </w:pPr>
      <w:bookmarkStart w:id="2025" w:name="__RefHeading___Toc606776_1934241801"/>
      <w:bookmarkStart w:id="2026" w:name="_Toc932"/>
      <w:bookmarkEnd w:id="2025"/>
      <w:r>
        <w:rPr>
          <w:rtl w:val="true"/>
        </w:rPr>
        <w:t xml:space="preserve">روایت </w:t>
      </w:r>
      <w:r>
        <w:rPr/>
        <w:t>7</w:t>
      </w:r>
      <w:bookmarkEnd w:id="202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ابو موسی به عیادت امام حسن بن علی علیهما السلام رفت، 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عیادت آمده ای یا دیدار؟ 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مردی شبانگاهان به عیادت بیماری نمی رود مگر آنکه هفتاد هزار </w:t>
      </w:r>
      <w:bookmarkStart w:id="2027" w:name="pg13517_329247"/>
    </w:p>
    <w:p>
      <w:pPr>
        <w:pStyle w:val="BookText"/>
        <w:rPr/>
      </w:pPr>
      <w:bookmarkEnd w:id="2027"/>
      <w:r>
        <w:rPr>
          <w:rFonts w:ascii="Amiri" w:hAnsi="Amiri" w:eastAsia="Amiri" w:cs="Amiri"/>
          <w:color w:val="111111"/>
          <w:sz w:val="28"/>
          <w:sz w:val="28"/>
          <w:szCs w:val="28"/>
          <w:rtl w:val="true"/>
          <w:lang w:bidi="ar-SA"/>
        </w:rPr>
        <w:t>مَلَكٍ يَسْتَغْفِرُونَ لَهُ حَتَّي يُصْبِحَ وَ كَانَ لَهُ خَرِيفٌ فِي الْجَنَّةِ</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8" w:name="__RefHeading___Toc606778_1934241801"/>
      <w:bookmarkStart w:id="2029" w:name="_Toc933"/>
      <w:bookmarkEnd w:id="2028"/>
      <w:r>
        <w:rPr>
          <w:rtl w:val="true"/>
        </w:rPr>
        <w:t>بيان</w:t>
      </w:r>
      <w:bookmarkEnd w:id="2029"/>
    </w:p>
    <w:p>
      <w:pPr>
        <w:pStyle w:val="BookText"/>
        <w:rPr/>
      </w:pPr>
      <w:r>
        <w:rPr>
          <w:rFonts w:ascii="Amiri" w:hAnsi="Amiri" w:eastAsia="Amiri" w:cs="Amiri"/>
          <w:color w:val="111111"/>
          <w:sz w:val="28"/>
          <w:sz w:val="28"/>
          <w:szCs w:val="28"/>
          <w:rtl w:val="true"/>
          <w:lang w:bidi="ar-SA"/>
        </w:rPr>
        <w:t>رَوَي الْحُسَيْنُ بْنُ مَسْعُودٍ الْفَرَّاءُ فِي شَرْحِ السُّنَّةِ بِإِسْنَادِهِ عَنْ ثَوْبَةَ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عَلِيٌّ عليه السلام بِيَدِي فَقَالَ انْطَلِقْ إِلَي الْحَسَنِ بْنِ عَلِيٍّ نَعُودُهُ فَوَجَدْنَا عِنْدَهُ أَبَا مُوسَي الْأَشْعَرِيَّ قَالَ يَعْنِي عَلِيّاً لِأَبِي مُوسَي عَائِداً جِئْتَ أَمْ زَائِراً فَقَالَ عَائِداً فَقَالَ عَلِيٌّ عليه السلام فَإِنِّي سَمِعْتُ النَّبِيَّ صلي الله عليه و آله يَقُولُ مَا مِنْ مُسْلِمٍ يَعُودُ مُسْلِماً غُدْوَةً إِلَّا صَلَّي عَلَيْهِ سَبْعُونَ أَلْفَ مَلَكٍ حَتَّي يُمْسِيَ وَ لَا يَعُودُهُ مَسَاءً إِلَّا صَلَّي عَلَيْهِ سَبْعُونَ أَلْفَ مَلَكٍ حَتَّي يُصْبِحَ وَ كَانَ لَهُ خَرِيفٌ فِي الْجَنَّةِ ثُمَّ قَالَ هَذَا حَدِيثٌ حَسَنٌ و قد روي عن علي عليه السلام من غير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في الحديث عائد المريض علي مخارف الجنة حتي يرجع المخارف جمع مخرف بالفتح و هو الحائط من النخل أي إن العائد فيما يحوزه من الثواب كأنه علي نخل الجنة يخترف ثمارها و قيل المخارف جمع مخرفة و هي سكة بين صفين من نخل يخترف من أيهما شاء أي يجتني و قيل المخرفة الطريق أي إنه علي طريق يؤديه إلي الجنة و في حديث آخر عائد المريض في خرافة الجنة أي في اجتناء ثمرها يقال خرفت النخلة أخرفها خرافا و خرافا و في حديث آخر عائد المريض علي خرفة الجنة</w:t>
      </w:r>
      <w:r>
        <w:rPr>
          <w:rStyle w:val="FootnoteAnchor"/>
          <w:rtl w:val="true"/>
        </w:rPr>
        <w:footnoteReference w:id="1034"/>
      </w:r>
      <w:r>
        <w:rPr>
          <w:rFonts w:ascii="Amiri" w:hAnsi="Amiri" w:eastAsia="Amiri" w:cs="Amiri"/>
          <w:color w:val="111111"/>
          <w:sz w:val="28"/>
          <w:sz w:val="28"/>
          <w:szCs w:val="28"/>
          <w:rtl w:val="true"/>
          <w:lang w:bidi="ar-SA"/>
        </w:rPr>
        <w:t>الخرفة بالضم اسم ما يخترف من النخل حين يدرك و في حديث آخر عائد المريض له خريف في الجنة أي مخترف من ثمرها فعيل بمعني مفعول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فسر الخريف في أخبارنا بمعني آخر و هو مَا رَوَاهُ الْكُلَيْنِيُ‌</w:t>
      </w:r>
      <w:r>
        <w:rPr>
          <w:rStyle w:val="FootnoteAnchor"/>
          <w:rtl w:val="true"/>
        </w:rPr>
        <w:footnoteReference w:id="1035"/>
      </w:r>
      <w:r>
        <w:rPr>
          <w:rFonts w:ascii="Amiri" w:hAnsi="Amiri" w:eastAsia="Amiri" w:cs="Amiri"/>
          <w:color w:val="111111"/>
          <w:sz w:val="28"/>
          <w:sz w:val="28"/>
          <w:szCs w:val="28"/>
          <w:rtl w:val="true"/>
          <w:lang w:bidi="ar-SA"/>
        </w:rPr>
        <w:t>عَنْ مُحَمَّدِ بْنِ يَحْيَي عَنْ أَحْمَدَ بْنِ مُحَمَّدٍ عَنِ ابْنِ فَضَّالٍ عَنْ مُحَمَّدِ بْنِ الْفُضَيْلِ 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عَادَ مُؤْمِناً خَاضَ الرَّحْمَةَ خَوْضاً فَإِذَا جَلَسَ غَمَرَتْهُ الرَّحْمَةُ فَإِذَا انْصَرَفَ وَكَّلَ اللَّهُ بِهِ سَبْعِينَ أَلْفَ مَلَكٍ يَسْتَغْفِرُونَ لَهُ وَ يَتَرَحَّمُونَ</w:t>
      </w:r>
    </w:p>
    <w:p>
      <w:pPr>
        <w:pStyle w:val="BookText"/>
        <w:rPr/>
      </w:pPr>
      <w:r>
        <w:rPr>
          <w:rFonts w:ascii="IRNazanin" w:hAnsi="IRNazanin" w:eastAsia="IRNazanin"/>
          <w:color w:val="111111"/>
          <w:sz w:val="28"/>
          <w:sz w:val="28"/>
          <w:szCs w:val="28"/>
          <w:rtl w:val="true"/>
          <w:lang w:bidi="fa-IR"/>
        </w:rPr>
        <w:t>فرشته با او خارج شده و تا صبح گاهان برایش طلب مغفرت می کنند، و نخلی در بهشت برای او در نظر گرفته شده است</w:t>
      </w:r>
      <w:r>
        <w:rPr>
          <w:rFonts w:eastAsia="IRNazanin" w:cs="IRNazanin"/>
          <w:color w:val="111111"/>
          <w:sz w:val="28"/>
          <w:szCs w:val="28"/>
          <w:rtl w:val="true"/>
          <w:lang w:bidi="fa-IR"/>
        </w:rPr>
        <w:t>.</w:t>
      </w:r>
      <w:r>
        <w:rPr>
          <w:rStyle w:val="FootnoteAnchor"/>
          <w:rtl w:val="true"/>
        </w:rPr>
        <w:footnoteReference w:id="1036"/>
      </w:r>
    </w:p>
    <w:p>
      <w:pPr>
        <w:pStyle w:val="Heading5"/>
        <w:numPr>
          <w:ilvl w:val="4"/>
          <w:numId w:val="1"/>
        </w:numPr>
        <w:rPr/>
      </w:pPr>
      <w:bookmarkStart w:id="2030" w:name="__RefHeading___Toc606780_1934241801"/>
      <w:bookmarkStart w:id="2031" w:name="_Toc934"/>
      <w:bookmarkEnd w:id="2030"/>
      <w:r>
        <w:rPr>
          <w:rtl w:val="true"/>
        </w:rPr>
        <w:t>توضیح</w:t>
      </w:r>
      <w:bookmarkEnd w:id="2031"/>
    </w:p>
    <w:p>
      <w:pPr>
        <w:pStyle w:val="BookText"/>
        <w:rPr/>
      </w:pPr>
      <w:r>
        <w:rPr>
          <w:rFonts w:ascii="IRNazanin" w:hAnsi="IRNazanin" w:eastAsia="IRNazanin"/>
          <w:color w:val="111111"/>
          <w:sz w:val="28"/>
          <w:sz w:val="28"/>
          <w:szCs w:val="28"/>
          <w:rtl w:val="true"/>
          <w:lang w:bidi="fa-IR"/>
        </w:rPr>
        <w:t>حسین بن مسعود الفرّاء در کتاب شرح السنّة از ثوبة و او نیز از پدرش روایت کرده که امام علی علیه السلام دست مرا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عیادت حسن بن علی برویم، پس ابو موسی اشعری را نزد او یافتیم، امام علی به ابوموسی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قصد عیادت آمده ای یا دیدار؟ 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رسول خدا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صبح گاهان به عیادت مسلمان دیگری نمی رود مگر آنکه تا شامگاهان هفتاد هزار فرشته بر او درود می فرستند، همچنین اگر مسلمانی شامگاهان به عیادت مسلمان دیگری برود تا صبح گاهان هفتاد هزار فرشته بر او درود می فرستند، و نخلی در بهشت برای او در نظر گرفته شده است؛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زیباست و بی دلیل از امام علی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النهایة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عیادت کننده از بیمار تا زمانی که از عیادت باز می گردد گویا در میان دو ردیف از نخل های بهشت گام برمی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ردیفی از نخل،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ثوابی که عیادت کننده کسب می کند به اندازه ای است که گویا بر نخلی از نخل های بهشتی قرار دارد و از ثمر آن می چیند؛ 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راهی است که بین دو ردیف نخل وجود دارد و عیادت کننده می تواند از هر ردیفی که می خواهد خرما بچیند،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کننده بر راهی است که او را به بهشت می رساند؛ و در حدیث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عائدالمریض فی خرافة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کننده بیمار در حال چیدن میوه های بهشتی است،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خَرفتُ النخلة أخرفها خَرافاً و خِرافاً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را چیدم و می چینم؛ همچنین در حدیث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عائد المریض علی خُرفة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به معنای خرمای رسیده ای است که چیده شده است؛ و در حدیث دیگری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عائد المریض له خریف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عیادت کننده بیمار از میوه های بهشتی می چیند، که 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پایان نقل قول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احادیث روایت شده از سوی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دیگری تفسیر شده است، و آن معنایی است که شیخ کلینی</w:t>
      </w:r>
      <w:r>
        <w:rPr>
          <w:rStyle w:val="FootnoteAnchor"/>
          <w:rtl w:val="true"/>
        </w:rPr>
        <w:footnoteReference w:id="1037"/>
      </w:r>
      <w:r>
        <w:rPr>
          <w:rFonts w:ascii="IRNazanin" w:hAnsi="IRNazanin" w:eastAsia="IRNazanin"/>
          <w:color w:val="111111"/>
          <w:sz w:val="28"/>
          <w:sz w:val="28"/>
          <w:szCs w:val="28"/>
          <w:rtl w:val="true"/>
          <w:lang w:bidi="fa-IR"/>
        </w:rPr>
        <w:t>از ابوحمزه روایت کرده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مؤمنی که به عیادت مؤمن دیگری برود داخل در رحمت خداوند شده است و آن گاه که بنشیند رحمت او را در برمی گیرد، و هنگامی  که از عیادت بر می گردد، خداوند هفتاد هزار فرشته را مأمور می کند تا برای او طلب مغفرت و رحمت کنند، </w:t>
      </w:r>
      <w:bookmarkStart w:id="2032" w:name="pg13517_329248"/>
    </w:p>
    <w:p>
      <w:pPr>
        <w:pStyle w:val="BookText"/>
        <w:rPr/>
      </w:pPr>
      <w:bookmarkEnd w:id="2032"/>
      <w:r>
        <w:rPr>
          <w:rFonts w:ascii="Amiri" w:hAnsi="Amiri" w:eastAsia="Amiri" w:cs="Amiri"/>
          <w:color w:val="111111"/>
          <w:sz w:val="28"/>
          <w:sz w:val="28"/>
          <w:szCs w:val="28"/>
          <w:rtl w:val="true"/>
          <w:lang w:bidi="ar-SA"/>
        </w:rPr>
        <w:t>عَلَيْهِ وَ يَقُولُونَ طِبْتَ وَ طَابَتْ لَكَ الْجَنَّةُ إِلَي تِلْكَ السَّاعَةِ مِنْ غَدٍ وَ كَانَ لَهُ يَا أَبَا حَمْزَةَ خَرِيفٌ فِي الْجَنَّةِ قُلْتُ مَا الْخَرِيفُ جُعِلْتُ فِدَاكَ قَالَ زَاوِيَةٌ فِي الْجَنَّةِ يَسِيرُ الرَّاكِبُ فِيهَا أَرْبَعِينَ عَاماً</w:t>
      </w:r>
      <w:r>
        <w:rPr>
          <w:rFonts w:eastAsia="Amiri" w:cs="Amiri" w:ascii="Amiri" w:hAnsi="Amiri"/>
          <w:color w:val="111111"/>
          <w:sz w:val="28"/>
          <w:szCs w:val="28"/>
          <w:rtl w:val="true"/>
          <w:lang w:bidi="ar-SA"/>
        </w:rPr>
        <w:t>.</w:t>
      </w:r>
    </w:p>
    <w:p>
      <w:pPr>
        <w:pStyle w:val="Heading5"/>
        <w:numPr>
          <w:ilvl w:val="4"/>
          <w:numId w:val="1"/>
        </w:numPr>
        <w:rPr/>
      </w:pPr>
      <w:bookmarkStart w:id="2033" w:name="__RefHeading___Toc606782_1934241801"/>
      <w:bookmarkStart w:id="2034" w:name="_Toc935"/>
      <w:bookmarkEnd w:id="2033"/>
      <w:r>
        <w:rPr>
          <w:rtl w:val="true"/>
        </w:rPr>
        <w:t>«</w:t>
      </w:r>
      <w:r>
        <w:rPr/>
        <w:t>8</w:t>
      </w:r>
      <w:r>
        <w:rPr>
          <w:rtl w:val="true"/>
        </w:rPr>
        <w:t>»</w:t>
      </w:r>
      <w:bookmarkEnd w:id="2034"/>
    </w:p>
    <w:p>
      <w:pPr>
        <w:pStyle w:val="BookText"/>
        <w:rPr/>
      </w:pPr>
      <w:r>
        <w:rPr>
          <w:rFonts w:ascii="Amiri" w:hAnsi="Amiri" w:eastAsia="Amiri" w:cs="Amiri"/>
          <w:color w:val="111111"/>
          <w:sz w:val="28"/>
          <w:sz w:val="28"/>
          <w:szCs w:val="28"/>
          <w:rtl w:val="true"/>
          <w:lang w:bidi="ar-SA"/>
        </w:rPr>
        <w:t>مَجَالِسُ ابْنِ الشَّيْخِ، عَنْ أَبِيهِ عَنْ جَمَاعَةٍ عَنْ أَبِي الْمُفَضَّلِ الشَّيْبَانِيِّ عَنْ أَحْمَدَ بْنِ إِسْحَاقَ بْنِ بُهْلُولٍ عَنْ أَبِيهِ عَنْ جَدِّهِ عَنْ أَبِي شَيْبَةَ عَنْ أَبِي إِسْحَاقَ عَنِ الْحَارِثِ الْهَمْدَانِيِّ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لِلْمُسْلِمِ عَلَي أَخِيهِ الْمُسْلِمِ مِنَ الْمَعْرُوفِ سِتّاً يُسَلِّمُ عَلَيْهِ إِذَا لَقِيَهُ وَ يَعُودُهُ إِذَا مَرِضَ وَ يَشْهَدُهُ إِذَا مَاتَ الْخَبَرَ</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5" w:name="__RefHeading___Toc606784_1934241801"/>
      <w:bookmarkStart w:id="2036" w:name="_Toc936"/>
      <w:bookmarkEnd w:id="2035"/>
      <w:r>
        <w:rPr>
          <w:rtl w:val="true"/>
        </w:rPr>
        <w:t>«</w:t>
      </w:r>
      <w:r>
        <w:rPr/>
        <w:t>9</w:t>
      </w:r>
      <w:r>
        <w:rPr>
          <w:rtl w:val="true"/>
        </w:rPr>
        <w:t>»</w:t>
      </w:r>
      <w:bookmarkEnd w:id="2036"/>
    </w:p>
    <w:p>
      <w:pPr>
        <w:pStyle w:val="BookText"/>
        <w:rPr/>
      </w:pPr>
      <w:r>
        <w:rPr>
          <w:rFonts w:ascii="Amiri" w:hAnsi="Amiri" w:eastAsia="Amiri" w:cs="Amiri"/>
          <w:color w:val="111111"/>
          <w:sz w:val="28"/>
          <w:sz w:val="28"/>
          <w:szCs w:val="28"/>
          <w:rtl w:val="true"/>
          <w:lang w:bidi="ar-SA"/>
        </w:rPr>
        <w:t>مَجَالِسُ الصَّدُوقِ، عَنْ حَمْزَةَ الْعَلَوِيِّ عَنْ عَبْدِ الْعَزِيزِ بْنِ مُحَمَّدٍ الْأَبْهَرِيِّ عَنْ مُحَمَّدِ بْنِ زَكَرِيَّا الْجَوْهَرِيِّ عَنْ شُعَيْبِ بْنِ وَاقِدٍ عَنِ الْحُسَيْنِ بْنِ زَيْدٍ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سَعَي لِمَرِيضٍ فِي حَاجَةٍ قَضَاهَا أَوْ لَمْ يَقْضِهَا خَرَجَ مِنْ ذُنُوبِهِ كَيَوْمَ وَلَدَتْهُ أُمُّهُ فَقَالَ رَجُلٌ مِنَ الْأَنْصَارِ بِأَبِي أَنْتَ وَ أُمِّي يَا رَسُولَ اللَّهِ فَإِنْ كَانَ الْمَرِيضُ مِنْ أَهْلِ بَيْتِهِ أَ وَ لَيْسَ ذَاكَ أَعْظَمَ أَجْراً إِذَا سَعَي فِي حَاجَةِ أَهْلِ بَيْتِهِ قَالَ نَعَمْ‌</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7" w:name="__RefHeading___Toc606786_1934241801"/>
      <w:bookmarkStart w:id="2038" w:name="_Toc937"/>
      <w:bookmarkEnd w:id="2037"/>
      <w:r>
        <w:rPr>
          <w:rtl w:val="true"/>
        </w:rPr>
        <w:t>«</w:t>
      </w:r>
      <w:r>
        <w:rPr/>
        <w:t>10</w:t>
      </w:r>
      <w:r>
        <w:rPr>
          <w:rtl w:val="true"/>
        </w:rPr>
        <w:t>»</w:t>
      </w:r>
      <w:bookmarkEnd w:id="2038"/>
    </w:p>
    <w:p>
      <w:pPr>
        <w:pStyle w:val="BookText"/>
        <w:rPr/>
      </w:pPr>
      <w:r>
        <w:rPr>
          <w:rFonts w:ascii="Amiri" w:hAnsi="Amiri" w:eastAsia="Amiri" w:cs="Amiri"/>
          <w:color w:val="111111"/>
          <w:sz w:val="28"/>
          <w:sz w:val="28"/>
          <w:szCs w:val="28"/>
          <w:rtl w:val="true"/>
          <w:lang w:bidi="ar-SA"/>
        </w:rPr>
        <w:t>ثَوَابُ الْأَعْمَالِ، عَنْ أَبِيهِ عَنْ سَعْدِ بْنِ عَبْدِ اللَّهِ عَنْ أَحْمَدَ بْنِ مُحَمَّدٍ عَنْ مَنْصُورٍ عَنْ فُضَيْلٍ أَبِي مُحَمَّدٍ عَنْ أَبِي عُبَيْدَةَ الْحَذَّاءِ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 مَرِيضاً فِي اللَّهِ لَمْ يَسْأَلِ الْمَرِيضُ لِلْعَائِدِ شَيْئاً إِلَّا اسْتَجَابَ اللَّهُ لَهُ‌</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9" w:name="__RefHeading___Toc606788_1934241801"/>
      <w:bookmarkStart w:id="2040" w:name="_Toc938"/>
      <w:bookmarkEnd w:id="2039"/>
      <w:r>
        <w:rPr>
          <w:rtl w:val="true"/>
        </w:rPr>
        <w:t>«</w:t>
      </w:r>
      <w:r>
        <w:rPr/>
        <w:t>11</w:t>
      </w:r>
      <w:r>
        <w:rPr>
          <w:rtl w:val="true"/>
        </w:rPr>
        <w:t>»</w:t>
      </w:r>
      <w:bookmarkEnd w:id="2040"/>
    </w:p>
    <w:p>
      <w:pPr>
        <w:pStyle w:val="BookText"/>
        <w:rPr/>
      </w:pPr>
      <w:r>
        <w:rPr>
          <w:rFonts w:ascii="Amiri" w:hAnsi="Amiri" w:eastAsia="Amiri" w:cs="Amiri"/>
          <w:color w:val="111111"/>
          <w:sz w:val="28"/>
          <w:sz w:val="28"/>
          <w:szCs w:val="28"/>
          <w:rtl w:val="true"/>
          <w:lang w:bidi="ar-SA"/>
        </w:rPr>
        <w:t>وَ مِنْهُ، عَنْ مُحَمَّدِ بْنِ الْحَسَنِ بْنِ الْوَلِيدِ عَنْ مُحَمَّدِ بْنِ الْحَسَنِ الصَّفَّارِ عَنْ أَحْمَدَ بْنِ مُحَمَّدِ بْنِ عِيسَي عَنْ مُحَمَّدِ بْنِ سِنَانٍ 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نَاجَي بِهِ مُوسَي عليه السلام رَبَّهُ أَنْ قَالَ يَا رَبِّ أَعْلِمْنِي مَا بَلَغَ مِنْ عِيَادَةِ الْمَرِيضِ مِنَ الْأَجْرِ قَالَ عَزَّ وَ جَلَّ أُوَكِّلُ بِهِ مَلَكاً يَعُودُهُ فِي قَبْرِهِ</w:t>
      </w:r>
    </w:p>
    <w:p>
      <w:pPr>
        <w:pStyle w:val="BookText"/>
        <w:rPr/>
      </w:pPr>
      <w:r>
        <w:rPr>
          <w:rFonts w:ascii="IRNazanin" w:hAnsi="IRNazanin" w:eastAsia="IRNazanin"/>
          <w:color w:val="111111"/>
          <w:sz w:val="28"/>
          <w:sz w:val="28"/>
          <w:szCs w:val="28"/>
          <w:rtl w:val="true"/>
          <w:lang w:bidi="fa-IR"/>
        </w:rPr>
        <w:t>و تا همان ساعت از روزِ بعد فرشتگان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آمدی بهشت گوارای وجودت باد، و ای ابو حمزه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نظر گرفته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ای از بهشت است که امکان تاختن سوار کار به مدّت چهل سال در آن وجود دارد</w:t>
      </w:r>
      <w:r>
        <w:rPr>
          <w:rFonts w:eastAsia="IRNazanin" w:cs="IRNazanin"/>
          <w:color w:val="111111"/>
          <w:sz w:val="28"/>
          <w:szCs w:val="28"/>
          <w:rtl w:val="true"/>
          <w:lang w:bidi="fa-IR"/>
        </w:rPr>
        <w:t>.</w:t>
      </w:r>
    </w:p>
    <w:p>
      <w:pPr>
        <w:pStyle w:val="Heading5"/>
        <w:numPr>
          <w:ilvl w:val="4"/>
          <w:numId w:val="1"/>
        </w:numPr>
        <w:rPr/>
      </w:pPr>
      <w:bookmarkStart w:id="2041" w:name="__RefHeading___Toc606790_1934241801"/>
      <w:bookmarkStart w:id="2042" w:name="_Toc939"/>
      <w:bookmarkEnd w:id="2041"/>
      <w:r>
        <w:rPr>
          <w:rtl w:val="true"/>
        </w:rPr>
        <w:t xml:space="preserve">روایت </w:t>
      </w:r>
      <w:r>
        <w:rPr/>
        <w:t>8</w:t>
      </w:r>
      <w:bookmarkEnd w:id="2042"/>
    </w:p>
    <w:p>
      <w:p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 گردن برادر مسلمانش شش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دید سلامش کند، هنگامی  که بیمار شد به عیادتش برود، و هنگامی  که وفات نمود در تشییع جنازه اش شرکت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r>
        <w:rPr>
          <w:rStyle w:val="FootnoteAnchor"/>
          <w:rtl w:val="true"/>
        </w:rPr>
        <w:footnoteReference w:id="1041"/>
      </w:r>
    </w:p>
    <w:p>
      <w:pPr>
        <w:pStyle w:val="Heading5"/>
        <w:numPr>
          <w:ilvl w:val="4"/>
          <w:numId w:val="1"/>
        </w:numPr>
        <w:rPr/>
      </w:pPr>
      <w:bookmarkStart w:id="2043" w:name="__RefHeading___Toc606792_1934241801"/>
      <w:bookmarkStart w:id="2044" w:name="_Toc940"/>
      <w:bookmarkEnd w:id="2043"/>
      <w:r>
        <w:rPr>
          <w:rtl w:val="true"/>
        </w:rPr>
        <w:t xml:space="preserve">روایت </w:t>
      </w:r>
      <w:r>
        <w:rPr/>
        <w:t>9</w:t>
      </w:r>
      <w:bookmarkEnd w:id="2044"/>
    </w:p>
    <w:p>
      <w:p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سعی در برآورده ساختن حاجتی از حاجت های شخصی بیمار داشته باشد، آن حاجت را برآورده سازد یا نسازد، مانند روزی که مادرش او را به دنیا آورده است از وجود گناهان پاک خواهد بود، پس مردی از انصار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پدرم و مادرم فدایت، اگر آن بیمار از خانواده خود انسان باشد آیا تلاش نمودن در رفع حاجت او دارای اجر بزرگتری نیست؟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1042"/>
      </w:r>
    </w:p>
    <w:p>
      <w:pPr>
        <w:pStyle w:val="Heading5"/>
        <w:numPr>
          <w:ilvl w:val="4"/>
          <w:numId w:val="1"/>
        </w:numPr>
        <w:rPr/>
      </w:pPr>
      <w:bookmarkStart w:id="2045" w:name="__RefHeading___Toc606794_1934241801"/>
      <w:bookmarkStart w:id="2046" w:name="_Toc941"/>
      <w:bookmarkEnd w:id="2045"/>
      <w:r>
        <w:rPr>
          <w:rtl w:val="true"/>
        </w:rPr>
        <w:t xml:space="preserve">روایت </w:t>
      </w:r>
      <w:r>
        <w:rPr/>
        <w:t>10</w:t>
      </w:r>
      <w:bookmarkEnd w:id="2046"/>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خاطر خداوند به عیادت شخصی بیمار برود، آن بیمار از خداوند برای عیادت کننده چیزی درخواست نمی کند مگر اینکه خداوند درخواست او را اجابت می فرماید</w:t>
      </w:r>
      <w:r>
        <w:rPr>
          <w:rFonts w:eastAsia="IRNazanin" w:cs="IRNazanin"/>
          <w:color w:val="111111"/>
          <w:sz w:val="28"/>
          <w:szCs w:val="28"/>
          <w:rtl w:val="true"/>
          <w:lang w:bidi="fa-IR"/>
        </w:rPr>
        <w:t>.</w:t>
      </w:r>
      <w:r>
        <w:rPr>
          <w:rStyle w:val="FootnoteAnchor"/>
          <w:rtl w:val="true"/>
        </w:rPr>
        <w:footnoteReference w:id="1043"/>
      </w:r>
    </w:p>
    <w:p>
      <w:pPr>
        <w:pStyle w:val="Heading5"/>
        <w:numPr>
          <w:ilvl w:val="4"/>
          <w:numId w:val="1"/>
        </w:numPr>
        <w:rPr/>
      </w:pPr>
      <w:bookmarkStart w:id="2047" w:name="__RefHeading___Toc606796_1934241801"/>
      <w:bookmarkStart w:id="2048" w:name="_Toc942"/>
      <w:bookmarkEnd w:id="2047"/>
      <w:r>
        <w:rPr>
          <w:rtl w:val="true"/>
        </w:rPr>
        <w:t xml:space="preserve">روایت </w:t>
      </w:r>
      <w:r>
        <w:rPr/>
        <w:t>11</w:t>
      </w:r>
      <w:bookmarkEnd w:id="204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در میان سخنانی که با خداوند نجوا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آگاه ساز که اجر و پاداشی که برای عیادت بیمار در نظر گرفته شده چه میزان است؟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ای را مأمور می کنم که </w:t>
      </w:r>
      <w:bookmarkStart w:id="2049" w:name="pg13517_329249"/>
    </w:p>
    <w:p>
      <w:pPr>
        <w:pStyle w:val="BookText"/>
        <w:rPr/>
      </w:pPr>
      <w:bookmarkEnd w:id="2049"/>
      <w:r>
        <w:rPr>
          <w:rFonts w:ascii="Amiri" w:hAnsi="Amiri" w:eastAsia="Amiri" w:cs="Amiri"/>
          <w:color w:val="111111"/>
          <w:sz w:val="28"/>
          <w:sz w:val="28"/>
          <w:szCs w:val="28"/>
          <w:rtl w:val="true"/>
          <w:lang w:bidi="ar-SA"/>
        </w:rPr>
        <w:t>إِلَي مَحْشَرِهِ الْحَدِيثَ‌</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0" w:name="__RefHeading___Toc606798_1934241801"/>
      <w:bookmarkStart w:id="2051" w:name="_Toc943"/>
      <w:bookmarkEnd w:id="2050"/>
      <w:r>
        <w:rPr>
          <w:rtl w:val="true"/>
        </w:rPr>
        <w:t>«</w:t>
      </w:r>
      <w:r>
        <w:rPr/>
        <w:t>12</w:t>
      </w:r>
      <w:r>
        <w:rPr>
          <w:rtl w:val="true"/>
        </w:rPr>
        <w:t>»</w:t>
      </w:r>
      <w:bookmarkEnd w:id="2051"/>
    </w:p>
    <w:p>
      <w:pPr>
        <w:pStyle w:val="BookText"/>
        <w:rPr/>
      </w:pPr>
      <w:r>
        <w:rPr>
          <w:rFonts w:ascii="Amiri" w:hAnsi="Amiri" w:eastAsia="Amiri" w:cs="Amiri"/>
          <w:color w:val="111111"/>
          <w:sz w:val="28"/>
          <w:sz w:val="28"/>
          <w:szCs w:val="28"/>
          <w:rtl w:val="true"/>
          <w:lang w:bidi="ar-SA"/>
        </w:rPr>
        <w:t>السَّرَائِرُ، مِنْ كِتَابِ الْمَشِيخَةِ لِلْحَسَنِ بْنِ مَحْبُوبٍ عَنْ أَبِي وَلَّادٍ عَنْ عَبْدِ اللَّهِ بْنِ سِنَانٍ قَالَ سَمِعْنَا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لِلْمَرِيضِ مِنْكُمْ أَنْ يُؤَذِّنَ لِإِخْوَانِهِ بِمَرَضِهِ فَيَعُودُهُ فَيُؤْجَرُ فِيهِمْ وَ يُؤْجَرُونَ فِيهِ قَالَ فَقِيلَ لَهُ نَعَمْ هُمْ يُؤْجَرُونَ لِمَشْيِهِمْ إِلَيْهِ فَهُوَ كَيْفَ يُؤْجَرُ فِيهِمْ قَالَ فَقَالَ بِاكْتِسَابِهِ لَهُمُ الْحَسَنَاتِ فَيُؤْجَرُ فِيهِمْ فَيُكْتَبُ لَهُ بِذَلِكَ حَسَنَةٌ وَ تُرْفَعُ لَهُ بِذَلِكَ عَشْرُ دَرَجَاتٍ وَ تُمْحَي عَنْهُ عَشْرُ 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قَالَ أَبُو عَبْدِ اللَّهِ عليه السلام وَ يَنْبَغِي لِأَوْلِيَاءِ الْمَيِّتِ مِنْكُمْ أَنْ يُؤْذِنُوا إِخْوَانَ الْمَيِّتِ بِمَوْتِهِ فَيَشْهَدُوا جَنَازَتَهُ وَ يُصَلُّوا عَلَيْهِ وَ يَسْتَغْفِرُوا لَهُ وَ يَكْتَسِبَ لَهُمُ الْأَجْرَ وَ يَكْتَسِبَ لِمَيِّتِهِ الِاسْتِغْفَارَ وَ يَكْتَسِبَ هُوَ الْأَجْرَ فِيهِمْ وَ فِيمَا اكْتَسَبَ لِمَيِّتِهِ مِنَ الِاسْتِغْفَارِ</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2" w:name="__RefHeading___Toc606800_1934241801"/>
      <w:bookmarkStart w:id="2053" w:name="_Toc944"/>
      <w:bookmarkEnd w:id="2052"/>
      <w:r>
        <w:rPr>
          <w:rtl w:val="true"/>
        </w:rPr>
        <w:t>بيان</w:t>
      </w:r>
      <w:bookmarkEnd w:id="2053"/>
    </w:p>
    <w:p>
      <w:pPr>
        <w:pStyle w:val="BookText"/>
        <w:rPr/>
      </w:pPr>
      <w:r>
        <w:rPr>
          <w:rFonts w:ascii="Amiri" w:hAnsi="Amiri" w:eastAsia="Amiri" w:cs="Amiri"/>
          <w:color w:val="111111"/>
          <w:sz w:val="28"/>
          <w:sz w:val="28"/>
          <w:szCs w:val="28"/>
          <w:rtl w:val="true"/>
          <w:lang w:bidi="ar-SA"/>
        </w:rPr>
        <w:t>لفظة في في المواضع للسببية و في الكافي‌</w:t>
      </w:r>
      <w:r>
        <w:rPr>
          <w:rStyle w:val="FootnoteAnchor"/>
          <w:rtl w:val="true"/>
        </w:rPr>
        <w:footnoteReference w:id="1046"/>
      </w:r>
      <w:r>
        <w:rPr>
          <w:rFonts w:ascii="Amiri" w:hAnsi="Amiri" w:eastAsia="Amiri" w:cs="Amiri"/>
          <w:color w:val="111111"/>
          <w:sz w:val="28"/>
          <w:sz w:val="28"/>
          <w:szCs w:val="28"/>
          <w:rtl w:val="true"/>
          <w:lang w:bidi="ar-SA"/>
        </w:rPr>
        <w:t>فيكتب له بذلك عشر حسنات</w:t>
      </w:r>
      <w:r>
        <w:rPr>
          <w:rFonts w:eastAsia="Amiri" w:cs="Amiri" w:ascii="Amiri" w:hAnsi="Amiri"/>
          <w:color w:val="111111"/>
          <w:sz w:val="28"/>
          <w:szCs w:val="28"/>
          <w:rtl w:val="true"/>
          <w:lang w:bidi="ar-SA"/>
        </w:rPr>
        <w:t>.</w:t>
      </w:r>
    </w:p>
    <w:p>
      <w:pPr>
        <w:pStyle w:val="Heading5"/>
        <w:numPr>
          <w:ilvl w:val="4"/>
          <w:numId w:val="1"/>
        </w:numPr>
        <w:rPr/>
      </w:pPr>
      <w:bookmarkStart w:id="2054" w:name="__RefHeading___Toc606802_1934241801"/>
      <w:bookmarkStart w:id="2055" w:name="_Toc945"/>
      <w:bookmarkEnd w:id="2054"/>
      <w:r>
        <w:rPr>
          <w:rtl w:val="true"/>
        </w:rPr>
        <w:t>«</w:t>
      </w:r>
      <w:r>
        <w:rPr/>
        <w:t>13</w:t>
      </w:r>
      <w:r>
        <w:rPr>
          <w:rtl w:val="true"/>
        </w:rPr>
        <w:t>»</w:t>
      </w:r>
      <w:bookmarkEnd w:id="2055"/>
    </w:p>
    <w:p>
      <w:pPr>
        <w:pStyle w:val="BookText"/>
        <w:rPr/>
      </w:pPr>
      <w:r>
        <w:rPr>
          <w:rFonts w:ascii="Amiri" w:hAnsi="Amiri" w:eastAsia="Amiri" w:cs="Amiri"/>
          <w:color w:val="111111"/>
          <w:sz w:val="28"/>
          <w:sz w:val="28"/>
          <w:szCs w:val="28"/>
          <w:rtl w:val="true"/>
          <w:lang w:bidi="ar-SA"/>
        </w:rPr>
        <w:t>طِبُّ الْأَئِمَّةِ، عَنْ مُحَمَّدِ بْنِ خَلَفٍ عَنِ الْوَشَّاءِ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مَرِضَ أَحَدُكُمْ فَلْيَأْذَنْ لِلنَّاسِ يَدْخُلُونَ عَلَيْهِ فَإِنَّهُ لَيْسَ مِنْ أَحَدٍ إِلَّا وَ لَهُ دَعْوَةٌ مُسْتَجَابَةٌ ثُمَّ قَالَ عليه السلام أَ تَدْرِي مَنِ النَّاسُ قُلْتُ أُمَّةُ مُحَمَّدٍ صلي الله عليه و آله قَالَ النَّاسُ هُمْ شِيعَتُنَا</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6" w:name="__RefHeading___Toc606804_1934241801"/>
      <w:bookmarkStart w:id="2057" w:name="_Toc946"/>
      <w:bookmarkEnd w:id="2056"/>
      <w:r>
        <w:rPr>
          <w:rtl w:val="true"/>
        </w:rPr>
        <w:t>«</w:t>
      </w:r>
      <w:r>
        <w:rPr/>
        <w:t>14</w:t>
      </w:r>
      <w:r>
        <w:rPr>
          <w:rtl w:val="true"/>
        </w:rPr>
        <w:t>»</w:t>
      </w:r>
      <w:bookmarkEnd w:id="2057"/>
    </w:p>
    <w:p>
      <w:pPr>
        <w:pStyle w:val="BookText"/>
        <w:rPr/>
      </w:pPr>
      <w:r>
        <w:rPr>
          <w:rFonts w:ascii="Amiri" w:hAnsi="Amiri" w:eastAsia="Amiri" w:cs="Amiri"/>
          <w:color w:val="111111"/>
          <w:sz w:val="28"/>
          <w:sz w:val="28"/>
          <w:szCs w:val="28"/>
          <w:rtl w:val="true"/>
          <w:lang w:bidi="ar-SA"/>
        </w:rPr>
        <w:t>ثَوَابُ الْأَعْمَالِ، عَنْ مُحَمَّدِ بْنِ مُوسَي بْنِ الْمُتَوَكِّلِ عَنْ مُحَمَّدِ بْنِ جَعْفَرٍ عَنْ مُوسَي بْنِ عِمْرَانَ بِإِسْنَادِهِ عَنْ أَبِي هُرَيْرَةَ وَ ابْنِ عَبَّاسٍ قَالا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عَادَ مَرِيضاً فَلَهُ بِكُلِّ خُطْوَةٍ خَطَاهَا حَتَّي يَرْجِعَ إِلَي مَنْزِلِهِ سَبْعُونَ أَلْفَ أَلْفِ</w:t>
      </w:r>
    </w:p>
    <w:p>
      <w:pPr>
        <w:pStyle w:val="BookText"/>
        <w:rPr/>
      </w:pPr>
      <w:r>
        <w:rPr>
          <w:rFonts w:ascii="IRNazanin" w:hAnsi="IRNazanin" w:eastAsia="IRNazanin"/>
          <w:color w:val="111111"/>
          <w:sz w:val="28"/>
          <w:sz w:val="28"/>
          <w:szCs w:val="28"/>
          <w:rtl w:val="true"/>
          <w:lang w:bidi="fa-IR"/>
        </w:rPr>
        <w:t>تا روز قیامت در قبر از عیادت کننده عیادت کند</w:t>
      </w:r>
      <w:r>
        <w:rPr>
          <w:rFonts w:eastAsia="IRNazanin" w:cs="IRNazanin"/>
          <w:color w:val="111111"/>
          <w:sz w:val="28"/>
          <w:szCs w:val="28"/>
          <w:rtl w:val="true"/>
          <w:lang w:bidi="fa-IR"/>
        </w:rPr>
        <w:t>.</w:t>
      </w:r>
      <w:r>
        <w:rPr>
          <w:rStyle w:val="FootnoteAnchor"/>
          <w:rtl w:val="true"/>
        </w:rPr>
        <w:footnoteReference w:id="1048"/>
      </w:r>
    </w:p>
    <w:p>
      <w:pPr>
        <w:pStyle w:val="Heading5"/>
        <w:numPr>
          <w:ilvl w:val="4"/>
          <w:numId w:val="1"/>
        </w:numPr>
        <w:rPr/>
      </w:pPr>
      <w:bookmarkStart w:id="2058" w:name="__RefHeading___Toc606806_1934241801"/>
      <w:bookmarkStart w:id="2059" w:name="_Toc947"/>
      <w:bookmarkEnd w:id="2058"/>
      <w:r>
        <w:rPr>
          <w:rtl w:val="true"/>
        </w:rPr>
        <w:t xml:space="preserve">روایت </w:t>
      </w:r>
      <w:r>
        <w:rPr/>
        <w:t>12</w:t>
      </w:r>
      <w:bookmarkEnd w:id="2059"/>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شنیدیم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هر یک از شما که بیمار می گردد برادرانش را از بیماری خود آگاه سازد تا به عیادت او بیایند، پس به خاطر آنان مأجور شود و آنان نیز به خاطر او مأجور شوند، از امام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آنان به دلیل عیادت کردن از بیمار مأجور هستند ولی بیمار چگونه به خاطر آنان مأجور خواهد بود؟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باعث شده است که آنان کسب حسنات کنند، پس مأجور خواهد بود و با این کار حسنه ای برای او ثبت خواهد شد، و به این واسطه جایگاهش ده مرتبه بالاتر خواهد رفت و ده گناه از او زدوده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است که اولیای میّت در میان شما براداران میّت را از مرگ او آگاه گردانند، تا در تشییع جنازه او حاضر شده و بر او نماز بخوانند و برایش طلب مغفرت کنند، و برای برادران میّت کسب اجر کنند و برای میّت طلب مغفرت کند و اولیای میّت نیز به سبب آنان و به سبب کسب طلب مغفرت شان برای میّت خود کسب اجر می کنند</w:t>
      </w:r>
      <w:r>
        <w:rPr>
          <w:rFonts w:eastAsia="IRNazanin" w:cs="IRNazanin"/>
          <w:color w:val="111111"/>
          <w:sz w:val="28"/>
          <w:szCs w:val="28"/>
          <w:rtl w:val="true"/>
          <w:lang w:bidi="fa-IR"/>
        </w:rPr>
        <w:t>.</w:t>
      </w:r>
      <w:r>
        <w:rPr>
          <w:rStyle w:val="FootnoteAnchor"/>
          <w:rtl w:val="true"/>
        </w:rPr>
        <w:footnoteReference w:id="1049"/>
      </w:r>
    </w:p>
    <w:p>
      <w:pPr>
        <w:pStyle w:val="Heading5"/>
        <w:numPr>
          <w:ilvl w:val="4"/>
          <w:numId w:val="1"/>
        </w:numPr>
        <w:rPr/>
      </w:pPr>
      <w:bookmarkStart w:id="2060" w:name="__RefHeading___Toc606808_1934241801"/>
      <w:bookmarkStart w:id="2061" w:name="_Toc948"/>
      <w:bookmarkEnd w:id="2060"/>
      <w:r>
        <w:rPr>
          <w:rtl w:val="true"/>
        </w:rPr>
        <w:t>توضیح</w:t>
      </w:r>
      <w:bookmarkEnd w:id="2061"/>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در معنای سببیّه به کار رفته است، و در الکافی</w:t>
      </w:r>
      <w:r>
        <w:rPr>
          <w:rStyle w:val="FootnoteAnchor"/>
          <w:rtl w:val="true"/>
        </w:rPr>
        <w:footnoteReference w:id="1050"/>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کار ده حسنه برای او ثبت خواهد شد</w:t>
      </w:r>
      <w:r>
        <w:rPr>
          <w:rFonts w:eastAsia="IRNazanin" w:cs="IRNazanin"/>
          <w:color w:val="111111"/>
          <w:sz w:val="28"/>
          <w:szCs w:val="28"/>
          <w:rtl w:val="true"/>
          <w:lang w:bidi="fa-IR"/>
        </w:rPr>
        <w:t>.</w:t>
      </w:r>
    </w:p>
    <w:p>
      <w:pPr>
        <w:pStyle w:val="Heading5"/>
        <w:numPr>
          <w:ilvl w:val="4"/>
          <w:numId w:val="1"/>
        </w:numPr>
        <w:rPr/>
      </w:pPr>
      <w:bookmarkStart w:id="2062" w:name="__RefHeading___Toc606810_1934241801"/>
      <w:bookmarkStart w:id="2063" w:name="_Toc949"/>
      <w:bookmarkEnd w:id="2062"/>
      <w:r>
        <w:rPr>
          <w:rtl w:val="true"/>
        </w:rPr>
        <w:t xml:space="preserve">روایت </w:t>
      </w:r>
      <w:r>
        <w:rPr/>
        <w:t>13</w:t>
      </w:r>
      <w:bookmarkEnd w:id="2063"/>
    </w:p>
    <w:p>
      <w:pPr>
        <w:pStyle w:val="BookText"/>
        <w:rPr/>
      </w:pP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از امام رضا علیه اسلام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بیمار گشت پس باید به مردم خبر داده و اجازه دهد که به عیادتش بیایند، چرا که هیچ انسانی وجود ندارد مگر آنکه دعایی مستجاب برای او در نظر گرفته شده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منظور از مردم کیست؟ گفتم؟ امّت محمّد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مردم، شیعیان ما می باشد</w:t>
      </w:r>
      <w:r>
        <w:rPr>
          <w:rFonts w:eastAsia="IRNazanin" w:cs="IRNazanin"/>
          <w:color w:val="111111"/>
          <w:sz w:val="28"/>
          <w:szCs w:val="28"/>
          <w:rtl w:val="true"/>
          <w:lang w:bidi="fa-IR"/>
        </w:rPr>
        <w:t xml:space="preserve">. </w:t>
      </w:r>
      <w:r>
        <w:rPr>
          <w:rStyle w:val="FootnoteAnchor"/>
          <w:rtl w:val="true"/>
        </w:rPr>
        <w:footnoteReference w:id="1051"/>
      </w:r>
    </w:p>
    <w:p>
      <w:pPr>
        <w:pStyle w:val="Heading5"/>
        <w:numPr>
          <w:ilvl w:val="4"/>
          <w:numId w:val="1"/>
        </w:numPr>
        <w:rPr/>
      </w:pPr>
      <w:bookmarkStart w:id="2064" w:name="__RefHeading___Toc606812_1934241801"/>
      <w:bookmarkStart w:id="2065" w:name="_Toc950"/>
      <w:bookmarkEnd w:id="2064"/>
      <w:r>
        <w:rPr>
          <w:rtl w:val="true"/>
        </w:rPr>
        <w:t xml:space="preserve">روایت </w:t>
      </w:r>
      <w:r>
        <w:rPr/>
        <w:t>14</w:t>
      </w:r>
      <w:bookmarkEnd w:id="206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ابوهریرة و ابن عباس روایت کرده اند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به عیادت شخصی بیمار برود، به ازای هر قدمی که بر می دارد تا به خانه خویش بر گردد، هفتاد هزار هزار </w:t>
      </w:r>
      <w:bookmarkStart w:id="2066" w:name="pg13517_329250"/>
    </w:p>
    <w:p>
      <w:pPr>
        <w:pStyle w:val="BookText"/>
        <w:rPr/>
      </w:pPr>
      <w:bookmarkEnd w:id="2066"/>
      <w:r>
        <w:rPr>
          <w:rFonts w:ascii="Amiri" w:hAnsi="Amiri" w:eastAsia="Amiri" w:cs="Amiri"/>
          <w:color w:val="111111"/>
          <w:sz w:val="28"/>
          <w:sz w:val="28"/>
          <w:szCs w:val="28"/>
          <w:rtl w:val="true"/>
          <w:lang w:bidi="ar-SA"/>
        </w:rPr>
        <w:t>حَسَنَةٍ وَ يُمْحَي عَنْهُ سَبْعُونَ أَلْفَ أَلْفِ سَيِّئَةٍ وَ يُرْفَعُ لَهُ سَبْعُونَ أَلْفَ أَلْفِ دَرَجَةٍ وَ وُكِّلَ بِهِ سَبْعُونَ أَلْفَ أَلْفِ مَلَكٍ يَعُودُونَهُ فِي قَبْرِهِ وَ يَسْتَغْفِرُونَ لَهُ إِلَي يَوْمِ الْقِيَامَةِ</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الدين، عنه صلي الله عليه و آله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067" w:name="__RefHeading___Toc606814_1934241801"/>
      <w:bookmarkStart w:id="2068" w:name="_Toc951"/>
      <w:bookmarkEnd w:id="2067"/>
      <w:r>
        <w:rPr>
          <w:rtl w:val="true"/>
        </w:rPr>
        <w:t>«</w:t>
      </w:r>
      <w:r>
        <w:rPr/>
        <w:t>15</w:t>
      </w:r>
      <w:r>
        <w:rPr>
          <w:rtl w:val="true"/>
        </w:rPr>
        <w:t>»</w:t>
      </w:r>
      <w:bookmarkEnd w:id="2068"/>
    </w:p>
    <w:p>
      <w:pPr>
        <w:pStyle w:val="BookText"/>
        <w:rPr/>
      </w:pPr>
      <w:r>
        <w:rPr>
          <w:rFonts w:ascii="Amiri" w:hAnsi="Amiri" w:eastAsia="Amiri" w:cs="Amiri"/>
          <w:color w:val="111111"/>
          <w:sz w:val="28"/>
          <w:sz w:val="28"/>
          <w:szCs w:val="28"/>
          <w:rtl w:val="true"/>
          <w:lang w:bidi="ar-SA"/>
        </w:rPr>
        <w:t>مُنْتَهَي الْمَطْلَبِ، عَنْ يَعْقُوبَ بْنِ يَزِيدَ بِإِسْنَادِهِ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عُودُوا مَرْضَاكُمْ وَ سَلُوهُمُ الدُّعَاءَ فَإِنَّهُ يَعْدِلُ دُعَاءَ الْمَلَائِكَةِ</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9" w:name="__RefHeading___Toc606816_1934241801"/>
      <w:bookmarkStart w:id="2070" w:name="_Toc952"/>
      <w:bookmarkEnd w:id="2069"/>
      <w:r>
        <w:rPr>
          <w:rtl w:val="true"/>
        </w:rPr>
        <w:t>«</w:t>
      </w:r>
      <w:r>
        <w:rPr/>
        <w:t>16</w:t>
      </w:r>
      <w:r>
        <w:rPr>
          <w:rtl w:val="true"/>
        </w:rPr>
        <w:t>»</w:t>
      </w:r>
      <w:bookmarkEnd w:id="2070"/>
    </w:p>
    <w:p>
      <w:pPr>
        <w:pStyle w:val="BookText"/>
        <w:rPr/>
      </w:pPr>
      <w:r>
        <w:rPr>
          <w:rFonts w:ascii="Amiri" w:hAnsi="Amiri" w:eastAsia="Amiri" w:cs="Amiri"/>
          <w:color w:val="111111"/>
          <w:sz w:val="28"/>
          <w:sz w:val="28"/>
          <w:szCs w:val="28"/>
          <w:rtl w:val="true"/>
          <w:lang w:bidi="ar-SA"/>
        </w:rPr>
        <w:t>أَعْلَامُ الدِّينِ لِلدَّيْلَمِيِّ،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لِخَيْثَمَةَ أَبْلِغْ مَوَالِيَنَا السَّلَامَ وَ أَوْصِهِمْ بِتَقْوَي اللَّهِ وَ الْعَمَلِ الصَّالِحِ وَ أَنْ يَعُودَ صَحِيحُهُمْ مَرِيضَهُمْ وَ لْيَعُدْ غَنِيُّهُمْ عَلَي فَقِيرِهِمْ وَ لْيَحْضُرْ حَيُّهُمْ جَنَازَةَ مَيِّتِهِمْ وَ أَنْ يَتَأَلَّفُوا فِي الْبُيُوتِ وَ يَتَذَاكَرُوا عِلْمَ الدِّينِ فَفِي ذَلِكَ حَيَاةُ أَمْرِنَا رَحِمَ اللَّهُ مَنْ أَحْيَا أَمْرَنَا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أَعْلِمْهُمْ يَا خَيْثَمَةُ أَنَّا لَا نُغْنِي عَنْهُمْ مِنَ اللَّهِ شَيْئاً إِلَّا بِالْعَمَلِ الصَّالِحِ وَ أَنَّ وَلَايَتَنَا لَا تُنَالُ إِلَّا بِالْوَرَعِ وَ الِاجْتِهَادِ وَ أَنَّ أَشَدَّ النَّاسِ عَذَاباً يَوْمَ الْقِيَامَةِ مَنْ وَصَفَ عَدْلًا ثُمَّ خَالَفَهُ إِلَي غَيْرِهِ‌</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1" w:name="__RefHeading___Toc606818_1934241801"/>
      <w:bookmarkStart w:id="2072" w:name="_Toc953"/>
      <w:bookmarkEnd w:id="2071"/>
      <w:r>
        <w:rPr>
          <w:rtl w:val="true"/>
        </w:rPr>
        <w:t>«</w:t>
      </w:r>
      <w:r>
        <w:rPr/>
        <w:t>17</w:t>
      </w:r>
      <w:r>
        <w:rPr>
          <w:rtl w:val="true"/>
        </w:rPr>
        <w:t>»</w:t>
      </w:r>
      <w:bookmarkEnd w:id="2072"/>
    </w:p>
    <w:p>
      <w:pPr>
        <w:pStyle w:val="BookText"/>
        <w:rPr/>
      </w:pPr>
      <w:r>
        <w:rPr>
          <w:rFonts w:ascii="Amiri" w:hAnsi="Amiri" w:eastAsia="Amiri" w:cs="Amiri"/>
          <w:color w:val="111111"/>
          <w:sz w:val="28"/>
          <w:sz w:val="28"/>
          <w:szCs w:val="28"/>
          <w:rtl w:val="true"/>
          <w:lang w:bidi="ar-SA"/>
        </w:rPr>
        <w:t>نَوَادِرُ الرَّاوَنْدِيِّ، بِإِسْنَادِهِ عَنْ جَعْفَرِ بْنِ مُحَمَّدٍ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أَخاً فِي اللَّهِ أَوْ عَادَ مَرِيضاً نَادَي مُنَادٍ مِنَ السَّمَاءِ طِبْتَ وَ طَابَ مَمْشَاكَ تَبَوَّأْتَ مِنَ الْجَنَّةِ مَنْزِلَكَ‌</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3" w:name="__RefHeading___Toc606820_1934241801"/>
      <w:bookmarkStart w:id="2074" w:name="_Toc954"/>
      <w:bookmarkEnd w:id="2073"/>
      <w:r>
        <w:rPr>
          <w:rtl w:val="true"/>
        </w:rPr>
        <w:t>«</w:t>
      </w:r>
      <w:r>
        <w:rPr/>
        <w:t>18</w:t>
      </w:r>
      <w:r>
        <w:rPr>
          <w:rtl w:val="true"/>
        </w:rPr>
        <w:t>»</w:t>
      </w:r>
      <w:bookmarkEnd w:id="2074"/>
    </w:p>
    <w:p>
      <w:pPr>
        <w:pStyle w:val="BookText"/>
        <w:rPr/>
      </w:pPr>
      <w:r>
        <w:rPr>
          <w:rFonts w:ascii="Amiri" w:hAnsi="Amiri" w:eastAsia="Amiri" w:cs="Amiri"/>
          <w:color w:val="111111"/>
          <w:sz w:val="28"/>
          <w:sz w:val="28"/>
          <w:szCs w:val="28"/>
          <w:rtl w:val="true"/>
          <w:lang w:bidi="ar-SA"/>
        </w:rPr>
        <w:t>مَجَالِسُ الشَّيْخِ، عَنْ جَمَاعَةٍ عَنْ أَبِي الْمُفَضَّلِ عَنْ أَحْمَدَ بْنِ مُحَمَّدٍ عَنْ مُحَمَّدِ بْنِ الْحُسَيْنِ الْعَلَوِيِّ عَنْ أَبِيهِ الْحُسَيْنِ بْنِ إِسْحَاقَ عَنْ أَبِيهِ إِسْحَاقَ بْنِ جَعْفَرٍ عَنْ أَخِيهِ مُوسَي عليه السلام عَنْ آبَائِهِ عليهم السلام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يُعَيِّرُ اللَّهُ عَزَّ وَ جَلَّ عَبْداً مِنْ عِبَادِهِ يَوْمَ الْقِيَامَةِ فَيَقُولُ عَبْدِي مَا مَنَعَكَ إِذَا مَرِضْتُ أَنْ تَعُودَنِي فَيَقُولُ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حسنه برای او ثبت خواهد شد و هفتاد هزار هزار گناه از گناهان او زدوده خواهد شد، و هفتاد هزار هزار به درجات او افزوده خواهد شد، و هفتاد هزار هزار فرشته مأمور خواهند شد تا روز قیامت از او در قبرش عیادت کنند و برایش طلب مغفرت کنند</w:t>
      </w:r>
      <w:r>
        <w:rPr>
          <w:rFonts w:eastAsia="IRNazanin" w:cs="IRNazanin"/>
          <w:color w:val="111111"/>
          <w:sz w:val="28"/>
          <w:szCs w:val="28"/>
          <w:rtl w:val="true"/>
          <w:lang w:bidi="fa-IR"/>
        </w:rPr>
        <w:t>.</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به صورت مرسل از پیامبر صلّی الله علیه و آله روایت شده است</w:t>
      </w:r>
      <w:r>
        <w:rPr>
          <w:rFonts w:eastAsia="IRNazanin" w:cs="IRNazanin"/>
          <w:color w:val="111111"/>
          <w:sz w:val="28"/>
          <w:szCs w:val="28"/>
          <w:rtl w:val="true"/>
          <w:lang w:bidi="fa-IR"/>
        </w:rPr>
        <w:t>.</w:t>
      </w:r>
    </w:p>
    <w:p>
      <w:pPr>
        <w:pStyle w:val="Heading5"/>
        <w:numPr>
          <w:ilvl w:val="4"/>
          <w:numId w:val="1"/>
        </w:numPr>
        <w:rPr/>
      </w:pPr>
      <w:bookmarkStart w:id="2075" w:name="__RefHeading___Toc606822_1934241801"/>
      <w:bookmarkStart w:id="2076" w:name="_Toc955"/>
      <w:bookmarkEnd w:id="2075"/>
      <w:r>
        <w:rPr>
          <w:rtl w:val="true"/>
        </w:rPr>
        <w:t xml:space="preserve">روایت </w:t>
      </w:r>
      <w:r>
        <w:rPr/>
        <w:t>15</w:t>
      </w:r>
      <w:bookmarkEnd w:id="2076"/>
    </w:p>
    <w:p>
      <w:pPr>
        <w:pStyle w:val="BookText"/>
        <w:rPr/>
      </w:pPr>
      <w:r>
        <w:rPr>
          <w:rFonts w:ascii="IRNazanin" w:hAnsi="IRNazanin" w:eastAsia="IRNazanin"/>
          <w:color w:val="111111"/>
          <w:sz w:val="28"/>
          <w:sz w:val="28"/>
          <w:szCs w:val="28"/>
          <w:rtl w:val="true"/>
          <w:lang w:bidi="fa-IR"/>
        </w:rPr>
        <w:t>منتهی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بیماران خود عیادت کنید و از آنان بخواهید که برای شما دعا کنند، به راستی که دعای آنان با دعای فرشتگان برابری می کند</w:t>
      </w:r>
      <w:r>
        <w:rPr>
          <w:rFonts w:eastAsia="IRNazanin" w:cs="IRNazanin"/>
          <w:color w:val="111111"/>
          <w:sz w:val="28"/>
          <w:szCs w:val="28"/>
          <w:rtl w:val="true"/>
          <w:lang w:bidi="fa-IR"/>
        </w:rPr>
        <w:t xml:space="preserve">. </w:t>
      </w:r>
      <w:r>
        <w:rPr>
          <w:rStyle w:val="FootnoteAnchor"/>
          <w:rtl w:val="true"/>
        </w:rPr>
        <w:footnoteReference w:id="1057"/>
      </w:r>
    </w:p>
    <w:p>
      <w:pPr>
        <w:pStyle w:val="Heading5"/>
        <w:numPr>
          <w:ilvl w:val="4"/>
          <w:numId w:val="1"/>
        </w:numPr>
        <w:rPr/>
      </w:pPr>
      <w:bookmarkStart w:id="2077" w:name="__RefHeading___Toc606824_1934241801"/>
      <w:bookmarkStart w:id="2078" w:name="_Toc956"/>
      <w:bookmarkEnd w:id="2077"/>
      <w:r>
        <w:rPr>
          <w:rtl w:val="true"/>
        </w:rPr>
        <w:t xml:space="preserve">روایت </w:t>
      </w:r>
      <w:r>
        <w:rPr/>
        <w:t>16</w:t>
      </w:r>
      <w:bookmarkEnd w:id="2078"/>
    </w:p>
    <w:p>
      <w:pPr>
        <w:pStyle w:val="BookText"/>
        <w:rPr/>
      </w:pPr>
      <w:r>
        <w:rPr>
          <w:rFonts w:ascii="IRNazanin" w:hAnsi="IRNazanin" w:eastAsia="IRNazanin"/>
          <w:color w:val="111111"/>
          <w:sz w:val="28"/>
          <w:sz w:val="28"/>
          <w:szCs w:val="28"/>
          <w:rtl w:val="true"/>
          <w:lang w:bidi="fa-IR"/>
        </w:rPr>
        <w:t>اعلام الدین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خیثمة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 داران ما سلام برسان و آنان را به تقوای خداوند و انجام عمل صالح سفارش کن، و اینکه تندرستان ایشان از بیماران شان عیادت کنند و توانگران ایشان به مستمندان شان کمک کنند، و زندگان ایشان در تشییع جنازه مردگان شان حاضر شوند، و در خانه ها گِرد آیند و علم دین را یادآوری کنند که با این کار امر ما زنده گردانده می شود، خداوند رحمت کند کسی که امر ما را زنده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داران ما را آگاه ساز که ما در مقابل خداوند جز با داشتن عمل صالح به آنان سودی نمی رسانیم، و به راستی که ولایت ما جز با پرهیزگاری و اجتهاد حاصل نمی شود، و شدیدترین عذاب در روز قیامت نصیب کسی خواهد شد که به توصیف عدالت بپردازد سپس بر خلاف آن با دیگران رفتار کند</w:t>
      </w:r>
      <w:r>
        <w:rPr>
          <w:rFonts w:eastAsia="IRNazanin" w:cs="IRNazanin"/>
          <w:color w:val="111111"/>
          <w:sz w:val="28"/>
          <w:szCs w:val="28"/>
          <w:rtl w:val="true"/>
          <w:lang w:bidi="fa-IR"/>
        </w:rPr>
        <w:t>.</w:t>
      </w:r>
      <w:r>
        <w:rPr>
          <w:rStyle w:val="FootnoteAnchor"/>
          <w:rtl w:val="true"/>
        </w:rPr>
        <w:footnoteReference w:id="1058"/>
      </w:r>
    </w:p>
    <w:p>
      <w:pPr>
        <w:pStyle w:val="Heading5"/>
        <w:numPr>
          <w:ilvl w:val="4"/>
          <w:numId w:val="1"/>
        </w:numPr>
        <w:rPr/>
      </w:pPr>
      <w:bookmarkStart w:id="2079" w:name="__RefHeading___Toc606826_1934241801"/>
      <w:bookmarkStart w:id="2080" w:name="_Toc957"/>
      <w:bookmarkEnd w:id="2079"/>
      <w:r>
        <w:rPr>
          <w:rtl w:val="true"/>
        </w:rPr>
        <w:t xml:space="preserve">روایت </w:t>
      </w:r>
      <w:r>
        <w:rPr/>
        <w:t>17</w:t>
      </w:r>
      <w:bookmarkEnd w:id="2080"/>
    </w:p>
    <w:p>
      <w:pPr>
        <w:pStyle w:val="BookText"/>
        <w:rPr/>
      </w:pPr>
      <w:r>
        <w:rPr>
          <w:rFonts w:ascii="IRNazanin" w:hAnsi="IRNazanin" w:eastAsia="IRNazanin"/>
          <w:color w:val="111111"/>
          <w:sz w:val="28"/>
          <w:sz w:val="28"/>
          <w:szCs w:val="28"/>
          <w:rtl w:val="true"/>
          <w:lang w:bidi="fa-IR"/>
        </w:rPr>
        <w:t>نوادرالراوندیّ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جعفرصادق از پدرانش علیهم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خاطر خداوند به دیدار برادری برود و یا از بیماری عیادت کند، ندا دهنده ای از آسمان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و قدم گذاردن هایت نیکوست، در بهشت جایگاهی را برای خود انتخاب نمودی</w:t>
      </w:r>
      <w:r>
        <w:rPr>
          <w:rFonts w:eastAsia="IRNazanin" w:cs="IRNazanin"/>
          <w:color w:val="111111"/>
          <w:sz w:val="28"/>
          <w:szCs w:val="28"/>
          <w:rtl w:val="true"/>
          <w:lang w:bidi="fa-IR"/>
        </w:rPr>
        <w:t>.</w:t>
      </w:r>
      <w:r>
        <w:rPr>
          <w:rStyle w:val="FootnoteAnchor"/>
          <w:rtl w:val="true"/>
        </w:rPr>
        <w:footnoteReference w:id="1059"/>
      </w:r>
    </w:p>
    <w:p>
      <w:pPr>
        <w:pStyle w:val="Heading5"/>
        <w:numPr>
          <w:ilvl w:val="4"/>
          <w:numId w:val="1"/>
        </w:numPr>
        <w:rPr/>
      </w:pPr>
      <w:bookmarkStart w:id="2081" w:name="__RefHeading___Toc606828_1934241801"/>
      <w:bookmarkStart w:id="2082" w:name="_Toc958"/>
      <w:bookmarkEnd w:id="2081"/>
      <w:r>
        <w:rPr>
          <w:rtl w:val="true"/>
        </w:rPr>
        <w:t xml:space="preserve">روایت </w:t>
      </w:r>
      <w:r>
        <w:rPr/>
        <w:t>18</w:t>
      </w:r>
      <w:bookmarkEnd w:id="208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از پدرانش علیهم السلام روایت کرده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روز قیامت بنده ای از بندگانش را سرزنش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ام، چه چیز تو را از عیادت من به هنگام بیماری منع کرد؟ بنده می گوید</w:t>
      </w:r>
      <w:r>
        <w:rPr>
          <w:rFonts w:eastAsia="IRNazanin" w:cs="IRNazanin"/>
          <w:color w:val="111111"/>
          <w:sz w:val="28"/>
          <w:szCs w:val="28"/>
          <w:rtl w:val="true"/>
          <w:lang w:bidi="fa-IR"/>
        </w:rPr>
        <w:t xml:space="preserve">: </w:t>
      </w:r>
      <w:bookmarkStart w:id="2083" w:name="pg13517_329251"/>
    </w:p>
    <w:p>
      <w:pPr>
        <w:pStyle w:val="BookText"/>
        <w:rPr/>
      </w:pPr>
      <w:bookmarkEnd w:id="2083"/>
      <w:r>
        <w:rPr>
          <w:rFonts w:ascii="Amiri" w:hAnsi="Amiri" w:eastAsia="Amiri" w:cs="Amiri"/>
          <w:color w:val="111111"/>
          <w:sz w:val="28"/>
          <w:sz w:val="28"/>
          <w:szCs w:val="28"/>
          <w:rtl w:val="true"/>
          <w:lang w:bidi="ar-SA"/>
        </w:rPr>
        <w:t>سُبْحَانَكَ سُبْحَانَكَ أَنْتَ رَبُّ الْعِبَادِ لَا تَأْلَمُ وَ لَا تَمْرَضُ فَيَقُولُ مَرِضَ أَخُوكَ الْمُؤْمِنُ فَلَمْ تَعُدْهُ وَ عِزَّتِي وَ جَلَالِي لَوْ عُدْتَهُ لَوَجَدْتَنِي عِنْدَهُ ثُمَّ لَتَكَفَّلْتُ بِحَوَائِجِكَ فَقَضَيْتُهَا لَكَ وَ ذَلِكَ مِنْ كَرَامَةِ عَبْدِيَ الْمُؤْمِنِ وَ أَنَا الرَّحْمَنُ الرَّحِيمُ‌</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4" w:name="__RefHeading___Toc606830_1934241801"/>
      <w:bookmarkStart w:id="2085" w:name="_Toc959"/>
      <w:bookmarkEnd w:id="2084"/>
      <w:r>
        <w:rPr>
          <w:rtl w:val="true"/>
        </w:rPr>
        <w:t>«</w:t>
      </w:r>
      <w:r>
        <w:rPr/>
        <w:t>19</w:t>
      </w:r>
      <w:r>
        <w:rPr>
          <w:rtl w:val="true"/>
        </w:rPr>
        <w:t>»</w:t>
      </w:r>
      <w:bookmarkEnd w:id="2085"/>
    </w:p>
    <w:p>
      <w:pPr>
        <w:pStyle w:val="BookText"/>
        <w:rPr/>
      </w:pPr>
      <w:r>
        <w:rPr>
          <w:rFonts w:ascii="Amiri" w:hAnsi="Amiri" w:eastAsia="Amiri" w:cs="Amiri"/>
          <w:color w:val="111111"/>
          <w:sz w:val="28"/>
          <w:sz w:val="28"/>
          <w:szCs w:val="28"/>
          <w:rtl w:val="true"/>
          <w:lang w:bidi="ar-SA"/>
        </w:rPr>
        <w:t>وَ مِنْهُ، عَنْ جَمَاعَةٍ عَنْ أَبِي الْمُفَضَّلِ عَنِ الْحُسَيْنِ بْنِ مُوسَي بْنِ خَلَفٍ عَنْ عَبْدِ الرَّحْمَنِ بْنِ خَالِدٍ عَنْ زَيْدِ بْنِ حُبَابٍ عَنْ حَمَّادِ بْنِ سَلَمَةَ عَنْ ثَابِتٍ عَنْ أَبِي رَافِعٍ عَنْ أَبِي هُرَيْرَةَ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يَقُولُ ابْنَ آدَمَ مَرِضْتُ فَلَمْ تَعُدْنِي قَالَ يَا رَبِّ كَيْفَ أَعُودُكَ وَ أَنْتَ رَبُّ الْعَالَمِينَ قَالَ مَرِضَ فُلَانٌ عَبْدِيَ فَلَوْ عُدْتَهُ لَوَجَدْتَنِي عِنْدَهُ وَ اسْتَسْقَيْتُكَ فَلَمْ تَسْقِنِي قَالَ كَيْفَ وَ أَنْتَ رَبُّ الْعَالَمِينَ قَالَ اسْتَسْقَاكَ عَبْدِي فُلَانٌ وَ لَوْ سَقَيْتَهُ لَوَجَدْتَ ذَلِكَ عِنْدِي وَ اسْتَطْعَمْتُكَ فَلَمْ تُطْعِمْنِي قَالَ كَيْفَ وَ أَنْتَ رَبُّ الْعَالَمِينَ قَالَ اسْتَطْعَمَكَ عَبْدِي وَ لَمْ تُطْعِمْهُ وَ لَوْ أَطْعَمْتَهُ لَوَجَدْتَ ذَلِكَ عِنْدِي‌</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6" w:name="__RefHeading___Toc606832_1934241801"/>
      <w:bookmarkStart w:id="2087" w:name="_Toc960"/>
      <w:bookmarkEnd w:id="2086"/>
      <w:r>
        <w:rPr>
          <w:rtl w:val="true"/>
        </w:rPr>
        <w:t>«</w:t>
      </w:r>
      <w:r>
        <w:rPr/>
        <w:t>20</w:t>
      </w:r>
      <w:r>
        <w:rPr>
          <w:rtl w:val="true"/>
        </w:rPr>
        <w:t>»</w:t>
      </w:r>
      <w:bookmarkEnd w:id="2087"/>
    </w:p>
    <w:p>
      <w:pPr>
        <w:pStyle w:val="BookText"/>
        <w:rPr/>
      </w:pPr>
      <w:r>
        <w:rPr>
          <w:rFonts w:ascii="Amiri" w:hAnsi="Amiri" w:eastAsia="Amiri" w:cs="Amiri"/>
          <w:color w:val="111111"/>
          <w:sz w:val="28"/>
          <w:sz w:val="28"/>
          <w:szCs w:val="28"/>
          <w:rtl w:val="true"/>
          <w:lang w:bidi="ar-SA"/>
        </w:rPr>
        <w:t>وَ مِنْهُ، عَنْ جَمَاعَةٍ عَنْ أَبِي الْمُفَضَّلِ عَنْ مُحَمَّدِ بْنِ عَلِيِّ بْنِ شَاذَانَ عَنِ الْحَسَنِ بْنِ أَحْمَدَ بْنِ عَبْدِ اللَّهِ عَنْ إِسْمَاعِيلَ بْنِ صَبِيحٍ عَنْ عَمْرِو بْنِ خَالِدٍ عَنْ أَبِي هَاشِمٍ الرُّمَّانِيِّ عَنْ زَاذَانَ عَنْ سَلْمَانَ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رَسُولُ اللَّهِ صلي الله عليه و آله يَعُودُنِي وَ أَنَا مَرِيضٌ فَقَالَ كَشَفَ اللَّهُ ضُرَّكَ وَ عَظَّمَ أَجْرَكَ وَ عَافَاكَ فِي دِينِكَ وَ جَسَدِكَ إِلَي مُدَّةِ أَجَلِكَ‌</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غرر الدرر، للسيد حيدر عن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088" w:name="__RefHeading___Toc606834_1934241801"/>
      <w:bookmarkStart w:id="2089" w:name="_Toc961"/>
      <w:bookmarkEnd w:id="2088"/>
      <w:r>
        <w:rPr>
          <w:rtl w:val="true"/>
        </w:rPr>
        <w:t>«</w:t>
      </w:r>
      <w:r>
        <w:rPr/>
        <w:t>21</w:t>
      </w:r>
      <w:r>
        <w:rPr>
          <w:rtl w:val="true"/>
        </w:rPr>
        <w:t>»</w:t>
      </w:r>
      <w:bookmarkEnd w:id="2089"/>
    </w:p>
    <w:p>
      <w:pPr>
        <w:pStyle w:val="BookText"/>
        <w:rPr/>
      </w:pPr>
      <w:r>
        <w:rPr>
          <w:rFonts w:ascii="Amiri" w:hAnsi="Amiri" w:eastAsia="Amiri" w:cs="Amiri"/>
          <w:color w:val="111111"/>
          <w:sz w:val="28"/>
          <w:sz w:val="28"/>
          <w:szCs w:val="28"/>
          <w:rtl w:val="true"/>
          <w:lang w:bidi="ar-SA"/>
        </w:rPr>
        <w:t>مَجَالِسُ الشَّيْخِ، عَنْ جَمَاعَةٍ عَنْ أَبِي الْمُفَضَّلِ عَنْ جَعْفَرِ بْنِ مُحَمَّدٍ عَنْ حُسَيْنِ بْنِ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عَبْدِ اللَّهِ جَعْفَرِ بْنِ مُحَمَّدٍ عليهما السلام عَلَي رَجُلٍ مِنْ أَهْلِنَا وَ كَانَ مَرِيضاً فَقَالَ لَهُ أَبُو عَبْدِ اللَّهِ أَنْسَاكَ اللَّهُ الْعَافِيَةَ وَ لَا أَنْسَاكَ الشُّكْرَ عَلَيْهَا فَلَمَّا خَرَجْنَا مِنْ عِنْدِ الرَّجُلِ قُلْتُ لَهُ يَا سَيِّدِي مَا هَذَا الدُّعَاءُ</w:t>
      </w:r>
    </w:p>
    <w:p>
      <w:pPr>
        <w:pStyle w:val="BookText"/>
        <w:rPr/>
      </w:pPr>
      <w:r>
        <w:rPr>
          <w:rFonts w:ascii="IRNazanin" w:hAnsi="IRNazanin" w:eastAsia="IRNazanin"/>
          <w:color w:val="111111"/>
          <w:sz w:val="28"/>
          <w:sz w:val="28"/>
          <w:szCs w:val="28"/>
          <w:rtl w:val="true"/>
          <w:lang w:bidi="fa-IR"/>
        </w:rPr>
        <w:t>تو پاک و منزّهی، تو پروردگار بندگان هستی و هیچ گاه آزرده و بیمار نمی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مؤمنت بیمار شد و از او عیادت نکردی، به عزّت و شکوهم قسم اگر به عیادتش می رفتی مرا نزد او می یافتی، سپس نیازمندی های تو را به عهده گرفته و آنها را برایت برآورده می ساختم، و این از کرامت ها و بزرگواری های بنده مؤمن من است، و من بخشنده و مهربان هستم</w:t>
      </w:r>
      <w:r>
        <w:rPr>
          <w:rFonts w:eastAsia="IRNazanin" w:cs="IRNazanin"/>
          <w:color w:val="111111"/>
          <w:sz w:val="28"/>
          <w:szCs w:val="28"/>
          <w:rtl w:val="true"/>
          <w:lang w:bidi="fa-IR"/>
        </w:rPr>
        <w:t>.</w:t>
      </w:r>
      <w:r>
        <w:rPr>
          <w:rStyle w:val="FootnoteAnchor"/>
          <w:rtl w:val="true"/>
        </w:rPr>
        <w:footnoteReference w:id="1063"/>
      </w:r>
    </w:p>
    <w:p>
      <w:pPr>
        <w:pStyle w:val="Heading5"/>
        <w:numPr>
          <w:ilvl w:val="4"/>
          <w:numId w:val="1"/>
        </w:numPr>
        <w:rPr/>
      </w:pPr>
      <w:bookmarkStart w:id="2090" w:name="__RefHeading___Toc606836_1934241801"/>
      <w:bookmarkStart w:id="2091" w:name="_Toc962"/>
      <w:bookmarkEnd w:id="2090"/>
      <w:r>
        <w:rPr>
          <w:rtl w:val="true"/>
        </w:rPr>
        <w:t xml:space="preserve">روایت </w:t>
      </w:r>
      <w:r>
        <w:rPr/>
        <w:t>19</w:t>
      </w:r>
      <w:bookmarkEnd w:id="2091"/>
    </w:p>
    <w:p>
      <w:p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ابوهریرة از پیامبر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بیمار گشتم و به عیادتم نیامدی؟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چگونه به عیادت تو بیایم درحالی که تو پروردگار جهانیان هستی؟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بنده من بیمار گشت، اگر به عیادتش می رفتی مرا نزد او می یافتی، همچنین از تو طلب آب کردم و مرا ننوشاندی؟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 بنوشانم در حالی که پروردگار جهانیان هستی؟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بنده من از تو طلب آب کرد و اگر او را می نوشاندی پاداش آن را نزد من می یافتی، و از تو طلب غذا کردم و مرا غذا ندادی؟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 غذا دهم در حالی که پروردگار جهانیان هستی؟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بنده من از تو طلب غذا کرد و به او غذا ندادی و اگر او را غذا می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نزد من می یافتی</w:t>
      </w:r>
      <w:r>
        <w:rPr>
          <w:rFonts w:eastAsia="IRNazanin" w:cs="IRNazanin"/>
          <w:color w:val="111111"/>
          <w:sz w:val="28"/>
          <w:szCs w:val="28"/>
          <w:rtl w:val="true"/>
          <w:lang w:bidi="fa-IR"/>
        </w:rPr>
        <w:t>.</w:t>
      </w:r>
      <w:r>
        <w:rPr>
          <w:rStyle w:val="FootnoteAnchor"/>
          <w:rtl w:val="true"/>
        </w:rPr>
        <w:footnoteReference w:id="1064"/>
      </w:r>
    </w:p>
    <w:p>
      <w:pPr>
        <w:pStyle w:val="Heading5"/>
        <w:numPr>
          <w:ilvl w:val="4"/>
          <w:numId w:val="1"/>
        </w:numPr>
        <w:rPr/>
      </w:pPr>
      <w:bookmarkStart w:id="2092" w:name="__RefHeading___Toc606838_1934241801"/>
      <w:bookmarkStart w:id="2093" w:name="_Toc963"/>
      <w:bookmarkEnd w:id="2092"/>
      <w:r>
        <w:rPr>
          <w:rtl w:val="true"/>
        </w:rPr>
        <w:t xml:space="preserve">روایت </w:t>
      </w:r>
      <w:r>
        <w:rPr/>
        <w:t>20</w:t>
      </w:r>
      <w:bookmarkEnd w:id="2093"/>
    </w:p>
    <w:p>
      <w:pPr>
        <w:pStyle w:val="BookText"/>
        <w:rPr/>
      </w:pPr>
      <w:r>
        <w:rPr>
          <w:rFonts w:ascii="IRNazanin" w:hAnsi="IRNazanin" w:eastAsia="IRNazanin"/>
          <w:color w:val="111111"/>
          <w:sz w:val="28"/>
          <w:sz w:val="28"/>
          <w:szCs w:val="28"/>
          <w:rtl w:val="true"/>
          <w:lang w:bidi="fa-IR"/>
        </w:rPr>
        <w:t>از سلمان رضی الله عنه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عیادت من که بیمار بودم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بیماری و رنج را از تو برطرف ساخته و اجر و پاداشت را بزرگ گردانَد و تا زمانی که اجلت فرا می رسد تو را در دین و جسمت سالم گرداند</w:t>
      </w:r>
      <w:r>
        <w:rPr>
          <w:rFonts w:eastAsia="IRNazanin" w:cs="IRNazanin"/>
          <w:color w:val="111111"/>
          <w:sz w:val="28"/>
          <w:szCs w:val="28"/>
          <w:rtl w:val="true"/>
          <w:lang w:bidi="fa-IR"/>
        </w:rPr>
        <w:t>.</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غررالدرر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حیدر نظیر این حدیث از سلمان روایت شده است</w:t>
      </w:r>
      <w:r>
        <w:rPr>
          <w:rFonts w:eastAsia="IRNazanin" w:cs="IRNazanin"/>
          <w:color w:val="111111"/>
          <w:sz w:val="28"/>
          <w:szCs w:val="28"/>
          <w:rtl w:val="true"/>
          <w:lang w:bidi="fa-IR"/>
        </w:rPr>
        <w:t>.</w:t>
      </w:r>
    </w:p>
    <w:p>
      <w:pPr>
        <w:pStyle w:val="Heading5"/>
        <w:numPr>
          <w:ilvl w:val="4"/>
          <w:numId w:val="1"/>
        </w:numPr>
        <w:rPr/>
      </w:pPr>
      <w:bookmarkStart w:id="2094" w:name="__RefHeading___Toc606840_1934241801"/>
      <w:bookmarkStart w:id="2095" w:name="_Toc964"/>
      <w:bookmarkEnd w:id="2094"/>
      <w:r>
        <w:rPr>
          <w:rtl w:val="true"/>
        </w:rPr>
        <w:t xml:space="preserve">روایت </w:t>
      </w:r>
      <w:r>
        <w:rPr/>
        <w:t>21</w:t>
      </w:r>
      <w:bookmarkEnd w:id="209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زید بن 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جعفرصادق علیه السلام نزد مردی از خاندان ما که بیمار بود رفتیم،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عافیت و سلامتی را از یاد تو ببرد ولی شکرگزاری عافیت را از یاد تو نبرد؛ هنگامی  که از نزد آن مرد خارج شدیم 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این چه دعایی </w:t>
      </w:r>
      <w:bookmarkStart w:id="2096" w:name="pg13517_329252"/>
    </w:p>
    <w:p>
      <w:pPr>
        <w:pStyle w:val="BookText"/>
        <w:rPr/>
      </w:pPr>
      <w:bookmarkEnd w:id="2096"/>
      <w:r>
        <w:rPr>
          <w:rFonts w:ascii="Amiri" w:hAnsi="Amiri" w:eastAsia="Amiri" w:cs="Amiri"/>
          <w:color w:val="111111"/>
          <w:sz w:val="28"/>
          <w:sz w:val="28"/>
          <w:szCs w:val="28"/>
          <w:rtl w:val="true"/>
          <w:lang w:bidi="ar-SA"/>
        </w:rPr>
        <w:t>الَّذِي دَعَوْتَ بِهِ لِلرَّجُلِ فَقَالَ يَا حُسَيْنُ الْعَافِيَةُ مُلْكٌ خَفِيٌّ يَا حُسَيْنُ إِنَّ الْعَافِيَةَ نِعْمَةٌ إِذَا فُقِدَتْ ذُكِرَتْ وَ إِذَا وُجِدَتْ نُسِيَتْ فَقُلْتُ لَهُ أَنْسَاكَ اللَّهُ الْعَافِيَةَ بِحُصُولِهَا وَ لَا أَنْسَاكَ الشُّكْرَ عَلَيْهَا لِتَنْدَمَ لَهُ يَا حُسَيْنُ إِنَّ أَبِي خَبَّرَنِي عَنْ آبَائِهِ عليهم السلام عَنِ النَّبِيِّ صلي الله عليه و آله أَنَّهُ قَالَ يَا صَاحِبَ الْعَافِيَةِ إِلَيْكَ انْتَهَتِ الْأَمَانِيُ‌</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7" w:name="__RefHeading___Toc606842_1934241801"/>
      <w:bookmarkStart w:id="2098" w:name="_Toc965"/>
      <w:bookmarkEnd w:id="2097"/>
      <w:r>
        <w:rPr>
          <w:rtl w:val="true"/>
        </w:rPr>
        <w:t>بيان</w:t>
      </w:r>
      <w:bookmarkEnd w:id="2098"/>
    </w:p>
    <w:p>
      <w:pPr>
        <w:pStyle w:val="BookText"/>
        <w:rPr/>
      </w:pPr>
      <w:r>
        <w:rPr>
          <w:rFonts w:ascii="Amiri" w:hAnsi="Amiri" w:eastAsia="Amiri" w:cs="Amiri"/>
          <w:color w:val="111111"/>
          <w:sz w:val="28"/>
          <w:sz w:val="28"/>
          <w:szCs w:val="28"/>
          <w:rtl w:val="true"/>
          <w:lang w:bidi="ar-SA"/>
        </w:rPr>
        <w:t>أي يتمني الناس حالك أو حصل لك أمانيك أو نهايتها و الأول أظهر</w:t>
      </w:r>
      <w:r>
        <w:rPr>
          <w:rFonts w:eastAsia="Amiri" w:cs="Amiri" w:ascii="Amiri" w:hAnsi="Amiri"/>
          <w:color w:val="111111"/>
          <w:sz w:val="28"/>
          <w:szCs w:val="28"/>
          <w:rtl w:val="true"/>
          <w:lang w:bidi="ar-SA"/>
        </w:rPr>
        <w:t>.</w:t>
      </w:r>
    </w:p>
    <w:p>
      <w:pPr>
        <w:pStyle w:val="Heading5"/>
        <w:numPr>
          <w:ilvl w:val="4"/>
          <w:numId w:val="1"/>
        </w:numPr>
        <w:rPr/>
      </w:pPr>
      <w:bookmarkStart w:id="2099" w:name="__RefHeading___Toc606844_1934241801"/>
      <w:bookmarkStart w:id="2100" w:name="_Toc966"/>
      <w:bookmarkEnd w:id="2099"/>
      <w:r>
        <w:rPr>
          <w:rtl w:val="true"/>
        </w:rPr>
        <w:t>«</w:t>
      </w:r>
      <w:r>
        <w:rPr/>
        <w:t>22</w:t>
      </w:r>
      <w:r>
        <w:rPr>
          <w:rtl w:val="true"/>
        </w:rPr>
        <w:t>»</w:t>
      </w:r>
      <w:bookmarkEnd w:id="2100"/>
    </w:p>
    <w:p>
      <w:pPr>
        <w:pStyle w:val="BookText"/>
        <w:rPr/>
      </w:pPr>
      <w:r>
        <w:rPr>
          <w:rFonts w:ascii="Amiri" w:hAnsi="Amiri" w:eastAsia="Amiri" w:cs="Amiri"/>
          <w:color w:val="111111"/>
          <w:sz w:val="28"/>
          <w:sz w:val="28"/>
          <w:szCs w:val="28"/>
          <w:rtl w:val="true"/>
          <w:lang w:bidi="ar-SA"/>
        </w:rPr>
        <w:t>مَجَالِسُ الشَّيْخِ، عَنْ جَمَاعَةٍ عَنْ أَبِي الْمُفَضَّلِ عَنْ مُسَدِّدِ بْنِ أَبِي يُوسُفَ عَنْ إِسْحَاقَ بْنِ سَيَّارٍ عَنِ الْفَضْلِ بْنِ دُكَيْنٍ عَنْ إِسْرَائِيلَ بْنِ يُونُسَ عَنْ يَزِيدَ بْنِ خَيْثَمٍ عَنْ أَبِيهِ عَنْ عَلِيٍّ عليه السلام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يَعُودُ مُسْلِماً غُدْوَةً إِلَّا صَلَّي عَلَيْهِ سَبْعُونَ أَلْفَ مَلَكٍ حَتَّي يُمْسِيَ وَ إِذَا عَادَهُ مَسَاءً صَلَّي عَلَيْهِ سَبْعُونَ أَلْفَ مَلَكٍ حَتَّي يُصْبِحَ وَ كَانَ لَهُ خِرَافٌ فِي الْجَنَّةِ</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1" w:name="__RefHeading___Toc606846_1934241801"/>
      <w:bookmarkStart w:id="2102" w:name="_Toc967"/>
      <w:bookmarkEnd w:id="2101"/>
      <w:r>
        <w:rPr>
          <w:rtl w:val="true"/>
        </w:rPr>
        <w:t>بيان</w:t>
      </w:r>
      <w:bookmarkEnd w:id="2102"/>
    </w:p>
    <w:p>
      <w:pPr>
        <w:pStyle w:val="BookText"/>
        <w:rPr/>
      </w:pPr>
      <w:r>
        <w:rPr>
          <w:rFonts w:ascii="Amiri" w:hAnsi="Amiri" w:eastAsia="Amiri" w:cs="Amiri"/>
          <w:color w:val="111111"/>
          <w:sz w:val="28"/>
          <w:sz w:val="28"/>
          <w:szCs w:val="28"/>
          <w:rtl w:val="true"/>
          <w:lang w:bidi="ar-SA"/>
        </w:rPr>
        <w:t>في القاموس خرف الثمار خرفا و مخرفا و خرافا و يكسر جناه و كسحاب و بكسر وقت اختراف الثمار و الخرائف النخل اللاتي تخرص انتهي و يدل علي أن عيادة المريض في صدر النهار و آخره سواء في الأجر و ربما يستفاد منه أن ما شاع من أنه لا ينبغي أن يعاد المريض في المساء لا عبرة به</w:t>
      </w:r>
      <w:r>
        <w:rPr>
          <w:rFonts w:eastAsia="Amiri" w:cs="Amiri" w:ascii="Amiri" w:hAnsi="Amiri"/>
          <w:color w:val="111111"/>
          <w:sz w:val="28"/>
          <w:szCs w:val="28"/>
          <w:rtl w:val="true"/>
          <w:lang w:bidi="ar-SA"/>
        </w:rPr>
        <w:t>.</w:t>
      </w:r>
    </w:p>
    <w:p>
      <w:pPr>
        <w:pStyle w:val="Heading5"/>
        <w:numPr>
          <w:ilvl w:val="4"/>
          <w:numId w:val="1"/>
        </w:numPr>
        <w:rPr/>
      </w:pPr>
      <w:bookmarkStart w:id="2103" w:name="__RefHeading___Toc606848_1934241801"/>
      <w:bookmarkStart w:id="2104" w:name="_Toc968"/>
      <w:bookmarkEnd w:id="2103"/>
      <w:r>
        <w:rPr>
          <w:rtl w:val="true"/>
        </w:rPr>
        <w:t>«</w:t>
      </w:r>
      <w:r>
        <w:rPr/>
        <w:t>23</w:t>
      </w:r>
      <w:r>
        <w:rPr>
          <w:rtl w:val="true"/>
        </w:rPr>
        <w:t>»</w:t>
      </w:r>
      <w:bookmarkEnd w:id="2104"/>
    </w:p>
    <w:p>
      <w:pPr>
        <w:pStyle w:val="BookText"/>
        <w:rPr/>
      </w:pPr>
      <w:r>
        <w:rPr>
          <w:rFonts w:ascii="Amiri" w:hAnsi="Amiri" w:eastAsia="Amiri" w:cs="Amiri"/>
          <w:color w:val="111111"/>
          <w:sz w:val="28"/>
          <w:sz w:val="28"/>
          <w:szCs w:val="28"/>
          <w:rtl w:val="true"/>
          <w:lang w:bidi="ar-SA"/>
        </w:rPr>
        <w:t>مَجَالِسُ الشَّيْخِ، عَنْ جَمَاعَةٍ عَنْ أَبِي الْمُفَضَّلِ عَنْ عَبْدِ اللَّهِ بْنِ مُحَمَّدِ بْنِ عَبْدِ الْعَزِيزِ عَنْ شُرَيْحِ بْنِ يُونُسَ عَنْ هُشَيْمِ بْنِ بَشِيرٍ عَنْ يَعْلَي بْنِ عَطَا عَنْ عَبْدِ اللَّهِ 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مُوسَي عَادَ الْحَسَنَ بْنَ عَلِيٍّ فَقَالَ عَلِيٌّ عليه السلام أَمَا إِنَّهُ لَا يَمْنَعُنَا مَا فِي أَنْفُسِنَا عَلَيْكَ أَنْ نُحَدِّثَكَ بِمَا سَمِعْنَا أَنَّهُ مَنْ عَادَ مَرِيضاً شَيَّعَهُ سَبْعُونَ أَلْفَ مَلَكٍ كُلُّهُمْ يَسْتَغْفِرُ لَهُ إِنْ كَانَ مُصْبِحاً حَتَّي يُمْسِيَ وَ إِنْ كَانَ مَسَاءً حَتَّي يُصْبِحَ وَ كَانَ لَهُ خَرِيفٌ فِي الْجَنَّةِ</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 که در حقّ این مرد به درگاه خدا مطرح نمودی؟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عافیت مُلکی پنهان است؛ ای حسین، عافیت نعمتی است که هرگاه از دست رود به یاد آورده می شود و هرگاه موجود باشد فراموش می گردد، پس به آن مرد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عافیت را با فراهم شدن آن از یاد تو پاک گرداند و شکرگزاری وجود آن را از یاد تو پاک نگرداند که به خاطرش پشیمان شوی، ای حسین، پدرم از پدرانش علیهم السلام برایم روایت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تندرستی، تمام آرزوها به تو ختم می شود</w:t>
      </w:r>
      <w:r>
        <w:rPr>
          <w:rFonts w:eastAsia="IRNazanin" w:cs="IRNazanin"/>
          <w:color w:val="111111"/>
          <w:sz w:val="28"/>
          <w:szCs w:val="28"/>
          <w:rtl w:val="true"/>
          <w:lang w:bidi="fa-IR"/>
        </w:rPr>
        <w:t>.</w:t>
      </w:r>
      <w:r>
        <w:rPr>
          <w:rStyle w:val="FootnoteAnchor"/>
          <w:rtl w:val="true"/>
        </w:rPr>
        <w:footnoteReference w:id="1069"/>
      </w:r>
    </w:p>
    <w:p>
      <w:pPr>
        <w:pStyle w:val="Heading5"/>
        <w:numPr>
          <w:ilvl w:val="4"/>
          <w:numId w:val="1"/>
        </w:numPr>
        <w:rPr/>
      </w:pPr>
      <w:bookmarkStart w:id="2105" w:name="__RefHeading___Toc606850_1934241801"/>
      <w:bookmarkStart w:id="2106" w:name="_Toc969"/>
      <w:bookmarkEnd w:id="2105"/>
      <w:r>
        <w:rPr>
          <w:rtl w:val="true"/>
        </w:rPr>
        <w:t>توضیح</w:t>
      </w:r>
      <w:bookmarkEnd w:id="2106"/>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آرزویِ داشتنِ حال و وضعیت تو را دارند، یا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 و یا نهایت آرزوها برای تو فراهم شده است، ولی معنای نخست صحیح تر به نظر می رسد</w:t>
      </w:r>
      <w:r>
        <w:rPr>
          <w:rFonts w:eastAsia="IRNazanin" w:cs="IRNazanin"/>
          <w:color w:val="111111"/>
          <w:sz w:val="28"/>
          <w:szCs w:val="28"/>
          <w:rtl w:val="true"/>
          <w:lang w:bidi="fa-IR"/>
        </w:rPr>
        <w:t>.</w:t>
      </w:r>
    </w:p>
    <w:p>
      <w:pPr>
        <w:pStyle w:val="Heading5"/>
        <w:numPr>
          <w:ilvl w:val="4"/>
          <w:numId w:val="1"/>
        </w:numPr>
        <w:rPr/>
      </w:pPr>
      <w:bookmarkStart w:id="2107" w:name="__RefHeading___Toc606852_1934241801"/>
      <w:bookmarkStart w:id="2108" w:name="_Toc970"/>
      <w:bookmarkEnd w:id="2107"/>
      <w:r>
        <w:rPr>
          <w:rtl w:val="true"/>
        </w:rPr>
        <w:t xml:space="preserve">روایت </w:t>
      </w:r>
      <w:r>
        <w:rPr/>
        <w:t>22</w:t>
      </w:r>
      <w:bookmarkEnd w:id="2108"/>
    </w:p>
    <w:p>
      <w:p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شده که از رسول خدا صلّی الله علیه وآله شنیدم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مسلمانی نیست که صبح گاهان از مسلمان دیگری عیادت کند مگر اینکه هفتاد هزار فرشته تا شامگاهان بر او درود می فرستند و اگر شامگاهان به عیادت برود، هفتاد هزار فرشته تا صبح گاهان بر او درود می فرستند، و نخلی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چیدن میوه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برای او در نظر گرفته شده است</w:t>
      </w:r>
      <w:r>
        <w:rPr>
          <w:rFonts w:eastAsia="IRNazanin" w:cs="IRNazanin"/>
          <w:color w:val="111111"/>
          <w:sz w:val="28"/>
          <w:szCs w:val="28"/>
          <w:rtl w:val="true"/>
          <w:lang w:bidi="fa-IR"/>
        </w:rPr>
        <w:t>.</w:t>
      </w:r>
      <w:r>
        <w:rPr>
          <w:rStyle w:val="FootnoteAnchor"/>
          <w:rtl w:val="true"/>
        </w:rPr>
        <w:footnoteReference w:id="1070"/>
      </w:r>
    </w:p>
    <w:p>
      <w:pPr>
        <w:pStyle w:val="Heading5"/>
        <w:numPr>
          <w:ilvl w:val="4"/>
          <w:numId w:val="1"/>
        </w:numPr>
        <w:rPr/>
      </w:pPr>
      <w:bookmarkStart w:id="2109" w:name="__RefHeading___Toc606854_1934241801"/>
      <w:bookmarkStart w:id="2110" w:name="_Toc971"/>
      <w:bookmarkEnd w:id="2109"/>
      <w:r>
        <w:rPr>
          <w:rtl w:val="true"/>
        </w:rPr>
        <w:t>توضیح</w:t>
      </w:r>
      <w:bookmarkEnd w:id="2110"/>
    </w:p>
    <w:p>
      <w:pPr>
        <w:pStyle w:val="BookText"/>
        <w:rPr/>
      </w:pP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خَرَف الثمارَ خَرفاً و مَخرَفاً و خِرافاً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ها را 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 و خِراف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چیدن میوه،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نخلی که با دست گرفته می شود تا خرمای آن چیده شود پایان نقل قول؛ این حدیث بر این نکته دلالت می کند که اجر و پاداش عیادت کردن از بیمار درآغاز و انتهای روز یکسان است، و چه بسا از حدیث این نکته استنباط می شود که آنچه شایع شده مبنی بر اینکه عیادت از بیمار در شب شایسته نیست هیچ اعتباری ندارد</w:t>
      </w:r>
      <w:r>
        <w:rPr>
          <w:rFonts w:eastAsia="IRNazanin" w:cs="IRNazanin"/>
          <w:color w:val="111111"/>
          <w:sz w:val="28"/>
          <w:szCs w:val="28"/>
          <w:rtl w:val="true"/>
          <w:lang w:bidi="fa-IR"/>
        </w:rPr>
        <w:t>.</w:t>
      </w:r>
    </w:p>
    <w:p>
      <w:pPr>
        <w:pStyle w:val="Heading5"/>
        <w:numPr>
          <w:ilvl w:val="4"/>
          <w:numId w:val="1"/>
        </w:numPr>
        <w:rPr/>
      </w:pPr>
      <w:bookmarkStart w:id="2111" w:name="__RefHeading___Toc606856_1934241801"/>
      <w:bookmarkStart w:id="2112" w:name="_Toc972"/>
      <w:bookmarkEnd w:id="2111"/>
      <w:r>
        <w:rPr>
          <w:rtl w:val="true"/>
        </w:rPr>
        <w:t xml:space="preserve">روایت </w:t>
      </w:r>
      <w:r>
        <w:rPr/>
        <w:t>23</w:t>
      </w:r>
      <w:bookmarkEnd w:id="211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نافع روایت شده که ابوموسی از حسن بن علی عیادت کرد، پس امام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آنچه در درون ما علیه تو می گذرد ما را از گفتن آنچه که شنیده ایم منع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صبح گاهان از شخص بیماری عیادت کند هفتاد هزار فرشته او را همراهی می کنند و تا شامگاهان برای او طلب مغفرت می کنند و اگر شامگاهان به عیادت برود تا صبح گاهان این عمل تکرار می شود، و برای او دو ردیف نخل در بهشت در نظر گرفته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هر یک که بخواهد خرما می چیند</w:t>
      </w:r>
      <w:r>
        <w:rPr>
          <w:rFonts w:eastAsia="IRNazanin" w:cs="IRNazanin"/>
          <w:color w:val="111111"/>
          <w:sz w:val="28"/>
          <w:szCs w:val="28"/>
          <w:rtl w:val="true"/>
          <w:lang w:bidi="fa-IR"/>
        </w:rPr>
        <w:t>).</w:t>
      </w:r>
      <w:r>
        <w:rPr>
          <w:rStyle w:val="FootnoteAnchor"/>
          <w:rtl w:val="true"/>
        </w:rPr>
        <w:footnoteReference w:id="1071"/>
      </w:r>
      <w:bookmarkStart w:id="2113" w:name="pg13517_329253"/>
    </w:p>
    <w:p>
      <w:pPr>
        <w:pStyle w:val="Heading5"/>
        <w:numPr>
          <w:ilvl w:val="4"/>
          <w:numId w:val="1"/>
        </w:numPr>
        <w:rPr/>
      </w:pPr>
      <w:bookmarkStart w:id="2114" w:name="__RefHeading___Toc606858_1934241801"/>
      <w:bookmarkStart w:id="2115" w:name="_Toc973"/>
      <w:bookmarkEnd w:id="2113"/>
      <w:bookmarkEnd w:id="2114"/>
      <w:r>
        <w:rPr>
          <w:rtl w:val="true"/>
        </w:rPr>
        <w:t>«</w:t>
      </w:r>
      <w:r>
        <w:rPr/>
        <w:t>24</w:t>
      </w:r>
      <w:r>
        <w:rPr>
          <w:rtl w:val="true"/>
        </w:rPr>
        <w:t>»</w:t>
      </w:r>
      <w:bookmarkEnd w:id="2115"/>
    </w:p>
    <w:p>
      <w:pPr>
        <w:pStyle w:val="BookText"/>
        <w:rPr/>
      </w:pPr>
      <w:r>
        <w:rPr>
          <w:rFonts w:ascii="Amiri" w:hAnsi="Amiri" w:eastAsia="Amiri" w:cs="Amiri"/>
          <w:color w:val="111111"/>
          <w:sz w:val="28"/>
          <w:sz w:val="28"/>
          <w:szCs w:val="28"/>
          <w:rtl w:val="true"/>
          <w:lang w:bidi="ar-SA"/>
        </w:rPr>
        <w:t>وَ مِنْهُ، عَنْ جَمَاعَةٍ عَنْ أَبِي الْمُفَضَّلِ عَنْ عَبْدِ اللَّهِ بْنِ مُحَمَّدِ بْنِ عَبْدِ الْعَزِيزِ أَبِي بَكْرِ بْنِ أَبِي شَيْبَةَ عَنْ أَبِي الْأَحْوَصِ عَنْ أَبِي إِسْحَاقَ عَنِ الْحَارِثِ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إِذَا دَخَلَ عَلَي مَرِيضٍ قَالَ أَذْهِبِ الْبَأْسَ رَبَّ النَّاسِ وَ اشْفِ أَنْتَ الشَّافِي وَ لَا شَافِيَ إِلَّا أَنْتَ‌</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6" w:name="__RefHeading___Toc606860_1934241801"/>
      <w:bookmarkStart w:id="2117" w:name="_Toc974"/>
      <w:bookmarkEnd w:id="2116"/>
      <w:r>
        <w:rPr>
          <w:rtl w:val="true"/>
        </w:rPr>
        <w:t>بيان</w:t>
      </w:r>
      <w:bookmarkEnd w:id="2117"/>
    </w:p>
    <w:p>
      <w:pPr>
        <w:pStyle w:val="BookText"/>
        <w:rPr/>
      </w:pPr>
      <w:r>
        <w:rPr>
          <w:rFonts w:ascii="Amiri" w:hAnsi="Amiri" w:eastAsia="Amiri" w:cs="Amiri"/>
          <w:color w:val="111111"/>
          <w:sz w:val="28"/>
          <w:sz w:val="28"/>
          <w:szCs w:val="28"/>
          <w:rtl w:val="true"/>
          <w:lang w:bidi="ar-SA"/>
        </w:rPr>
        <w:t>روي العامة هذا الدعاء عن النبي صلي الله عليه و آله و زادوا في آخره اشف شفاء لا يغادر سقما</w:t>
      </w:r>
      <w:r>
        <w:rPr>
          <w:rFonts w:eastAsia="Amiri" w:cs="Amiri" w:ascii="Amiri" w:hAnsi="Amiri"/>
          <w:color w:val="111111"/>
          <w:sz w:val="28"/>
          <w:szCs w:val="28"/>
          <w:rtl w:val="true"/>
          <w:lang w:bidi="ar-SA"/>
        </w:rPr>
        <w:t>.</w:t>
      </w:r>
    </w:p>
    <w:p>
      <w:pPr>
        <w:pStyle w:val="Heading5"/>
        <w:numPr>
          <w:ilvl w:val="4"/>
          <w:numId w:val="1"/>
        </w:numPr>
        <w:rPr/>
      </w:pPr>
      <w:bookmarkStart w:id="2118" w:name="__RefHeading___Toc606862_1934241801"/>
      <w:bookmarkStart w:id="2119" w:name="_Toc975"/>
      <w:bookmarkEnd w:id="2118"/>
      <w:r>
        <w:rPr>
          <w:rtl w:val="true"/>
        </w:rPr>
        <w:t>«</w:t>
      </w:r>
      <w:r>
        <w:rPr/>
        <w:t>25</w:t>
      </w:r>
      <w:r>
        <w:rPr>
          <w:rtl w:val="true"/>
        </w:rPr>
        <w:t>»</w:t>
      </w:r>
      <w:bookmarkEnd w:id="2119"/>
    </w:p>
    <w:p>
      <w:pPr>
        <w:pStyle w:val="BookText"/>
        <w:rPr/>
      </w:pPr>
      <w:r>
        <w:rPr>
          <w:rFonts w:ascii="Amiri" w:hAnsi="Amiri" w:eastAsia="Amiri" w:cs="Amiri"/>
          <w:color w:val="111111"/>
          <w:sz w:val="28"/>
          <w:sz w:val="28"/>
          <w:szCs w:val="28"/>
          <w:rtl w:val="true"/>
          <w:lang w:bidi="ar-SA"/>
        </w:rPr>
        <w:t>مَجَالِسُ الشَّيْخِ، عَنْ جَمَاعَةٍ عَنْ أَبِي الْمُفَضَّلِ عَنْ عَلِيِّ بْنِ إِسْمَاعِيلَ عَنْ عَلِيِّ بْنِ الْحَسَنِ الْعَبْدِيِّ عَنِ الْحَسَنِ بْنِ بِشْرٍ عَنْ قَيْسِ بْنِ الرَّبِيعِ عَنِ الْأَعْمَشِ عَنْ شَقِيقٍ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أَجِيبُوا الدَّاعِيَ وَ عُودُوا الْمَرِيضَ وَ اقْبَلُوا الْهَدِيَّةَ وَ لَا تَظْلِمُوا الْمُسْلِمِينَ‌</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0" w:name="__RefHeading___Toc606864_1934241801"/>
      <w:bookmarkStart w:id="2121" w:name="_Toc976"/>
      <w:bookmarkEnd w:id="2120"/>
      <w:r>
        <w:rPr>
          <w:rtl w:val="true"/>
        </w:rPr>
        <w:t>«</w:t>
      </w:r>
      <w:r>
        <w:rPr/>
        <w:t>26</w:t>
      </w:r>
      <w:r>
        <w:rPr>
          <w:rtl w:val="true"/>
        </w:rPr>
        <w:t>»</w:t>
      </w:r>
      <w:bookmarkEnd w:id="2121"/>
    </w:p>
    <w:p>
      <w:pPr>
        <w:pStyle w:val="BookText"/>
        <w:rPr/>
      </w:pPr>
      <w:r>
        <w:rPr>
          <w:rFonts w:ascii="Amiri" w:hAnsi="Amiri" w:eastAsia="Amiri" w:cs="Amiri"/>
          <w:color w:val="111111"/>
          <w:sz w:val="28"/>
          <w:sz w:val="28"/>
          <w:szCs w:val="28"/>
          <w:rtl w:val="true"/>
          <w:lang w:bidi="ar-SA"/>
        </w:rPr>
        <w:t>وَ مِنْهُ، عَنْ جَمَاعَةٍ عَنْ أَبِي الْمُفَضَّلِ عَنْ يَحْيَي بْنِ مُحَمَّدِ بْنِ مُصَاعِدٍ عَنْ عَبْدِ اللَّهِ بْنِ سَعِيدٍ الْأَشَجِّ عَنْ عُقْبَةَ بْنِ خَالِدٍ عَنْ مُوسَي بْنِ مُحَمَّدٍ عَنْ أَبِيهِ عَنْ جَابِرِ بْنِ عَبْدِ اللَّهِ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أَغِبُّوا فِي الْعِيَادَةِ وَ أَرْبِعُوا إِلَّا أَنْ يَكُونَ مَغْلُوباً</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2" w:name="__RefHeading___Toc606866_1934241801"/>
      <w:bookmarkStart w:id="2123" w:name="_Toc977"/>
      <w:bookmarkEnd w:id="2122"/>
      <w:r>
        <w:rPr>
          <w:rtl w:val="true"/>
        </w:rPr>
        <w:t>بيان</w:t>
      </w:r>
      <w:bookmarkEnd w:id="2123"/>
    </w:p>
    <w:p>
      <w:pPr>
        <w:pStyle w:val="BookText"/>
        <w:rPr/>
      </w:pPr>
      <w:r>
        <w:rPr>
          <w:rFonts w:ascii="Amiri" w:hAnsi="Amiri" w:eastAsia="Amiri" w:cs="Amiri"/>
          <w:color w:val="111111"/>
          <w:sz w:val="28"/>
          <w:sz w:val="28"/>
          <w:szCs w:val="28"/>
          <w:rtl w:val="true"/>
          <w:lang w:bidi="ar-SA"/>
        </w:rPr>
        <w:t>قال الجوهري الغب أن ترد الإبل الماء يوما و تدعه يوما تقول غبت الإبل تغب غبا قال الكسائي أغببت القوم و غببت عنهم أيضا إذ جئت يوما و تركت يوما و الغب في الزيارة قال الحسن في كل أسبوع يقال زر غبا تزدد حبا و أغبنا فلان أتانا غبا و في حديث أغبوا في عيادة المريض و أربعوا يقول عد يوما و دع يوما أو دع يومين و عد اليوم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الغب من أوراد الإبل أن ترد الماء يوما و تدعه يوما ثم تعود فنقله إلي الزيارة و إن جاء بعد أيام يقال غب الرجل إذا جاء زائرا بعد أيام و قال الحسن في كل أسبوع و منه الحديث أغبوا في عيادة المريض أي لا تعودوه</w:t>
      </w:r>
    </w:p>
    <w:p>
      <w:pPr>
        <w:pStyle w:val="Heading5"/>
        <w:numPr>
          <w:ilvl w:val="4"/>
          <w:numId w:val="1"/>
        </w:numPr>
        <w:rPr/>
      </w:pPr>
      <w:bookmarkStart w:id="2124" w:name="__RefHeading___Toc606868_1934241801"/>
      <w:bookmarkStart w:id="2125" w:name="_Toc978"/>
      <w:bookmarkEnd w:id="2124"/>
      <w:r>
        <w:rPr>
          <w:rtl w:val="true"/>
        </w:rPr>
        <w:t xml:space="preserve">روایت </w:t>
      </w:r>
      <w:r>
        <w:rPr/>
        <w:t>24</w:t>
      </w:r>
      <w:bookmarkEnd w:id="2125"/>
    </w:p>
    <w:p>
      <w:p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شده که هرگاه رسول خدا صلّی الله</w:t>
      </w:r>
    </w:p>
    <w:p>
      <w:pPr>
        <w:pStyle w:val="BookText"/>
        <w:rPr/>
      </w:pPr>
      <w:r>
        <w:rPr>
          <w:rFonts w:ascii="IRNazanin" w:hAnsi="IRNazanin" w:eastAsia="IRNazanin"/>
          <w:color w:val="111111"/>
          <w:sz w:val="28"/>
          <w:sz w:val="28"/>
          <w:szCs w:val="28"/>
          <w:rtl w:val="true"/>
          <w:lang w:bidi="fa-IR"/>
        </w:rPr>
        <w:t>علیه و آله به عیادت بیمار می رفت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أَذْهِبِ الْبَأْسَ رَبَّ النَّاسِ وَ اشْفِ أَنْتَ الشَّافِی وَ لَا شَافِیَ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مردم، ناراحتی و گرفتاری را از بین ببر، این بیمار را شفابخش که شفابخش فقط تویی و شفا دهنده ای جز تو وجود ندارد</w:t>
      </w:r>
      <w:r>
        <w:rPr>
          <w:rFonts w:eastAsia="IRNazanin" w:cs="IRNazanin"/>
          <w:color w:val="111111"/>
          <w:sz w:val="28"/>
          <w:szCs w:val="28"/>
          <w:rtl w:val="true"/>
          <w:lang w:bidi="fa-IR"/>
        </w:rPr>
        <w:t>.</w:t>
      </w:r>
      <w:r>
        <w:rPr>
          <w:rStyle w:val="FootnoteAnchor"/>
          <w:rtl w:val="true"/>
        </w:rPr>
        <w:footnoteReference w:id="1075"/>
      </w:r>
    </w:p>
    <w:p>
      <w:pPr>
        <w:pStyle w:val="Heading5"/>
        <w:numPr>
          <w:ilvl w:val="4"/>
          <w:numId w:val="1"/>
        </w:numPr>
        <w:rPr/>
      </w:pPr>
      <w:bookmarkStart w:id="2126" w:name="__RefHeading___Toc606870_1934241801"/>
      <w:bookmarkStart w:id="2127" w:name="_Toc979"/>
      <w:bookmarkEnd w:id="2126"/>
      <w:r>
        <w:rPr>
          <w:rtl w:val="true"/>
        </w:rPr>
        <w:t>توضیح</w:t>
      </w:r>
      <w:bookmarkEnd w:id="2127"/>
    </w:p>
    <w:p>
      <w:pPr>
        <w:pStyle w:val="BookText"/>
        <w:rPr/>
      </w:pPr>
      <w:r>
        <w:rPr>
          <w:rFonts w:ascii="IRNazanin" w:hAnsi="IRNazanin" w:eastAsia="IRNazanin"/>
          <w:color w:val="111111"/>
          <w:sz w:val="28"/>
          <w:sz w:val="28"/>
          <w:szCs w:val="28"/>
          <w:rtl w:val="true"/>
          <w:lang w:bidi="fa-IR"/>
        </w:rPr>
        <w:t>عامّه این حدیث را از پیامبر صلّی الله علیه و آله روایت کرده و به آخر آن افزوده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اشف شفاء لا یغادر سقما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او را شفا ببخش که هیچ مرضی را باقی نگذارد </w:t>
      </w:r>
      <w:r>
        <w:rPr>
          <w:rFonts w:eastAsia="IRNazanin" w:cs="IRNazanin"/>
          <w:color w:val="111111"/>
          <w:sz w:val="28"/>
          <w:szCs w:val="28"/>
          <w:rtl w:val="true"/>
          <w:lang w:bidi="fa-IR"/>
        </w:rPr>
        <w:t>.</w:t>
      </w:r>
    </w:p>
    <w:p>
      <w:pPr>
        <w:pStyle w:val="Heading5"/>
        <w:numPr>
          <w:ilvl w:val="4"/>
          <w:numId w:val="1"/>
        </w:numPr>
        <w:rPr/>
      </w:pPr>
      <w:bookmarkStart w:id="2128" w:name="__RefHeading___Toc606872_1934241801"/>
      <w:bookmarkStart w:id="2129" w:name="_Toc980"/>
      <w:bookmarkEnd w:id="2128"/>
      <w:r>
        <w:rPr>
          <w:rtl w:val="true"/>
        </w:rPr>
        <w:t xml:space="preserve">روایت </w:t>
      </w:r>
      <w:r>
        <w:rPr/>
        <w:t>25</w:t>
      </w:r>
      <w:bookmarkEnd w:id="2129"/>
    </w:p>
    <w:p>
      <w:p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ندا دهنده را پاسخ گویید، از بیمار عیادت کنید، هدیه را بپذیرید و به مسلمانان ستم روا مدارید</w:t>
      </w:r>
      <w:r>
        <w:rPr>
          <w:rFonts w:eastAsia="IRNazanin" w:cs="IRNazanin"/>
          <w:color w:val="111111"/>
          <w:sz w:val="28"/>
          <w:szCs w:val="28"/>
          <w:rtl w:val="true"/>
          <w:lang w:bidi="fa-IR"/>
        </w:rPr>
        <w:t>.</w:t>
      </w:r>
      <w:r>
        <w:rPr>
          <w:rStyle w:val="FootnoteAnchor"/>
          <w:rtl w:val="true"/>
        </w:rPr>
        <w:footnoteReference w:id="1076"/>
      </w:r>
    </w:p>
    <w:p>
      <w:pPr>
        <w:pStyle w:val="Heading5"/>
        <w:numPr>
          <w:ilvl w:val="4"/>
          <w:numId w:val="1"/>
        </w:numPr>
        <w:rPr/>
      </w:pPr>
      <w:bookmarkStart w:id="2130" w:name="__RefHeading___Toc606874_1934241801"/>
      <w:bookmarkStart w:id="2131" w:name="_Toc981"/>
      <w:bookmarkEnd w:id="2130"/>
      <w:r>
        <w:rPr>
          <w:rtl w:val="true"/>
        </w:rPr>
        <w:t xml:space="preserve">روایت </w:t>
      </w:r>
      <w:r>
        <w:rPr/>
        <w:t>26</w:t>
      </w:r>
      <w:bookmarkEnd w:id="2131"/>
    </w:p>
    <w:p>
      <w:p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 روز 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عیادت بیمار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روز نروید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اینکه بیماری بر او غلبه کرده باشد</w:t>
      </w:r>
      <w:r>
        <w:rPr>
          <w:rFonts w:eastAsia="IRNazanin" w:cs="IRNazanin"/>
          <w:color w:val="111111"/>
          <w:sz w:val="28"/>
          <w:szCs w:val="28"/>
          <w:rtl w:val="true"/>
          <w:lang w:bidi="fa-IR"/>
        </w:rPr>
        <w:t>.</w:t>
      </w:r>
      <w:r>
        <w:rPr>
          <w:rStyle w:val="FootnoteAnchor"/>
          <w:rtl w:val="true"/>
        </w:rPr>
        <w:footnoteReference w:id="1077"/>
      </w:r>
    </w:p>
    <w:p>
      <w:pPr>
        <w:pStyle w:val="Heading5"/>
        <w:numPr>
          <w:ilvl w:val="4"/>
          <w:numId w:val="1"/>
        </w:numPr>
        <w:rPr/>
      </w:pPr>
      <w:bookmarkStart w:id="2132" w:name="__RefHeading___Toc606876_1934241801"/>
      <w:bookmarkStart w:id="2133" w:name="_Toc982"/>
      <w:bookmarkEnd w:id="2132"/>
      <w:r>
        <w:rPr>
          <w:rtl w:val="true"/>
        </w:rPr>
        <w:t>توضیح</w:t>
      </w:r>
      <w:bookmarkEnd w:id="2133"/>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یک روز به آبشخور رفت و یک روز نرفت،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غَبَّت الإبلُ تَغُبّ غبّاً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یک روز در میان آب خورد؛ کسائیّ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أغببتَ القومَ و غَببتَ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در میان به دیدار آن قوم رفتی،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الغبّ فی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میان به دیدار کسی رفتن، 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هفته یک بار به دیدار کسی رفتن،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 غبّاً تَزدَد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یک بار به دیدن کسی برو تا دوستی افزوده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أغبّنا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چند روز یک بار به دیدن ما آمد؛ و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أغبّوا فی عیادة المریض و أرِبعوا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میان به عیادت مریض بروید، یا دو روز به عیادت مریض نروید و روز سوّم بروید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به معنای به آبشخور رفتن یک روز در میان شتر به کار رفته است، سپس در معنای به دیدن کسی رفتن نیز به کار رفته است، اگر چه این دیدن با فاصله زمانی چند روزه انجام پذیرد،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غبَّ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به دیدن آمد، و 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هفته یک بار به دیدن آمد،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أغبّوا فی عیادة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 به کار رفته است یعنی</w:t>
      </w:r>
      <w:r>
        <w:rPr>
          <w:rFonts w:eastAsia="IRNazanin" w:cs="IRNazanin"/>
          <w:color w:val="111111"/>
          <w:sz w:val="28"/>
          <w:szCs w:val="28"/>
          <w:rtl w:val="true"/>
          <w:lang w:bidi="fa-IR"/>
        </w:rPr>
        <w:t xml:space="preserve">: </w:t>
      </w:r>
      <w:bookmarkStart w:id="2134" w:name="pg13517_329254"/>
    </w:p>
    <w:p>
      <w:pPr>
        <w:pStyle w:val="BookText"/>
        <w:rPr/>
      </w:pPr>
      <w:bookmarkEnd w:id="2134"/>
      <w:r>
        <w:rPr>
          <w:rFonts w:ascii="Amiri" w:hAnsi="Amiri" w:eastAsia="Amiri" w:cs="Amiri"/>
          <w:color w:val="111111"/>
          <w:sz w:val="28"/>
          <w:sz w:val="28"/>
          <w:szCs w:val="28"/>
          <w:rtl w:val="true"/>
          <w:lang w:bidi="ar-SA"/>
        </w:rPr>
        <w:t>في كل يوم لما يجد من ثقل العواد انتهي</w:t>
      </w:r>
      <w:r>
        <w:rPr>
          <w:rFonts w:eastAsia="Amiri" w:cs="Amiri" w:ascii="Amiri" w:hAnsi="Amiri"/>
          <w:color w:val="111111"/>
          <w:sz w:val="28"/>
          <w:szCs w:val="28"/>
          <w:rtl w:val="true"/>
          <w:lang w:bidi="ar-SA"/>
        </w:rPr>
        <w:t>.</w:t>
      </w:r>
    </w:p>
    <w:p>
      <w:pPr>
        <w:pStyle w:val="Heading5"/>
        <w:numPr>
          <w:ilvl w:val="4"/>
          <w:numId w:val="1"/>
        </w:numPr>
        <w:rPr/>
      </w:pPr>
      <w:bookmarkStart w:id="2135" w:name="__RefHeading___Toc606878_1934241801"/>
      <w:bookmarkStart w:id="2136" w:name="_Toc983"/>
      <w:bookmarkEnd w:id="2135"/>
      <w:r>
        <w:rPr>
          <w:rtl w:val="true"/>
        </w:rPr>
        <w:t>أقول</w:t>
      </w:r>
      <w:bookmarkEnd w:id="2136"/>
    </w:p>
    <w:p>
      <w:pPr>
        <w:pStyle w:val="BookText"/>
        <w:rPr/>
      </w:pPr>
      <w:r>
        <w:rPr>
          <w:rFonts w:ascii="Amiri" w:hAnsi="Amiri" w:eastAsia="Amiri" w:cs="Amiri"/>
          <w:color w:val="111111"/>
          <w:sz w:val="28"/>
          <w:sz w:val="28"/>
          <w:szCs w:val="28"/>
          <w:rtl w:val="true"/>
          <w:lang w:bidi="ar-SA"/>
        </w:rPr>
        <w:t>ظاهر أن المراد في هذا الخبر يوم و يوم لا و قوله إلا أن يكون مغلوبا أي يغلبه المرض بأن يكون شديد المرض أو مغمي عليه فإنه ينبغي حينئذ أن يؤخر عيادته و يترك مع أهله</w:t>
      </w:r>
      <w:r>
        <w:rPr>
          <w:rFonts w:eastAsia="Amiri" w:cs="Amiri" w:ascii="Amiri" w:hAnsi="Amiri"/>
          <w:color w:val="111111"/>
          <w:sz w:val="28"/>
          <w:szCs w:val="28"/>
          <w:rtl w:val="true"/>
          <w:lang w:bidi="ar-SA"/>
        </w:rPr>
        <w:t>.</w:t>
      </w:r>
    </w:p>
    <w:p>
      <w:pPr>
        <w:pStyle w:val="Heading5"/>
        <w:numPr>
          <w:ilvl w:val="4"/>
          <w:numId w:val="1"/>
        </w:numPr>
        <w:rPr/>
      </w:pPr>
      <w:bookmarkStart w:id="2137" w:name="__RefHeading___Toc606880_1934241801"/>
      <w:bookmarkStart w:id="2138" w:name="_Toc984"/>
      <w:bookmarkEnd w:id="2137"/>
      <w:r>
        <w:rPr>
          <w:rtl w:val="true"/>
        </w:rPr>
        <w:t>«</w:t>
      </w:r>
      <w:r>
        <w:rPr/>
        <w:t>27</w:t>
      </w:r>
      <w:r>
        <w:rPr>
          <w:rtl w:val="true"/>
        </w:rPr>
        <w:t>»</w:t>
      </w:r>
      <w:bookmarkEnd w:id="2138"/>
    </w:p>
    <w:p>
      <w:pPr>
        <w:pStyle w:val="BookText"/>
        <w:rPr/>
      </w:pPr>
      <w:r>
        <w:rPr>
          <w:rFonts w:ascii="Amiri" w:hAnsi="Amiri" w:eastAsia="Amiri" w:cs="Amiri"/>
          <w:color w:val="111111"/>
          <w:sz w:val="28"/>
          <w:sz w:val="28"/>
          <w:szCs w:val="28"/>
          <w:rtl w:val="true"/>
          <w:lang w:bidi="ar-SA"/>
        </w:rPr>
        <w:t>مَجَالِسُ الشَّيْخِ، عَنْ جَمَاعَةٍ عَنْ أَبِي الْمُفَضَّلِ عَنْ عَبْدِ اللَّهِ بْنِ مُحَمَّدٍ الْبَغَوِيِّ عَنْ دَاوُدَ بْنِ عَمْرٍو الضَّبِّيِّ عَنْ عَبْدِ اللَّهِ بْنِ الْمُبَارَكِ عَنْ يَحْيَي بْنِ أَيُّوبَ عَنْ عَبْدِ اللَّهِ بْنِ زَجْرٍ عَنْ عَلِيِّ بْنِ يَزِيدَ عَنِ الْقَاسِمِ بْنِ أَبِي أُمَامَةَ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تَمَامِ عِيَادَةِ الْمَرِيضِ أَنْ يَدَعَ أَحَدُكُمْ يَدَهُ عَلَي جَبْهَتِهِ أَوْ يَدِهِ فَيَسْأَلَهُ كَيْفَ هُوَ وَ تَحِيَّاتُكُمْ بَيْنَكُمْ بِالْمُصَافَحَةِ</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9" w:name="__RefHeading___Toc606882_1934241801"/>
      <w:bookmarkStart w:id="2140" w:name="_Toc985"/>
      <w:bookmarkEnd w:id="2139"/>
      <w:r>
        <w:rPr>
          <w:rtl w:val="true"/>
        </w:rPr>
        <w:t>«</w:t>
      </w:r>
      <w:r>
        <w:rPr/>
        <w:t>28</w:t>
      </w:r>
      <w:r>
        <w:rPr>
          <w:rtl w:val="true"/>
        </w:rPr>
        <w:t>»</w:t>
      </w:r>
      <w:bookmarkEnd w:id="2140"/>
    </w:p>
    <w:p>
      <w:pPr>
        <w:pStyle w:val="BookText"/>
        <w:rPr/>
      </w:pPr>
      <w:r>
        <w:rPr>
          <w:rFonts w:ascii="Amiri" w:hAnsi="Amiri" w:eastAsia="Amiri" w:cs="Amiri"/>
          <w:color w:val="111111"/>
          <w:sz w:val="28"/>
          <w:sz w:val="28"/>
          <w:szCs w:val="28"/>
          <w:rtl w:val="true"/>
          <w:lang w:bidi="ar-SA"/>
        </w:rPr>
        <w:t>وَ مِنْهُ، بِهَذَا الْإِسْنَادِ عَنِ الْبَغَوِيِّ عَنْ صَبِيحِ بْنِ دِينَارٍ عَنْ عَفِيفِ بْنِ سَالِمٍ عَنْ أَيُّوبَ بْنِ عُتْبَةَ عَنِ الْقَاسِمِ عَنْ أَبِي أُمَامَةَ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تَمَامِ عِيَادَةِ الْمَرِيضِ إِذَا دَخَلْتَ عَلَيْهِ أَنْ تَضَعَ يَدَكَ عَلَي رَأْسِهِ وَ تَقُولَ كَيْفَ أَصْبَحْتَ أَوْ كَيْفَ أَمْسَيْتَ فَإِذَا جَلَسْتَ عِنْدَهُ غَمَرَتْكَ الرَّحْمَةُ وَ إِذَا خَرَجْتَ مِنْ عِنْدِهِ خُضْتَهَا مُقْبِلًا وَ مُدْبِراً وَ أَوْمَأَ بِيَدِهِ إِلَي حَقْوَيْهِ‌</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1" w:name="__RefHeading___Toc606884_1934241801"/>
      <w:bookmarkStart w:id="2142" w:name="_Toc986"/>
      <w:bookmarkEnd w:id="2141"/>
      <w:r>
        <w:rPr>
          <w:rtl w:val="true"/>
        </w:rPr>
        <w:t>بيان</w:t>
      </w:r>
      <w:bookmarkEnd w:id="2142"/>
    </w:p>
    <w:p>
      <w:pPr>
        <w:pStyle w:val="BookText"/>
        <w:rPr/>
      </w:pPr>
      <w:r>
        <w:rPr>
          <w:rFonts w:ascii="Amiri" w:hAnsi="Amiri" w:eastAsia="Amiri" w:cs="Amiri"/>
          <w:color w:val="111111"/>
          <w:sz w:val="28"/>
          <w:sz w:val="28"/>
          <w:szCs w:val="28"/>
          <w:rtl w:val="true"/>
          <w:lang w:bidi="ar-SA"/>
        </w:rPr>
        <w:t>الظاهر من الحديث الأول أيضا إرجاع ضمير جبهته و يده إلي المريض لا العائد كما هو صريح هذا الخبر و هو مخالف لما مر في الرواية الأولي من الباب و كانت أقوي سندا و هذا أظهر معني و يمكن استحبابهما معا لكن هذان الخبران عاميان و الحقو مشد الإزار و الإيماء إليهما كناية عن كثرة الرحمة فكأنه شبه الرحمة بماء يخوض فيه فيصل إلي حقويه</w:t>
      </w:r>
      <w:r>
        <w:rPr>
          <w:rFonts w:eastAsia="Amiri" w:cs="Amiri" w:ascii="Amiri" w:hAnsi="Amiri"/>
          <w:color w:val="111111"/>
          <w:sz w:val="28"/>
          <w:szCs w:val="28"/>
          <w:rtl w:val="true"/>
          <w:lang w:bidi="ar-SA"/>
        </w:rPr>
        <w:t>.</w:t>
      </w:r>
    </w:p>
    <w:p>
      <w:pPr>
        <w:pStyle w:val="Heading5"/>
        <w:numPr>
          <w:ilvl w:val="4"/>
          <w:numId w:val="1"/>
        </w:numPr>
        <w:rPr/>
      </w:pPr>
      <w:bookmarkStart w:id="2143" w:name="__RefHeading___Toc606886_1934241801"/>
      <w:bookmarkStart w:id="2144" w:name="_Toc987"/>
      <w:bookmarkEnd w:id="2143"/>
      <w:r>
        <w:rPr>
          <w:rtl w:val="true"/>
        </w:rPr>
        <w:t>«</w:t>
      </w:r>
      <w:r>
        <w:rPr/>
        <w:t>29</w:t>
      </w:r>
      <w:r>
        <w:rPr>
          <w:rtl w:val="true"/>
        </w:rPr>
        <w:t>»</w:t>
      </w:r>
      <w:bookmarkEnd w:id="2144"/>
    </w:p>
    <w:p>
      <w:pPr>
        <w:pStyle w:val="BookText"/>
        <w:rPr/>
      </w:pPr>
      <w:r>
        <w:rPr>
          <w:rFonts w:ascii="Amiri" w:hAnsi="Amiri" w:eastAsia="Amiri" w:cs="Amiri"/>
          <w:color w:val="111111"/>
          <w:sz w:val="28"/>
          <w:sz w:val="28"/>
          <w:szCs w:val="28"/>
          <w:rtl w:val="true"/>
          <w:lang w:bidi="ar-SA"/>
        </w:rPr>
        <w:t>مَجَالِسُ الشَّيْخِ، عَنْ جَمَاعَةٍ عَنْ أَبِي الْمُفَضَّلِ عَنْ إِسْمَاعِيلَ بْنِ مُوسَي عَنْ عَبْدِ اللَّهِ بْنِ عُمَرَ بْنِ أَبَانٍ عَنْ مُعَاوِيَةَ بْنِ هِشَامٍ عَنْ سُفْيَانَ الثَّوْرِيِّ عَنْ حَبِيبِ بْنِ أَبِي ثَابِتٍ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لِلنَّبِيِّ صلي الله عليه و آله كَيْفَ أَصْبَحْتَ؟ قَالَ بِخَيْرٍ مِنْ قَوْمٍ لَمْ يَشْهَدُوا جَنَازَةً وَ لَمْ يَعُودُوا مَرِيضاً</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روز از بیمار عیادت نکنید، چرا که از کثرت عیادت کنندگان به تنگ می آید، پایان نقل قول</w:t>
      </w:r>
      <w:r>
        <w:rPr>
          <w:rFonts w:eastAsia="IRNazanin" w:cs="IRNazanin"/>
          <w:color w:val="111111"/>
          <w:sz w:val="28"/>
          <w:szCs w:val="28"/>
          <w:rtl w:val="true"/>
          <w:lang w:bidi="fa-IR"/>
        </w:rPr>
        <w:t>.</w:t>
      </w:r>
    </w:p>
    <w:p>
      <w:pPr>
        <w:pStyle w:val="Heading5"/>
        <w:numPr>
          <w:ilvl w:val="4"/>
          <w:numId w:val="1"/>
        </w:numPr>
        <w:rPr/>
      </w:pPr>
      <w:bookmarkStart w:id="2145" w:name="__RefHeading___Toc606888_1934241801"/>
      <w:bookmarkStart w:id="2146" w:name="_Toc988"/>
      <w:bookmarkEnd w:id="2145"/>
      <w:r>
        <w:rPr>
          <w:rtl w:val="true"/>
        </w:rPr>
        <w:t>می گویم</w:t>
      </w:r>
      <w:bookmarkEnd w:id="2146"/>
    </w:p>
    <w:p>
      <w:pPr>
        <w:pStyle w:val="BookText"/>
        <w:rPr/>
      </w:pPr>
      <w:r>
        <w:rPr>
          <w:rFonts w:ascii="IRNazanin" w:hAnsi="IRNazanin" w:eastAsia="IRNazanin"/>
          <w:color w:val="111111"/>
          <w:sz w:val="28"/>
          <w:sz w:val="28"/>
          <w:szCs w:val="28"/>
          <w:rtl w:val="true"/>
          <w:lang w:bidi="fa-IR"/>
        </w:rPr>
        <w:t xml:space="preserve">آشکار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مذکور این است که یک روز در میان به عیادت بیمار بروید، و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یکون مغلوباً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بیماری بر او غلبه کند به این ترتیب که بیماری او شدّت گرفته و یا بیهوش باشد، پس در این صورت لازم است که عیادت او به تأخیر افتد و با خانواده اش تنها گذاشته شود</w:t>
      </w:r>
      <w:r>
        <w:rPr>
          <w:rFonts w:eastAsia="IRNazanin" w:cs="IRNazanin"/>
          <w:color w:val="111111"/>
          <w:sz w:val="28"/>
          <w:szCs w:val="28"/>
          <w:rtl w:val="true"/>
          <w:lang w:bidi="fa-IR"/>
        </w:rPr>
        <w:t>.</w:t>
      </w:r>
    </w:p>
    <w:p>
      <w:pPr>
        <w:pStyle w:val="Heading5"/>
        <w:numPr>
          <w:ilvl w:val="4"/>
          <w:numId w:val="1"/>
        </w:numPr>
        <w:rPr/>
      </w:pPr>
      <w:bookmarkStart w:id="2147" w:name="__RefHeading___Toc606890_1934241801"/>
      <w:bookmarkStart w:id="2148" w:name="_Toc989"/>
      <w:bookmarkEnd w:id="2147"/>
      <w:r>
        <w:rPr>
          <w:rtl w:val="true"/>
        </w:rPr>
        <w:t xml:space="preserve">روایت </w:t>
      </w:r>
      <w:r>
        <w:rPr/>
        <w:t>27</w:t>
      </w:r>
      <w:bookmarkEnd w:id="2148"/>
    </w:p>
    <w:p>
      <w:p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کامل شدن عیادت، یک نفر از شما دستش را بر روی پیشانی یا دست بگذارد و از او بپرسد که حالش چطور است، و سلام و احوالپرسی در میان شما همراه با مصافحه باشد</w:t>
      </w:r>
      <w:r>
        <w:rPr>
          <w:rFonts w:eastAsia="IRNazanin" w:cs="IRNazanin"/>
          <w:color w:val="111111"/>
          <w:sz w:val="28"/>
          <w:szCs w:val="28"/>
          <w:rtl w:val="true"/>
          <w:lang w:bidi="fa-IR"/>
        </w:rPr>
        <w:t>.</w:t>
      </w:r>
      <w:r>
        <w:rPr>
          <w:rStyle w:val="FootnoteAnchor"/>
          <w:rtl w:val="true"/>
        </w:rPr>
        <w:footnoteReference w:id="1081"/>
      </w:r>
    </w:p>
    <w:p>
      <w:pPr>
        <w:pStyle w:val="Heading5"/>
        <w:numPr>
          <w:ilvl w:val="4"/>
          <w:numId w:val="1"/>
        </w:numPr>
        <w:rPr/>
      </w:pPr>
      <w:bookmarkStart w:id="2149" w:name="__RefHeading___Toc606892_1934241801"/>
      <w:bookmarkStart w:id="2150" w:name="_Toc990"/>
      <w:bookmarkEnd w:id="2149"/>
      <w:r>
        <w:rPr>
          <w:rtl w:val="true"/>
        </w:rPr>
        <w:t xml:space="preserve">روایت </w:t>
      </w:r>
      <w:r>
        <w:rPr/>
        <w:t>28</w:t>
      </w:r>
      <w:bookmarkEnd w:id="2150"/>
    </w:p>
    <w:p>
      <w:p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اسباب کامل شدن عیادت بیمار آن است که هرگاه بر او وارد گشتی دستت را بر روی سرت قرار داده 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یا شب را چگونه گذراندی؟ پس آن گاه که نزد او می نشینی، رحمت خداوند تو را در بر خواهد گرفت، و هنگامی که از نزد او خارج می شوی از پَس و پیش در رحمت خداوند داخل می شوی، و در این هنگام با دست مبارکش به خاصره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اشاره فرمود</w:t>
      </w:r>
      <w:r>
        <w:rPr>
          <w:rFonts w:eastAsia="IRNazanin" w:cs="IRNazanin"/>
          <w:color w:val="111111"/>
          <w:sz w:val="28"/>
          <w:szCs w:val="28"/>
          <w:rtl w:val="true"/>
          <w:lang w:bidi="fa-IR"/>
        </w:rPr>
        <w:t>.</w:t>
      </w:r>
      <w:r>
        <w:rPr>
          <w:rStyle w:val="FootnoteAnchor"/>
          <w:rtl w:val="true"/>
        </w:rPr>
        <w:footnoteReference w:id="1082"/>
      </w:r>
    </w:p>
    <w:p>
      <w:pPr>
        <w:pStyle w:val="Heading5"/>
        <w:numPr>
          <w:ilvl w:val="4"/>
          <w:numId w:val="1"/>
        </w:numPr>
        <w:rPr/>
      </w:pPr>
      <w:bookmarkStart w:id="2151" w:name="__RefHeading___Toc606894_1934241801"/>
      <w:bookmarkStart w:id="2152" w:name="_Toc991"/>
      <w:bookmarkEnd w:id="2151"/>
      <w:r>
        <w:rPr>
          <w:rtl w:val="true"/>
        </w:rPr>
        <w:t>توضیح</w:t>
      </w:r>
      <w:bookmarkEnd w:id="2152"/>
    </w:p>
    <w:p>
      <w:pPr>
        <w:pStyle w:val="BookText"/>
        <w:rPr/>
      </w:pPr>
      <w:r>
        <w:rPr>
          <w:rFonts w:ascii="IRNazanin" w:hAnsi="IRNazanin" w:eastAsia="IRNazanin"/>
          <w:color w:val="111111"/>
          <w:sz w:val="28"/>
          <w:sz w:val="28"/>
          <w:szCs w:val="28"/>
          <w:rtl w:val="true"/>
          <w:lang w:bidi="fa-IR"/>
        </w:rPr>
        <w:t xml:space="preserve">از حدیث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چنین پیداست که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بیمار می باشد نه عیادت کننده، چنان که 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صریح به آن اشاره شده است، و این امر مخالف با نخستین روایتی است که در آغاز باب ذکر گردید و از نظر سند قوی تر بود، ولی این حدیث از نظر معنایی واضح تر است، همچنین ممکن است که انجام هر دو عمل را با هم مستحبّ دانست، ولی این دو حدیث عامّی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بستن شلوار و پاپوش، و اشاره به آن کنایه از کثرت رحمت است، پس گویا رحمت را به آبی تشبیه کرده است که عیادت کننده در آن فرو می رود و به دو خاصره اش می رسد </w:t>
      </w:r>
      <w:r>
        <w:rPr>
          <w:rFonts w:eastAsia="IRNazanin" w:cs="IRNazanin"/>
          <w:color w:val="111111"/>
          <w:sz w:val="28"/>
          <w:szCs w:val="28"/>
          <w:rtl w:val="true"/>
          <w:lang w:bidi="fa-IR"/>
        </w:rPr>
        <w:t>.</w:t>
      </w:r>
    </w:p>
    <w:p>
      <w:pPr>
        <w:pStyle w:val="Heading5"/>
        <w:numPr>
          <w:ilvl w:val="4"/>
          <w:numId w:val="1"/>
        </w:numPr>
        <w:rPr/>
      </w:pPr>
      <w:bookmarkStart w:id="2153" w:name="__RefHeading___Toc606896_1934241801"/>
      <w:bookmarkStart w:id="2154" w:name="_Toc992"/>
      <w:bookmarkEnd w:id="2153"/>
      <w:r>
        <w:rPr>
          <w:rtl w:val="true"/>
        </w:rPr>
        <w:t xml:space="preserve">روایت </w:t>
      </w:r>
      <w:r>
        <w:rPr/>
        <w:t>29</w:t>
      </w:r>
      <w:bookmarkEnd w:id="215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از پیامبر صلّی الله علیه و آله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را چگونه گذراندید؟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قومی که در تشییع جنازه حاضر نشدند و از هیچ بیماری عیادت نکردند</w:t>
      </w:r>
      <w:r>
        <w:rPr>
          <w:rFonts w:eastAsia="IRNazanin" w:cs="IRNazanin"/>
          <w:color w:val="111111"/>
          <w:sz w:val="28"/>
          <w:szCs w:val="28"/>
          <w:rtl w:val="true"/>
          <w:lang w:bidi="fa-IR"/>
        </w:rPr>
        <w:t>.</w:t>
      </w:r>
      <w:r>
        <w:rPr>
          <w:rStyle w:val="FootnoteAnchor"/>
          <w:rtl w:val="true"/>
        </w:rPr>
        <w:footnoteReference w:id="1083"/>
      </w:r>
      <w:bookmarkStart w:id="2155" w:name="pg13517_329255"/>
    </w:p>
    <w:p>
      <w:pPr>
        <w:pStyle w:val="Heading5"/>
        <w:numPr>
          <w:ilvl w:val="4"/>
          <w:numId w:val="1"/>
        </w:numPr>
        <w:rPr/>
      </w:pPr>
      <w:bookmarkStart w:id="2156" w:name="__RefHeading___Toc606898_1934241801"/>
      <w:bookmarkStart w:id="2157" w:name="_Toc993"/>
      <w:bookmarkEnd w:id="2155"/>
      <w:bookmarkEnd w:id="2156"/>
      <w:r>
        <w:rPr>
          <w:rtl w:val="true"/>
        </w:rPr>
        <w:t>«</w:t>
      </w:r>
      <w:r>
        <w:rPr/>
        <w:t>30</w:t>
      </w:r>
      <w:r>
        <w:rPr>
          <w:rtl w:val="true"/>
        </w:rPr>
        <w:t>»</w:t>
      </w:r>
      <w:bookmarkEnd w:id="2157"/>
    </w:p>
    <w:p>
      <w:pPr>
        <w:pStyle w:val="BookText"/>
        <w:rPr/>
      </w:pPr>
      <w:r>
        <w:rPr>
          <w:rFonts w:ascii="Amiri" w:hAnsi="Amiri" w:eastAsia="Amiri" w:cs="Amiri"/>
          <w:color w:val="111111"/>
          <w:sz w:val="28"/>
          <w:sz w:val="28"/>
          <w:szCs w:val="28"/>
          <w:rtl w:val="true"/>
          <w:lang w:bidi="ar-SA"/>
        </w:rPr>
        <w:t>الْجَوَاهِرُ لِلْكَرَاجُكِيِّ،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يُعَادُونَ صَاحِبُ الدُّمَّلِ وَ الضِّرْسِ وَ الرَّمَدِ</w:t>
      </w:r>
      <w:r>
        <w:rPr>
          <w:rFonts w:eastAsia="Amiri" w:cs="Amiri" w:ascii="Amiri" w:hAnsi="Amiri"/>
          <w:color w:val="111111"/>
          <w:sz w:val="28"/>
          <w:szCs w:val="28"/>
          <w:rtl w:val="true"/>
          <w:lang w:bidi="ar-SA"/>
        </w:rPr>
        <w:t>.</w:t>
      </w:r>
    </w:p>
    <w:p>
      <w:pPr>
        <w:pStyle w:val="Heading5"/>
        <w:numPr>
          <w:ilvl w:val="4"/>
          <w:numId w:val="1"/>
        </w:numPr>
        <w:rPr/>
      </w:pPr>
      <w:bookmarkStart w:id="2158" w:name="__RefHeading___Toc606900_1934241801"/>
      <w:bookmarkStart w:id="2159" w:name="_Toc994"/>
      <w:bookmarkEnd w:id="2158"/>
      <w:r>
        <w:rPr>
          <w:rtl w:val="true"/>
        </w:rPr>
        <w:t>«</w:t>
      </w:r>
      <w:r>
        <w:rPr/>
        <w:t>31</w:t>
      </w:r>
      <w:r>
        <w:rPr>
          <w:rtl w:val="true"/>
        </w:rPr>
        <w:t>»</w:t>
      </w:r>
      <w:bookmarkEnd w:id="2159"/>
    </w:p>
    <w:p>
      <w:pPr>
        <w:pStyle w:val="BookText"/>
        <w:rPr/>
      </w:pPr>
      <w:r>
        <w:rPr>
          <w:rFonts w:ascii="Amiri" w:hAnsi="Amiri" w:eastAsia="Amiri" w:cs="Amiri"/>
          <w:color w:val="111111"/>
          <w:sz w:val="28"/>
          <w:sz w:val="28"/>
          <w:szCs w:val="28"/>
          <w:rtl w:val="true"/>
          <w:lang w:bidi="ar-SA"/>
        </w:rPr>
        <w:t>دَعَوَاتُ الرَّاوَنْدِيِّ،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 مَرِيضاً لَمْ يَزَلْ فِي خُرْفَةِ الْجَنَّةِ</w:t>
      </w:r>
      <w:r>
        <w:rPr>
          <w:rFonts w:eastAsia="Amiri" w:cs="Amiri" w:ascii="Amiri" w:hAnsi="Amiri"/>
          <w:color w:val="111111"/>
          <w:sz w:val="28"/>
          <w:szCs w:val="28"/>
          <w:rtl w:val="true"/>
          <w:lang w:bidi="ar-SA"/>
        </w:rPr>
        <w:t>.</w:t>
      </w:r>
    </w:p>
    <w:p>
      <w:pPr>
        <w:pStyle w:val="Heading5"/>
        <w:numPr>
          <w:ilvl w:val="4"/>
          <w:numId w:val="1"/>
        </w:numPr>
        <w:rPr/>
      </w:pPr>
      <w:bookmarkStart w:id="2160" w:name="__RefHeading___Toc606902_1934241801"/>
      <w:bookmarkStart w:id="2161" w:name="_Toc995"/>
      <w:bookmarkEnd w:id="2160"/>
      <w:r>
        <w:rPr>
          <w:rtl w:val="true"/>
        </w:rPr>
        <w:t>بيان</w:t>
      </w:r>
      <w:bookmarkEnd w:id="2161"/>
    </w:p>
    <w:p>
      <w:pPr>
        <w:pStyle w:val="BookText"/>
        <w:rPr/>
      </w:pPr>
      <w:r>
        <w:rPr>
          <w:rFonts w:ascii="Amiri" w:hAnsi="Amiri" w:eastAsia="Amiri" w:cs="Amiri"/>
          <w:color w:val="111111"/>
          <w:sz w:val="28"/>
          <w:sz w:val="28"/>
          <w:szCs w:val="28"/>
          <w:rtl w:val="true"/>
          <w:lang w:bidi="ar-SA"/>
        </w:rPr>
        <w:t>رواه في شرح السنة عن 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 آخره قالوا يا رسول الله صلي الله عليه و آله و ما خرفة الجنة قال جناها</w:t>
      </w:r>
      <w:r>
        <w:rPr>
          <w:rFonts w:eastAsia="Amiri" w:cs="Amiri" w:ascii="Amiri" w:hAnsi="Amiri"/>
          <w:color w:val="111111"/>
          <w:sz w:val="28"/>
          <w:szCs w:val="28"/>
          <w:rtl w:val="true"/>
          <w:lang w:bidi="ar-SA"/>
        </w:rPr>
        <w:t>.</w:t>
      </w:r>
    </w:p>
    <w:p>
      <w:pPr>
        <w:pStyle w:val="Heading5"/>
        <w:numPr>
          <w:ilvl w:val="4"/>
          <w:numId w:val="1"/>
        </w:numPr>
        <w:rPr/>
      </w:pPr>
      <w:bookmarkStart w:id="2162" w:name="__RefHeading___Toc606904_1934241801"/>
      <w:bookmarkStart w:id="2163" w:name="_Toc996"/>
      <w:bookmarkEnd w:id="2162"/>
      <w:r>
        <w:rPr>
          <w:rtl w:val="true"/>
        </w:rPr>
        <w:t>«</w:t>
      </w:r>
      <w:r>
        <w:rPr/>
        <w:t>32</w:t>
      </w:r>
      <w:r>
        <w:rPr>
          <w:rtl w:val="true"/>
        </w:rPr>
        <w:t>»</w:t>
      </w:r>
      <w:bookmarkEnd w:id="2163"/>
    </w:p>
    <w:p>
      <w:pPr>
        <w:pStyle w:val="BookText"/>
        <w:rPr/>
      </w:pPr>
      <w:r>
        <w:rPr>
          <w:rFonts w:ascii="Amiri" w:hAnsi="Amiri" w:eastAsia="Amiri" w:cs="Amiri"/>
          <w:color w:val="111111"/>
          <w:sz w:val="28"/>
          <w:sz w:val="28"/>
          <w:szCs w:val="28"/>
          <w:rtl w:val="true"/>
          <w:lang w:bidi="ar-SA"/>
        </w:rPr>
        <w:t>دَعَوَاتُ الرَّاوَنْدِيِّ،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عَادَ أَخَاهُ الْمُؤْمِنَ فِي مَرَضِهِ حِينَ يُصْبِحُ شَيَّعَهُ سَبْعُونَ أَلْفَ مَلَكٍ فَإِذَا قَعَدَ عِنْدَهُ غَمَرَتْهُ الرَّحْمَةُ وَ اسْتَغْفَرُوا لَهُ فَإِنْ عَادَهُ مَسَاءً كَانَ لَهُ مِثْلُ ذَلِكَ حَتَّي يُصْبِحَ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عَلَي مَرِيضٍ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الْعَظِيمَ رَبَّ الْعَرْشِ الْعَظِيمِ أَنْ يَشْفِيَكَ سَبْعَ مَرَّاتٍ شُفِيَ مَا لَمْ يَحْضُرْ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لَيْسَ عَلَي النِّسَاءِ جُمُعَةٌ وَ لَا عِيَادَةُ مَرِيضٍ وَ لَا اتِّبَاعُ 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مِيلًا عُدْ مَرِيضاً سِرْ مِيلَيْنِ شَيِّعْ 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تُسَاوُوهُمْ فِي الْمَجَالِسِ وَ لَا تَعُودُوا مَرِيضَهُمْ وَ لَا تُشَيِّعُوا جَنَائِزَهُمْ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أَمِيرُ الْمُؤْمِنِينَ عليه السلام إِذَا رَأَي الْمَرِيضَ قَدْ بَرَأَ قَالَ يَهْنِئُكَ الطُّهْرُ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عُودُوا الْمَرْضَي وَ اتَّبِعُوا الْجَنَائِزَ يُذَكِّرْكُمُ الْآخِرَةَ وَ تَدْعُو لِلْمَرِيضِ فَتَقُولُ اللَّهُمَّ اشْفِهِ بِشِفَائِكَ وَ دَاوِهِ بِدَوَائِكَ وَ عَافِهِ مِنْ بَلَائِكَ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مَرِيضاً شَهْوَتَهُ أَطْعَمَهُ اللَّهُ مِنْ ثِمَارِ الْجَنَّةِ</w:t>
      </w:r>
      <w:r>
        <w:rPr>
          <w:rFonts w:eastAsia="Amiri" w:cs="Amiri" w:ascii="Amiri" w:hAnsi="Amiri"/>
          <w:color w:val="111111"/>
          <w:sz w:val="28"/>
          <w:szCs w:val="28"/>
          <w:rtl w:val="true"/>
          <w:lang w:bidi="ar-SA"/>
        </w:rPr>
        <w:t>.</w:t>
      </w:r>
    </w:p>
    <w:p>
      <w:pPr>
        <w:pStyle w:val="Heading5"/>
        <w:numPr>
          <w:ilvl w:val="4"/>
          <w:numId w:val="1"/>
        </w:numPr>
        <w:rPr/>
      </w:pPr>
      <w:bookmarkStart w:id="2164" w:name="__RefHeading___Toc606906_1934241801"/>
      <w:bookmarkStart w:id="2165" w:name="_Toc997"/>
      <w:bookmarkEnd w:id="2164"/>
      <w:r>
        <w:rPr>
          <w:rtl w:val="true"/>
        </w:rPr>
        <w:t>«</w:t>
      </w:r>
      <w:r>
        <w:rPr/>
        <w:t>33</w:t>
      </w:r>
      <w:r>
        <w:rPr>
          <w:rtl w:val="true"/>
        </w:rPr>
        <w:t>»</w:t>
      </w:r>
      <w:bookmarkEnd w:id="2165"/>
    </w:p>
    <w:p>
      <w:pPr>
        <w:pStyle w:val="BookText"/>
        <w:rPr/>
      </w:pPr>
      <w:r>
        <w:rPr>
          <w:rFonts w:ascii="Amiri" w:hAnsi="Amiri" w:eastAsia="Amiri" w:cs="Amiri"/>
          <w:color w:val="111111"/>
          <w:sz w:val="28"/>
          <w:sz w:val="28"/>
          <w:szCs w:val="28"/>
          <w:rtl w:val="true"/>
          <w:lang w:bidi="ar-SA"/>
        </w:rPr>
        <w:t>كَنْزُ الْكَرَاجُكِيِّ، عَنْ جَابِرٍ الْأَنْصَارِيِّ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الْمَرِيضِ يَخُوضُ فِي الْبَرَكَةِ فَإِذَا جَلَسَ انْغَمَسَ فِيهَا</w:t>
      </w:r>
      <w:r>
        <w:rPr>
          <w:rFonts w:eastAsia="Amiri" w:cs="Amiri" w:ascii="Amiri" w:hAnsi="Amiri"/>
          <w:color w:val="111111"/>
          <w:sz w:val="28"/>
          <w:szCs w:val="28"/>
          <w:rtl w:val="true"/>
          <w:lang w:bidi="ar-SA"/>
        </w:rPr>
        <w:t>.</w:t>
      </w:r>
    </w:p>
    <w:p>
      <w:pPr>
        <w:pStyle w:val="Heading5"/>
        <w:numPr>
          <w:ilvl w:val="4"/>
          <w:numId w:val="1"/>
        </w:numPr>
        <w:rPr/>
      </w:pPr>
      <w:bookmarkStart w:id="2166" w:name="__RefHeading___Toc606908_1934241801"/>
      <w:bookmarkStart w:id="2167" w:name="_Toc998"/>
      <w:bookmarkEnd w:id="2166"/>
      <w:r>
        <w:rPr>
          <w:rtl w:val="true"/>
        </w:rPr>
        <w:t xml:space="preserve">روایت </w:t>
      </w:r>
      <w:r>
        <w:rPr/>
        <w:t>30</w:t>
      </w:r>
      <w:bookmarkEnd w:id="2167"/>
    </w:p>
    <w:p>
      <w:pPr>
        <w:pStyle w:val="BookText"/>
        <w:rPr/>
      </w:pPr>
      <w:r>
        <w:rPr>
          <w:rFonts w:ascii="IRNazanin" w:hAnsi="IRNazanin" w:eastAsia="IRNazanin"/>
          <w:color w:val="111111"/>
          <w:sz w:val="28"/>
          <w:sz w:val="28"/>
          <w:szCs w:val="28"/>
          <w:rtl w:val="true"/>
          <w:lang w:bidi="fa-IR"/>
        </w:rPr>
        <w:t>الجواهر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بیمار عیادت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که دارای دُمل است، بیماری که مبتلا به دندان درد است، بیماری که مبتلا به چشم درد است</w:t>
      </w:r>
      <w:r>
        <w:rPr>
          <w:rFonts w:eastAsia="IRNazanin" w:cs="IRNazanin"/>
          <w:color w:val="111111"/>
          <w:sz w:val="28"/>
          <w:szCs w:val="28"/>
          <w:rtl w:val="true"/>
          <w:lang w:bidi="fa-IR"/>
        </w:rPr>
        <w:t>.</w:t>
      </w:r>
    </w:p>
    <w:p>
      <w:pPr>
        <w:pStyle w:val="Heading5"/>
        <w:numPr>
          <w:ilvl w:val="4"/>
          <w:numId w:val="1"/>
        </w:numPr>
        <w:rPr/>
      </w:pPr>
      <w:bookmarkStart w:id="2168" w:name="__RefHeading___Toc606910_1934241801"/>
      <w:bookmarkStart w:id="2169" w:name="_Toc999"/>
      <w:bookmarkEnd w:id="2168"/>
      <w:r>
        <w:rPr>
          <w:rtl w:val="true"/>
        </w:rPr>
        <w:t xml:space="preserve">روایت </w:t>
      </w:r>
      <w:r>
        <w:rPr/>
        <w:t>31</w:t>
      </w:r>
      <w:bookmarkEnd w:id="2169"/>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بیماری عیادت کند، پیوسته در میان میوه های بهشت خواهد بود</w:t>
      </w:r>
      <w:r>
        <w:rPr>
          <w:rFonts w:eastAsia="IRNazanin" w:cs="IRNazanin"/>
          <w:color w:val="111111"/>
          <w:sz w:val="28"/>
          <w:szCs w:val="28"/>
          <w:rtl w:val="true"/>
          <w:lang w:bidi="fa-IR"/>
        </w:rPr>
        <w:t>.</w:t>
      </w:r>
    </w:p>
    <w:p>
      <w:pPr>
        <w:pStyle w:val="Heading5"/>
        <w:numPr>
          <w:ilvl w:val="4"/>
          <w:numId w:val="1"/>
        </w:numPr>
        <w:rPr/>
      </w:pPr>
      <w:bookmarkStart w:id="2170" w:name="__RefHeading___Toc606912_1934241801"/>
      <w:bookmarkStart w:id="2171" w:name="_Toc1000"/>
      <w:bookmarkEnd w:id="2170"/>
      <w:r>
        <w:rPr>
          <w:rtl w:val="true"/>
        </w:rPr>
        <w:t>توضیح</w:t>
      </w:r>
      <w:bookmarkEnd w:id="2171"/>
    </w:p>
    <w:p>
      <w:pPr>
        <w:pStyle w:val="BookText"/>
        <w:rPr/>
      </w:pPr>
      <w:r>
        <w:rPr>
          <w:rFonts w:ascii="IRNazanin" w:hAnsi="IRNazanin" w:eastAsia="IRNazanin"/>
          <w:color w:val="111111"/>
          <w:sz w:val="28"/>
          <w:sz w:val="28"/>
          <w:szCs w:val="28"/>
          <w:rtl w:val="true"/>
          <w:lang w:bidi="fa-IR"/>
        </w:rPr>
        <w:t>این حدیث در شرح السنّة از ثوبان روایت شده و به آخر آن چنین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 آله،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خُرفة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های بهشت</w:t>
      </w:r>
      <w:r>
        <w:rPr>
          <w:rFonts w:eastAsia="IRNazanin" w:cs="IRNazanin"/>
          <w:color w:val="111111"/>
          <w:sz w:val="28"/>
          <w:szCs w:val="28"/>
          <w:rtl w:val="true"/>
          <w:lang w:bidi="fa-IR"/>
        </w:rPr>
        <w:t>.</w:t>
      </w:r>
    </w:p>
    <w:p>
      <w:pPr>
        <w:pStyle w:val="Heading5"/>
        <w:numPr>
          <w:ilvl w:val="4"/>
          <w:numId w:val="1"/>
        </w:numPr>
        <w:rPr/>
      </w:pPr>
      <w:bookmarkStart w:id="2172" w:name="__RefHeading___Toc606914_1934241801"/>
      <w:bookmarkStart w:id="2173" w:name="_Toc1001"/>
      <w:bookmarkEnd w:id="2172"/>
      <w:r>
        <w:rPr>
          <w:rtl w:val="true"/>
        </w:rPr>
        <w:t xml:space="preserve">روایت </w:t>
      </w:r>
      <w:r>
        <w:rPr/>
        <w:t>32</w:t>
      </w:r>
      <w:bookmarkEnd w:id="2173"/>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صبح گاهان از برادر مؤمن و بیمارش عیادت کند، هفتاد هزار فرشته او را همراهی می کنند، و آن گاه که نزد بیمار بنشیند رحمت او را در برخواهد گرفت و فرشتگان برایش طلب مغفرت می کنند، و اگر شامگاهان از برادر بیمارش عیادت کند این عمل تا صبح گاهان تکرار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نزد بیماری برود و هفت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 اللَّهَ الْعَظِیمَ رَبَّ الْعَرْشِ الْعَظِیمِ أَنْ یَشْفِیَکَ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بزرگ که پروردگار عرش عظیم است مسألت دارم که تو را شفا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بیمار شفا می یابد البته اگر اجلش فرا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نماز جمعه، عیادت بیمار و تشییع جنازه بر زنان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فاصله پیمودن یک مایل راه برو و از بیمار عیادت کن و به فاصله پیمودن دو مایل برو در تشییع جنازه شرکت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اهل ذمّه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به صورت یکسان و هم ردیف با آنان ننشینید، از بیماران آن ها عیادت نکنید و جنازه آن ها را تشییع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هرگاه بیماری را مشاهده می کرد که شفا یافته است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شدن از گناهان بر تو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بیماران عیادت و در تشییع جنازه ها شرکت کنید که شما را به یاد آخرت می اندازد، و برای بیمار دعا کرده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بیمار را با شفای خویش، شفا ببخش و با درمان خویش مداوا کن و بلا و مصیبت خویش را از او دور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خوراک مورد اشتهای بیمار را به او بخوراند، خداوند از میوه های بهشت به او می خوراند</w:t>
      </w:r>
      <w:r>
        <w:rPr>
          <w:rFonts w:eastAsia="IRNazanin" w:cs="IRNazanin"/>
          <w:color w:val="111111"/>
          <w:sz w:val="28"/>
          <w:szCs w:val="28"/>
          <w:rtl w:val="true"/>
          <w:lang w:bidi="fa-IR"/>
        </w:rPr>
        <w:t>.</w:t>
      </w:r>
    </w:p>
    <w:p>
      <w:pPr>
        <w:pStyle w:val="Heading5"/>
        <w:numPr>
          <w:ilvl w:val="4"/>
          <w:numId w:val="1"/>
        </w:numPr>
        <w:rPr/>
      </w:pPr>
      <w:bookmarkStart w:id="2174" w:name="__RefHeading___Toc606916_1934241801"/>
      <w:bookmarkStart w:id="2175" w:name="_Toc1002"/>
      <w:bookmarkEnd w:id="2174"/>
      <w:r>
        <w:rPr>
          <w:rtl w:val="true"/>
        </w:rPr>
        <w:t xml:space="preserve">روایت </w:t>
      </w:r>
      <w:r>
        <w:rPr/>
        <w:t>33</w:t>
      </w:r>
      <w:bookmarkEnd w:id="2175"/>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انصاری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کننده از بیمار وارد رحمت و برکت می شود، پس آن گاه که نزد بیمار بنشیند غرق در رحمت و برکت می شود</w:t>
      </w:r>
      <w:r>
        <w:rPr>
          <w:rFonts w:eastAsia="IRNazanin" w:cs="IRNazanin"/>
          <w:color w:val="111111"/>
          <w:sz w:val="28"/>
          <w:szCs w:val="28"/>
          <w:rtl w:val="true"/>
          <w:lang w:bidi="fa-IR"/>
        </w:rPr>
        <w:t xml:space="preserve">. </w:t>
      </w:r>
      <w:bookmarkStart w:id="2176" w:name="pg13517_329256"/>
    </w:p>
    <w:p>
      <w:pPr>
        <w:pStyle w:val="BookText"/>
        <w:rPr/>
      </w:pPr>
      <w:bookmarkEnd w:id="2176"/>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دَخَلْتُمْ عَلَي الْمَرِيضِ فَنَفِّسُوا لَهُ فِي الْأَجَلِ فَإِنَّ ذَلِكَ لَا يَرُدُّ شَيْئاً وَ هُوَ يُطَيِّبُ النَّفْسَ وَ أَنْشَدَ لِبَعْضِهِمْ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 الْعِيَادَةِ يَوْمٌ بَيْنَ 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جَلْسَةٌ لَكَ مِثْلُ الطَّرْفِ بِالْعَيْنِ</w:t>
      </w:r>
    </w:p>
    <w:p>
      <w:pPr>
        <w:pStyle w:val="BookText"/>
        <w:rPr/>
      </w:pPr>
      <w:r>
        <w:rPr>
          <w:rFonts w:ascii="Amiri" w:hAnsi="Amiri" w:eastAsia="Amiri" w:cs="Amiri"/>
          <w:color w:val="111111"/>
          <w:sz w:val="28"/>
          <w:sz w:val="28"/>
          <w:szCs w:val="28"/>
          <w:rtl w:val="true"/>
          <w:lang w:bidi="ar-SA"/>
        </w:rPr>
        <w:t xml:space="preserve">لَا تُبْرِمَنَّ مَرِيضاً فِي مُسَاءَلَةٍ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مِنْ ذَاكَ تَسْأَلُ بِحَرْفَيْنِ</w:t>
      </w:r>
    </w:p>
    <w:p>
      <w:pPr>
        <w:pStyle w:val="Heading5"/>
        <w:numPr>
          <w:ilvl w:val="4"/>
          <w:numId w:val="1"/>
        </w:numPr>
        <w:rPr/>
      </w:pPr>
      <w:bookmarkStart w:id="2177" w:name="__RefHeading___Toc606918_1934241801"/>
      <w:bookmarkStart w:id="2178" w:name="_Toc1003"/>
      <w:bookmarkEnd w:id="2177"/>
      <w:r>
        <w:rPr>
          <w:rtl w:val="true"/>
        </w:rPr>
        <w:t>بيان</w:t>
      </w:r>
      <w:bookmarkEnd w:id="2178"/>
    </w:p>
    <w:p>
      <w:pPr>
        <w:pStyle w:val="BookText"/>
        <w:rPr/>
      </w:pPr>
      <w:r>
        <w:rPr>
          <w:rFonts w:ascii="Amiri" w:hAnsi="Amiri" w:eastAsia="Amiri" w:cs="Amiri"/>
          <w:color w:val="111111"/>
          <w:sz w:val="28"/>
          <w:sz w:val="28"/>
          <w:szCs w:val="28"/>
          <w:rtl w:val="true"/>
          <w:lang w:bidi="ar-SA"/>
        </w:rPr>
        <w:t>فنفسوا له أي وسعوا له في الأجل و أملوه في الصحة كأن يقولوا لا بأس عليك و سيذهب عنك الداء عن قريب و أمثال ذلك من النفس بالتحريك بمعني السعة و الفسحة في الأمر يقال أنت في نفس من أمرك أي في سعة</w:t>
      </w:r>
      <w:r>
        <w:rPr>
          <w:rFonts w:eastAsia="Amiri" w:cs="Amiri" w:ascii="Amiri" w:hAnsi="Amiri"/>
          <w:color w:val="111111"/>
          <w:sz w:val="28"/>
          <w:szCs w:val="28"/>
          <w:rtl w:val="true"/>
          <w:lang w:bidi="ar-SA"/>
        </w:rPr>
        <w:t>.</w:t>
      </w:r>
    </w:p>
    <w:p>
      <w:pPr>
        <w:pStyle w:val="Heading5"/>
        <w:numPr>
          <w:ilvl w:val="4"/>
          <w:numId w:val="1"/>
        </w:numPr>
        <w:rPr/>
      </w:pPr>
      <w:bookmarkStart w:id="2179" w:name="__RefHeading___Toc606920_1934241801"/>
      <w:bookmarkStart w:id="2180" w:name="_Toc1004"/>
      <w:bookmarkEnd w:id="2179"/>
      <w:r>
        <w:rPr>
          <w:rtl w:val="true"/>
        </w:rPr>
        <w:t>«</w:t>
      </w:r>
      <w:r>
        <w:rPr/>
        <w:t>34</w:t>
      </w:r>
      <w:r>
        <w:rPr>
          <w:rtl w:val="true"/>
        </w:rPr>
        <w:t>»</w:t>
      </w:r>
      <w:bookmarkEnd w:id="2180"/>
    </w:p>
    <w:p>
      <w:pPr>
        <w:pStyle w:val="BookText"/>
        <w:rPr/>
      </w:pPr>
      <w:r>
        <w:rPr>
          <w:rFonts w:ascii="Amiri" w:hAnsi="Amiri" w:eastAsia="Amiri" w:cs="Amiri"/>
          <w:color w:val="111111"/>
          <w:sz w:val="28"/>
          <w:sz w:val="28"/>
          <w:szCs w:val="28"/>
          <w:rtl w:val="true"/>
          <w:lang w:bidi="ar-SA"/>
        </w:rPr>
        <w:t>عُدَّةُ الدَّاعِي، عَنْ عِيسَي بْنِ عَبْدِ اللَّهِ الْقُمِّيِّ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دَعْوَتُهُمْ مُسْتَجَابَةٌ الْحَاجُّ وَ الْمُعْتَمِرُ فَانْظُرُوا كَيْفَ تَخْلُفُونَهُمْ وَ الْغَازِي فِي سَبِيلِ اللَّهِ فَانْظُرُوا كَيْفَ تَخْلُفُونَهُ وَ الْمَرِيضُ فَلَا تَغِيظُوهُ وَ لَا تُضْجِرُوهُ‌</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عَادَ مَرِيضاً خَاضَ فِي الرَّحْمَةِ فَإِذَا قَعَدَ عِنْدَهُ اسْتَنْقَعَ فِيهَا فَإِذَا عَادَهُ غُدْوَةً صَلَّي عَلَيْهِ سَبْعُونَ أَلْفَ مَلَكٍ إِلَي أَنْ يُمْسِيَ وَ إِنْ عَادَهُ عَشِيَّةً صَلَّي عَلَيْهِ سَبْعُونَ أَلْفَ مَلَكٍ حَتَّي يُصْبِحَ‌</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1" w:name="__RefHeading___Toc606922_1934241801"/>
      <w:bookmarkStart w:id="2182" w:name="_Toc1005"/>
      <w:bookmarkEnd w:id="2181"/>
      <w:r>
        <w:rPr>
          <w:rtl w:val="true"/>
        </w:rPr>
        <w:t>«</w:t>
      </w:r>
      <w:r>
        <w:rPr/>
        <w:t>35</w:t>
      </w:r>
      <w:r>
        <w:rPr>
          <w:rtl w:val="true"/>
        </w:rPr>
        <w:t>»</w:t>
      </w:r>
      <w:bookmarkEnd w:id="2182"/>
    </w:p>
    <w:p>
      <w:pPr>
        <w:pStyle w:val="BookText"/>
        <w:rPr/>
      </w:pPr>
      <w:r>
        <w:rPr>
          <w:rFonts w:ascii="Amiri" w:hAnsi="Amiri" w:eastAsia="Amiri" w:cs="Amiri"/>
          <w:color w:val="111111"/>
          <w:sz w:val="28"/>
          <w:sz w:val="28"/>
          <w:szCs w:val="28"/>
          <w:rtl w:val="true"/>
          <w:lang w:bidi="ar-SA"/>
        </w:rPr>
        <w:t>أَعْلَامُ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الدُّعَاءُ لِلْمَرِيضِ يَقُولُ اللَّهُمَّ رَبَّ السَّمَاوَاتِ السَّبْعِ وَ رَبَّ الْأَرَضِينَ السَّبْعِ وَ مَا فِيهِنَّ وَ مَا بَيْنَهُنَّ وَ مَا تَحْتَهُنَّ وَ رَبَّ الْعَرْشِ الْعَظِيمِ صَلِّ عَلَي مُحَمَّدٍ وَ آلِ مُحَمَّدٍ وَ اشْفِهِ بِشِفَائِكَ وَ دَاوِهِ بِدَوَائِكَ وَ عَافِهِ مِنْ بَلَائِكَ وَ اجْعَلْ شِكَايَتَهُ كَفَّارَةً لِمَا مَضَي مِنْ ذُنُوبِهِ وَ 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قَامَ عَلَي مَرِيضٍ يَوْماً وَ لَيْلَةً بَعَثَهُ اللَّهُ مَعَ إِبْرَاهِيمَ خَلِيلِ الرَّحْمَنِ فَجَازَ عَلَي الصِّرَاطِ كَالْبَرْقِ اللَّامِعِ</w:t>
      </w:r>
      <w:r>
        <w:rPr>
          <w:rFonts w:eastAsia="Amiri" w:cs="Amiri" w:ascii="Amiri" w:hAnsi="Amiri"/>
          <w:color w:val="111111"/>
          <w:sz w:val="28"/>
          <w:szCs w:val="28"/>
          <w:rtl w:val="true"/>
          <w:lang w:bidi="ar-SA"/>
        </w:rPr>
        <w:t>.</w:t>
      </w:r>
    </w:p>
    <w:p>
      <w:pPr>
        <w:pStyle w:val="Heading5"/>
        <w:numPr>
          <w:ilvl w:val="4"/>
          <w:numId w:val="1"/>
        </w:numPr>
        <w:rPr/>
      </w:pPr>
      <w:bookmarkStart w:id="2183" w:name="__RefHeading___Toc606924_1934241801"/>
      <w:bookmarkStart w:id="2184" w:name="_Toc1006"/>
      <w:bookmarkEnd w:id="2183"/>
      <w:r>
        <w:rPr>
          <w:rtl w:val="true"/>
        </w:rPr>
        <w:t>«</w:t>
      </w:r>
      <w:r>
        <w:rPr/>
        <w:t>36</w:t>
      </w:r>
      <w:r>
        <w:rPr>
          <w:rtl w:val="true"/>
        </w:rPr>
        <w:t>»</w:t>
      </w:r>
      <w:bookmarkEnd w:id="2184"/>
    </w:p>
    <w:p>
      <w:pPr>
        <w:pStyle w:val="BookText"/>
        <w:rPr/>
      </w:pPr>
      <w:r>
        <w:rPr>
          <w:rFonts w:ascii="Amiri" w:hAnsi="Amiri" w:eastAsia="Amiri" w:cs="Amiri"/>
          <w:color w:val="111111"/>
          <w:sz w:val="28"/>
          <w:sz w:val="28"/>
          <w:szCs w:val="28"/>
          <w:rtl w:val="true"/>
          <w:lang w:bidi="ar-SA"/>
        </w:rPr>
        <w:t>تَفْسِيرُ عَلِيِّ بْنِ إِبْرَاهِيمَ، فِي رِوَايَةِ أَبِي الْجَارُودِ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لَيْسَ عَلَي الْأَعْمي حَرَجٌ وَ لا عَلَي الْأَعْرَجِ حَرَجٌ وَ لا عَلَي الْمَرِيضِ</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بیمار وارد می شوید با سخن گفتن مهلت اجل او را افزایش دهید، هر چند این کار قضا و قدر را باز نمی گرداند ولی باعث آرامش درون می شود، و برای یکی از آنان سروده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عیادت آن است که یک روز در میان انجام پذیرد و به اندازه یک چشم برهم زدن نزد بیمار بنشینی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سؤال پرسیدن هیچ بیماری را به ستوه نیاورید؛ سؤال پرسیدن به قدر دو کلمه تو را کفایت می کند</w:t>
      </w:r>
      <w:r>
        <w:rPr>
          <w:rFonts w:eastAsia="IRNazanin" w:cs="IRNazanin"/>
          <w:color w:val="111111"/>
          <w:sz w:val="28"/>
          <w:szCs w:val="28"/>
          <w:rtl w:val="true"/>
          <w:lang w:bidi="fa-IR"/>
        </w:rPr>
        <w:t>.</w:t>
      </w:r>
    </w:p>
    <w:p>
      <w:pPr>
        <w:pStyle w:val="Heading5"/>
        <w:numPr>
          <w:ilvl w:val="4"/>
          <w:numId w:val="1"/>
        </w:numPr>
        <w:rPr/>
      </w:pPr>
      <w:bookmarkStart w:id="2185" w:name="__RefHeading___Toc606926_1934241801"/>
      <w:bookmarkStart w:id="2186" w:name="_Toc1007"/>
      <w:bookmarkEnd w:id="2185"/>
      <w:r>
        <w:rPr>
          <w:rtl w:val="true"/>
        </w:rPr>
        <w:t>توضیح</w:t>
      </w:r>
      <w:bookmarkEnd w:id="2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فنفّسوا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اجل او را افزایش دهید و او را به تندرستی امیدوار سازید، مانند اینکه به او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 بر تو نیست و تو در امانی، به زودی بیماری از تو برطرف خواهد شد و امثال این سخنان، این فعل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وسعت و گشادگی در امری گرفته شده است،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فی نَفَس من 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گشایش و فراخی هستی </w:t>
      </w:r>
      <w:r>
        <w:rPr>
          <w:rFonts w:eastAsia="IRNazanin" w:cs="IRNazanin"/>
          <w:color w:val="111111"/>
          <w:sz w:val="28"/>
          <w:szCs w:val="28"/>
          <w:rtl w:val="true"/>
          <w:lang w:bidi="fa-IR"/>
        </w:rPr>
        <w:t>.</w:t>
      </w:r>
    </w:p>
    <w:p>
      <w:pPr>
        <w:pStyle w:val="Heading5"/>
        <w:numPr>
          <w:ilvl w:val="4"/>
          <w:numId w:val="1"/>
        </w:numPr>
        <w:rPr/>
      </w:pPr>
      <w:bookmarkStart w:id="2187" w:name="__RefHeading___Toc606928_1934241801"/>
      <w:bookmarkStart w:id="2188" w:name="_Toc1008"/>
      <w:bookmarkEnd w:id="2187"/>
      <w:r>
        <w:rPr>
          <w:rtl w:val="true"/>
        </w:rPr>
        <w:t xml:space="preserve">روایت </w:t>
      </w:r>
      <w:r>
        <w:rPr/>
        <w:t>34</w:t>
      </w:r>
      <w:bookmarkEnd w:id="2188"/>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عیسی بن عبدالله قمی روایت شده که از امام صادق علیه السلام شنیدم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سه نفر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حج و عمره را به جا می آورد، پس بنگرید که چگونه جای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خانواده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مجاهد در راه خدا، پس بنگرید که چگونه جای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خانواده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می کنید؛ و کسی که بیمار است، پس او را خشمگین نسازید و آزارش ندهید</w:t>
      </w:r>
      <w:r>
        <w:rPr>
          <w:rFonts w:eastAsia="IRNazanin" w:cs="IRNazanin"/>
          <w:color w:val="111111"/>
          <w:sz w:val="28"/>
          <w:szCs w:val="28"/>
          <w:rtl w:val="true"/>
          <w:lang w:bidi="fa-IR"/>
        </w:rPr>
        <w:t>.</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از بیماری عیادت کند وارد رحمت خداوند می شود، و آن گاه که نزد او بنشیند در رحمت خداوند غوطه ور می شود، پس اگر صبح گاهان بیمار را عیادت کند، هفتاد هزار فرشته تا شامگاهان بر او درود می فرستند و اگر شامگاهان عیادتش کند هفتاد هزار فرشته تا صبح گاهان بر او درود می فرستند</w:t>
      </w:r>
      <w:r>
        <w:rPr>
          <w:rFonts w:eastAsia="IRNazanin" w:cs="IRNazanin"/>
          <w:color w:val="111111"/>
          <w:sz w:val="28"/>
          <w:szCs w:val="28"/>
          <w:rtl w:val="true"/>
          <w:lang w:bidi="fa-IR"/>
        </w:rPr>
        <w:t>.</w:t>
      </w:r>
      <w:r>
        <w:rPr>
          <w:rStyle w:val="FootnoteAnchor"/>
          <w:rtl w:val="true"/>
        </w:rPr>
        <w:footnoteReference w:id="1087"/>
      </w:r>
    </w:p>
    <w:p>
      <w:pPr>
        <w:pStyle w:val="Heading5"/>
        <w:numPr>
          <w:ilvl w:val="4"/>
          <w:numId w:val="1"/>
        </w:numPr>
        <w:rPr/>
      </w:pPr>
      <w:bookmarkStart w:id="2189" w:name="__RefHeading___Toc606930_1934241801"/>
      <w:bookmarkStart w:id="2190" w:name="_Toc1009"/>
      <w:bookmarkEnd w:id="2189"/>
      <w:r>
        <w:rPr>
          <w:rtl w:val="true"/>
        </w:rPr>
        <w:t xml:space="preserve">روایت </w:t>
      </w:r>
      <w:r>
        <w:rPr/>
        <w:t>35</w:t>
      </w:r>
      <w:bookmarkEnd w:id="2190"/>
    </w:p>
    <w:p>
      <w:p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برای بیمار دعا کرده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السَّمَاوَاتِ السَّبْعِ وَ رَبَّ الْأَرَضِینَ السَّبْعِ وَ مَا فِیهِنَّ وَ مَا بَیْنَهُنَّ وَ مَا تَحْتَهُنَّ وَ رَبَّ الْعَرْشِ الْعَظِیمِ صَلِّ عَلَی مُحَمَّدٍ وَ آلِ مُحَمَّدٍ وَ اشْفِهِ بِشِفَائِکَ وَ دَاوِهِ بِدَوَائِکَ وَ عَافِهِ مِنْ بَلَائِکَ وَ اجْعَلْ شِکَایَتَهُ کَفَّارَةً لِمَا مَضَی مِنْ ذُنُوبِهِ وَ 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پرودگار آسمانها و زمین های هفت گانه و هر آنچه در داخل، بین و زیر آن ها قرار دارد، و ای پروردگار عرش عظیم، بر محمّد و آل محمّد درود بفرست و این بیمار را با شفای خویش، شفا ببخش و با درمان خویش مداوا کن و او را از بلا و مصیبت دور گردان، و شکایت او را باعث کفّاره گناهان ماقبل و مابعدش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یک شبانه روز در کنار شخص بیماری بایستد و از او مراقبت کند، خداوند او را با ابراهیم خلیل الرحمن محشور می گرداند، پس به سان برق جهنده از پل صراط عبور می کند</w:t>
      </w:r>
      <w:r>
        <w:rPr>
          <w:rFonts w:eastAsia="IRNazanin" w:cs="IRNazanin"/>
          <w:color w:val="111111"/>
          <w:sz w:val="28"/>
          <w:szCs w:val="28"/>
          <w:rtl w:val="true"/>
          <w:lang w:bidi="fa-IR"/>
        </w:rPr>
        <w:t>.</w:t>
      </w:r>
    </w:p>
    <w:p>
      <w:pPr>
        <w:pStyle w:val="Heading5"/>
        <w:numPr>
          <w:ilvl w:val="4"/>
          <w:numId w:val="1"/>
        </w:numPr>
        <w:rPr/>
      </w:pPr>
      <w:bookmarkStart w:id="2191" w:name="__RefHeading___Toc606932_1934241801"/>
      <w:bookmarkStart w:id="2192" w:name="_Toc1010"/>
      <w:bookmarkEnd w:id="2191"/>
      <w:r>
        <w:rPr>
          <w:rtl w:val="true"/>
        </w:rPr>
        <w:t xml:space="preserve">روایت </w:t>
      </w:r>
      <w:r>
        <w:rPr/>
        <w:t>36</w:t>
      </w:r>
      <w:bookmarkEnd w:id="219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أبو جارود از امام باقر علیه السلام نقل شده که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علی الأعمی حَرَجٌ ولا علی الأعرج حرج و لا علی المریض </w:t>
      </w:r>
      <w:bookmarkStart w:id="2193" w:name="pg13517_329257"/>
    </w:p>
    <w:p>
      <w:pPr>
        <w:pStyle w:val="BookText"/>
        <w:rPr/>
      </w:pPr>
      <w:bookmarkEnd w:id="2193"/>
      <w:r>
        <w:rPr>
          <w:rFonts w:ascii="Amiri" w:hAnsi="Amiri" w:eastAsia="Amiri" w:cs="Amiri"/>
          <w:color w:val="111111"/>
          <w:sz w:val="28"/>
          <w:sz w:val="28"/>
          <w:szCs w:val="28"/>
          <w:rtl w:val="true"/>
          <w:lang w:bidi="ar-SA"/>
        </w:rPr>
        <w:t>حَرَجٌ‌</w:t>
      </w:r>
      <w:r>
        <w:rPr>
          <w:rStyle w:val="FootnoteAnchor"/>
          <w:rtl w:val="true"/>
        </w:rPr>
        <w:footnoteReference w:id="1088"/>
      </w:r>
      <w:r>
        <w:rPr>
          <w:rFonts w:ascii="Amiri" w:hAnsi="Amiri" w:eastAsia="Amiri" w:cs="Amiri"/>
          <w:color w:val="111111"/>
          <w:sz w:val="28"/>
          <w:sz w:val="28"/>
          <w:szCs w:val="28"/>
          <w:rtl w:val="true"/>
          <w:lang w:bidi="ar-SA"/>
        </w:rPr>
        <w:t>وَ ذَلِكَ أَنَّ أَهْلَ الْمَدِينَةِ قَبْلَ أَنْ يُسْلِمُوا كَانُوا يَعْتَزِلُونَ الْأَعْمَي وَ الْأَعْرَجَ وَ الْمَرِيضَ كَانُوا لَا يَأْكُلُونَ مَعَهُمْ وَ كَانَتِ الْأَنْصَارُ فِيهِمْ تِيهٌ وَ تَكَرُّمٌ فَقَالُوا إِنَّ الْأَعْمَي لَا يُبْصِرُ الطَّعَامَ وَ الْأَعْرَجَ لَا يَسْتَطِيعُ الزِّحَامَ عَلَي الطَّعَامِ وَ الْمَرِيضَ لَا يَأْكُلُ كَمَا يَأْكُلُ الصَّحِيحُ فَعَزَلُوا لَهُمْ طَعَامَهُمْ عَلَي نَاحِيَةٍ وَ كَانُوا يَرَوْنَ أَنَّ عَلَيْهِمْ فِي مُؤَاكَلَتِهِمْ جُنَاحاً فَلَمَّا قَدِمَ النَّبِيُّ صلي الله عليه و آله سَأَلُوهُ عَنْ ذَلِكَ فَأَنْزَلَ اللَّهُ لَيْسَ عَلَيْكُمْ جُناحٌ أَنْ تَأْكُلُوا جَمِيعاً أَوْ أَشْتاتاً</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4" w:name="__RefHeading___Toc606934_1934241801"/>
      <w:bookmarkStart w:id="2195" w:name="_Toc1011"/>
      <w:bookmarkEnd w:id="2194"/>
      <w:r>
        <w:rPr>
          <w:rtl w:val="true"/>
        </w:rPr>
        <w:t>«</w:t>
      </w:r>
      <w:r>
        <w:rPr/>
        <w:t>37</w:t>
      </w:r>
      <w:r>
        <w:rPr>
          <w:rtl w:val="true"/>
        </w:rPr>
        <w:t>»</w:t>
      </w:r>
      <w:bookmarkEnd w:id="2195"/>
    </w:p>
    <w:p>
      <w:pPr>
        <w:pStyle w:val="BookText"/>
        <w:rPr/>
      </w:pPr>
      <w:r>
        <w:rPr>
          <w:rFonts w:ascii="Amiri" w:hAnsi="Amiri" w:eastAsia="Amiri" w:cs="Amiri"/>
          <w:color w:val="111111"/>
          <w:sz w:val="28"/>
          <w:sz w:val="28"/>
          <w:szCs w:val="28"/>
          <w:rtl w:val="true"/>
          <w:lang w:bidi="ar-SA"/>
        </w:rPr>
        <w:t>مَكَارِمُ الْأَخْلَاقِ،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عِيَادَةِ الْمَرِيضِ أَنْ يَضَعَ أَحَدُكُمْ يَدَهُ عَلَيْهِ وَ يَسْأَلَهُ كَيْفَ هُوَ كَيْفَ أَصْبَحْتَ وَ كَيْفَ أَمْسَيْتَ وَ تَمَامُ تَحِيَّتِكُمُ الْمُصَافَحَةُ</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أَمِيرُ الْمُؤْمِنِينَ عليه السلام صَعْصَعَةَ بْنَ صُوحَانَ فَقَالَ يَا صَعْصَعَةُ لَا تَفْخَرْ عَلَي إِخْوَانِكَ بِعِيَادَتِي إِيَّاكَ وَ انْظُرْ لِنَفْسِكَ فَكَأَنَّ الْأَمْرَ قَدْ وَصَلَ إِلَيْكَ وَ لَا يُلْهِيَنَّكَ الْأَمَلُ‌</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كِتَابِ زُهْدِ أَمِيرِ الْمُؤْمِنِينَ عليه السلام وَ مِنْ كِتَابِ الْجَنَائِزِ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عِيَادَةَ فِي وَجَعِ الْعَيْنِ وَ لَا تَكُونُ عِيَادَةٌ أَقَلَّ مِنْ ثَلَاثَةِ أَيَّامٍ فَإِذَا وَجَبَتْ فَيَوْمٌ وَ يَوْمٌ لَا أَوْ يَوْمٌ وَ يومين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إِذَا طَالَتِ الْعِلَّةُ تُرِكَ الْمَرِيضُ وَ عِيَالَهُ‌</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6" w:name="__RefHeading___Toc606936_1934241801"/>
      <w:bookmarkStart w:id="2197" w:name="_Toc1012"/>
      <w:bookmarkEnd w:id="2196"/>
      <w:r>
        <w:rPr>
          <w:rtl w:val="true"/>
        </w:rPr>
        <w:t>بيان</w:t>
      </w:r>
      <w:bookmarkEnd w:id="2197"/>
    </w:p>
    <w:p>
      <w:pPr>
        <w:pStyle w:val="BookText"/>
        <w:rPr/>
      </w:pPr>
      <w:r>
        <w:rPr>
          <w:rFonts w:ascii="Amiri" w:hAnsi="Amiri" w:eastAsia="Amiri" w:cs="Amiri"/>
          <w:color w:val="111111"/>
          <w:sz w:val="28"/>
          <w:sz w:val="28"/>
          <w:szCs w:val="28"/>
          <w:rtl w:val="true"/>
          <w:lang w:bidi="ar-SA"/>
        </w:rPr>
        <w:t>قوله عليه السلام أقل من ثلاثة أيام الظاهر أن المراد به أنه لا ينبغي أن يعاد المريض في أول ما يمرض إلي ثلاثة أيام فإن برأ قبل مضيها و إلا فيوما تعود و يوما لا تعود و يحتمل أن يكون المراد أن أقل العيادة أن يراه ثلاثة أيام متواليات و بعد ذلك غبا أو أن أقل العيادة أن يراه في كل ثلاثة أيام فلما ظهر منه أن عيادته في كل يوم أفضل استثني من ذلك حالة وجوب المرض و لا يخفي بعد الوجهين الأخيرين و ظهور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w:t>
      </w:r>
      <w:r>
        <w:rPr>
          <w:rStyle w:val="FootnoteAnchor"/>
          <w:rtl w:val="true"/>
        </w:rPr>
        <w:footnoteReference w:id="10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نابینا و لنگ و بیمار ایرادی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مدینه قبل از اینکه اسلام بیاورند از انسان های نابینا، لَنگ و بیمار دوری می گزیدند و با آنان غذا نمی خورند، ولی در میان انصار دو خصلت تکبّر و علاقه به اکرام دیگران وجود داشت،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غذا را نمی بیند، لنگ نمی تواند همراه دیگران بر سفره غذا حاضر شود و بیمار نمی تواند مانند انسان سالم غذا بخورد، پس غذای این سه گروه را جداگانه در قسمتی قرار می دادند و چنین می پنداشتند که با همنشینی کردن با آنان بر سر یک سفره مرتکب گناه می شوند، هنگامی که این مسأله را از پیامبر صلّی الله علیه وآله پرسیدند، خداوند متعال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علیکم جناح أن تأکلوا جمیعاً أو أشتاتاً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گناهی نیست که با هم یا به صورت جداگانه غذا بخورید</w:t>
      </w:r>
      <w:r>
        <w:rPr>
          <w:rFonts w:eastAsia="IRNazanin" w:cs="IRNazanin"/>
          <w:color w:val="111111"/>
          <w:sz w:val="28"/>
          <w:szCs w:val="28"/>
          <w:rtl w:val="true"/>
          <w:lang w:bidi="fa-IR"/>
        </w:rPr>
        <w:t>}.</w:t>
      </w:r>
      <w:r>
        <w:rPr>
          <w:rStyle w:val="FootnoteAnchor"/>
          <w:rtl w:val="true"/>
        </w:rPr>
        <w:footnoteReference w:id="1094"/>
      </w:r>
    </w:p>
    <w:p>
      <w:pPr>
        <w:pStyle w:val="Heading5"/>
        <w:numPr>
          <w:ilvl w:val="4"/>
          <w:numId w:val="1"/>
        </w:numPr>
        <w:rPr/>
      </w:pPr>
      <w:bookmarkStart w:id="2198" w:name="__RefHeading___Toc606938_1934241801"/>
      <w:bookmarkStart w:id="2199" w:name="_Toc1013"/>
      <w:bookmarkEnd w:id="2198"/>
      <w:r>
        <w:rPr>
          <w:rtl w:val="true"/>
        </w:rPr>
        <w:t xml:space="preserve">روایت </w:t>
      </w:r>
      <w:r>
        <w:rPr/>
        <w:t>37</w:t>
      </w:r>
      <w:bookmarkEnd w:id="2199"/>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اسباب کامل شدن عیادت آن است که یکی از شما دستش را بر روی بدن بیمار بگذارد و از او بپرسد که حالت چطور است و صبح و شب را چگونه گذرانده ای، و سلام و احوالپرسی شما با مصافحه کامل می گردد</w:t>
      </w:r>
      <w:r>
        <w:rPr>
          <w:rFonts w:eastAsia="IRNazanin" w:cs="IRNazanin"/>
          <w:color w:val="111111"/>
          <w:sz w:val="28"/>
          <w:szCs w:val="28"/>
          <w:rtl w:val="true"/>
          <w:lang w:bidi="fa-IR"/>
        </w:rPr>
        <w:t>.</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از امام موسی کاظم علیه السلام روایت شده که امیرالمؤمنین علیه السلام از صعصعة بن صوحان عیادت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صعصعة، به خاطر عیادت کردن من از تو بر برادرانت فخر مفروش، و به خودت بنگر، گویا موضوع را دریافته ای و امید و آرزو تو را غافل نمی سازد</w:t>
      </w:r>
      <w:r>
        <w:rPr>
          <w:rFonts w:eastAsia="IRNazanin" w:cs="IRNazanin"/>
          <w:color w:val="111111"/>
          <w:sz w:val="28"/>
          <w:szCs w:val="28"/>
          <w:rtl w:val="true"/>
          <w:lang w:bidi="fa-IR"/>
        </w:rPr>
        <w:t>.</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از کتاب زهد امیرالمؤمنین علیه السلام و کتاب الجنائز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که مبتلا به چشم درد است نیاز به عیادت ندارد، و هیچ عیادتی در کمتر از سه روز وجود ندارد، و آن گاه که عیادت</w:t>
      </w:r>
    </w:p>
    <w:p>
      <w:pPr>
        <w:pStyle w:val="BookText"/>
        <w:rPr/>
      </w:pPr>
      <w:r>
        <w:rPr>
          <w:rFonts w:ascii="IRNazanin" w:hAnsi="IRNazanin" w:eastAsia="IRNazanin"/>
          <w:color w:val="111111"/>
          <w:sz w:val="28"/>
          <w:sz w:val="28"/>
          <w:szCs w:val="28"/>
          <w:rtl w:val="true"/>
          <w:lang w:bidi="fa-IR"/>
        </w:rPr>
        <w:t>واجب گردید، یک روز در میان یا دو روز در میان به عیادت بروید، و در صورت طولانی شدن بیماری، بیمار همراه با خانواده اش تنها گذاشته شود</w:t>
      </w:r>
      <w:r>
        <w:rPr>
          <w:rFonts w:eastAsia="IRNazanin" w:cs="IRNazanin"/>
          <w:color w:val="111111"/>
          <w:sz w:val="28"/>
          <w:szCs w:val="28"/>
          <w:rtl w:val="true"/>
          <w:lang w:bidi="fa-IR"/>
        </w:rPr>
        <w:t>.</w:t>
      </w:r>
      <w:r>
        <w:rPr>
          <w:rStyle w:val="FootnoteAnchor"/>
          <w:rtl w:val="true"/>
        </w:rPr>
        <w:footnoteReference w:id="1097"/>
      </w:r>
    </w:p>
    <w:p>
      <w:pPr>
        <w:pStyle w:val="Heading5"/>
        <w:numPr>
          <w:ilvl w:val="4"/>
          <w:numId w:val="1"/>
        </w:numPr>
        <w:rPr/>
      </w:pPr>
      <w:bookmarkStart w:id="2200" w:name="__RefHeading___Toc606940_1934241801"/>
      <w:bookmarkStart w:id="2201" w:name="_Toc1014"/>
      <w:bookmarkEnd w:id="2200"/>
      <w:r>
        <w:rPr>
          <w:rtl w:val="true"/>
        </w:rPr>
        <w:t>توضیح</w:t>
      </w:r>
      <w:bookmarkEnd w:id="220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مقصود از این فرموده 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تکون عیادة أقلّ من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لازم نیست بیمار در اوّلین روزی که به بیماری مبتلا می شود عیادت شود تا اینکه سه روز بگذرد، پس اگر قبل از گذشت سه روز شفا یافت نیازی به عیادت وجود ندارد، در غیر اینصورت یک روز در میان به عیادت او بروید، و ممکن است مقصود چنین باشد که کمترین ایّامی که عیادت به صورت متوالی انجام می پذیرد سه روز است و پس از آن تبدیل به 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می شود، یا کمترین ایّامی که عیادت در آن انجام می پذیرد سه روز است و پس از آن تبدیل به یک روز در میان می شود، یا کمترین ایّامی  که عیادت در آن انجام می پذیرد سه روز در میان است، پس هنگامی  که آشکار شود عیادت از بیمار اگر هر روز انجام پذیرد بهتر است، از آن مستثنی شده است که در حالت وجوب بیماری است؛ بعید بودن دو تفسیر نخست بر کسی پوشیده نیست</w:t>
      </w:r>
      <w:r>
        <w:rPr>
          <w:rFonts w:eastAsia="IRNazanin" w:cs="IRNazanin"/>
          <w:color w:val="111111"/>
          <w:sz w:val="28"/>
          <w:szCs w:val="28"/>
          <w:rtl w:val="true"/>
          <w:lang w:bidi="fa-IR"/>
        </w:rPr>
        <w:t xml:space="preserve">. </w:t>
      </w:r>
      <w:bookmarkStart w:id="2202" w:name="pg13517_329258"/>
    </w:p>
    <w:p>
      <w:pPr>
        <w:pStyle w:val="Heading5"/>
        <w:numPr>
          <w:ilvl w:val="4"/>
          <w:numId w:val="1"/>
        </w:numPr>
        <w:rPr/>
      </w:pPr>
      <w:bookmarkStart w:id="2203" w:name="__RefHeading___Toc606942_1934241801"/>
      <w:bookmarkStart w:id="2204" w:name="_Toc1015"/>
      <w:bookmarkEnd w:id="2202"/>
      <w:bookmarkEnd w:id="2203"/>
      <w:r>
        <w:rPr>
          <w:rtl w:val="true"/>
        </w:rPr>
        <w:t>«</w:t>
      </w:r>
      <w:r>
        <w:rPr/>
        <w:t>38</w:t>
      </w:r>
      <w:r>
        <w:rPr>
          <w:rtl w:val="true"/>
        </w:rPr>
        <w:t>»</w:t>
      </w:r>
      <w:bookmarkEnd w:id="2204"/>
    </w:p>
    <w:p>
      <w:pPr>
        <w:pStyle w:val="BookText"/>
        <w:rPr/>
      </w:pPr>
      <w:r>
        <w:rPr>
          <w:rFonts w:ascii="Amiri" w:hAnsi="Amiri" w:eastAsia="Amiri" w:cs="Amiri"/>
          <w:color w:val="111111"/>
          <w:sz w:val="28"/>
          <w:sz w:val="28"/>
          <w:szCs w:val="28"/>
          <w:rtl w:val="true"/>
          <w:lang w:bidi="ar-SA"/>
        </w:rPr>
        <w:t>الْمَكَارِمُ،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الْعِيَادَةِ لِلْمَرِيضِ أَنْ تَضَعَ يَدَكَ عَلَي ذِرَاعِهِ وَ تُعَجِّلَ الْقِيَامَ مِنْ عِنْدِهِ فَإِنَّ عِيَادَةَ النَّوْكَي أَشَدُّ عَلَي الْمَرِيضِ مِنْ وَجَعِهِ‌</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5" w:name="__RefHeading___Toc606944_1934241801"/>
      <w:bookmarkStart w:id="2206" w:name="_Toc1016"/>
      <w:bookmarkEnd w:id="2205"/>
      <w:r>
        <w:rPr>
          <w:rtl w:val="true"/>
        </w:rPr>
        <w:t>توضيح</w:t>
      </w:r>
      <w:bookmarkEnd w:id="2206"/>
    </w:p>
    <w:p>
      <w:pPr>
        <w:pStyle w:val="BookText"/>
        <w:rPr/>
      </w:pPr>
      <w:r>
        <w:rPr>
          <w:rFonts w:ascii="Amiri" w:hAnsi="Amiri" w:eastAsia="Amiri" w:cs="Amiri"/>
          <w:color w:val="111111"/>
          <w:sz w:val="28"/>
          <w:sz w:val="28"/>
          <w:szCs w:val="28"/>
          <w:rtl w:val="true"/>
          <w:lang w:bidi="ar-SA"/>
        </w:rPr>
        <w:t>لعل وضع يده علي ذراعه عند الدعاء كما فهمه الشهيد ره قال في الدروس و يضع العائد يده علي ذراع المريض و يدعو له و في القاموس النوك بالضم و الفتح الحمق و هو أنوك و الجمع نوكي كسكري</w:t>
      </w:r>
      <w:r>
        <w:rPr>
          <w:rFonts w:eastAsia="Amiri" w:cs="Amiri" w:ascii="Amiri" w:hAnsi="Amiri"/>
          <w:color w:val="111111"/>
          <w:sz w:val="28"/>
          <w:szCs w:val="28"/>
          <w:rtl w:val="true"/>
          <w:lang w:bidi="ar-SA"/>
        </w:rPr>
        <w:t>.</w:t>
      </w:r>
    </w:p>
    <w:p>
      <w:pPr>
        <w:pStyle w:val="Heading5"/>
        <w:numPr>
          <w:ilvl w:val="4"/>
          <w:numId w:val="1"/>
        </w:numPr>
        <w:rPr/>
      </w:pPr>
      <w:bookmarkStart w:id="2207" w:name="__RefHeading___Toc606946_1934241801"/>
      <w:bookmarkStart w:id="2208" w:name="_Toc1017"/>
      <w:bookmarkEnd w:id="2207"/>
      <w:r>
        <w:rPr>
          <w:rtl w:val="true"/>
        </w:rPr>
        <w:t>«</w:t>
      </w:r>
      <w:r>
        <w:rPr/>
        <w:t>39</w:t>
      </w:r>
      <w:r>
        <w:rPr>
          <w:rtl w:val="true"/>
        </w:rPr>
        <w:t>»</w:t>
      </w:r>
      <w:bookmarkEnd w:id="2208"/>
    </w:p>
    <w:p>
      <w:pPr>
        <w:pStyle w:val="BookText"/>
        <w:rPr/>
      </w:pPr>
      <w:r>
        <w:rPr>
          <w:rFonts w:ascii="Amiri" w:hAnsi="Amiri" w:eastAsia="Amiri" w:cs="Amiri"/>
          <w:color w:val="111111"/>
          <w:sz w:val="28"/>
          <w:sz w:val="28"/>
          <w:szCs w:val="28"/>
          <w:rtl w:val="true"/>
          <w:lang w:bidi="ar-SA"/>
        </w:rPr>
        <w:t>الْمَكَارِمُ،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تُؤَدَّي الْعَبْدُ إِلَي اللَّهِ جَلَّ وَ عِزَّ فَيُحَاسِبُهُ حِسَاباً يَسِيراً وَ يَقُولُ يَا مُؤْمِنُ مَا مَنَعَكَ أَنْ تَعُودَنِي حِينَ مَرِضْتُ فَيَقُولُ الْمُؤْمِنُ أَنْتَ رَبِّي وَ أَنَا عَبْدُكَ أَنْتَ الْحَيُّ الْقَيُّومُ الَّذِي لَا يُصِيبُكَ أَلَمٌ وَ لَا نَصَبٌ فَيَقُولُ عَزَّ وَ جَلَّ مَنْ عَادَ مُؤْمِناً فِيَّ فَقَدْ عَادَنِي ثُمَّ يَقُولُ لَهُ أَ تَعْرِفُ فُلَانَ بْنَ فُلَانٍ فَيَقُولُ نَعَمْ يَا رَبِّ فَيَقُولُ لَهُ مَا مَنَعَكَ أَنْ تَعُودَهُ حِينَ مَرِضَ أَمَا إِنَّكَ لَوْ عُدْتَهُ لَعُدْتَنِي ثُمَّ لَوَجَدْتَنِي بِهِ وَ عِنْدَهُ ثُمَّ لَوْ سَأَلْتَنِي حَاجَةً لَقَضَيْتُهَا لَكَ وَ لَمْ أَرُدَّكَ عَنْهَا</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عَادَ سَلْمَانَ رِضْوَانُ اللَّهِ عَلَيْهِ لَمَّا أَرَادَ أَنْ يَقُومَ يَا سَلْمَانُ كَشَفَ اللَّهُ ضُرَّكَ وَ غَفَرَ ذَنْبَكَ وَ حَفِظَكَ فِي دِينِكَ وَ بَدَنِكَ إِلَي مُنْتَهَي أَجَلِكَ‌</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الْعِيَادَةُ ثَلَاثَةٌ وَ التَّعْزِيَةُ مَرَّةٌ</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مَوْلًي لِجَعْفَرِ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بَعْضُ مَوَالِيهِ فَخَرَجْنَا نَعُودُهُ وَ نَحْنُ عِدَّةٌ مِنْ مَوَالِيهِ فَاسْتَقْبَلَنَا عليه السلام فِي بَعْضِ الطَّرِيقِ فَقَالَ أَيْنَ تُرِيدُونَ فَقُلْنَا نُرِيدُ فُلَاناً نَعُودُهُ قَالَ قِفُوا فَوَقَفْنَا قَالَ مَعَ أَحَدِكُمْ تُفَّاحَةٌ أَوْ سَفَرْجَلَةٌ أَوْ أُتْرُجَّةٌ أَوْ لَعْقَةٌ مِنْ طِيبٍ أَوْ قِطْعَةٌ مِنْ عُودِ بَخُورٍ فَقُلْنَا مَا مَعَنَا مِنْ هَذَا شَيْ‌ءٌ قَالَ أَ مَا عَلِمْتُمْ أَنَّ الْمَرِيضَ يَسْتَرِيحُ إِلَي كُلِّ مَا أُدْخِلَ بِهِ عَلَيْهِ‌</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9" w:name="__RefHeading___Toc606948_1934241801"/>
      <w:bookmarkStart w:id="2210" w:name="_Toc1018"/>
      <w:bookmarkEnd w:id="2209"/>
      <w:r>
        <w:rPr>
          <w:rtl w:val="true"/>
        </w:rPr>
        <w:t xml:space="preserve">روایت </w:t>
      </w:r>
      <w:r>
        <w:rPr/>
        <w:t>38</w:t>
      </w:r>
      <w:bookmarkEnd w:id="2210"/>
    </w:p>
    <w:p>
      <w:pPr>
        <w:pStyle w:val="BookText"/>
        <w:rPr/>
      </w:pP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اسباب کامل شدن عیادت بیمار آن است که دستت را بر روی ساعد او بگذاری، و به سرعت از نزد او برخیزی، به راستی که عیادت کننده اگر احمق باشد شخص بیمار را بیشتر از درد و مرض، آزار می دهد</w:t>
      </w:r>
      <w:r>
        <w:rPr>
          <w:rFonts w:eastAsia="IRNazanin" w:cs="IRNazanin"/>
          <w:color w:val="111111"/>
          <w:sz w:val="28"/>
          <w:szCs w:val="28"/>
          <w:rtl w:val="true"/>
          <w:lang w:bidi="fa-IR"/>
        </w:rPr>
        <w:t>.</w:t>
      </w:r>
      <w:r>
        <w:rPr>
          <w:rStyle w:val="FootnoteAnchor"/>
          <w:rtl w:val="true"/>
        </w:rPr>
        <w:footnoteReference w:id="1103"/>
      </w:r>
    </w:p>
    <w:p>
      <w:pPr>
        <w:pStyle w:val="Heading5"/>
        <w:numPr>
          <w:ilvl w:val="4"/>
          <w:numId w:val="1"/>
        </w:numPr>
        <w:rPr/>
      </w:pPr>
      <w:bookmarkStart w:id="2211" w:name="__RefHeading___Toc606950_1934241801"/>
      <w:bookmarkStart w:id="2212" w:name="_Toc1019"/>
      <w:bookmarkEnd w:id="2211"/>
      <w:r>
        <w:rPr>
          <w:rtl w:val="true"/>
        </w:rPr>
        <w:t>توضیح</w:t>
      </w:r>
      <w:bookmarkEnd w:id="2212"/>
    </w:p>
    <w:p>
      <w:pPr>
        <w:pStyle w:val="BookText"/>
        <w:rPr/>
      </w:pPr>
      <w:r>
        <w:rPr>
          <w:rFonts w:ascii="IRNazanin" w:hAnsi="IRNazanin" w:eastAsia="IRNazanin"/>
          <w:color w:val="111111"/>
          <w:sz w:val="28"/>
          <w:sz w:val="28"/>
          <w:szCs w:val="28"/>
          <w:rtl w:val="true"/>
          <w:lang w:bidi="fa-IR"/>
        </w:rPr>
        <w:t>شاید قرار دادن دست بر روی ساعد بیمار هنگام دعا کردن برای او باشد، آن گونه که شهید رحمه الله نیز چنین برداشت کرده و در الدروس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عیادت کننده دست خود را بر روی ساعد بیمار قرار داده و برای او دعا می خواند؛ 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مضموم و مفتوح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حماقت،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احمق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5"/>
        <w:numPr>
          <w:ilvl w:val="4"/>
          <w:numId w:val="1"/>
        </w:numPr>
        <w:rPr/>
      </w:pPr>
      <w:bookmarkStart w:id="2213" w:name="__RefHeading___Toc606952_1934241801"/>
      <w:bookmarkStart w:id="2214" w:name="_Toc1020"/>
      <w:bookmarkEnd w:id="2213"/>
      <w:r>
        <w:rPr>
          <w:rtl w:val="true"/>
        </w:rPr>
        <w:t xml:space="preserve">روایت </w:t>
      </w:r>
      <w:r>
        <w:rPr/>
        <w:t>39</w:t>
      </w:r>
      <w:bookmarkEnd w:id="2214"/>
    </w:p>
    <w:p>
      <w:pPr>
        <w:pStyle w:val="BookText"/>
        <w:rPr/>
      </w:pP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برپایی روز قیامت، بنده مؤمن در درگاه خداوند عزّ و جلّ حاضر می شود، پس به آسانی به حساب او رسیدگی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 چه چیزی تو را از عیادت کردن من هنگامی  که بیمار بودم بازداشت؟ مؤمن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من هستی و من بنده تو، تو پروردگاری زنده و ازلی هستی که به هیچ  گونه درد و مرضی مبتلا نمی شوی، خداوند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مؤمنی را به خاطر من عیادت کند مرا عیادت کرده است، سپس خداوند به آن بنده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فلانی پسر فلانی را می شناسی؟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آری،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از عیادت کردن او هنگام بیماری منع کرد، به راستی که اگر او را عیادت می کردی گویا مرا عیادت کرده ای، پس به واسطه او و نزد او مرا می یافتی و اگر برآورده شدن حاجتی را از من طلب می کردی آن را برای تو برآورده می ساختم و تو را از دست  یافتن به آن باز نمی داشتم</w:t>
      </w:r>
      <w:r>
        <w:rPr>
          <w:rFonts w:eastAsia="IRNazanin" w:cs="IRNazanin"/>
          <w:color w:val="111111"/>
          <w:sz w:val="28"/>
          <w:szCs w:val="28"/>
          <w:rtl w:val="true"/>
          <w:lang w:bidi="fa-IR"/>
        </w:rPr>
        <w:t>.</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و روایت شده که رسول خدا صلّی الله علیه و آله به عیادت سلمان رضی الله عنه رفت و هنگامی  که خواست از نزد او برخیزد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خداوند بیماری تو را برطرف سازد و گناهانت را ببخشاید و تا زمان فرا رسیدن اجلت، دین و جسم تو را محفوظ نگاه دارد</w:t>
      </w:r>
      <w:r>
        <w:rPr>
          <w:rFonts w:eastAsia="IRNazanin" w:cs="IRNazanin"/>
          <w:color w:val="111111"/>
          <w:sz w:val="28"/>
          <w:szCs w:val="28"/>
          <w:rtl w:val="true"/>
          <w:lang w:bidi="fa-IR"/>
        </w:rPr>
        <w:t>.</w:t>
      </w:r>
      <w:r>
        <w:rPr>
          <w:rStyle w:val="FootnoteAnchor"/>
          <w:rtl w:val="true"/>
        </w:rPr>
        <w:footnoteReference w:id="1105"/>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سه بار است و تعزیه یک بار</w:t>
      </w:r>
      <w:r>
        <w:rPr>
          <w:rFonts w:eastAsia="IRNazanin" w:cs="IRNazanin"/>
          <w:color w:val="111111"/>
          <w:sz w:val="28"/>
          <w:szCs w:val="28"/>
          <w:rtl w:val="true"/>
          <w:lang w:bidi="fa-IR"/>
        </w:rPr>
        <w:t>.</w:t>
      </w:r>
      <w:r>
        <w:rPr>
          <w:rStyle w:val="FootnoteAnchor"/>
          <w:rtl w:val="true"/>
        </w:rPr>
        <w:footnoteReference w:id="1106"/>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یکی از دوست داران امام جعفرصادق علیه السلام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 داران امام علیه السلام بیمار گشت، پس همراه جماعت دیگری از پیروان ایشان خارج شدیم تا به عیادت او برویم، امام صادق علیه السلام در راه  ما را مشاهده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روید؟گفتیم به عیادت فلانی می رویم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کنید؟ما ایستادیم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یکی از شما سیب، به، ترنج، اندکی بوی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تکّه ای از عود بخور همراه دارد؟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شما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دانید که بیمار به واسطه هر آنچه نزد او برده  شود آرامش می یابد؟</w:t>
      </w:r>
      <w:r>
        <w:rPr>
          <w:rStyle w:val="FootnoteAnchor"/>
          <w:rtl w:val="true"/>
        </w:rPr>
        <w:footnoteReference w:id="1107"/>
      </w:r>
      <w:bookmarkStart w:id="2215" w:name="pg13517_329259"/>
    </w:p>
    <w:p>
      <w:pPr>
        <w:pStyle w:val="Heading5"/>
        <w:numPr>
          <w:ilvl w:val="4"/>
          <w:numId w:val="1"/>
        </w:numPr>
        <w:rPr/>
      </w:pPr>
      <w:bookmarkStart w:id="2216" w:name="__RefHeading___Toc606954_1934241801"/>
      <w:bookmarkStart w:id="2217" w:name="_Toc1021"/>
      <w:bookmarkEnd w:id="2215"/>
      <w:bookmarkEnd w:id="2216"/>
      <w:r>
        <w:rPr>
          <w:rtl w:val="true"/>
        </w:rPr>
        <w:t>إيضاح</w:t>
      </w:r>
      <w:bookmarkEnd w:id="2217"/>
    </w:p>
    <w:p>
      <w:pPr>
        <w:pStyle w:val="BookText"/>
        <w:rPr/>
      </w:pPr>
      <w:r>
        <w:rPr>
          <w:rFonts w:ascii="Amiri" w:hAnsi="Amiri" w:eastAsia="Amiri" w:cs="Amiri"/>
          <w:color w:val="111111"/>
          <w:sz w:val="28"/>
          <w:sz w:val="28"/>
          <w:szCs w:val="28"/>
          <w:rtl w:val="true"/>
          <w:lang w:bidi="ar-SA"/>
        </w:rPr>
        <w:t>في القاموس لعقه كسمعه لعقة و يضم لحسه و اللعقة المرة الواحدة و بالضم ما تأخذه في الملعقة</w:t>
      </w:r>
      <w:r>
        <w:rPr>
          <w:rFonts w:eastAsia="Amiri" w:cs="Amiri" w:ascii="Amiri" w:hAnsi="Amiri"/>
          <w:color w:val="111111"/>
          <w:sz w:val="28"/>
          <w:szCs w:val="28"/>
          <w:rtl w:val="true"/>
          <w:lang w:bidi="ar-SA"/>
        </w:rPr>
        <w:t>.</w:t>
      </w:r>
    </w:p>
    <w:p>
      <w:pPr>
        <w:pStyle w:val="Heading5"/>
        <w:numPr>
          <w:ilvl w:val="4"/>
          <w:numId w:val="1"/>
        </w:numPr>
        <w:rPr/>
      </w:pPr>
      <w:bookmarkStart w:id="2218" w:name="__RefHeading___Toc606956_1934241801"/>
      <w:bookmarkStart w:id="2219" w:name="_Toc1022"/>
      <w:bookmarkEnd w:id="2218"/>
      <w:r>
        <w:rPr>
          <w:rtl w:val="true"/>
        </w:rPr>
        <w:t>«</w:t>
      </w:r>
      <w:r>
        <w:rPr/>
        <w:t>40</w:t>
      </w:r>
      <w:r>
        <w:rPr>
          <w:rtl w:val="true"/>
        </w:rPr>
        <w:t>»</w:t>
      </w:r>
      <w:bookmarkEnd w:id="2219"/>
    </w:p>
    <w:p>
      <w:pPr>
        <w:pStyle w:val="BookText"/>
        <w:rPr/>
      </w:pPr>
      <w:r>
        <w:rPr>
          <w:rFonts w:ascii="Amiri" w:hAnsi="Amiri" w:eastAsia="Amiri" w:cs="Amiri"/>
          <w:color w:val="111111"/>
          <w:sz w:val="28"/>
          <w:sz w:val="28"/>
          <w:szCs w:val="28"/>
          <w:rtl w:val="true"/>
          <w:lang w:bidi="ar-SA"/>
        </w:rPr>
        <w:t>الْمَكَارِمُ، عَنْ زُرَارَةَ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عَلَي مَرِيضٍ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الْعَظِيمِ رَبِّ الْعَرْشِ الْعَظِيمِ مِنْ كُلِّ عِرْقٍ نَعَّارٍ وَ مِنْ شَرِّ حَرِّ النَّارِ سَبْعَ مَرَّاتٍ‌</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0" w:name="__RefHeading___Toc606958_1934241801"/>
      <w:bookmarkStart w:id="2221" w:name="_Toc1023"/>
      <w:bookmarkEnd w:id="2220"/>
      <w:r>
        <w:rPr>
          <w:rtl w:val="true"/>
        </w:rPr>
        <w:t>بيان</w:t>
      </w:r>
      <w:bookmarkEnd w:id="2221"/>
    </w:p>
    <w:p>
      <w:pPr>
        <w:pStyle w:val="BookText"/>
        <w:rPr/>
      </w:pPr>
      <w:r>
        <w:rPr>
          <w:rFonts w:ascii="Amiri" w:hAnsi="Amiri" w:eastAsia="Amiri" w:cs="Amiri"/>
          <w:color w:val="111111"/>
          <w:sz w:val="28"/>
          <w:sz w:val="28"/>
          <w:szCs w:val="28"/>
          <w:rtl w:val="true"/>
          <w:lang w:bidi="ar-SA"/>
        </w:rPr>
        <w:t>قال الجوهري نعر العرق ينعر بالفتح فيهما نعرا أي فار منه الدم فهو عرق نعار و نعور</w:t>
      </w:r>
      <w:r>
        <w:rPr>
          <w:rFonts w:eastAsia="Amiri" w:cs="Amiri" w:ascii="Amiri" w:hAnsi="Amiri"/>
          <w:color w:val="111111"/>
          <w:sz w:val="28"/>
          <w:szCs w:val="28"/>
          <w:rtl w:val="true"/>
          <w:lang w:bidi="ar-SA"/>
        </w:rPr>
        <w:t>.</w:t>
      </w:r>
    </w:p>
    <w:p>
      <w:pPr>
        <w:pStyle w:val="Heading5"/>
        <w:numPr>
          <w:ilvl w:val="4"/>
          <w:numId w:val="1"/>
        </w:numPr>
        <w:rPr/>
      </w:pPr>
      <w:bookmarkStart w:id="2222" w:name="__RefHeading___Toc606960_1934241801"/>
      <w:bookmarkStart w:id="2223" w:name="_Toc1024"/>
      <w:bookmarkEnd w:id="2222"/>
      <w:r>
        <w:rPr>
          <w:rtl w:val="true"/>
        </w:rPr>
        <w:t>«</w:t>
      </w:r>
      <w:r>
        <w:rPr/>
        <w:t>41</w:t>
      </w:r>
      <w:r>
        <w:rPr>
          <w:rtl w:val="true"/>
        </w:rPr>
        <w:t>»</w:t>
      </w:r>
      <w:bookmarkEnd w:id="2223"/>
    </w:p>
    <w:p>
      <w:pPr>
        <w:pStyle w:val="BookText"/>
        <w:rPr/>
      </w:pPr>
      <w:r>
        <w:rPr>
          <w:rFonts w:ascii="Amiri" w:hAnsi="Amiri" w:eastAsia="Amiri" w:cs="Amiri"/>
          <w:color w:val="111111"/>
          <w:sz w:val="28"/>
          <w:sz w:val="28"/>
          <w:szCs w:val="28"/>
          <w:rtl w:val="true"/>
          <w:lang w:bidi="ar-SA"/>
        </w:rPr>
        <w:t>دَعَائِمُ الْإِسْلَامِ،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الْعِيَادَةُ بَعْدَ ثَلَاثَةِ أَيَّامٍ وَ لَيْسَ عَلَي النِّسَاءِ عِيَادَةٌ</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رَسُولُ اللَّهِ صلي الله عليه و آله أَنْ يَأْكُلَ الْعَائِدُ عِنْدَ الْعَلِيلِ فَيُحْبِطُ اللَّهُ أَجْرَ عِيَادَتِهِ‌</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اعْتَلَّ فَعَادَهُ عَمْرُو بْنُ حُرَيْثٍ فَدَخَلَ عَلَيْهِ عَلِيٌّ عليه السلام فَقَالَ يَا عَمْرُو تَعُودُ الْحَسَنَ وَ فِي النَّفْسِ مَا فِيهَا وَ إِنَّ ذَلِكَ لَيْسَ بِمَانِعِي مِنْ أَنْ أُؤَدِّيَ إِلَيْكَ نَصِيحَةً سَمِعْتُ رَسُولَ اللَّهِ صلي الله عليه و آله يَقُولُ مَا مِنْ عَبْدٍ مُسْلِمٍ يَعُودُ مَرِيضاً إِلَّا صَلَّي عَلَيْهِ سَبْعُونَ أَلْفَ مَلَكٍ مِنْ سَاعَتِهِ الَّتِي يَعُودُهُ فِيهَا إِنْ كَانَتْ نَهَاراً حَتَّي تَغْرُبَ الشَّمْسُ أَوْ لَيْلًا حَتَّي يَطْلُعَ الْفَجْرُ</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عَادَ زَيْدَ بْنَ أَرْقَمَ فَلَمَّا دَخَلَ عَلَيْهِ قَالَ زَيْدٌ مَرْحَباً بِأَمِيرِ الْمُؤْمِنِينَ عَائِداً وَ هُوَ عَلَيْنَا عَاتِبٌ قَالَ عَلِيٌّ عليه السلام إِنَّ ذَلِكَ لَمْ يَكُنْ يَمْنَعُنِي عَنْ عِيَادَتِكَ إِنَّهُ مَنْ عَادَ مَرِيضاً الْتِمَاسَ رَحْمَةِ اللَّهِ وَ تَنَجُّزِ مَوْعُودِهِ كَانَ فِي خَرِيفِ الْجَنَّةِ مَا كَانَ جَالِساً عِنْدَ الْمَرِيضِ حَتَّي إِذَا خَرَجَ مِنْ عِنْدِهِ بَعَثَ اللَّهُ ذَلِكَ الْيَوْمَ سَبْعِينَ أَلْفَ مَلَكٍ مِنَ الْمَلَائِكَةِ يُصَلُّونَ عَلَيْهِ حَتَّي اللَّيْلِ وَ إِنْ عَادَ مُمْسِياً كَانَ فِي خَرِيفِ الْجَنَّةِ مَا كَانَ جَالِساً عِنْدَ الْمَرِيضِ فَإِذَا خَرَجَ مِنْ عِنْدِهِ بَعَثَ اللَّهُ سَبْعِينَ أَلْفَ مَلَكٍ</w:t>
      </w:r>
    </w:p>
    <w:p>
      <w:pPr>
        <w:pStyle w:val="Heading5"/>
        <w:numPr>
          <w:ilvl w:val="4"/>
          <w:numId w:val="1"/>
        </w:numPr>
        <w:rPr/>
      </w:pPr>
      <w:bookmarkStart w:id="2224" w:name="__RefHeading___Toc606962_1934241801"/>
      <w:bookmarkStart w:id="2225" w:name="_Toc1025"/>
      <w:bookmarkEnd w:id="2224"/>
      <w:r>
        <w:rPr>
          <w:rtl w:val="true"/>
        </w:rPr>
        <w:t>توضیح</w:t>
      </w:r>
      <w:bookmarkEnd w:id="2225"/>
    </w:p>
    <w:p>
      <w:pPr>
        <w:pStyle w:val="BookText"/>
        <w:rPr/>
      </w:pP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لَعِقَه، لَعقَة و لُعقَة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لیس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لیسیدن،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قاشق یا به وسیله قاشق برمی داری</w:t>
      </w:r>
      <w:r>
        <w:rPr>
          <w:rFonts w:eastAsia="IRNazanin" w:cs="IRNazanin"/>
          <w:color w:val="111111"/>
          <w:sz w:val="28"/>
          <w:szCs w:val="28"/>
          <w:rtl w:val="true"/>
          <w:lang w:bidi="fa-IR"/>
        </w:rPr>
        <w:t>.</w:t>
      </w:r>
    </w:p>
    <w:p>
      <w:pPr>
        <w:pStyle w:val="Heading5"/>
        <w:numPr>
          <w:ilvl w:val="4"/>
          <w:numId w:val="1"/>
        </w:numPr>
        <w:rPr/>
      </w:pPr>
      <w:bookmarkStart w:id="2226" w:name="__RefHeading___Toc606964_1934241801"/>
      <w:bookmarkStart w:id="2227" w:name="_Toc1026"/>
      <w:bookmarkEnd w:id="2226"/>
      <w:r>
        <w:rPr>
          <w:rtl w:val="true"/>
        </w:rPr>
        <w:t xml:space="preserve">روایت </w:t>
      </w:r>
      <w:r>
        <w:rPr/>
        <w:t>40</w:t>
      </w:r>
      <w:bookmarkEnd w:id="2227"/>
    </w:p>
    <w:p>
      <w:pPr>
        <w:pStyle w:val="BookText"/>
        <w:rPr/>
      </w:pP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از امام باقر یا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بیمار می روی هفت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أُعِیذُکَ بِاللَّهِ الْعَظِیمِ رَبِّ الْعَرْشِ الْعَظِیمِ مِنْ کُلِّ عِرْقٍ نَعَّارٍ وَ مِنْ شَرِّ حَرِّ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هر رگ یا زخمی که خون از آن جاری می شود و از شرّ گرمای آتش جهنم به خداوند بزرگ که پروردگار عرش عظیم پناه می دهم</w:t>
      </w:r>
      <w:r>
        <w:rPr>
          <w:rFonts w:eastAsia="IRNazanin" w:cs="IRNazanin"/>
          <w:color w:val="111111"/>
          <w:sz w:val="28"/>
          <w:szCs w:val="28"/>
          <w:rtl w:val="true"/>
          <w:lang w:bidi="fa-IR"/>
        </w:rPr>
        <w:t>.</w:t>
      </w:r>
      <w:r>
        <w:rPr>
          <w:rStyle w:val="FootnoteAnchor"/>
          <w:rtl w:val="true"/>
        </w:rPr>
        <w:footnoteReference w:id="1112"/>
      </w:r>
    </w:p>
    <w:p>
      <w:pPr>
        <w:pStyle w:val="Heading5"/>
        <w:numPr>
          <w:ilvl w:val="4"/>
          <w:numId w:val="1"/>
        </w:numPr>
        <w:rPr/>
      </w:pPr>
      <w:bookmarkStart w:id="2228" w:name="__RefHeading___Toc606966_1934241801"/>
      <w:bookmarkStart w:id="2229" w:name="_Toc1027"/>
      <w:bookmarkEnd w:id="2228"/>
      <w:r>
        <w:rPr>
          <w:rtl w:val="true"/>
        </w:rPr>
        <w:t>توضیح</w:t>
      </w:r>
      <w:bookmarkEnd w:id="2229"/>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نَعَر العِرقُ یَنعَرُ نَعراً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از رگ فوّاره زد،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عِرق نعّار و نَعُور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رگی است که خون از آن فوّاره زده و می جهد</w:t>
      </w:r>
      <w:r>
        <w:rPr>
          <w:rFonts w:eastAsia="IRNazanin" w:cs="IRNazanin"/>
          <w:color w:val="111111"/>
          <w:sz w:val="28"/>
          <w:szCs w:val="28"/>
          <w:rtl w:val="true"/>
          <w:lang w:bidi="fa-IR"/>
        </w:rPr>
        <w:t>.</w:t>
      </w:r>
    </w:p>
    <w:p>
      <w:pPr>
        <w:pStyle w:val="Heading5"/>
        <w:numPr>
          <w:ilvl w:val="4"/>
          <w:numId w:val="1"/>
        </w:numPr>
        <w:rPr/>
      </w:pPr>
      <w:bookmarkStart w:id="2230" w:name="__RefHeading___Toc606968_1934241801"/>
      <w:bookmarkStart w:id="2231" w:name="_Toc1028"/>
      <w:bookmarkEnd w:id="2230"/>
      <w:r>
        <w:rPr>
          <w:rtl w:val="true"/>
        </w:rPr>
        <w:t xml:space="preserve">روایت </w:t>
      </w:r>
      <w:r>
        <w:rPr/>
        <w:t>41</w:t>
      </w:r>
      <w:bookmarkEnd w:id="2231"/>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پس از سه روز از آغاز بیماری انجام می پذیرد، و عیادت بر زنان واجب نیست</w:t>
      </w:r>
      <w:r>
        <w:rPr>
          <w:rFonts w:eastAsia="IRNazanin" w:cs="IRNazanin"/>
          <w:color w:val="111111"/>
          <w:sz w:val="28"/>
          <w:szCs w:val="28"/>
          <w:rtl w:val="true"/>
          <w:lang w:bidi="fa-IR"/>
        </w:rPr>
        <w:t>.</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همچنین از امام علی علیه السلام روایت شده که رسول خدا صلّی الله علیه و آله نهی فرمود از اینکه عیادت کننده نزد بیمار چیزی بخورد، در این صورت خداوند اجر عیادتش را از بین خواهد برد</w:t>
      </w:r>
      <w:r>
        <w:rPr>
          <w:rFonts w:eastAsia="IRNazanin" w:cs="IRNazanin"/>
          <w:color w:val="111111"/>
          <w:sz w:val="28"/>
          <w:szCs w:val="28"/>
          <w:rtl w:val="true"/>
          <w:lang w:bidi="fa-IR"/>
        </w:rPr>
        <w:t>.</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روایت شده است که امام حسن بن علی علیهما اسلام بیمار گشت، پس عَمرِو بن حُرَیث به عیادت ایشان آمد و در این هنگام امام علی علیه السلام نیز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آیا از حسن عیادت می کنی حال آنکه در درونت نسبت به ما چه ها می گذرد؟ ولی این امر مانع نمی شود که نصیحتی را به تو ادا کنم، از رسول خدا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مسلمانی به عیادت بیماری نمی رود مگر آنکه هفتاد هزار فرشته از لحظه ای که عیادت را آغاز می کند بر او درود می فرستند، اگر عیادت در روز انجام پذیرد این درود فرستادن تا شب و اگر در شب انجام پذیرد تا طلوع فجر ادامه خواهد یافت</w:t>
      </w:r>
      <w:r>
        <w:rPr>
          <w:rFonts w:eastAsia="IRNazanin" w:cs="IRNazanin"/>
          <w:color w:val="111111"/>
          <w:sz w:val="28"/>
          <w:szCs w:val="28"/>
          <w:rtl w:val="true"/>
          <w:lang w:bidi="fa-IR"/>
        </w:rPr>
        <w:t>.</w:t>
      </w:r>
      <w:r>
        <w:rPr>
          <w:rStyle w:val="FootnoteAnchor"/>
          <w:rtl w:val="true"/>
        </w:rPr>
        <w:footnoteReference w:id="1115"/>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شده است که امام علی علیه السلام به عیادت زید بن أرقم رفت، هنگامی  که امام بر زید وارد شد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امیرالمؤمنین که به عیادت می آید در حالی که به ما ایراد گرفته و سرزنش مان می کند،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مرا از عیادت تو باز نمی دارد، همانا هر کسی که به خاطر طلب رحمت خداوند به عیادت بیماری برود و خواستار برآورده شدن وعده های خداوند باشد، تا زمانی که نزد بیمار نشسته است گویا در میان میوه ها و درخت های بهشت نشسته است، تا هنگامی  که از نزد بیمار خارج  شود خداوند در آن روز هفتاد هزار فرشته را مأمور می گرداند که تا شب بر او درود فرستند، و اگر شامگاهان به عیادت برود، تا زمانی که نزد بیمار نشسته است گویا که در میان میوه ها و درخت های بهشت نشسته است، و هنگامی  که از نزد بیمار خارج می شود خداوند هفتاد هزار فرشته را </w:t>
      </w:r>
      <w:bookmarkStart w:id="2232" w:name="pg13517_329260"/>
    </w:p>
    <w:p>
      <w:pPr>
        <w:pStyle w:val="BookText"/>
        <w:rPr/>
      </w:pPr>
      <w:bookmarkEnd w:id="2232"/>
      <w:r>
        <w:rPr>
          <w:rFonts w:ascii="Amiri" w:hAnsi="Amiri" w:eastAsia="Amiri" w:cs="Amiri"/>
          <w:color w:val="111111"/>
          <w:sz w:val="28"/>
          <w:sz w:val="28"/>
          <w:szCs w:val="28"/>
          <w:rtl w:val="true"/>
          <w:lang w:bidi="ar-SA"/>
        </w:rPr>
        <w:t>يُصَلُّونَ عَلَيْهِ حَتَّي الصَّبَاحِ فَأَحْبَبْتُ أَنْ أَتَعَجَّلَ ذَلِكَ‌</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3" w:name="__RefHeading___Toc606970_1934241801"/>
      <w:bookmarkStart w:id="2234" w:name="_Toc1029"/>
      <w:bookmarkEnd w:id="2233"/>
      <w:r>
        <w:rPr>
          <w:rtl w:val="true"/>
        </w:rPr>
        <w:t>«</w:t>
      </w:r>
      <w:r>
        <w:rPr/>
        <w:t>42</w:t>
      </w:r>
      <w:r>
        <w:rPr>
          <w:rtl w:val="true"/>
        </w:rPr>
        <w:t>»</w:t>
      </w:r>
      <w:bookmarkEnd w:id="2234"/>
    </w:p>
    <w:p>
      <w:pPr>
        <w:pStyle w:val="BookText"/>
        <w:rPr/>
      </w:pPr>
      <w:r>
        <w:rPr>
          <w:rFonts w:ascii="Amiri" w:hAnsi="Amiri" w:eastAsia="Amiri" w:cs="Amiri"/>
          <w:color w:val="111111"/>
          <w:sz w:val="28"/>
          <w:sz w:val="28"/>
          <w:szCs w:val="28"/>
          <w:rtl w:val="true"/>
          <w:lang w:bidi="ar-SA"/>
        </w:rPr>
        <w:t>الْمَجَازَاتُ النَّبَوِيَّةُ،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 مَرِيضاً لَمْ يَزَلْ يَخُوضُ الرَّحْمَةَ حَتَّي يَجْلِسَ فَإِذَا جَلَسَ اغْتَمَسَ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ره هذه استعارة و المراد العبارة عن كثرة ما يختص به عائد المريض من الأجر الوافر و الثواب الغامر فشبهه صلي الله عليه و آله لهذه الحال بخائض الغمر في مشيته و المغتمس فيه عند جلسته‌</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و في هذا الكلام مجاز علي التأويلين جميعا، فان كان المراد المخارف جمع مخرف و هو جني النخل، فكأنّه عليه السلام شهد لعائد المريض بدخول الجنة، و حقق له ذلك حتّي عبر عنه و هو بعد في دار التكليف بعبارة من صار الي دار الخلود، ثقة له بالوصول الي الجنة و النزول في دار الامنة، و هذا موضع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المراد بالمخارف جمع مخرفة و هي الطريق كما روي عن بعض الصحابة أنّه قال 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تركتكم علي مثل مخرفة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طريق النعم الواضح الذي أعلمته بأخفافها و اعتدته بكثرة غدوها و رواحها فموضع المجاز أنه عليه السلام جعل عائد المريض كالماشي في طريق يفضي به الي الجنة و يوصله الي دار المقامة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مأمور می گرداند که تا صبح بر او درود فرستند، و من دوست داشتم با عیادت از تو هر چه سریع تر شامل این درود و رحمت شوم</w:t>
      </w:r>
      <w:r>
        <w:rPr>
          <w:rFonts w:eastAsia="IRNazanin" w:cs="IRNazanin"/>
          <w:color w:val="111111"/>
          <w:sz w:val="28"/>
          <w:szCs w:val="28"/>
          <w:rtl w:val="true"/>
          <w:lang w:bidi="fa-IR"/>
        </w:rPr>
        <w:t>.</w:t>
      </w:r>
      <w:r>
        <w:rPr>
          <w:rStyle w:val="FootnoteAnchor"/>
          <w:rtl w:val="true"/>
        </w:rPr>
        <w:footnoteReference w:id="1118"/>
      </w:r>
    </w:p>
    <w:p>
      <w:pPr>
        <w:pStyle w:val="Heading5"/>
        <w:numPr>
          <w:ilvl w:val="4"/>
          <w:numId w:val="1"/>
        </w:numPr>
        <w:rPr/>
      </w:pPr>
      <w:bookmarkStart w:id="2235" w:name="__RefHeading___Toc606972_1934241801"/>
      <w:bookmarkStart w:id="2236" w:name="_Toc1030"/>
      <w:bookmarkEnd w:id="2235"/>
      <w:r>
        <w:rPr>
          <w:rtl w:val="true"/>
        </w:rPr>
        <w:t xml:space="preserve">روایت </w:t>
      </w:r>
      <w:r>
        <w:rPr/>
        <w:t>42</w:t>
      </w:r>
      <w:bookmarkEnd w:id="2236"/>
    </w:p>
    <w:p>
      <w:pPr>
        <w:pStyle w:val="BookText"/>
        <w:rPr/>
      </w:pP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بیماری عیادت کند، تا زمانی که می نشیند پیوسته در رحمت خداوند وارد می گردد و هنگامی  که بنشیند در رحمت او غرق می شود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رحمة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استعاره است و مقصود، بیان کثرت اجر وافر و ثواب بسیاری است که به عیادت کننده اختصاص می یابد، پس پیامبر صلّی الله علیه وآله عیادت کننده را در حال راه رفتن، به فرو رونده در آب بسیار و در حال نشستن، به غرق شونده در آن تشبیه کرده است</w:t>
      </w:r>
      <w:r>
        <w:rPr>
          <w:rFonts w:eastAsia="IRNazanin" w:cs="IRNazanin"/>
          <w:color w:val="111111"/>
          <w:sz w:val="28"/>
          <w:szCs w:val="28"/>
          <w:rtl w:val="true"/>
          <w:lang w:bidi="fa-IR"/>
        </w:rPr>
        <w:t>.</w:t>
      </w:r>
      <w:r>
        <w:rPr>
          <w:rStyle w:val="FootnoteAnchor"/>
          <w:rtl w:val="true"/>
        </w:rPr>
        <w:footnoteReference w:id="1119"/>
      </w:r>
      <w:bookmarkStart w:id="2237" w:name="pg13517_329261"/>
    </w:p>
    <w:p>
      <w:pPr>
        <w:pStyle w:val="Heading3"/>
        <w:numPr>
          <w:ilvl w:val="2"/>
          <w:numId w:val="1"/>
        </w:numPr>
        <w:rPr/>
      </w:pPr>
      <w:bookmarkStart w:id="2238" w:name="__RefHeading___Toc606974_1934241801"/>
      <w:bookmarkStart w:id="2239" w:name="_Toc1031"/>
      <w:bookmarkEnd w:id="2237"/>
      <w:bookmarkEnd w:id="2238"/>
      <w:r>
        <w:rPr>
          <w:rtl w:val="true"/>
        </w:rPr>
        <w:t xml:space="preserve">باب </w:t>
      </w:r>
      <w:r>
        <w:rPr/>
        <w:t>5</w:t>
      </w:r>
      <w:r>
        <w:rPr>
          <w:rtl w:val="true"/>
        </w:rPr>
        <w:t xml:space="preserve"> </w:t>
      </w:r>
      <w:r>
        <w:rPr>
          <w:rtl w:val="true"/>
        </w:rPr>
        <w:t>آداب الاحتضار و أحكامه</w:t>
      </w:r>
      <w:bookmarkEnd w:id="2239"/>
    </w:p>
    <w:p>
      <w:pPr>
        <w:pStyle w:val="Heading4"/>
        <w:numPr>
          <w:ilvl w:val="3"/>
          <w:numId w:val="1"/>
        </w:numPr>
        <w:rPr/>
      </w:pPr>
      <w:bookmarkStart w:id="2240" w:name="__RefHeading___Toc606976_1934241801"/>
      <w:bookmarkStart w:id="2241" w:name="_Toc1032"/>
      <w:bookmarkEnd w:id="2240"/>
      <w:r>
        <w:rPr>
          <w:rtl w:val="true"/>
        </w:rPr>
        <w:t>روايات</w:t>
      </w:r>
      <w:bookmarkEnd w:id="2241"/>
    </w:p>
    <w:p>
      <w:pPr>
        <w:pStyle w:val="Heading5"/>
        <w:numPr>
          <w:ilvl w:val="4"/>
          <w:numId w:val="1"/>
        </w:numPr>
        <w:rPr/>
      </w:pPr>
      <w:bookmarkStart w:id="2242" w:name="__RefHeading___Toc606978_1934241801"/>
      <w:bookmarkStart w:id="2243" w:name="_Toc1033"/>
      <w:bookmarkEnd w:id="2242"/>
      <w:r>
        <w:rPr>
          <w:rtl w:val="true"/>
        </w:rPr>
        <w:t>«</w:t>
      </w:r>
      <w:r>
        <w:rPr/>
        <w:t>1</w:t>
      </w:r>
      <w:r>
        <w:rPr>
          <w:rtl w:val="true"/>
        </w:rPr>
        <w:t>»</w:t>
      </w:r>
      <w:bookmarkEnd w:id="2243"/>
    </w:p>
    <w:p>
      <w:pPr>
        <w:pStyle w:val="BookText"/>
        <w:rPr/>
      </w:pPr>
      <w:r>
        <w:rPr>
          <w:rFonts w:ascii="Amiri" w:hAnsi="Amiri" w:eastAsia="Amiri" w:cs="Amiri"/>
          <w:color w:val="111111"/>
          <w:sz w:val="28"/>
          <w:sz w:val="28"/>
          <w:szCs w:val="28"/>
          <w:rtl w:val="true"/>
          <w:lang w:bidi="ar-SA"/>
        </w:rPr>
        <w:t>قُرْبُ الْإِسْنَادِ، عَنْ أَحْمَدَ بْنِ مُحَمَّدٍ عَنِ ابْنِ مَحْبُوبٍ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مُوسَي عليه السلام قُلْتُ الْمَرْأَةُ تَقْعُدُ عِنْدَ رَأْسِ الْمَرِيضِ وَ هِيَ حَائِضٌ وَ هُوَ فِي حَدِّ الْمَيِّتِ قَالَ فَقَالَ لَا بَأْسَ أَنْ تُمَرِّضَهُ فَإِذَا خَافُوا عَلَيْهِ وَ قَرُبَ مِنْ ذَلِكَ فَتَنَحَّتْ عَنْهُ وَ تَجَنَّبُ قُرْبَهُ فَإِنَّ الْمَلَائِكَةَ تَأَذَّي بِذَلِكَ‌</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4" w:name="__RefHeading___Toc606980_1934241801"/>
      <w:bookmarkStart w:id="2245" w:name="_Toc1034"/>
      <w:bookmarkEnd w:id="2244"/>
      <w:r>
        <w:rPr>
          <w:rtl w:val="true"/>
        </w:rPr>
        <w:t>بيان</w:t>
      </w:r>
      <w:bookmarkEnd w:id="2245"/>
    </w:p>
    <w:p>
      <w:pPr>
        <w:pStyle w:val="BookText"/>
        <w:rPr/>
      </w:pPr>
      <w:r>
        <w:rPr>
          <w:rFonts w:ascii="Amiri" w:hAnsi="Amiri" w:eastAsia="Amiri" w:cs="Amiri"/>
          <w:color w:val="111111"/>
          <w:sz w:val="28"/>
          <w:sz w:val="28"/>
          <w:szCs w:val="28"/>
          <w:rtl w:val="true"/>
          <w:lang w:bidi="ar-SA"/>
        </w:rPr>
        <w:t>كراهة حضور الحائض و الجنب عند الاحتضار هو المشهور بين الأصحاب بل نسبها في المعتبر إلي أهل العلم و الظاهر اختصاص الكراهة بزمان الاحتضار إلي أن يتحقق الموت و احتمل استمرارها و هل تزول بانقطاع الدم قبل الغسل أو بالتيمم بدل الغسل فيهما إشكال</w:t>
      </w:r>
      <w:r>
        <w:rPr>
          <w:rFonts w:eastAsia="Amiri" w:cs="Amiri" w:ascii="Amiri" w:hAnsi="Amiri"/>
          <w:color w:val="111111"/>
          <w:sz w:val="28"/>
          <w:szCs w:val="28"/>
          <w:rtl w:val="true"/>
          <w:lang w:bidi="ar-SA"/>
        </w:rPr>
        <w:t>.</w:t>
      </w:r>
    </w:p>
    <w:p>
      <w:pPr>
        <w:pStyle w:val="Heading5"/>
        <w:numPr>
          <w:ilvl w:val="4"/>
          <w:numId w:val="1"/>
        </w:numPr>
        <w:rPr/>
      </w:pPr>
      <w:bookmarkStart w:id="2246" w:name="__RefHeading___Toc606982_1934241801"/>
      <w:bookmarkStart w:id="2247" w:name="_Toc1035"/>
      <w:bookmarkEnd w:id="2246"/>
      <w:r>
        <w:rPr>
          <w:rtl w:val="true"/>
        </w:rPr>
        <w:t>«</w:t>
      </w:r>
      <w:r>
        <w:rPr/>
        <w:t>2</w:t>
      </w:r>
      <w:r>
        <w:rPr>
          <w:rtl w:val="true"/>
        </w:rPr>
        <w:t>»</w:t>
      </w:r>
      <w:bookmarkEnd w:id="2247"/>
    </w:p>
    <w:p>
      <w:pPr>
        <w:pStyle w:val="BookText"/>
        <w:rPr/>
      </w:pPr>
      <w:r>
        <w:rPr>
          <w:rFonts w:ascii="Amiri" w:hAnsi="Amiri" w:eastAsia="Amiri" w:cs="Amiri"/>
          <w:color w:val="111111"/>
          <w:sz w:val="28"/>
          <w:sz w:val="28"/>
          <w:szCs w:val="28"/>
          <w:rtl w:val="true"/>
          <w:lang w:bidi="ar-SA"/>
        </w:rPr>
        <w:t>الْعِلَلُ، عَنْ أَبِيهِ بِإِسْنَادٍ مُتَّصِلٍ يَرْفَعُهُ إِلَي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تَحْضُرِ الْحَائِضُ وَ الْجُنُبُ عِنْدَ التَّلْقِينِ إِنَّ الْمَلَائِكَةَ تَتَأَذَّي بِهِمَا</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8" w:name="__RefHeading___Toc606984_1934241801"/>
      <w:bookmarkStart w:id="2249" w:name="_Toc1036"/>
      <w:bookmarkEnd w:id="2248"/>
      <w:r>
        <w:rPr>
          <w:rtl w:val="true"/>
        </w:rPr>
        <w:t>بيان</w:t>
      </w:r>
      <w:bookmarkEnd w:id="2249"/>
    </w:p>
    <w:p>
      <w:pPr>
        <w:pStyle w:val="BookText"/>
        <w:rPr/>
      </w:pPr>
      <w:r>
        <w:rPr>
          <w:rFonts w:ascii="Amiri" w:hAnsi="Amiri" w:eastAsia="Amiri" w:cs="Amiri"/>
          <w:color w:val="111111"/>
          <w:sz w:val="28"/>
          <w:sz w:val="28"/>
          <w:szCs w:val="28"/>
          <w:rtl w:val="true"/>
          <w:lang w:bidi="ar-SA"/>
        </w:rPr>
        <w:t>الظاهر أن المراد بالتلقين هو الذي يستحب عند الاحتضار فهو كناية عن الاحتضار و يحتمل أن يكون حال التلقين أشد كراهة و يحتمل شمول الكراهة حالة كل تلقين لظاهر اللفظ و لعل الأول أظهر بقرينة سائر الأخبار نعم يكره لهما إدخاله قبره كما سيأتي و إن لم يذكره الأكثر</w:t>
      </w:r>
      <w:r>
        <w:rPr>
          <w:rFonts w:eastAsia="Amiri" w:cs="Amiri" w:ascii="Amiri" w:hAnsi="Amiri"/>
          <w:color w:val="111111"/>
          <w:sz w:val="28"/>
          <w:szCs w:val="28"/>
          <w:rtl w:val="true"/>
          <w:lang w:bidi="ar-SA"/>
        </w:rPr>
        <w:t>.</w:t>
      </w:r>
    </w:p>
    <w:p>
      <w:pPr>
        <w:pStyle w:val="Heading5"/>
        <w:numPr>
          <w:ilvl w:val="4"/>
          <w:numId w:val="1"/>
        </w:numPr>
        <w:rPr/>
      </w:pPr>
      <w:bookmarkStart w:id="2250" w:name="__RefHeading___Toc606986_1934241801"/>
      <w:bookmarkStart w:id="2251" w:name="_Toc1037"/>
      <w:bookmarkEnd w:id="2250"/>
      <w:r>
        <w:rPr>
          <w:rtl w:val="true"/>
        </w:rPr>
        <w:t>«</w:t>
      </w:r>
      <w:r>
        <w:rPr/>
        <w:t>3</w:t>
      </w:r>
      <w:r>
        <w:rPr>
          <w:rtl w:val="true"/>
        </w:rPr>
        <w:t>»</w:t>
      </w:r>
      <w:bookmarkEnd w:id="2251"/>
    </w:p>
    <w:p>
      <w:pPr>
        <w:pStyle w:val="BookText"/>
        <w:rPr/>
      </w:pPr>
      <w:r>
        <w:rPr>
          <w:rFonts w:ascii="Amiri" w:hAnsi="Amiri" w:eastAsia="Amiri" w:cs="Amiri"/>
          <w:color w:val="111111"/>
          <w:sz w:val="28"/>
          <w:sz w:val="28"/>
          <w:szCs w:val="28"/>
          <w:rtl w:val="true"/>
          <w:lang w:bidi="ar-SA"/>
        </w:rPr>
        <w:t>الْعِلَلُ، عَنْ مُحَمَّدِ بْنِ عَلِيٍّ مَاجِيلَوَيْهِ عَنْ مُحَمَّدِ بْنِ يَحْيَي الْعَطَّارِ عَنْ مُحَمَّدِ بْنِ أَحْمَدَ عَنْ أَحْمَدَ بْنِ أَبِي عَبْدِ اللَّهِ عَنْ أَبِي الْجَوْزَاءِ عَنِ الْحُسَيْنِ بْنِ عُلْوَانَ</w:t>
      </w:r>
    </w:p>
    <w:p>
      <w:pPr>
        <w:pStyle w:val="Heading3"/>
        <w:numPr>
          <w:ilvl w:val="2"/>
          <w:numId w:val="1"/>
        </w:numPr>
        <w:rPr/>
      </w:pPr>
      <w:bookmarkStart w:id="2252" w:name="__RefHeading___Toc606988_1934241801"/>
      <w:bookmarkStart w:id="2253" w:name="_Toc1038"/>
      <w:bookmarkEnd w:id="2252"/>
      <w:r>
        <w:rPr>
          <w:rtl w:val="true"/>
        </w:rPr>
        <w:t xml:space="preserve">باب پنجم </w:t>
      </w:r>
      <w:r>
        <w:rPr>
          <w:rtl w:val="true"/>
        </w:rPr>
        <w:t xml:space="preserve">: </w:t>
      </w:r>
      <w:r>
        <w:rPr>
          <w:rtl w:val="true"/>
        </w:rPr>
        <w:t>آداب احتضار و احکام آن</w:t>
      </w:r>
      <w:bookmarkEnd w:id="2253"/>
    </w:p>
    <w:p>
      <w:pPr>
        <w:pStyle w:val="Heading4"/>
        <w:numPr>
          <w:ilvl w:val="3"/>
          <w:numId w:val="1"/>
        </w:numPr>
        <w:rPr/>
      </w:pPr>
      <w:bookmarkStart w:id="2254" w:name="__RefHeading___Toc606990_1934241801"/>
      <w:bookmarkStart w:id="2255" w:name="_Toc1039"/>
      <w:bookmarkEnd w:id="2254"/>
      <w:r>
        <w:rPr>
          <w:rtl w:val="true"/>
        </w:rPr>
        <w:t>روایات</w:t>
      </w:r>
      <w:bookmarkEnd w:id="2255"/>
    </w:p>
    <w:p>
      <w:pPr>
        <w:pStyle w:val="Heading5"/>
        <w:numPr>
          <w:ilvl w:val="4"/>
          <w:numId w:val="1"/>
        </w:numPr>
        <w:rPr/>
      </w:pPr>
      <w:bookmarkStart w:id="2256" w:name="__RefHeading___Toc606992_1934241801"/>
      <w:bookmarkStart w:id="2257" w:name="_Toc1040"/>
      <w:bookmarkEnd w:id="2256"/>
      <w:r>
        <w:rPr>
          <w:rtl w:val="true"/>
        </w:rPr>
        <w:t xml:space="preserve">روایت </w:t>
      </w:r>
      <w:r>
        <w:rPr/>
        <w:t>1</w:t>
      </w:r>
      <w:bookmarkEnd w:id="225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زنی که در دوران حیض است بر بالین بیماری می نشیند که در مرز مرگ قرار 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از او پرستاری کند، ولی هنگامی  که بر جان بیمار بترسند و زمان مرگ او نزدیک شود، زن حائض باید از او کناره گرفته و از نزدیک شدن خودداری کند، چرا که فرشتگان از حضور زن حائض آزرده می شوند</w:t>
      </w:r>
      <w:r>
        <w:rPr>
          <w:rFonts w:eastAsia="IRNazanin" w:cs="IRNazanin"/>
          <w:color w:val="111111"/>
          <w:sz w:val="28"/>
          <w:szCs w:val="28"/>
          <w:rtl w:val="true"/>
          <w:lang w:bidi="fa-IR"/>
        </w:rPr>
        <w:t>.</w:t>
      </w:r>
      <w:r>
        <w:rPr>
          <w:rStyle w:val="FootnoteAnchor"/>
          <w:rtl w:val="true"/>
        </w:rPr>
        <w:footnoteReference w:id="1122"/>
      </w:r>
    </w:p>
    <w:p>
      <w:pPr>
        <w:pStyle w:val="Heading5"/>
        <w:numPr>
          <w:ilvl w:val="4"/>
          <w:numId w:val="1"/>
        </w:numPr>
        <w:rPr/>
      </w:pPr>
      <w:bookmarkStart w:id="2258" w:name="__RefHeading___Toc606994_1934241801"/>
      <w:bookmarkStart w:id="2259" w:name="_Toc1041"/>
      <w:bookmarkEnd w:id="2258"/>
      <w:r>
        <w:rPr>
          <w:rtl w:val="true"/>
        </w:rPr>
        <w:t>توضیح</w:t>
      </w:r>
      <w:bookmarkEnd w:id="2259"/>
    </w:p>
    <w:p>
      <w:pPr>
        <w:pStyle w:val="BookText"/>
        <w:rPr/>
      </w:pPr>
      <w:r>
        <w:rPr>
          <w:rFonts w:ascii="IRNazanin" w:hAnsi="IRNazanin" w:eastAsia="IRNazanin"/>
          <w:color w:val="111111"/>
          <w:sz w:val="28"/>
          <w:sz w:val="28"/>
          <w:szCs w:val="28"/>
          <w:rtl w:val="true"/>
          <w:lang w:bidi="fa-IR"/>
        </w:rPr>
        <w:t>کراهت حضور یافتن حائض و جنب بر بالین کسی در حال احتضار است، در میان فقها مشهور است، بلکه محقّق در المعتبر این نظر را به علما نسبت داده است، و آشکار است که کراهت، مخصوص زمان احتضار تا تحقق یافتن مرگ است، و در این نکته که آیا کراهت استمرار می یابد و یا با قطع شدن خون حیض و قبل از غسل بدن از غسل کراهت از بین می رود، اشکال و اختلاف نظر وجود دارد</w:t>
      </w:r>
      <w:r>
        <w:rPr>
          <w:rFonts w:eastAsia="IRNazanin" w:cs="IRNazanin"/>
          <w:color w:val="111111"/>
          <w:sz w:val="28"/>
          <w:szCs w:val="28"/>
          <w:rtl w:val="true"/>
          <w:lang w:bidi="fa-IR"/>
        </w:rPr>
        <w:t>.</w:t>
      </w:r>
    </w:p>
    <w:p>
      <w:pPr>
        <w:pStyle w:val="Heading5"/>
        <w:numPr>
          <w:ilvl w:val="4"/>
          <w:numId w:val="1"/>
        </w:numPr>
        <w:rPr/>
      </w:pPr>
      <w:bookmarkStart w:id="2260" w:name="__RefHeading___Toc606996_1934241801"/>
      <w:bookmarkStart w:id="2261" w:name="_Toc1042"/>
      <w:bookmarkEnd w:id="2260"/>
      <w:r>
        <w:rPr>
          <w:rtl w:val="true"/>
        </w:rPr>
        <w:t xml:space="preserve">روایت </w:t>
      </w:r>
      <w:r>
        <w:rPr/>
        <w:t>2</w:t>
      </w:r>
      <w:bookmarkEnd w:id="2261"/>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حائض و جنب هنگام خواندن تلقین، بر بالین کسی که در حال احتضار است حاضر نمی شوند، چرا که فرشتگان از حضور آن ها آزرده می گردند</w:t>
      </w:r>
      <w:r>
        <w:rPr>
          <w:rFonts w:eastAsia="IRNazanin" w:cs="IRNazanin"/>
          <w:color w:val="111111"/>
          <w:sz w:val="28"/>
          <w:szCs w:val="28"/>
          <w:rtl w:val="true"/>
          <w:lang w:bidi="fa-IR"/>
        </w:rPr>
        <w:t>.</w:t>
      </w:r>
      <w:r>
        <w:rPr>
          <w:rStyle w:val="FootnoteAnchor"/>
          <w:rtl w:val="true"/>
        </w:rPr>
        <w:footnoteReference w:id="1123"/>
      </w:r>
    </w:p>
    <w:p>
      <w:pPr>
        <w:pStyle w:val="Heading5"/>
        <w:numPr>
          <w:ilvl w:val="4"/>
          <w:numId w:val="1"/>
        </w:numPr>
        <w:rPr/>
      </w:pPr>
      <w:bookmarkStart w:id="2262" w:name="__RefHeading___Toc606998_1934241801"/>
      <w:bookmarkStart w:id="2263" w:name="_Toc1043"/>
      <w:bookmarkEnd w:id="2262"/>
      <w:r>
        <w:rPr>
          <w:rtl w:val="true"/>
        </w:rPr>
        <w:t>توضیح</w:t>
      </w:r>
      <w:bookmarkEnd w:id="2263"/>
    </w:p>
    <w:p>
      <w:pPr>
        <w:pStyle w:val="BookText"/>
        <w:rPr/>
      </w:pPr>
      <w:r>
        <w:rPr>
          <w:rFonts w:ascii="IRNazanin" w:hAnsi="IRNazanin" w:eastAsia="IRNazanin"/>
          <w:color w:val="111111"/>
          <w:sz w:val="28"/>
          <w:sz w:val="28"/>
          <w:szCs w:val="28"/>
          <w:rtl w:val="true"/>
          <w:lang w:bidi="fa-IR"/>
        </w:rPr>
        <w:t>آشکار است که منظور از تلقین، عبارات و اورادی است که خواندنش بر بالین شخص در حال احتضار مستحب است، بنابراین تلقین کنایه از زمان احتضار است، و ممکن است که حضور حائض و جنب به هنگام خواندن تلقین دارای کراهت بیشتری باشد، همچنین احتمال شمول کراهت هنگام خواندن هر تلقینی وجود دارد آن هم به خاطر ظاهر لفظ، شاید تفسیر نخست به قرینه سایر احادیث صحیح تر به نظر می رسد، آری چنان که ذکر خواهد شد برای جنب و حائض کراهت دارد که مرده را وارد قبر کنند، هر چند بیشتر فقها این نکته را ذکر نکرده اند</w:t>
      </w:r>
      <w:r>
        <w:rPr>
          <w:rFonts w:eastAsia="IRNazanin" w:cs="IRNazanin"/>
          <w:color w:val="111111"/>
          <w:sz w:val="28"/>
          <w:szCs w:val="28"/>
          <w:rtl w:val="true"/>
          <w:lang w:bidi="fa-IR"/>
        </w:rPr>
        <w:t>.</w:t>
      </w:r>
    </w:p>
    <w:p>
      <w:pPr>
        <w:pStyle w:val="Heading5"/>
        <w:numPr>
          <w:ilvl w:val="4"/>
          <w:numId w:val="1"/>
        </w:numPr>
        <w:rPr/>
      </w:pPr>
      <w:bookmarkStart w:id="2264" w:name="__RefHeading___Toc607000_1934241801"/>
      <w:bookmarkStart w:id="2265" w:name="_Toc1044"/>
      <w:bookmarkEnd w:id="2264"/>
      <w:r>
        <w:rPr>
          <w:rtl w:val="true"/>
        </w:rPr>
        <w:t xml:space="preserve">روایت </w:t>
      </w:r>
      <w:r>
        <w:rPr/>
        <w:t>3</w:t>
      </w:r>
      <w:bookmarkEnd w:id="226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bookmarkStart w:id="2266" w:name="pg13517_329262"/>
    </w:p>
    <w:p>
      <w:pPr>
        <w:pStyle w:val="BookText"/>
        <w:rPr/>
      </w:pPr>
      <w:bookmarkEnd w:id="2266"/>
      <w:r>
        <w:rPr>
          <w:rFonts w:ascii="Amiri" w:hAnsi="Amiri" w:eastAsia="Amiri" w:cs="Amiri"/>
          <w:color w:val="111111"/>
          <w:sz w:val="28"/>
          <w:sz w:val="28"/>
          <w:szCs w:val="28"/>
          <w:rtl w:val="true"/>
          <w:lang w:bidi="ar-SA"/>
        </w:rPr>
        <w:t>عَنْ عَمْرِو بْنِ خَالِدٍ عَنْ زَيْدِ بْنِ عَلِيٍّ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صلي الله عليه و آله عَلَي رَجُلٍ مِنْ وُلْدِ عَبْدِ الْمُطَّلِبِ فَإِذَا هُوَ فِي السَّوْقِ‌</w:t>
      </w:r>
      <w:r>
        <w:rPr>
          <w:rStyle w:val="FootnoteAnchor"/>
          <w:rtl w:val="true"/>
        </w:rPr>
        <w:footnoteReference w:id="1124"/>
      </w:r>
      <w:r>
        <w:rPr>
          <w:rFonts w:ascii="Amiri" w:hAnsi="Amiri" w:eastAsia="Amiri" w:cs="Amiri"/>
          <w:color w:val="111111"/>
          <w:sz w:val="28"/>
          <w:sz w:val="28"/>
          <w:szCs w:val="28"/>
          <w:rtl w:val="true"/>
          <w:lang w:bidi="ar-SA"/>
        </w:rPr>
        <w:t>وَ قَدْ وُجِّهَ إِلَي غَيْرِ الْقِبْلَةِ فَقَالَ وَجِّهُوهُ إِلَي الْقِبْلَةِ فَإِنَّكُمْ إِذَا فَعَلْتُمْ ذَلِكَ أَقْبَلَتْ عَلَيْهِ الْمَلَائِكَةُ وَ أَقْبَلَ اللَّهُ عَلَيْهِ بِوَجْهِهِ فَلَمْ يَزَلْ كَذَلِكَ حَتَّي يُقْبَضَ‌</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الإسلام،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عن محمد بن موسي عن عبد الله بن جعفر عن أحمد بن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27"/>
      </w:r>
    </w:p>
    <w:p>
      <w:pPr>
        <w:pStyle w:val="Heading5"/>
        <w:numPr>
          <w:ilvl w:val="4"/>
          <w:numId w:val="1"/>
        </w:numPr>
        <w:rPr/>
      </w:pPr>
      <w:bookmarkStart w:id="2267" w:name="__RefHeading___Toc607002_1934241801"/>
      <w:bookmarkStart w:id="2268" w:name="_Toc1045"/>
      <w:bookmarkEnd w:id="2267"/>
      <w:r>
        <w:rPr>
          <w:rtl w:val="true"/>
        </w:rPr>
        <w:t>بيان</w:t>
      </w:r>
      <w:bookmarkEnd w:id="2268"/>
    </w:p>
    <w:p>
      <w:pPr>
        <w:pStyle w:val="BookText"/>
        <w:rPr/>
      </w:pPr>
      <w:r>
        <w:rPr>
          <w:rFonts w:ascii="Amiri" w:hAnsi="Amiri" w:eastAsia="Amiri" w:cs="Amiri"/>
          <w:color w:val="111111"/>
          <w:sz w:val="28"/>
          <w:sz w:val="28"/>
          <w:szCs w:val="28"/>
          <w:rtl w:val="true"/>
          <w:lang w:bidi="ar-SA"/>
        </w:rPr>
        <w:t>في النهاية فيه دخل سعيد علي عثمان و هو في السوق أي في النزع كان روحه تساق لتخرج من بدنه و يقال له السياق أيضا انتهي و إقبال الملائكة عبارة عن استغفارهم له أو قبض روحه بسهولة و إقبال الله كناية عن الرحمة و الفضل و المغفرة و المشهور بين الأصحاب وجوب الاستقبال بالميت حال الاحتضار و ذهب جماعة من الأصحاب منهم الشيخ في الخلاف و المبسوط و المفيد و المحقق في المعتبر و السيد إلي الاستحباب و اختلف في أنه هل يسقط بالموت أو يجب دوام الاستقبال به حيث يمكن الأحوط ذلك</w:t>
      </w:r>
      <w:r>
        <w:rPr>
          <w:rFonts w:eastAsia="Amiri" w:cs="Amiri" w:ascii="Amiri" w:hAnsi="Amiri"/>
          <w:color w:val="111111"/>
          <w:sz w:val="28"/>
          <w:szCs w:val="28"/>
          <w:rtl w:val="true"/>
          <w:lang w:bidi="ar-SA"/>
        </w:rPr>
        <w:t>.</w:t>
      </w:r>
    </w:p>
    <w:p>
      <w:pPr>
        <w:pStyle w:val="Heading5"/>
        <w:numPr>
          <w:ilvl w:val="4"/>
          <w:numId w:val="1"/>
        </w:numPr>
        <w:rPr/>
      </w:pPr>
      <w:bookmarkStart w:id="2269" w:name="__RefHeading___Toc607004_1934241801"/>
      <w:bookmarkStart w:id="2270" w:name="_Toc1046"/>
      <w:bookmarkEnd w:id="2269"/>
      <w:r>
        <w:rPr>
          <w:rtl w:val="true"/>
        </w:rPr>
        <w:t>«</w:t>
      </w:r>
      <w:r>
        <w:rPr/>
        <w:t>4</w:t>
      </w:r>
      <w:r>
        <w:rPr>
          <w:rtl w:val="true"/>
        </w:rPr>
        <w:t>»</w:t>
      </w:r>
      <w:bookmarkEnd w:id="2270"/>
    </w:p>
    <w:p>
      <w:pPr>
        <w:pStyle w:val="BookText"/>
        <w:rPr/>
      </w:pPr>
      <w:r>
        <w:rPr>
          <w:rFonts w:ascii="Amiri" w:hAnsi="Amiri" w:eastAsia="Amiri" w:cs="Amiri"/>
          <w:color w:val="111111"/>
          <w:sz w:val="28"/>
          <w:sz w:val="28"/>
          <w:szCs w:val="28"/>
          <w:rtl w:val="true"/>
          <w:lang w:bidi="ar-SA"/>
        </w:rPr>
        <w:t>الْخِصَالُ، عَنْ أَحْمَدَ بْنِ زِيَادٍ الْهَمَدَانِيِّ عَنْ عَلِيِّ بْنِ إِبْرَاهِيمَ عَنْ أَبِيهِ عَنْ عَمْرِو بْنِ عُثْمَانَ عَنِ الْحُسَيْنِ بْنِ مُصْعَبٍ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فِي الْبَرَاءِ بْنِ مَعْرُورٍ الْأَنْصَارِيِّ ثَلَاثٌ مِنَ السُّنَنِ مِنْهَا أَنَّهُ لَمَّا حَضَرَتْهُ الْوَفَاةُ كَانَ غَائِباً عَنِ الْمَدِينَةِ فَأَمَرَ أَنْ يُحَوَّلَ وَجْهُهُ إِلَي رَسُولِ اللَّهِ صلي الله عليه و آله وَ أَوْصَي بِالثُّلُثِ مِنْ مَالِهِ</w:t>
      </w:r>
    </w:p>
    <w:p>
      <w:pPr>
        <w:pStyle w:val="BookText"/>
        <w:rPr/>
      </w:pPr>
      <w:r>
        <w:rPr>
          <w:rFonts w:ascii="IRNazanin" w:hAnsi="IRNazanin" w:eastAsia="IRNazanin"/>
          <w:color w:val="111111"/>
          <w:sz w:val="28"/>
          <w:sz w:val="28"/>
          <w:szCs w:val="28"/>
          <w:rtl w:val="true"/>
          <w:lang w:bidi="fa-IR"/>
        </w:rPr>
        <w:t>زید بن علی از پدرانش روایت کرده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بالین مردی از فرزندان عبد المطلب که در حال احتضار بود حاضر گشت، ولی روی او به سویی غیر از قبله چرخانده شده بود،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او را به سوی قبله بچرخانید، چرا که با این کار فرشتگان و خداوند با وجه کریم خویش به او روی می آورند، پس آن مرد همچنان رو به قبله قرار داده شد تا روحش ستانده شد</w:t>
      </w:r>
      <w:r>
        <w:rPr>
          <w:rFonts w:eastAsia="IRNazanin" w:cs="IRNazanin"/>
          <w:color w:val="111111"/>
          <w:sz w:val="28"/>
          <w:szCs w:val="28"/>
          <w:rtl w:val="true"/>
          <w:lang w:bidi="fa-IR"/>
        </w:rPr>
        <w:t>.</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از امام علی علیه السلام روایت شده است</w:t>
      </w:r>
      <w:r>
        <w:rPr>
          <w:rFonts w:eastAsia="IRNazanin" w:cs="IRNazanin"/>
          <w:color w:val="111111"/>
          <w:sz w:val="28"/>
          <w:szCs w:val="28"/>
          <w:rtl w:val="true"/>
          <w:lang w:bidi="fa-IR"/>
        </w:rPr>
        <w:t>.</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روایت شده است</w:t>
      </w:r>
      <w:r>
        <w:rPr>
          <w:rFonts w:eastAsia="IRNazanin" w:cs="IRNazanin"/>
          <w:color w:val="111111"/>
          <w:sz w:val="28"/>
          <w:szCs w:val="28"/>
          <w:rtl w:val="true"/>
          <w:lang w:bidi="fa-IR"/>
        </w:rPr>
        <w:t>.</w:t>
      </w:r>
      <w:r>
        <w:rPr>
          <w:rStyle w:val="FootnoteAnchor"/>
          <w:rtl w:val="true"/>
        </w:rPr>
        <w:footnoteReference w:id="1130"/>
      </w:r>
    </w:p>
    <w:p>
      <w:pPr>
        <w:pStyle w:val="Heading5"/>
        <w:numPr>
          <w:ilvl w:val="4"/>
          <w:numId w:val="1"/>
        </w:numPr>
        <w:rPr/>
      </w:pPr>
      <w:bookmarkStart w:id="2271" w:name="__RefHeading___Toc607006_1934241801"/>
      <w:bookmarkStart w:id="2272" w:name="_Toc1047"/>
      <w:bookmarkEnd w:id="2271"/>
      <w:r>
        <w:rPr>
          <w:rtl w:val="true"/>
        </w:rPr>
        <w:t>توضیح</w:t>
      </w:r>
      <w:bookmarkEnd w:id="2272"/>
    </w:p>
    <w:p>
      <w:pPr>
        <w:pStyle w:val="BookText"/>
        <w:rPr/>
      </w:pPr>
      <w:r>
        <w:rPr>
          <w:rFonts w:ascii="IRNazanin" w:hAnsi="IRNazanin" w:eastAsia="IRNazanin"/>
          <w:color w:val="111111"/>
          <w:sz w:val="28"/>
          <w:sz w:val="28"/>
          <w:szCs w:val="28"/>
          <w:rtl w:val="true"/>
          <w:lang w:bidi="fa-IR"/>
        </w:rPr>
        <w:t>شیخ در النهایة در تفسیر این حدیث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سعید علی عثمان و هو فی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بر عثمان که در حال احتضار بود وارد گشت، گویا روحش هُل داده می شد تا از جسمش خارج شود، همچنین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می شود، 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اقبال و رو آوردن فرشتگان عبارت از استغفار آنان برای بیمار در حال احتضار یا طلب ستاندن روح به آسانی است، و اقبال و رو آوردن خداوند کنایه از رحمت، فضل و مغفرت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مشهور در بین فقها وجوب چرخاندن روی شخص در حال احتضار به سوی قبله است، گروهی از فقها مانند شیخ در الخلاف و المبسوط، شیخ مفید، محقق در المعتبر و سیّد به استحباب این امر اعتقاد دارند، و بر سر این نکته اختلاف نظر وجود دارد که آیا این حکم با مردن شخصِ در حال احتضار ساقط می شود یا تا زمانی که امکان دارد باید رو به قبله خوابانده شود؟ و شرط احتیاط آن است که تا زمانی که امکان دارد میّت رو به قبله خوابانده شود </w:t>
      </w:r>
      <w:r>
        <w:rPr>
          <w:rFonts w:eastAsia="IRNazanin" w:cs="IRNazanin"/>
          <w:color w:val="111111"/>
          <w:sz w:val="28"/>
          <w:szCs w:val="28"/>
          <w:rtl w:val="true"/>
          <w:lang w:bidi="fa-IR"/>
        </w:rPr>
        <w:t>.</w:t>
      </w:r>
    </w:p>
    <w:p>
      <w:pPr>
        <w:pStyle w:val="Heading5"/>
        <w:numPr>
          <w:ilvl w:val="4"/>
          <w:numId w:val="1"/>
        </w:numPr>
        <w:rPr/>
      </w:pPr>
      <w:bookmarkStart w:id="2273" w:name="__RefHeading___Toc607008_1934241801"/>
      <w:bookmarkStart w:id="2274" w:name="_Toc1048"/>
      <w:bookmarkEnd w:id="2273"/>
      <w:r>
        <w:rPr>
          <w:rtl w:val="true"/>
        </w:rPr>
        <w:t xml:space="preserve">روایت </w:t>
      </w:r>
      <w:r>
        <w:rPr/>
        <w:t>4</w:t>
      </w:r>
      <w:bookmarkEnd w:id="227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براء بن معرور انصاری سه سنّت اجرا شد، از جمله اینکه هنگامی  که در حال احتضار قرار داشت خارج از مدینه بود، پس امر کرد که صورت او را به سوی رسول خدا صلّی الله علیه و آله بچرخانند، و وصیّت کرد که یک سوّم اموالش را ببخشند، </w:t>
      </w:r>
      <w:bookmarkStart w:id="2275" w:name="pg13517_329263"/>
    </w:p>
    <w:p>
      <w:pPr>
        <w:pStyle w:val="BookText"/>
        <w:rPr/>
      </w:pPr>
      <w:bookmarkEnd w:id="2275"/>
      <w:r>
        <w:rPr>
          <w:rFonts w:ascii="Amiri" w:hAnsi="Amiri" w:eastAsia="Amiri" w:cs="Amiri"/>
          <w:color w:val="111111"/>
          <w:sz w:val="28"/>
          <w:sz w:val="28"/>
          <w:szCs w:val="28"/>
          <w:rtl w:val="true"/>
          <w:lang w:bidi="ar-SA"/>
        </w:rPr>
        <w:t>فَنَزَلَ الْكِتَابُ بِالْقِبْلَةِ وَ جَرَتِ السُّنَّةُ بِالثُّلُثِ تَمَامَ الْخَبَرِ</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6" w:name="__RefHeading___Toc607010_1934241801"/>
      <w:bookmarkStart w:id="2277" w:name="_Toc1049"/>
      <w:bookmarkEnd w:id="2276"/>
      <w:r>
        <w:rPr>
          <w:rtl w:val="true"/>
        </w:rPr>
        <w:t>«</w:t>
      </w:r>
      <w:r>
        <w:rPr/>
        <w:t>5</w:t>
      </w:r>
      <w:r>
        <w:rPr>
          <w:rtl w:val="true"/>
        </w:rPr>
        <w:t>»</w:t>
      </w:r>
      <w:bookmarkEnd w:id="2277"/>
    </w:p>
    <w:p>
      <w:pPr>
        <w:pStyle w:val="BookText"/>
        <w:rPr/>
      </w:pPr>
      <w:r>
        <w:rPr>
          <w:rFonts w:ascii="Amiri" w:hAnsi="Amiri" w:eastAsia="Amiri" w:cs="Amiri"/>
          <w:color w:val="111111"/>
          <w:sz w:val="28"/>
          <w:sz w:val="28"/>
          <w:szCs w:val="28"/>
          <w:rtl w:val="true"/>
          <w:lang w:bidi="ar-SA"/>
        </w:rPr>
        <w:t>وَ مِنْهُ، عَنْ أَحْمَدَ بْنِ الْحَسَنِ الْقَطَّانِ عَنِ الْحَسَنِ بْنِ عَلِيٍّ السُّكَّرِيِّ عَنْ مُحَمَّدِ بْنِ زَكَرِيَّا الْبَصْرِيِّ عَنْ جَعْفَرِ بْنِ مُحَمَّدِ بْنِ عُمَارَةَ عَنْ أَبِيهِ عَنْ جَابِرٍ الْجُعْفِيِّ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لِلْمَرْأَةِ الْحَائِضِ وَ لَا الْجُنُبِ الْحُضُورُ عِنْدَ تَلْقِينِ الْمَيِّتِ لِأَنَّ الْمَلَائِكَةَ تَتَأَذَّي بِهِمَا وَ لَا يَجُوزُ لَهُمَا إِدْخَالُ الْمَيِّتِ قَبْرَهُ‌</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8" w:name="__RefHeading___Toc607012_1934241801"/>
      <w:bookmarkStart w:id="2279" w:name="_Toc1050"/>
      <w:bookmarkEnd w:id="2278"/>
      <w:r>
        <w:rPr>
          <w:rtl w:val="true"/>
        </w:rPr>
        <w:t>«</w:t>
      </w:r>
      <w:r>
        <w:rPr/>
        <w:t>6</w:t>
      </w:r>
      <w:r>
        <w:rPr>
          <w:rtl w:val="true"/>
        </w:rPr>
        <w:t>»</w:t>
      </w:r>
      <w:bookmarkEnd w:id="2279"/>
    </w:p>
    <w:p>
      <w:pPr>
        <w:pStyle w:val="BookText"/>
        <w:rPr/>
      </w:pPr>
      <w:r>
        <w:rPr>
          <w:rFonts w:ascii="Amiri" w:hAnsi="Amiri" w:eastAsia="Amiri" w:cs="Amiri"/>
          <w:color w:val="111111"/>
          <w:sz w:val="28"/>
          <w:sz w:val="28"/>
          <w:szCs w:val="28"/>
          <w:rtl w:val="true"/>
          <w:lang w:bidi="ar-SA"/>
        </w:rPr>
        <w:t>ثَوَابُ الْأَعْمَالِ، وَ مَجَالِسُ الصَّدُوقِ، عَنْ مُحَمَّدِ بْنِ عَلِيٍّ مَاجِيلَوَيْهِ عَنْ مُحَمَّدِ بْنِ يَحْيَي الْعَطَّارِ عَنْ مُحَمَّدِ بْنِ أَحْمَدَ بْنِ يَحْيَي عَنِ الْحَسَنِ بْنِ مُوسَي الْخَشَّابِ عَنْ غِيَاثِ بْنِ كَلُّوبٍ عَنْ إِسْحَاقَ بْنِ عَمَّارٍ عَنِ الصَّادِقِ عَنْ آبَائِهِ عليهم السلام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لَقِّنُوا مَوْتَاكُمْ لَا إِلَهَ إِلَّا اللَّهُ فَإِنَّ مَنْ كَانَ آخِرُ كَلَامِهِ لَا إِلَهَ إِلَّا اللَّهُ دَخَلَ الْجَنَّةَ</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0" w:name="__RefHeading___Toc607014_1934241801"/>
      <w:bookmarkStart w:id="2281" w:name="_Toc1051"/>
      <w:bookmarkEnd w:id="2280"/>
      <w:r>
        <w:rPr>
          <w:rtl w:val="true"/>
        </w:rPr>
        <w:t>«</w:t>
      </w:r>
      <w:r>
        <w:rPr/>
        <w:t>7</w:t>
      </w:r>
      <w:r>
        <w:rPr>
          <w:rtl w:val="true"/>
        </w:rPr>
        <w:t>»</w:t>
      </w:r>
      <w:bookmarkEnd w:id="2281"/>
    </w:p>
    <w:p>
      <w:pPr>
        <w:pStyle w:val="BookText"/>
        <w:rPr/>
      </w:pPr>
      <w:r>
        <w:rPr>
          <w:rFonts w:ascii="Amiri" w:hAnsi="Amiri" w:eastAsia="Amiri" w:cs="Amiri"/>
          <w:color w:val="111111"/>
          <w:sz w:val="28"/>
          <w:sz w:val="28"/>
          <w:szCs w:val="28"/>
          <w:rtl w:val="true"/>
          <w:lang w:bidi="ar-SA"/>
        </w:rPr>
        <w:t>مَجَالِسُ ابْنِ الشَّيْخِ، عَنْ أَبِيهِ عَنِ الْمُفِيدِ عَنْ مُحَمَّدِ بْنِ الْحُسَيْنِ الْمُقْرِي عَنْ عَلِيِّ بْنِ مُحَمَّدٍ عَنْ عَلِيِّ بْنِ الْحُسَيْنِ عَنِ الْحَسَنِ بْنِ عَلِيِّ بْنِ يُوسُفَ عَنْ زَكَرِيَّا الْمُؤْمِنِ عَنْ سَعِيدِ بْنِ يَسَارٍ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حَضَرَ شَابّاً عِنْدَ وَفَاتِهِ فَقَالَ لَهُ قُلْ لَا إِلَهَ إِلَّا اللَّهُ قَالَ فَاعْتُقِلَ لِسَانُهُ مِرَاراً فَقَالَ لِامْرَأَةٍ عِنْدَ رَأْسِهِ هَلْ لِهَذَا أُمٌّ قَالَتْ نَعَمْ أَنَا أُمُّهُ قَالَ أَ فَسَاخِطَةٌ أَنْتِ عَلَيْهِ قَالَتْ نَعَمْ مَا كَلَّمْتُهُ مُنْذُ سِتِّ حِجَجٍ قَالَ لَهَا ارْضَيْ عَنْهُ قَالَتْ رَضِيَ اللَّهُ عَنْهُ بِرِضَاكَ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صلي الله عليه و آله قُلْ لَا إِلَهَ إِلَّا اللَّهُ قَالَ فَقَالَهَا فَقَالَ النَّبِيُّ صلي الله عليه و آله مَا تَرَي فَقَالَ أَرَي رَجُلًا أَسْوَدَ قَبِيحَ الْمَنْظَرِ وَسِخَ الثِّيَابِ مُنْتِنَ الرِّيحِ قَدْ وَلِيَنِي</w:t>
      </w:r>
    </w:p>
    <w:p>
      <w:pPr>
        <w:pStyle w:val="BookText"/>
        <w:rPr/>
      </w:pPr>
      <w:r>
        <w:rPr>
          <w:rFonts w:ascii="IRNazanin" w:hAnsi="IRNazanin" w:eastAsia="IRNazanin"/>
          <w:color w:val="111111"/>
          <w:sz w:val="28"/>
          <w:sz w:val="28"/>
          <w:szCs w:val="28"/>
          <w:rtl w:val="true"/>
          <w:lang w:bidi="fa-IR"/>
        </w:rPr>
        <w:t>بنابراین حکم خواباندن میّت رو به قبله در قرآن نازل شد و بخشیدن یک سوّم اموال تبدیل به سنّت گشت، پایان حدیث</w:t>
      </w:r>
      <w:r>
        <w:rPr>
          <w:rFonts w:eastAsia="IRNazanin" w:cs="IRNazanin"/>
          <w:color w:val="111111"/>
          <w:sz w:val="28"/>
          <w:szCs w:val="28"/>
          <w:rtl w:val="true"/>
          <w:lang w:bidi="fa-IR"/>
        </w:rPr>
        <w:t>.</w:t>
      </w:r>
      <w:r>
        <w:rPr>
          <w:rStyle w:val="FootnoteAnchor"/>
          <w:rtl w:val="true"/>
        </w:rPr>
        <w:footnoteReference w:id="1134"/>
      </w:r>
    </w:p>
    <w:p>
      <w:pPr>
        <w:pStyle w:val="Heading5"/>
        <w:numPr>
          <w:ilvl w:val="4"/>
          <w:numId w:val="1"/>
        </w:numPr>
        <w:rPr/>
      </w:pPr>
      <w:bookmarkStart w:id="2282" w:name="__RefHeading___Toc607016_1934241801"/>
      <w:bookmarkStart w:id="2283" w:name="_Toc1052"/>
      <w:bookmarkEnd w:id="2282"/>
      <w:r>
        <w:rPr>
          <w:rtl w:val="true"/>
        </w:rPr>
        <w:t xml:space="preserve">روایت </w:t>
      </w:r>
      <w:r>
        <w:rPr/>
        <w:t>5</w:t>
      </w:r>
      <w:bookmarkEnd w:id="2283"/>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حائض و جنب جایز نیست که هنگام خواندن تلقین میّت حضور داشته باشند، چرا که فرشتگان با حضور آن دو آزرده می شوند، همچنین جایز نیست که حائض و جنب میّت را وارد قبرش کنند</w:t>
      </w:r>
      <w:r>
        <w:rPr>
          <w:rFonts w:eastAsia="IRNazanin" w:cs="IRNazanin"/>
          <w:color w:val="111111"/>
          <w:sz w:val="28"/>
          <w:szCs w:val="28"/>
          <w:rtl w:val="true"/>
          <w:lang w:bidi="fa-IR"/>
        </w:rPr>
        <w:t>.</w:t>
      </w:r>
      <w:r>
        <w:rPr>
          <w:rStyle w:val="FootnoteAnchor"/>
          <w:rtl w:val="true"/>
        </w:rPr>
        <w:footnoteReference w:id="1135"/>
      </w:r>
    </w:p>
    <w:p>
      <w:pPr>
        <w:pStyle w:val="Heading5"/>
        <w:numPr>
          <w:ilvl w:val="4"/>
          <w:numId w:val="1"/>
        </w:numPr>
        <w:rPr/>
      </w:pPr>
      <w:bookmarkStart w:id="2284" w:name="__RefHeading___Toc607018_1934241801"/>
      <w:bookmarkStart w:id="2285" w:name="_Toc1053"/>
      <w:bookmarkEnd w:id="2284"/>
      <w:r>
        <w:rPr>
          <w:rtl w:val="true"/>
        </w:rPr>
        <w:t xml:space="preserve">روایت </w:t>
      </w:r>
      <w:r>
        <w:rPr/>
        <w:t>6</w:t>
      </w:r>
      <w:bookmarkEnd w:id="2285"/>
    </w:p>
    <w:p>
      <w:pPr>
        <w:pStyle w:val="BookText"/>
        <w:rPr/>
      </w:pPr>
      <w:r>
        <w:rPr>
          <w:rFonts w:ascii="IRNazanin" w:hAnsi="IRNazanin" w:eastAsia="IRNazanin"/>
          <w:color w:val="111111"/>
          <w:sz w:val="28"/>
          <w:sz w:val="28"/>
          <w:szCs w:val="28"/>
          <w:rtl w:val="true"/>
          <w:lang w:bidi="fa-IR"/>
        </w:rPr>
        <w:t>ثواب الأعمال و 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 السلام روایت کرده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مردگان خود تلقین کنید، به راستی هر کسی که آخرین کلامش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وارد بهشت می شود</w:t>
      </w:r>
      <w:r>
        <w:rPr>
          <w:rFonts w:eastAsia="IRNazanin" w:cs="IRNazanin"/>
          <w:color w:val="111111"/>
          <w:sz w:val="28"/>
          <w:szCs w:val="28"/>
          <w:rtl w:val="true"/>
          <w:lang w:bidi="fa-IR"/>
        </w:rPr>
        <w:t>.</w:t>
      </w:r>
      <w:r>
        <w:rPr>
          <w:rStyle w:val="FootnoteAnchor"/>
          <w:rtl w:val="true"/>
        </w:rPr>
        <w:footnoteReference w:id="1136"/>
      </w:r>
    </w:p>
    <w:p>
      <w:pPr>
        <w:pStyle w:val="Heading5"/>
        <w:numPr>
          <w:ilvl w:val="4"/>
          <w:numId w:val="1"/>
        </w:numPr>
        <w:rPr/>
      </w:pPr>
      <w:bookmarkStart w:id="2286" w:name="__RefHeading___Toc607020_1934241801"/>
      <w:bookmarkStart w:id="2287" w:name="_Toc1054"/>
      <w:bookmarkEnd w:id="2286"/>
      <w:r>
        <w:rPr>
          <w:rtl w:val="true"/>
        </w:rPr>
        <w:t xml:space="preserve">روایت </w:t>
      </w:r>
      <w:r>
        <w:rPr/>
        <w:t>7</w:t>
      </w:r>
      <w:bookmarkEnd w:id="2287"/>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یسار روایت شده که از امام صادق علیه السلام شنیدم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بالین جوانی که در حال احتضار بود حاضر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آن جوان چند مرتبه دچار لکنت زبان شد، پس پیامبر به زنی که در کنار سر آن جوان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جوان مادر دارد؟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مادرش هستم،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پسرت خشمگین هستی؟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شش سال است که با او سخن نگفته ام، 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راضی باش و او را ببخش،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خداوند با رضایت شما از او راضی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 صلّی الله علیه وآله به آن جوان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بینی؟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سیاه، زشت چهره، با لباس کثیف و بوی نامطبوع که </w:t>
      </w:r>
      <w:bookmarkStart w:id="2288" w:name="pg13517_329264"/>
    </w:p>
    <w:p>
      <w:pPr>
        <w:pStyle w:val="BookText"/>
        <w:rPr/>
      </w:pPr>
      <w:bookmarkEnd w:id="2288"/>
      <w:r>
        <w:rPr>
          <w:rFonts w:ascii="Amiri" w:hAnsi="Amiri" w:eastAsia="Amiri" w:cs="Amiri"/>
          <w:color w:val="111111"/>
          <w:sz w:val="28"/>
          <w:sz w:val="28"/>
          <w:szCs w:val="28"/>
          <w:rtl w:val="true"/>
          <w:lang w:bidi="ar-SA"/>
        </w:rPr>
        <w:t>السَّاعَةَ يَأْخُذُ بِكَظَمِي‌</w:t>
      </w:r>
      <w:r>
        <w:rPr>
          <w:rStyle w:val="FootnoteAnchor"/>
          <w:rtl w:val="true"/>
        </w:rPr>
        <w:footnoteReference w:id="1137"/>
      </w:r>
      <w:r>
        <w:rPr>
          <w:rFonts w:ascii="Amiri" w:hAnsi="Amiri" w:eastAsia="Amiri" w:cs="Amiri"/>
          <w:color w:val="111111"/>
          <w:sz w:val="28"/>
          <w:sz w:val="28"/>
          <w:szCs w:val="28"/>
          <w:rtl w:val="true"/>
          <w:lang w:bidi="ar-SA"/>
        </w:rPr>
        <w:t>فَقَالَ لَهُ النَّبِيُّ صلي الله عليه و آله قُلْ يَا مَنْ يَقْبَلُ الْيَسِيرَ وَ يَعْفُو عَنِ الْكَثِيرِ اقْبَلْ مِنِّي الْيَسِيرَ وَ اعْفُ عَنِّي الْكَثِيرَ إِنَّكَ أَنْتَ الْغَفُورُ الرَّحِيمُ فَقَالَهَا الشَّابُّ فَقَالَ لَهُ النَّبِيُّ صلي الله عليه و آله انْظُرْ مَا تَرَي قَالَ أَرَي رَجُلًا أَبْيَضَ اللَّوْنِ حَسَنَ الْوَجْهِ طَيِّبَ الرِّيحِ حَسَنَ الثِّيَابِ قَدْ وَلِيَنِي وَ أَرَي الْأَسْوَدَ قَدْ تَوَلَّي عَنِّي قَالَ أَعِدْ فَأَعَادَ قَالَ مَا تَرَي قَالَ لَسْتُ أَرَي الْأَسْوَدَ وَ أَرَي الْأَبْيَضَ قَدْ وَلِيَنِي ثُمَّ طَفَا عَلَي تِلْكَ الْحَالِ‌</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المفيد، عن محمد بن الحسين المقري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39"/>
      </w:r>
    </w:p>
    <w:p>
      <w:pPr>
        <w:pStyle w:val="Heading5"/>
        <w:numPr>
          <w:ilvl w:val="4"/>
          <w:numId w:val="1"/>
        </w:numPr>
        <w:rPr/>
      </w:pPr>
      <w:bookmarkStart w:id="2289" w:name="__RefHeading___Toc607022_1934241801"/>
      <w:bookmarkStart w:id="2290" w:name="_Toc1055"/>
      <w:bookmarkEnd w:id="2289"/>
      <w:r>
        <w:rPr>
          <w:rtl w:val="true"/>
        </w:rPr>
        <w:t>توضيح</w:t>
      </w:r>
      <w:bookmarkEnd w:id="2290"/>
    </w:p>
    <w:p>
      <w:pPr>
        <w:pStyle w:val="BookText"/>
        <w:rPr/>
      </w:pPr>
      <w:r>
        <w:rPr>
          <w:rFonts w:ascii="Amiri" w:hAnsi="Amiri" w:eastAsia="Amiri" w:cs="Amiri"/>
          <w:color w:val="111111"/>
          <w:sz w:val="28"/>
          <w:sz w:val="28"/>
          <w:szCs w:val="28"/>
          <w:rtl w:val="true"/>
          <w:lang w:bidi="ar-SA"/>
        </w:rPr>
        <w:t>في القاموس طفا الرجل مات</w:t>
      </w:r>
      <w:r>
        <w:rPr>
          <w:rFonts w:eastAsia="Amiri" w:cs="Amiri" w:ascii="Amiri" w:hAnsi="Amiri"/>
          <w:color w:val="111111"/>
          <w:sz w:val="28"/>
          <w:szCs w:val="28"/>
          <w:rtl w:val="true"/>
          <w:lang w:bidi="ar-SA"/>
        </w:rPr>
        <w:t>.</w:t>
      </w:r>
    </w:p>
    <w:p>
      <w:pPr>
        <w:pStyle w:val="Heading5"/>
        <w:numPr>
          <w:ilvl w:val="4"/>
          <w:numId w:val="1"/>
        </w:numPr>
        <w:rPr/>
      </w:pPr>
      <w:bookmarkStart w:id="2291" w:name="__RefHeading___Toc607024_1934241801"/>
      <w:bookmarkStart w:id="2292" w:name="_Toc1056"/>
      <w:bookmarkEnd w:id="2291"/>
      <w:r>
        <w:rPr>
          <w:rtl w:val="true"/>
        </w:rPr>
        <w:t>«</w:t>
      </w:r>
      <w:r>
        <w:rPr/>
        <w:t>8</w:t>
      </w:r>
      <w:r>
        <w:rPr>
          <w:rtl w:val="true"/>
        </w:rPr>
        <w:t>»</w:t>
      </w:r>
      <w:bookmarkEnd w:id="2292"/>
    </w:p>
    <w:p>
      <w:pPr>
        <w:pStyle w:val="BookText"/>
        <w:rPr/>
      </w:pPr>
      <w:r>
        <w:rPr>
          <w:rFonts w:ascii="Amiri" w:hAnsi="Amiri" w:eastAsia="Amiri" w:cs="Amiri"/>
          <w:color w:val="111111"/>
          <w:sz w:val="28"/>
          <w:sz w:val="28"/>
          <w:szCs w:val="28"/>
          <w:rtl w:val="true"/>
          <w:lang w:bidi="ar-SA"/>
        </w:rPr>
        <w:t>مِصْبَاحُ الْأَنْوَارِ،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رَسُولِ اللَّهِ مَكَثَتْ بَعْدَ رَسُولِ اللَّهِ صلي الله عليه و آله سِتِّينَ يَوْماً ثُمَّ مَرِضَتْ فَاشْتَدَّتْ عَلَيْهَا فَكَانَ مِنْ دُعَائِهَا فِي شَكْوَاهَا يَا حَيُّ يَا قَيُّومُ بِرَحْمَتِكَ أَسْتَغِيثُ فَأَغِثْنِي اللَّهُمَّ زَحْزِحْنِي عَنِ النَّارِ وَ أَدْخِلْنِي الْجَنَّةَ وَ أَلْحِقْنِي بِأَبِي مُحَمَّدٍ فَكَانَ أَمِيرُ الْمُؤْمِنِينَ عليه السلام يَقُولُ يُعَافِيكِ اللَّهُ وَ يُبْقِيكِ فَتَقُولُ يَا أَبَا الْحَسَنِ مَا أَسْرَعَ اللَّحَاقَ بِاللَّهِ وَ أَوْصَتْ بِصَدَقَتِهَا وَ مَتَاعِ الْبَيْتِ وَ أَوْصَتْهُ أَنْ يَتَزَوَّجَ أُمَامَةَ بِنْتَ أَبِي الْعَاصِ بْنِ الرَّبِيعِ قَالَ وَ دَفْنِهَا لَيْلًا</w:t>
      </w:r>
      <w:r>
        <w:rPr>
          <w:rFonts w:eastAsia="Amiri" w:cs="Amiri" w:ascii="Amiri" w:hAnsi="Amiri"/>
          <w:color w:val="111111"/>
          <w:sz w:val="28"/>
          <w:szCs w:val="28"/>
          <w:rtl w:val="true"/>
          <w:lang w:bidi="ar-SA"/>
        </w:rPr>
        <w:t>.</w:t>
      </w:r>
    </w:p>
    <w:p>
      <w:pPr>
        <w:pStyle w:val="Heading5"/>
        <w:numPr>
          <w:ilvl w:val="4"/>
          <w:numId w:val="1"/>
        </w:numPr>
        <w:rPr/>
      </w:pPr>
      <w:bookmarkStart w:id="2293" w:name="__RefHeading___Toc607026_1934241801"/>
      <w:bookmarkStart w:id="2294" w:name="_Toc1057"/>
      <w:bookmarkEnd w:id="2293"/>
      <w:r>
        <w:rPr>
          <w:rtl w:val="true"/>
        </w:rPr>
        <w:t>«</w:t>
      </w:r>
      <w:r>
        <w:rPr/>
        <w:t>9</w:t>
      </w:r>
      <w:r>
        <w:rPr>
          <w:rtl w:val="true"/>
        </w:rPr>
        <w:t>»</w:t>
      </w:r>
      <w:bookmarkEnd w:id="2294"/>
    </w:p>
    <w:p>
      <w:pPr>
        <w:pStyle w:val="BookText"/>
        <w:rPr/>
      </w:pP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 الْمَيِّتَ الْوَفَاةُ فَلَقِّنْهُ شَهَادَةَ أَنْ لَا إِلَهَ إِلَّا اللَّهُ وَ أَنَّ مُحَمَّداً رَسُولُ اللَّهِ وَ الْإِقْرَارَ بِالْوَلَايَةِ لِأَمِيرِ الْمُؤْمِنِينَ وَ الْأَئِمَّةِ عليهم السلام وَاحِداً وَاحِداً وَ يُسْتَحَبُّ أَنْ يُلَقَّنَ كَلِمَاتِ الْفَرَجِ وَ هُوَ لَا إِلَهَ إِلَّا اللَّهُ الْحَلِيمُ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الْعَلِيُّ الْعَظِيمُ سُبْحَانَ اللَّهِ رَبِّ السَّمَاوَاتِ السَّبْعِ وَ رَبَّ الْأَرَضِينَ السَّبْعِ وَ مَا فِيهِنَّ وَ مَا بَيْنَهُنَّ وَ رَبُّ الْعَرْشِ الْعَظِيمِ وَ سَلامٌ عَلَي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تَحْضُرُ الْحَائِضُ وَ لَا الْجُنُبُ عِنْدَ التَّلْقِينِ فَإِنَّ الْمَلَائِكَةَ تَتَأَذَّي بِهِمَا وَ لَا بَأْسَ بِأَنْ يَلِيَا غُسْلَهُ وَ يُصَلِّيَا عَلَيْهِ وَ لَا يَنْزِلَا قَبْرَهُ فَإِنْ حَضَرَا وَ لَمْ يَجِدَا مِنْ ذَلِكَ</w:t>
      </w:r>
    </w:p>
    <w:p>
      <w:pPr>
        <w:pStyle w:val="BookText"/>
        <w:rPr/>
      </w:pPr>
      <w:r>
        <w:rPr>
          <w:rFonts w:ascii="IRNazanin" w:hAnsi="IRNazanin" w:eastAsia="IRNazanin"/>
          <w:color w:val="111111"/>
          <w:sz w:val="28"/>
          <w:sz w:val="28"/>
          <w:szCs w:val="28"/>
          <w:rtl w:val="true"/>
          <w:lang w:bidi="fa-IR"/>
        </w:rPr>
        <w:t>اکنون به دنبال من آمده و گلویم را می فشارد، پیامبر صلّی الله عیه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اعمال اندک را می پذیری و از بسیاری از گناهان درمی گذری، اعمال اندک مرا بپذیر و از گناهان بسیار من درگذر، به راستی که تو بخشنده و مهربان هستی؛ جوان این دعا را به زبان آورد و 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بنگر که چه می 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سفید رنگ، خوش چهره، خوش بو، با لباس نیکو که به دنبالم آمده است و مرد سیاه رنگ را می بینم که به من پشت کرده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دوباره تکرار کن، و جوان دعا را دوباره تکرار کرد، پیامبرفرمود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می بینی؟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سیاه را نمی بینم و مرد سفید را می بینم که به دنبال من آمده است، سپس برآن حال از دنیا رفت</w:t>
      </w:r>
      <w:r>
        <w:rPr>
          <w:rFonts w:eastAsia="IRNazanin" w:cs="IRNazanin"/>
          <w:color w:val="111111"/>
          <w:sz w:val="28"/>
          <w:szCs w:val="28"/>
          <w:rtl w:val="true"/>
          <w:lang w:bidi="fa-IR"/>
        </w:rPr>
        <w:t>.</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را روایت کرده کرده است</w:t>
      </w:r>
      <w:r>
        <w:rPr>
          <w:rFonts w:eastAsia="IRNazanin" w:cs="IRNazanin"/>
          <w:color w:val="111111"/>
          <w:sz w:val="28"/>
          <w:szCs w:val="28"/>
          <w:rtl w:val="true"/>
          <w:lang w:bidi="fa-IR"/>
        </w:rPr>
        <w:t>.</w:t>
      </w:r>
      <w:r>
        <w:rPr>
          <w:rStyle w:val="FootnoteAnchor"/>
          <w:rtl w:val="true"/>
        </w:rPr>
        <w:footnoteReference w:id="1141"/>
      </w:r>
    </w:p>
    <w:p>
      <w:pPr>
        <w:pStyle w:val="Heading5"/>
        <w:numPr>
          <w:ilvl w:val="4"/>
          <w:numId w:val="1"/>
        </w:numPr>
        <w:rPr/>
      </w:pPr>
      <w:bookmarkStart w:id="2295" w:name="__RefHeading___Toc607028_1934241801"/>
      <w:bookmarkStart w:id="2296" w:name="_Toc1058"/>
      <w:bookmarkEnd w:id="2295"/>
      <w:r>
        <w:rPr>
          <w:rtl w:val="true"/>
        </w:rPr>
        <w:t>توضیح</w:t>
      </w:r>
      <w:bookmarkEnd w:id="2296"/>
    </w:p>
    <w:p>
      <w:pPr>
        <w:pStyle w:val="BookText"/>
        <w:rPr/>
      </w:pP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طَفَی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w:t>
      </w:r>
      <w:r>
        <w:rPr>
          <w:rFonts w:eastAsia="IRNazanin" w:cs="IRNazanin"/>
          <w:color w:val="111111"/>
          <w:sz w:val="28"/>
          <w:szCs w:val="28"/>
          <w:rtl w:val="true"/>
          <w:lang w:bidi="fa-IR"/>
        </w:rPr>
        <w:t>.</w:t>
      </w:r>
    </w:p>
    <w:p>
      <w:pPr>
        <w:pStyle w:val="Heading5"/>
        <w:numPr>
          <w:ilvl w:val="4"/>
          <w:numId w:val="1"/>
        </w:numPr>
        <w:rPr/>
      </w:pPr>
      <w:bookmarkStart w:id="2297" w:name="__RefHeading___Toc607030_1934241801"/>
      <w:bookmarkStart w:id="2298" w:name="_Toc1059"/>
      <w:bookmarkEnd w:id="2297"/>
      <w:r>
        <w:rPr>
          <w:rtl w:val="true"/>
        </w:rPr>
        <w:t xml:space="preserve">روایت </w:t>
      </w:r>
      <w:r>
        <w:rPr/>
        <w:t>8</w:t>
      </w:r>
      <w:bookmarkEnd w:id="2298"/>
    </w:p>
    <w:p>
      <w:pPr>
        <w:pStyle w:val="BookText"/>
        <w:rPr/>
      </w:pP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دختر رسول خدا بعد از رسول خدا صلّی الله علیه و آله شصت روز دوام آورد، سپس بیمار گشت و بیماری بر او شدّت گرفت، و از جمله دعاهایی که هنگام شکوه بر زبان می راند این بود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 یَا قَیُّومُ بِرَحْمَتِکَ أَسْتَغِیثُ فَأَغِثْنِی اللَّهُمَّ زَحْزِحْنِی عَنِ النَّارِ وَ أَدْخِلْنِی الْجَنَّةَ وَ أَلْحِقْنِی بِأَبِی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 و یا قیّوم، به رحمت تو پناه می برم پس مرا پناه ده، پروردگارا، مرا از آتش جهنم دور نگاه  دار و به بهشت وارد گردان و به پدرم محمّد ملحق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امیرالمؤمنین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سلامت گردانده و نگاه دارد، و فاطمه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ابوالحسن، پیوستن به خدا چه سریع اتفاق میا فتد، و در مورد مهریه و کالاهای خانه وصیّت نمود، و به امام علی علیه السلام توصیه کرد که با أمامة دختر ابو العاص بن ربیع ازدواج کند، و امام علیه السلام شبانه فاطمه سلام الله علیها را به خاک سپرد </w:t>
      </w:r>
      <w:r>
        <w:rPr>
          <w:rFonts w:eastAsia="IRNazanin" w:cs="IRNazanin"/>
          <w:color w:val="111111"/>
          <w:sz w:val="28"/>
          <w:szCs w:val="28"/>
          <w:rtl w:val="true"/>
          <w:lang w:bidi="fa-IR"/>
        </w:rPr>
        <w:t>.</w:t>
      </w:r>
    </w:p>
    <w:p>
      <w:pPr>
        <w:pStyle w:val="Heading5"/>
        <w:numPr>
          <w:ilvl w:val="4"/>
          <w:numId w:val="1"/>
        </w:numPr>
        <w:rPr/>
      </w:pPr>
      <w:bookmarkStart w:id="2299" w:name="__RefHeading___Toc607032_1934241801"/>
      <w:bookmarkStart w:id="2300" w:name="_Toc1060"/>
      <w:bookmarkEnd w:id="2299"/>
      <w:r>
        <w:rPr>
          <w:rtl w:val="true"/>
        </w:rPr>
        <w:t xml:space="preserve">روایت </w:t>
      </w:r>
      <w:r>
        <w:rPr/>
        <w:t>9</w:t>
      </w:r>
      <w:bookmarkEnd w:id="2300"/>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شخص در حال احتضار قرار می گیرد، شهادتین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أنّ محمّدا رسول الله، و اقرار به ولایت امیرالمؤمنین و یکایک امامان معصوم علیهم السلام را به او تلقین کن، و مستحب است که کلمات فَرَج نیز به او تلقین شود به این ترتیب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الْحَلِیمُ الْکَرِیمُ لَا إِلَهَ إِلَّا اللَّهُ الْعَلِیُّ الْعَظِیمُ سُبْحَانَ اللَّهِ رَبِّ السَّمَاوَاتِ السَّبْعِ وَ رَبَّ الْأَرَضِینَ السَّبْعِ وَ مَا فِیهِنَّ وَ مَا بَیْنَهُنَّ وَ رَبُّ الْعَرْشِ الْعَظِیمِ وَ سَلامٌ عَلَی الْمُرْسَلِینَ وَ الْحَمْدُ لِلَّهِ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خدایی جز الله که حکیم و کریم است وجود ندارد، هیچ خدایی جز الله که بلند مرتبه و بزرگوار است وجود ندارد، پاک و منزه است پروردگار آسمانهای هفت گانه و هر آنچه در آن ها و مابین شان وجود دارد، پاک و منزه است پروردگار عرش عظیم، و سلام و درود بر تمام فرستادگان خداوند و سپاس و ستایش مخصوص الله است که پروردگار جهانیان می باشد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حائض و جنب هنگام خواندن تلقین حضور نمی یابند، چرا که فرشتگان با حضور آن ها آزرده می شوند، و اشکالی ندارد که حائض و جنب غسل میّت را بر عهده گرفته و بر او نماز بگزارند، ولی اجازه ندارند او را در قبر بگذارند، و اگر به ناچار بر بالین شخص در حال احتضار حاضر شدند، </w:t>
      </w:r>
      <w:bookmarkStart w:id="2301" w:name="pg13517_329265"/>
    </w:p>
    <w:p>
      <w:pPr>
        <w:pStyle w:val="BookText"/>
        <w:rPr/>
      </w:pPr>
      <w:bookmarkEnd w:id="2301"/>
      <w:r>
        <w:rPr>
          <w:rFonts w:ascii="Amiri" w:hAnsi="Amiri" w:eastAsia="Amiri" w:cs="Amiri"/>
          <w:color w:val="111111"/>
          <w:sz w:val="28"/>
          <w:sz w:val="28"/>
          <w:szCs w:val="28"/>
          <w:rtl w:val="true"/>
          <w:lang w:bidi="ar-SA"/>
        </w:rPr>
        <w:t>بُدّاً فَلْيَخْرُجَا إِذَا قَرُبَ خُرُوجُ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اشْتَدَّ عَلَيْهِ نَزْعُ رُوحِهِ فَحَوِّلْهُ إِلَي الْمُصَلَّي الَّذِي كَانَ يُصَلِّي فِيهِ أَوْ عَلَيْهِ وَ إِيَّاكَ أَنْ تَمَسَّهُ وَ إِنْ وَجَدْتَهُ يُحَرِّكُ يَدَيْهِ أَوْ رِجْلَيْهِ أَوْ رَأْسَهُ فَلَا تَمْنَعْهُ مِنْ ذَلِكَ كَمَا يَفْعَلُ جُهَّالُ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أَحَدَكُمُ الْوَفَاةُ فَاحْضُرُوا عِنْدَهُ بِالْقُرْآنِ وَ ذِكْرِ اللَّهِ وَ الصَّلَاةِ عَلَي رَسُولِ اللَّهِ صلي الله عليه و آله‌</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2" w:name="__RefHeading___Toc607034_1934241801"/>
      <w:bookmarkStart w:id="2303" w:name="_Toc1061"/>
      <w:bookmarkEnd w:id="2302"/>
      <w:r>
        <w:rPr>
          <w:rtl w:val="true"/>
        </w:rPr>
        <w:t>بيان</w:t>
      </w:r>
      <w:bookmarkEnd w:id="2303"/>
    </w:p>
    <w:p>
      <w:pPr>
        <w:pStyle w:val="BookText"/>
        <w:rPr/>
      </w:pPr>
      <w:r>
        <w:rPr>
          <w:rFonts w:ascii="Amiri" w:hAnsi="Amiri" w:eastAsia="Amiri" w:cs="Amiri"/>
          <w:color w:val="111111"/>
          <w:sz w:val="28"/>
          <w:sz w:val="28"/>
          <w:szCs w:val="28"/>
          <w:rtl w:val="true"/>
          <w:lang w:bidi="ar-SA"/>
        </w:rPr>
        <w:t>التلقين عند الاحتضار بالعقائد و كلمات الفرج مما ذكره الأصحاب و دلت عليه الأخبار الكثيرة قوله كان يصلي فيه أي البيت الذي كان يصلي فيه و نحوه أو عليه أي المصلي الذي كان يصلي عليه و هذا أيضا ذكره الأصحاب و حكم الأكثر باستحبابه مطلقا و الأخبار مقيدة بما إذا اشتد عليه النزع و ظاهر الرواية التخيير بين النقل إلي البيت أو الثوب و ابن حمزة جمع بينهما و ظاهر الأكثر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النهي عن المس ورد في الخبر و ذكره الشهيد في الذكري و كذا النهي عن المنع من تحريك يديه أو رجليه أو رأسه ذكره الصدوق و الشهيد و كذا ذكر الأصحاب استحباب قراءة القرآن و الدعاء عنده قبل خروج روحه و بعده</w:t>
      </w:r>
      <w:r>
        <w:rPr>
          <w:rFonts w:eastAsia="Amiri" w:cs="Amiri" w:ascii="Amiri" w:hAnsi="Amiri"/>
          <w:color w:val="111111"/>
          <w:sz w:val="28"/>
          <w:szCs w:val="28"/>
          <w:rtl w:val="true"/>
          <w:lang w:bidi="ar-SA"/>
        </w:rPr>
        <w:t>.</w:t>
      </w:r>
    </w:p>
    <w:p>
      <w:pPr>
        <w:pStyle w:val="Heading5"/>
        <w:numPr>
          <w:ilvl w:val="4"/>
          <w:numId w:val="1"/>
        </w:numPr>
        <w:rPr/>
      </w:pPr>
      <w:bookmarkStart w:id="2304" w:name="__RefHeading___Toc607036_1934241801"/>
      <w:bookmarkStart w:id="2305" w:name="_Toc1062"/>
      <w:bookmarkEnd w:id="2304"/>
      <w:r>
        <w:rPr>
          <w:rtl w:val="true"/>
        </w:rPr>
        <w:t>«</w:t>
      </w:r>
      <w:r>
        <w:rPr/>
        <w:t>10</w:t>
      </w:r>
      <w:r>
        <w:rPr>
          <w:rtl w:val="true"/>
        </w:rPr>
        <w:t>»</w:t>
      </w:r>
      <w:bookmarkEnd w:id="2305"/>
    </w:p>
    <w:p>
      <w:pPr>
        <w:pStyle w:val="BookText"/>
        <w:rPr/>
      </w:pPr>
      <w:r>
        <w:rPr>
          <w:rFonts w:ascii="Amiri" w:hAnsi="Amiri" w:eastAsia="Amiri" w:cs="Amiri"/>
          <w:color w:val="111111"/>
          <w:sz w:val="28"/>
          <w:sz w:val="28"/>
          <w:szCs w:val="28"/>
          <w:rtl w:val="true"/>
          <w:lang w:bidi="ar-SA"/>
        </w:rPr>
        <w:t>مَجَالِسُ الصَّدُوقِ، عَنْ أَبِيهِ عَنْ سَعْدِ بْنِ عَبْدِ اللَّهِ عَنْ أَحْمَدَ بْنِ مُحَمَّدِ بْنِ عِيسَي عَنْ مُحَمَّدِ بْنِ خَالِدٍ عَنْ أَحْمَدَ بْنِ النَّضْرِ الْخَزَّازِ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غُلَامٌ مِنَ الْيَهُودِ يَأْتِي النَّبِيَّ صلي الله عليه و آله كَثِيراً حَتَّي اسْتَخَفَّهُ وَ رُبَّمَا أَرْسَلَهُ فِي حَاجَةٍ وَ رُبَّمَا كَتَبَ لَهُ الْكِتَابَ إِلَي قَوْمٍ فَافْتَقَدَهُ أَيَّاماً فَسَأَلَ عَنْهُ فَقَالَ لَهُ قَائِلٌ تَرَكْتُهُ فِي آخِرِ يَوْمٍ مِنْ أَيَّامِ الدُّنْيَا فَأَتَاهُ النَّبِيُّ صلي الله عليه و آله فِي نَاسٍ مِنْ أَصْحَابِهِ وَ كَانَ عليه السلام بَرَكَةً لَا يَكَادُ يُكَلِّمُ أَحَداً إِلَّا أَجَابَهُ فَقَالَ يَا فُلَانُ فَفَتَحَ عَيْنَيْهِ وَ قَالَ لَبَّيْكَ يَا أَبَا الْقَاسِمِ قَالَ اشْهَدْ أَنْ لَا إِلَهَ إِلَّا اللَّهُ وَ أَنِّي رَسُولُ اللَّهِ فَنَظَرَ الْغُلَامُ إِلَي أَبِيهِ فَلَمْ يَقُلْ لَهُ شَيْئاً ثُمَّ نَادَاهُ رَسُولُ اللَّهِ صلي الله عليه و آله الثَّانِيَةَ وَ قَالَ لَهُ مِثْلَ قَوْلِهِ الْأَوَّلِ فَالْتَفَتَ الْغُلَامُ إِلَي أَبِيهِ فَلَمْ يَقُلْ لَهُ شَيْئاً ثُمَّ نَادَاهُ رَسُولُ اللَّهِ صلي الله عليه و آله الثَّالِثَةَ</w:t>
      </w:r>
    </w:p>
    <w:p>
      <w:pPr>
        <w:pStyle w:val="BookText"/>
        <w:rPr/>
      </w:pPr>
      <w:r>
        <w:rPr>
          <w:rFonts w:ascii="IRNazanin" w:hAnsi="IRNazanin" w:eastAsia="IRNazanin"/>
          <w:color w:val="111111"/>
          <w:sz w:val="28"/>
          <w:sz w:val="28"/>
          <w:szCs w:val="28"/>
          <w:rtl w:val="true"/>
          <w:lang w:bidi="fa-IR"/>
        </w:rPr>
        <w:t>باید هنگام نزدیک شدن خروج روح او از مکانی که شخص در آن قرار دارد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که جان کندن بر او شدّت گرفت، روی او را به سوی جایگاهی که در آن و یا بر آن نماز می گزارده بچرخانید، و از لمس کردن او خودداری کنید و اگر دستها، پاها یا سر خود را در هنگام خارج شدن روح از بدنش تکان داد، او را از این کار منع نکنید آن گونه که برخی از جاهلان چنین می کنند، امام رضا علیه السلام همچین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یکی از شما در حال احتضار قرار گرفت، با خواندن قرآن، ذکر خداوند و درود فرستادن بر رسول خدا صلّی الله عیه و آله نزد او حاضر شوید</w:t>
      </w:r>
      <w:r>
        <w:rPr>
          <w:rFonts w:eastAsia="IRNazanin" w:cs="IRNazanin"/>
          <w:color w:val="111111"/>
          <w:sz w:val="28"/>
          <w:szCs w:val="28"/>
          <w:rtl w:val="true"/>
          <w:lang w:bidi="fa-IR"/>
        </w:rPr>
        <w:t>.</w:t>
      </w:r>
      <w:r>
        <w:rPr>
          <w:rStyle w:val="FootnoteAnchor"/>
          <w:rtl w:val="true"/>
        </w:rPr>
        <w:footnoteReference w:id="1143"/>
      </w:r>
    </w:p>
    <w:p>
      <w:pPr>
        <w:pStyle w:val="Heading5"/>
        <w:numPr>
          <w:ilvl w:val="4"/>
          <w:numId w:val="1"/>
        </w:numPr>
        <w:rPr/>
      </w:pPr>
      <w:bookmarkStart w:id="2306" w:name="__RefHeading___Toc607038_1934241801"/>
      <w:bookmarkStart w:id="2307" w:name="_Toc1063"/>
      <w:bookmarkEnd w:id="2306"/>
      <w:r>
        <w:rPr>
          <w:rtl w:val="true"/>
        </w:rPr>
        <w:t>توضیح</w:t>
      </w:r>
      <w:bookmarkEnd w:id="2307"/>
    </w:p>
    <w:p>
      <w:pPr>
        <w:pStyle w:val="BookText"/>
        <w:rPr/>
      </w:pPr>
      <w:r>
        <w:rPr>
          <w:rFonts w:ascii="IRNazanin" w:hAnsi="IRNazanin" w:eastAsia="IRNazanin"/>
          <w:color w:val="111111"/>
          <w:sz w:val="28"/>
          <w:sz w:val="28"/>
          <w:szCs w:val="28"/>
          <w:rtl w:val="true"/>
          <w:lang w:bidi="fa-IR"/>
        </w:rPr>
        <w:t>تلقین کردنِ اصول عقائد و کلمات فرج به شخص در حال احتضار، امری است که فقها آن را ذکر کرده و احادیث زیادی بر آن دلالت کرده اند؛ 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یصلّی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یا جایی که در آن نماز می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که بر آن نماز می گذارد، فقها به ذکر این مطلب نیز پرداخته اند، و اکثر آنها حکم به استحباب مطلق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 میت به محل نمازش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 هر چند احادیث این امر را مقیّد به زمانی دانسته اند که جان کندن شخص در حال احتضار بر او شدت گرفته باشد، و ظاهر حدیث بر تخییر نقل او به سوی خانه یا لباس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از لمس کردنِ شخص در حال احتضار در حدیث ذکر شده و شهید نیز در الذکری آن را نقل کرده است، همچنین شیخ صدوق و شهید منع کردن شخص در حال احتضار از حرکت دادن دستها، پاها یا سرش را نهی کرده اند؛ و فقها قرائت قرآن و خواندن دعا در نزد او قبل و بعد از خارج شدن روح شخص در حال احتضار را ذکر کرده اند</w:t>
      </w:r>
      <w:r>
        <w:rPr>
          <w:rFonts w:eastAsia="IRNazanin" w:cs="IRNazanin"/>
          <w:color w:val="111111"/>
          <w:sz w:val="28"/>
          <w:szCs w:val="28"/>
          <w:rtl w:val="true"/>
          <w:lang w:bidi="fa-IR"/>
        </w:rPr>
        <w:t>.</w:t>
      </w:r>
    </w:p>
    <w:p>
      <w:pPr>
        <w:pStyle w:val="Heading5"/>
        <w:numPr>
          <w:ilvl w:val="4"/>
          <w:numId w:val="1"/>
        </w:numPr>
        <w:rPr/>
      </w:pPr>
      <w:bookmarkStart w:id="2308" w:name="__RefHeading___Toc607040_1934241801"/>
      <w:bookmarkStart w:id="2309" w:name="_Toc1064"/>
      <w:bookmarkEnd w:id="2308"/>
      <w:r>
        <w:rPr>
          <w:rtl w:val="true"/>
        </w:rPr>
        <w:t xml:space="preserve">روایت </w:t>
      </w:r>
      <w:r>
        <w:rPr/>
        <w:t>10</w:t>
      </w:r>
      <w:bookmarkEnd w:id="230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است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یهودی بسیار نزد پیامبر صلّی الله علیه و آله می آمد، تا جایی که سرعت و چابکی او در انجام اعمال برای پیامبر ثابت شد، پس او را به منظور برآورده ساختن حاجتی به جایی فرستاد و چه بسا نامه ای را که برای قومی نوشته بود به او داد تا آن را به مقصد برساند، پیامبر آن غلام را چند روز مشاهده نکرد و احوال او را جویا شد، شخصی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روز از روزهای عمر او در این دنیا او را ترک کردم، بنابراین پیامبر صلّی الله عیه و آله در میان جمعی از اصحابش نزد پیکر آن غلام حاضر گشت، و پیامبر صاحبِ برکتی بود که با کسی سخن نمی گفت مگر اینکه آن شخص حتماً پاسخ ایشان را می داد، آن گاه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یهودی چشم هایش را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ده که خدایی جز الله وجود ندارد و به راستی که من فرستاده خداوند هستم؛ غلام به پدرش نگاهی انداخت و چیزی در جواب پیامبر نگفت، سپس رسول خدا صلّی الله علیه و آله برای بار دوّم غلام را ندا سر داد و از او خواست که عبارتی مانند عبارت نخست را بر زبان جاری سازد، غلام دوباره به پدرش نگاهی انداخت و چیزی نگفت، پیامبر صلّی الله علیه و آله برای بار سوّم غلام را ندا سر داد </w:t>
      </w:r>
      <w:bookmarkStart w:id="2310" w:name="pg13517_329266"/>
    </w:p>
    <w:p>
      <w:pPr>
        <w:pStyle w:val="BookText"/>
        <w:rPr/>
      </w:pPr>
      <w:bookmarkEnd w:id="2310"/>
      <w:r>
        <w:rPr>
          <w:rFonts w:ascii="Amiri" w:hAnsi="Amiri" w:eastAsia="Amiri" w:cs="Amiri"/>
          <w:color w:val="111111"/>
          <w:sz w:val="28"/>
          <w:sz w:val="28"/>
          <w:szCs w:val="28"/>
          <w:rtl w:val="true"/>
          <w:lang w:bidi="ar-SA"/>
        </w:rPr>
        <w:t>فَالْتَفَتَ الْغُلَامُ إِلَي أَبِيهِ فَقَالَ أَبُوهُ إِنْ شِئْتَ فَقُلْ وَ إِنْ شِئْتَ فَلَا فَقَالَ الْغُلَامُ أَشْهَدُ أَنْ لَا إِلَهَ إِلَّا اللَّهُ وَ أَنَّكَ مُحَمَّدٌ رَسُولُ اللَّهِ وَ مَاتَ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صلي الله عليه و آله لِأَبِيهِ اخْرُجْ عَنَّا ثُمَّ قَالَ عليه السلام لِأَصْحَابِهِ غَسِّلُوهُ وَ كَفِّنُوهُ وَ أْتُونِي بِهِ أُصَلِّي عَلَيْهِ ثُمَّ خَرَجَ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أَنْجَي بِيَ الْيَوْمَ نَسَمَةً مِنَ النَّارِ</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1" w:name="__RefHeading___Toc607042_1934241801"/>
      <w:bookmarkStart w:id="2312" w:name="_Toc1065"/>
      <w:bookmarkEnd w:id="2311"/>
      <w:r>
        <w:rPr>
          <w:rtl w:val="true"/>
        </w:rPr>
        <w:t>بيان</w:t>
      </w:r>
      <w:bookmarkEnd w:id="2312"/>
    </w:p>
    <w:p>
      <w:pPr>
        <w:pStyle w:val="BookText"/>
        <w:rPr/>
      </w:pPr>
      <w:r>
        <w:rPr>
          <w:rFonts w:ascii="Amiri" w:hAnsi="Amiri" w:eastAsia="Amiri" w:cs="Amiri"/>
          <w:color w:val="111111"/>
          <w:sz w:val="28"/>
          <w:sz w:val="28"/>
          <w:szCs w:val="28"/>
          <w:rtl w:val="true"/>
          <w:lang w:bidi="ar-SA"/>
        </w:rPr>
        <w:t>حتي استخفه أي وجده خفيفا سريعا في الأعمال</w:t>
      </w:r>
      <w:r>
        <w:rPr>
          <w:rFonts w:eastAsia="Amiri" w:cs="Amiri" w:ascii="Amiri" w:hAnsi="Amiri"/>
          <w:color w:val="111111"/>
          <w:sz w:val="28"/>
          <w:szCs w:val="28"/>
          <w:rtl w:val="true"/>
          <w:lang w:bidi="ar-SA"/>
        </w:rPr>
        <w:t>.</w:t>
      </w:r>
    </w:p>
    <w:p>
      <w:pPr>
        <w:pStyle w:val="Heading5"/>
        <w:numPr>
          <w:ilvl w:val="4"/>
          <w:numId w:val="1"/>
        </w:numPr>
        <w:rPr/>
      </w:pPr>
      <w:bookmarkStart w:id="2313" w:name="__RefHeading___Toc607044_1934241801"/>
      <w:bookmarkStart w:id="2314" w:name="_Toc1066"/>
      <w:bookmarkEnd w:id="2313"/>
      <w:r>
        <w:rPr>
          <w:rtl w:val="true"/>
        </w:rPr>
        <w:t>«</w:t>
      </w:r>
      <w:r>
        <w:rPr/>
        <w:t>11</w:t>
      </w:r>
      <w:r>
        <w:rPr>
          <w:rtl w:val="true"/>
        </w:rPr>
        <w:t>»</w:t>
      </w:r>
      <w:bookmarkEnd w:id="2314"/>
    </w:p>
    <w:p>
      <w:pPr>
        <w:pStyle w:val="BookText"/>
        <w:rPr/>
      </w:pPr>
      <w:r>
        <w:rPr>
          <w:rFonts w:ascii="Amiri" w:hAnsi="Amiri" w:eastAsia="Amiri" w:cs="Amiri"/>
          <w:color w:val="111111"/>
          <w:sz w:val="28"/>
          <w:sz w:val="28"/>
          <w:szCs w:val="28"/>
          <w:rtl w:val="true"/>
          <w:lang w:bidi="ar-SA"/>
        </w:rPr>
        <w:t>الْعُيُونُ، عَنْ مُحَمَّدِ بْنِ الْقَاسِمِ الْمُفَسِّرِ عَنْ أَحْمَدَ بْنِ الْحَسَنِ الْحُسَيْنِيِّ عَنِ الْحَسَنِ بْنِ عَلِيٍّ الْعَسْكَرِيِّ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الصَّادِقُ عَنْ بَعْضِ أَهْلِ مَجْلِسِهِ فَقِيلَ عَلِيلٌ فَقَصَدَهُ عَائِداً وَ جَلَسَ عِنْدَ رَأْسِهِ فَوَجَدَهُ دَنِفاً فَقَالَ أَحْسِنْ ظَنَّكَ بِاللَّهِ فَقَالَ أَمَّا ظَنِّي بِاللَّهِ فَحَسَنٌ الْحَدِيثَ‌</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5" w:name="__RefHeading___Toc607046_1934241801"/>
      <w:bookmarkStart w:id="2316" w:name="_Toc1067"/>
      <w:bookmarkEnd w:id="2315"/>
      <w:r>
        <w:rPr>
          <w:rtl w:val="true"/>
        </w:rPr>
        <w:t>بيان</w:t>
      </w:r>
      <w:bookmarkEnd w:id="2316"/>
    </w:p>
    <w:p>
      <w:pPr>
        <w:pStyle w:val="BookText"/>
        <w:rPr/>
      </w:pPr>
      <w:r>
        <w:rPr>
          <w:rFonts w:ascii="Amiri" w:hAnsi="Amiri" w:eastAsia="Amiri" w:cs="Amiri"/>
          <w:color w:val="111111"/>
          <w:sz w:val="28"/>
          <w:sz w:val="28"/>
          <w:szCs w:val="28"/>
          <w:rtl w:val="true"/>
          <w:lang w:bidi="ar-SA"/>
        </w:rPr>
        <w:t>دنف المريض بالكسر أي ثقل و قال في الذكري يستحب حسن الظن بالله في كل وقت و آكده عند الموت و يستحب لمن حضره أمره بحسن ظنه و طمعه في رحمة الله</w:t>
      </w:r>
      <w:r>
        <w:rPr>
          <w:rFonts w:eastAsia="Amiri" w:cs="Amiri" w:ascii="Amiri" w:hAnsi="Amiri"/>
          <w:color w:val="111111"/>
          <w:sz w:val="28"/>
          <w:szCs w:val="28"/>
          <w:rtl w:val="true"/>
          <w:lang w:bidi="ar-SA"/>
        </w:rPr>
        <w:t>.</w:t>
      </w:r>
    </w:p>
    <w:p>
      <w:pPr>
        <w:pStyle w:val="Heading5"/>
        <w:numPr>
          <w:ilvl w:val="4"/>
          <w:numId w:val="1"/>
        </w:numPr>
        <w:rPr/>
      </w:pPr>
      <w:bookmarkStart w:id="2317" w:name="__RefHeading___Toc607048_1934241801"/>
      <w:bookmarkStart w:id="2318" w:name="_Toc1068"/>
      <w:bookmarkEnd w:id="2317"/>
      <w:r>
        <w:rPr>
          <w:rtl w:val="true"/>
        </w:rPr>
        <w:t>«</w:t>
      </w:r>
      <w:r>
        <w:rPr/>
        <w:t>12</w:t>
      </w:r>
      <w:r>
        <w:rPr>
          <w:rtl w:val="true"/>
        </w:rPr>
        <w:t>»</w:t>
      </w:r>
      <w:bookmarkEnd w:id="2318"/>
    </w:p>
    <w:p>
      <w:pPr>
        <w:pStyle w:val="BookText"/>
        <w:rPr/>
      </w:pPr>
      <w:r>
        <w:rPr>
          <w:rFonts w:ascii="Amiri" w:hAnsi="Amiri" w:eastAsia="Amiri" w:cs="Amiri"/>
          <w:color w:val="111111"/>
          <w:sz w:val="28"/>
          <w:sz w:val="28"/>
          <w:szCs w:val="28"/>
          <w:rtl w:val="true"/>
          <w:lang w:bidi="ar-SA"/>
        </w:rPr>
        <w:t>مَجَالِسُ ابْنِ الشَّيْخِ، عَنْ أَبِيهِ عَنْ هِلَالِ بْنِ مُحَمَّدٍ الْحَفَّارِ عَنْ إِسْمَاعِيلَ بْنِ عَلِيٍّ الدِّعْبِلِيِّ عَنْ مُحَمَّدِ بْنِ إِبْرَاهِيمَ بْنِ كَثِيرٍ عَنْ أَبِي نُوَاسٍ الْحَسَنِ بْنِ هَانِي عَنْ حَمَّادِ بْنِ سَلَمَةَ عَنْ يَزِيدَ الرَّقَاشِيِّ عَنْ أَنَسٍ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يَمُوتَنَّ أَحَدُكُمْ حَتَّي يُحْسِنَ ظَنَّهُ بِاللَّهِ عَزَّ وَ جَلَّ فَإِنَّ حُسْنَ الظَّنِّ بِاللَّهِ ثَمَنُ الْجَنَّةِ</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9" w:name="__RefHeading___Toc607050_1934241801"/>
      <w:bookmarkStart w:id="2320" w:name="_Toc1069"/>
      <w:bookmarkEnd w:id="2319"/>
      <w:r>
        <w:rPr>
          <w:rtl w:val="true"/>
        </w:rPr>
        <w:t>«</w:t>
      </w:r>
      <w:r>
        <w:rPr/>
        <w:t>13</w:t>
      </w:r>
      <w:r>
        <w:rPr>
          <w:rtl w:val="true"/>
        </w:rPr>
        <w:t>»</w:t>
      </w:r>
      <w:bookmarkEnd w:id="2320"/>
    </w:p>
    <w:p>
      <w:pPr>
        <w:pStyle w:val="BookText"/>
        <w:rPr/>
      </w:pPr>
      <w:r>
        <w:rPr>
          <w:rFonts w:ascii="Amiri" w:hAnsi="Amiri" w:eastAsia="Amiri" w:cs="Amiri"/>
          <w:color w:val="111111"/>
          <w:sz w:val="28"/>
          <w:sz w:val="28"/>
          <w:szCs w:val="28"/>
          <w:rtl w:val="true"/>
          <w:lang w:bidi="ar-SA"/>
        </w:rPr>
        <w:t>ثَوَابُ الْأَعْمَالِ، عَنْ أَبِيهِ عَنْ سَعْدٍ عَنْ أَحْمَدَ بْنِ مُحَمَّدٍ عَنِ الْحَسَنِ بْنِ سَيْفٍ عَنْ أَخِيهِ الْحُسَيْنِ عَنْ أَبِيهِ عَنْ عَمْرِو بْنِ شِمْرٍ عَنْ جَابِرٍ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لَقِّنُوا مَوْتَاكُمْ لَا إِلَهَ إِلَّا اللَّهُ فَإِنَّهَا تَهْدِمُ الذُّنُوبَ فَقَالُوا يَا رَسُولَ اللَّهِ فَمَنْ قَالَ فِي صِحَّتِهِ فَقَالَ صلي الله عليه و آله ذَلِكَ أَهْدَمُ وَ أَهْدَمُ</w:t>
      </w:r>
    </w:p>
    <w:p>
      <w:pPr>
        <w:pStyle w:val="BookText"/>
        <w:rPr/>
      </w:pPr>
      <w:r>
        <w:rPr>
          <w:rFonts w:ascii="IRNazanin" w:hAnsi="IRNazanin" w:eastAsia="IRNazanin"/>
          <w:color w:val="111111"/>
          <w:sz w:val="28"/>
          <w:sz w:val="28"/>
          <w:szCs w:val="28"/>
          <w:rtl w:val="true"/>
          <w:lang w:bidi="fa-IR"/>
        </w:rPr>
        <w:t>و او نگاهی به پدرش انداخت، این بار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این عبارت را به زبان آور و اگر نمی خواهی به زبان نیاور، پس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خدایی جز الله وجود ندارد و به راستی که تو فرستاده خداوند هستی؛ و فوراً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پدر آن غلام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ما خارج شو، سپس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غسل دهید و کفن نکنید و نزد من بیاوریدش تا بر او نماز بگزارم، سپس پیامبر خارج شد درحالی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خداوندی است که امروز به واسطه من انسانی را از آتش جهنّم نجات داد</w:t>
      </w:r>
      <w:r>
        <w:rPr>
          <w:rFonts w:eastAsia="IRNazanin" w:cs="IRNazanin"/>
          <w:color w:val="111111"/>
          <w:sz w:val="28"/>
          <w:szCs w:val="28"/>
          <w:rtl w:val="true"/>
          <w:lang w:bidi="fa-IR"/>
        </w:rPr>
        <w:t>.</w:t>
      </w:r>
      <w:r>
        <w:rPr>
          <w:rStyle w:val="FootnoteAnchor"/>
          <w:rtl w:val="true"/>
        </w:rPr>
        <w:footnoteReference w:id="1147"/>
      </w:r>
    </w:p>
    <w:p>
      <w:pPr>
        <w:pStyle w:val="Heading5"/>
        <w:numPr>
          <w:ilvl w:val="4"/>
          <w:numId w:val="1"/>
        </w:numPr>
        <w:rPr/>
      </w:pPr>
      <w:bookmarkStart w:id="2321" w:name="__RefHeading___Toc607052_1934241801"/>
      <w:bookmarkStart w:id="2322" w:name="_Toc1070"/>
      <w:bookmarkEnd w:id="2321"/>
      <w:r>
        <w:rPr>
          <w:rtl w:val="true"/>
        </w:rPr>
        <w:t>توضیح</w:t>
      </w:r>
      <w:bookmarkEnd w:id="23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أستخفّه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انجام اعمال سریع و چابک یافت</w:t>
      </w:r>
      <w:r>
        <w:rPr>
          <w:rFonts w:eastAsia="IRNazanin" w:cs="IRNazanin"/>
          <w:color w:val="111111"/>
          <w:sz w:val="28"/>
          <w:szCs w:val="28"/>
          <w:rtl w:val="true"/>
          <w:lang w:bidi="fa-IR"/>
        </w:rPr>
        <w:t>.</w:t>
      </w:r>
    </w:p>
    <w:p>
      <w:pPr>
        <w:pStyle w:val="Heading5"/>
        <w:numPr>
          <w:ilvl w:val="4"/>
          <w:numId w:val="1"/>
        </w:numPr>
        <w:rPr/>
      </w:pPr>
      <w:bookmarkStart w:id="2323" w:name="__RefHeading___Toc607054_1934241801"/>
      <w:bookmarkStart w:id="2324" w:name="_Toc1071"/>
      <w:bookmarkEnd w:id="2323"/>
      <w:r>
        <w:rPr>
          <w:rtl w:val="true"/>
        </w:rPr>
        <w:t xml:space="preserve">روایت </w:t>
      </w:r>
      <w:r>
        <w:rPr/>
        <w:t>11</w:t>
      </w:r>
      <w:bookmarkEnd w:id="2324"/>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از پدرانش علیهم السلام روایت کرده که امام صادق علیه السلام احوال یکی از کسانی که قبلاً در مجلسش حاضر می شد را جویا شد، در پاسخ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است، پس امام به عیادت او رفت و کنار سرش نشست و حال او را وخیم و رو به مرگ یافت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خداوند حسن ظنّ داشته باش،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نسبت به خداوند حسن ظنّ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آخرحدیث</w:t>
      </w:r>
      <w:r>
        <w:rPr>
          <w:rFonts w:eastAsia="IRNazanin" w:cs="IRNazanin"/>
          <w:color w:val="111111"/>
          <w:sz w:val="28"/>
          <w:szCs w:val="28"/>
          <w:rtl w:val="true"/>
          <w:lang w:bidi="fa-IR"/>
        </w:rPr>
        <w:t>.</w:t>
      </w:r>
      <w:r>
        <w:rPr>
          <w:rStyle w:val="FootnoteAnchor"/>
          <w:rtl w:val="true"/>
        </w:rPr>
        <w:footnoteReference w:id="1148"/>
      </w:r>
    </w:p>
    <w:p>
      <w:pPr>
        <w:pStyle w:val="Heading5"/>
        <w:numPr>
          <w:ilvl w:val="4"/>
          <w:numId w:val="1"/>
        </w:numPr>
        <w:rPr/>
      </w:pPr>
      <w:bookmarkStart w:id="2325" w:name="__RefHeading___Toc607056_1934241801"/>
      <w:bookmarkStart w:id="2326" w:name="_Toc1072"/>
      <w:bookmarkEnd w:id="2325"/>
      <w:r>
        <w:rPr>
          <w:rtl w:val="true"/>
        </w:rPr>
        <w:t>توضیح</w:t>
      </w:r>
      <w:bookmarkEnd w:id="23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دَنِف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سنگین و بیحال شد؛ شهید 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حسن ظنّ نسبت به خداوند در هر زمانی مستحبّ است و هنگام مرگ تأکید بیشتری دارد، و مستحبّ است که به شخص در حال احتضار امر شود که نسبت به خداوند حسن ظنّ و به رحمت او طمع داشته باشد</w:t>
      </w:r>
      <w:r>
        <w:rPr>
          <w:rFonts w:eastAsia="IRNazanin" w:cs="IRNazanin"/>
          <w:color w:val="111111"/>
          <w:sz w:val="28"/>
          <w:szCs w:val="28"/>
          <w:rtl w:val="true"/>
          <w:lang w:bidi="fa-IR"/>
        </w:rPr>
        <w:t>.</w:t>
      </w:r>
    </w:p>
    <w:p>
      <w:pPr>
        <w:pStyle w:val="Heading5"/>
        <w:numPr>
          <w:ilvl w:val="4"/>
          <w:numId w:val="1"/>
        </w:numPr>
        <w:rPr/>
      </w:pPr>
      <w:bookmarkStart w:id="2327" w:name="__RefHeading___Toc607058_1934241801"/>
      <w:bookmarkStart w:id="2328" w:name="_Toc1073"/>
      <w:bookmarkEnd w:id="2327"/>
      <w:r>
        <w:rPr>
          <w:rtl w:val="true"/>
        </w:rPr>
        <w:t xml:space="preserve">روایت </w:t>
      </w:r>
      <w:r>
        <w:rPr/>
        <w:t>12</w:t>
      </w:r>
      <w:bookmarkEnd w:id="2328"/>
    </w:p>
    <w:p>
      <w:p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قبل از مرگ نسبت به خدا حسن ظنّ داشته باشد، چرا که حسن ظنّ نسبت به خدا بهای ورود به بهشت است</w:t>
      </w:r>
      <w:r>
        <w:rPr>
          <w:rFonts w:eastAsia="IRNazanin" w:cs="IRNazanin"/>
          <w:color w:val="111111"/>
          <w:sz w:val="28"/>
          <w:szCs w:val="28"/>
          <w:rtl w:val="true"/>
          <w:lang w:bidi="fa-IR"/>
        </w:rPr>
        <w:t>.</w:t>
      </w:r>
      <w:r>
        <w:rPr>
          <w:rStyle w:val="FootnoteAnchor"/>
          <w:rtl w:val="true"/>
        </w:rPr>
        <w:footnoteReference w:id="1149"/>
      </w:r>
    </w:p>
    <w:p>
      <w:pPr>
        <w:pStyle w:val="Heading5"/>
        <w:numPr>
          <w:ilvl w:val="4"/>
          <w:numId w:val="1"/>
        </w:numPr>
        <w:rPr/>
      </w:pPr>
      <w:bookmarkStart w:id="2329" w:name="__RefHeading___Toc607060_1934241801"/>
      <w:bookmarkStart w:id="2330" w:name="_Toc1074"/>
      <w:bookmarkEnd w:id="2329"/>
      <w:r>
        <w:rPr>
          <w:rtl w:val="true"/>
        </w:rPr>
        <w:t xml:space="preserve">روایت </w:t>
      </w:r>
      <w:r>
        <w:rPr/>
        <w:t>13</w:t>
      </w:r>
      <w:bookmarkEnd w:id="233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مرده های خویش تلقین کنید، چرا که گناهان را از بین می برد،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اگر کسی در حال حیات و تندرستی این کلام را بر زبان آورد چه حکمی دارد؟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را بیشتر و بیشتر از بین می برد، </w:t>
      </w:r>
      <w:bookmarkStart w:id="2331" w:name="pg13517_329267"/>
    </w:p>
    <w:p>
      <w:pPr>
        <w:pStyle w:val="BookText"/>
        <w:rPr/>
      </w:pPr>
      <w:bookmarkEnd w:id="2331"/>
      <w:r>
        <w:rPr>
          <w:rFonts w:ascii="Amiri" w:hAnsi="Amiri" w:eastAsia="Amiri" w:cs="Amiri"/>
          <w:color w:val="111111"/>
          <w:sz w:val="28"/>
          <w:sz w:val="28"/>
          <w:szCs w:val="28"/>
          <w:rtl w:val="true"/>
          <w:lang w:bidi="ar-SA"/>
        </w:rPr>
        <w:t>إِنَّ لَا إِلَهَ إِلَّا اللَّهُ أُنْسٌ لِلْمُؤْمِنِ فِي حَيَاتِهِ وَ عِنْدَ مَوْتِهِ وَ حِينَ يُبْعَثُ وَ قَالَ رَسُولُ اللَّهِ صلي الله عليه و آله قَالَ جَبْرَئِيلُ يَا مُحَمَّدُ لَوْ تَرَاهُمْ حِينَ يُبْعَثُونَ هَذَا مُبْيَضٌّ وَجْهُهُ وَ يُنَادِي لَا إِلَهَ إِلَّا اللَّهُ وَ اللَّهُ أَكْبَرُ وَ هَذَا مُسْوَدٌّ وَجْهُهُ يُنَادِي يَا وَيْلَاهْ يَا ثُبُورَاهْ‌</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2" w:name="__RefHeading___Toc607062_1934241801"/>
      <w:bookmarkStart w:id="2333" w:name="_Toc1075"/>
      <w:bookmarkEnd w:id="2332"/>
      <w:r>
        <w:rPr>
          <w:rtl w:val="true"/>
        </w:rPr>
        <w:t>«</w:t>
      </w:r>
      <w:r>
        <w:rPr/>
        <w:t>14</w:t>
      </w:r>
      <w:r>
        <w:rPr>
          <w:rtl w:val="true"/>
        </w:rPr>
        <w:t>»</w:t>
      </w:r>
      <w:bookmarkEnd w:id="2333"/>
    </w:p>
    <w:p>
      <w:pPr>
        <w:pStyle w:val="BookText"/>
        <w:rPr/>
      </w:pPr>
      <w:r>
        <w:rPr>
          <w:rFonts w:ascii="Amiri" w:hAnsi="Amiri" w:eastAsia="Amiri" w:cs="Amiri"/>
          <w:color w:val="111111"/>
          <w:sz w:val="28"/>
          <w:sz w:val="28"/>
          <w:szCs w:val="28"/>
          <w:rtl w:val="true"/>
          <w:lang w:bidi="ar-SA"/>
        </w:rPr>
        <w:t>الْمَحَاسِنُ، عَنْ فُضَيْلِ بْنِ عُثْمَانَ رَفَعَهُ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أَنْ لَا إِلَهَ إِلَّا اللَّهُ عِنْدَ مَوْتِهِ دَخَلَ الْجَنَّةَ وَ قَالَ النَّبِيُّ صلي الله عليه و آله لَقِّنُوا مَوْتَاكُمْ لَا إِلَهَ إِلَّا اللَّهُ فَإِنَّهَا تَهْدِمُ الْخَطَايَا قِيلَ كَيْفَ مَنْ قَالَهَا فِي حَيَاتِهِ قَالَ هِيَ أَهْدَمُ وَ أَهْدَمُ‌</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4" w:name="__RefHeading___Toc607064_1934241801"/>
      <w:bookmarkStart w:id="2335" w:name="_Toc1076"/>
      <w:bookmarkEnd w:id="2334"/>
      <w:r>
        <w:rPr>
          <w:rtl w:val="true"/>
        </w:rPr>
        <w:t>«</w:t>
      </w:r>
      <w:r>
        <w:rPr/>
        <w:t>15</w:t>
      </w:r>
      <w:r>
        <w:rPr>
          <w:rtl w:val="true"/>
        </w:rPr>
        <w:t>»</w:t>
      </w:r>
      <w:bookmarkEnd w:id="2335"/>
    </w:p>
    <w:p>
      <w:pPr>
        <w:pStyle w:val="BookText"/>
        <w:rPr/>
      </w:pPr>
      <w:r>
        <w:rPr>
          <w:rFonts w:ascii="Amiri" w:hAnsi="Amiri" w:eastAsia="Amiri" w:cs="Amiri"/>
          <w:color w:val="111111"/>
          <w:sz w:val="28"/>
          <w:sz w:val="28"/>
          <w:szCs w:val="28"/>
          <w:rtl w:val="true"/>
          <w:lang w:bidi="ar-SA"/>
        </w:rPr>
        <w:t>وَ مِنْهُ، عَنْ دَاوُدَ بْنِ سُلَيْمَانَ الْقَطَّانِيِّ عَنْ أَحْمَدَ بْنِ زِيَادٍ الْبَانِيِّ عَنْ إِسْرَائِيلَ عَنْ جَابِرٍ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لَقِّنُوا مَوْتَاكُمْ لَا إِلَهَ إِلَّا اللَّهُ فَإِنَّهَا أُنْسٌ لِلْمُؤْمِنِ حِينَ يُمَزَّقُ قَبْرُهُ قَالَ لِي جَبْرَئِيلُ يَا مُحَمَّدُ لَوْ تَرَاهُمْ حِينَ يَخْرُجُونَ مِنْ قُبُورِهِمْ يَنْفُضُونَ التُّرَابَ عَنْ رُءُوسِهِمْ هَذَا يَقُولُ لَا إِلَهَ إِلَّا اللَّهُ وَ الْحَمْدُ لِلَّهِ بُيِّضَ وَجْهُهُ وَ هَذَا يَقُولُ يَا حَسْرَتَاهْ عَلي ما فَرَّطْتُ فِي جَنْبِ اللَّهِ‌</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6" w:name="__RefHeading___Toc607066_1934241801"/>
      <w:bookmarkStart w:id="2337" w:name="_Toc1077"/>
      <w:bookmarkEnd w:id="2336"/>
      <w:r>
        <w:rPr>
          <w:rtl w:val="true"/>
        </w:rPr>
        <w:t>بيان</w:t>
      </w:r>
      <w:bookmarkEnd w:id="2337"/>
    </w:p>
    <w:p>
      <w:pPr>
        <w:pStyle w:val="BookText"/>
        <w:rPr/>
      </w:pPr>
      <w:r>
        <w:rPr>
          <w:rFonts w:ascii="Amiri" w:hAnsi="Amiri" w:eastAsia="Amiri" w:cs="Amiri"/>
          <w:color w:val="111111"/>
          <w:sz w:val="28"/>
          <w:sz w:val="28"/>
          <w:szCs w:val="28"/>
          <w:rtl w:val="true"/>
          <w:lang w:bidi="ar-SA"/>
        </w:rPr>
        <w:t>حين يمزق قبره علي بناء المفعول مخففا و مشددا أي يخرق ليخرج منه عند البعث</w:t>
      </w:r>
      <w:r>
        <w:rPr>
          <w:rFonts w:eastAsia="Amiri" w:cs="Amiri" w:ascii="Amiri" w:hAnsi="Amiri"/>
          <w:color w:val="111111"/>
          <w:sz w:val="28"/>
          <w:szCs w:val="28"/>
          <w:rtl w:val="true"/>
          <w:lang w:bidi="ar-SA"/>
        </w:rPr>
        <w:t>.</w:t>
      </w:r>
    </w:p>
    <w:p>
      <w:pPr>
        <w:pStyle w:val="Heading5"/>
        <w:numPr>
          <w:ilvl w:val="4"/>
          <w:numId w:val="1"/>
        </w:numPr>
        <w:rPr/>
      </w:pPr>
      <w:bookmarkStart w:id="2338" w:name="__RefHeading___Toc607068_1934241801"/>
      <w:bookmarkStart w:id="2339" w:name="_Toc1078"/>
      <w:bookmarkEnd w:id="2338"/>
      <w:r>
        <w:rPr>
          <w:rtl w:val="true"/>
        </w:rPr>
        <w:t>«</w:t>
      </w:r>
      <w:r>
        <w:rPr/>
        <w:t>16</w:t>
      </w:r>
      <w:r>
        <w:rPr>
          <w:rtl w:val="true"/>
        </w:rPr>
        <w:t>»</w:t>
      </w:r>
      <w:bookmarkEnd w:id="2339"/>
    </w:p>
    <w:p>
      <w:pPr>
        <w:pStyle w:val="BookText"/>
        <w:rPr/>
      </w:pPr>
      <w:r>
        <w:rPr>
          <w:rFonts w:ascii="Amiri" w:hAnsi="Amiri" w:eastAsia="Amiri" w:cs="Amiri"/>
          <w:color w:val="111111"/>
          <w:sz w:val="28"/>
          <w:sz w:val="28"/>
          <w:szCs w:val="28"/>
          <w:rtl w:val="true"/>
          <w:lang w:bidi="ar-SA"/>
        </w:rPr>
        <w:t>مَعْرِفَةُ الرِّجَالِ لِلْكَشِّيِّ، عَنْ مُحَمَّدِ بْنِ مَسْعُودٍ عَنْ مُحَمَّدِ بْنِ يَزْدَادَ بْنِ الْمُغِيرَةِ عَنِ الْفَضْلِ بْنِ شَاذَانَ عَنِ ابْنِ أَبِي عُمَيْرٍ عَنْ حَمَّادٍ عَنْ حَرِيزٍ عَنْ زُرَارَةَ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أَدْرَكْتُ عِكْرِمَةَ عِنْدَ الْمَوْتِ لَنَفَعْتُهُ قِيلَ لِأَبِي عَبْدِ اللَّهِ عليه السلام بِمَا ذَا كَانَ يَنْفَعُهُ قَالَ يُلَقِّنُهُ مَا أَنْتُمْ عَلَيْهِ فَلَمْ يُدْرِكْهُ أَبُو جَعْفَرٍ عليه السلام وَ لَمْ يَنْفَعْهُ‌</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0" w:name="__RefHeading___Toc607070_1934241801"/>
      <w:bookmarkStart w:id="2341" w:name="_Toc1079"/>
      <w:bookmarkEnd w:id="2340"/>
      <w:r>
        <w:rPr>
          <w:rtl w:val="true"/>
        </w:rPr>
        <w:t>«</w:t>
      </w:r>
      <w:r>
        <w:rPr/>
        <w:t>17</w:t>
      </w:r>
      <w:r>
        <w:rPr>
          <w:rtl w:val="true"/>
        </w:rPr>
        <w:t>»</w:t>
      </w:r>
      <w:bookmarkEnd w:id="2341"/>
    </w:p>
    <w:p>
      <w:pPr>
        <w:pStyle w:val="BookText"/>
        <w:rPr/>
      </w:pPr>
      <w:r>
        <w:rPr>
          <w:rFonts w:ascii="Amiri" w:hAnsi="Amiri" w:eastAsia="Amiri" w:cs="Amiri"/>
          <w:color w:val="111111"/>
          <w:sz w:val="28"/>
          <w:sz w:val="28"/>
          <w:szCs w:val="28"/>
          <w:rtl w:val="true"/>
          <w:lang w:bidi="ar-SA"/>
        </w:rPr>
        <w:t>وَ مِنْهُ، عَنْ حَمْدَوَيْهِ عَنْ أَيُّوبَ عَنْ عَبْدِ اللَّهِ بْنِ الْمُغِيرَةِ عَنْ ذَرِيحٍ</w:t>
      </w:r>
    </w:p>
    <w:p>
      <w:pPr>
        <w:pStyle w:val="BookText"/>
        <w:rPr/>
      </w:pPr>
      <w:r>
        <w:rPr>
          <w:rFonts w:ascii="IRNazanin" w:hAnsi="IRNazanin" w:eastAsia="IRNazanin"/>
          <w:color w:val="111111"/>
          <w:sz w:val="28"/>
          <w:sz w:val="28"/>
          <w:szCs w:val="28"/>
          <w:rtl w:val="true"/>
          <w:lang w:bidi="fa-IR"/>
        </w:rPr>
        <w:t xml:space="preserve">به راستی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حیات و مرگ و هنگام برانگیخته شدن مونس مؤمن است؛ 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اگر آنان را هنگام برانگیخته شدن ببینی، صورت گروهی نورانی و سفید است و ندا سر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 الله اکبر، و صورت گروهی ظلمانی و سیاه است ندا سر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ویلا، این چه بلایی بود</w:t>
      </w:r>
      <w:r>
        <w:rPr>
          <w:rFonts w:eastAsia="IRNazanin" w:cs="IRNazanin"/>
          <w:color w:val="111111"/>
          <w:sz w:val="28"/>
          <w:szCs w:val="28"/>
          <w:rtl w:val="true"/>
          <w:lang w:bidi="fa-IR"/>
        </w:rPr>
        <w:t>.</w:t>
      </w:r>
      <w:r>
        <w:rPr>
          <w:rStyle w:val="FootnoteAnchor"/>
          <w:rtl w:val="true"/>
        </w:rPr>
        <w:footnoteReference w:id="1154"/>
      </w:r>
    </w:p>
    <w:p>
      <w:pPr>
        <w:pStyle w:val="Heading5"/>
        <w:numPr>
          <w:ilvl w:val="4"/>
          <w:numId w:val="1"/>
        </w:numPr>
        <w:rPr/>
      </w:pPr>
      <w:bookmarkStart w:id="2342" w:name="__RefHeading___Toc607072_1934241801"/>
      <w:bookmarkStart w:id="2343" w:name="_Toc1080"/>
      <w:bookmarkEnd w:id="2342"/>
      <w:r>
        <w:rPr>
          <w:rtl w:val="true"/>
        </w:rPr>
        <w:t xml:space="preserve">روایت </w:t>
      </w:r>
      <w:r>
        <w:rPr/>
        <w:t>14</w:t>
      </w:r>
      <w:bookmarkEnd w:id="2343"/>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هنگام مرگ شهادت دهد که جز الله خدایی وجود ندارد وارد بهشت می شود، و 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مردگان خویش تلقین کنید که گناهان را از بین می برد،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حال حیاتش این لفظ را به زبان آورد چه حکمی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را بیشتر و بیشتر از بین می برد</w:t>
      </w:r>
      <w:r>
        <w:rPr>
          <w:rFonts w:eastAsia="IRNazanin" w:cs="IRNazanin"/>
          <w:color w:val="111111"/>
          <w:sz w:val="28"/>
          <w:szCs w:val="28"/>
          <w:rtl w:val="true"/>
          <w:lang w:bidi="fa-IR"/>
        </w:rPr>
        <w:t>.</w:t>
      </w:r>
      <w:r>
        <w:rPr>
          <w:rStyle w:val="FootnoteAnchor"/>
          <w:rtl w:val="true"/>
        </w:rPr>
        <w:footnoteReference w:id="1155"/>
      </w:r>
    </w:p>
    <w:p>
      <w:pPr>
        <w:pStyle w:val="Heading5"/>
        <w:numPr>
          <w:ilvl w:val="4"/>
          <w:numId w:val="1"/>
        </w:numPr>
        <w:rPr/>
      </w:pPr>
      <w:bookmarkStart w:id="2344" w:name="__RefHeading___Toc607074_1934241801"/>
      <w:bookmarkStart w:id="2345" w:name="_Toc1081"/>
      <w:bookmarkEnd w:id="2344"/>
      <w:r>
        <w:rPr>
          <w:rtl w:val="true"/>
        </w:rPr>
        <w:t xml:space="preserve">روایت </w:t>
      </w:r>
      <w:r>
        <w:rPr/>
        <w:t>15</w:t>
      </w:r>
      <w:bookmarkEnd w:id="2345"/>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مردگان خویش تلقین کنید، به راستی که این لفظ هنگامی  که قبر مؤمن شکافته می شود مونس اوست،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اگر آنان را هنگام خارج شدن از قبرهایشان ببینی که خاک را از روی سرهایشان کنار می زنند؛ عدّه ای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هایشان نورانی است، و عدّه ای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حسرتاه علی ما فرّطتُ فی جنب الله</w:t>
      </w:r>
      <w:r>
        <w:rPr>
          <w:rFonts w:eastAsia="IRNazanin" w:cs="IRNazanin"/>
          <w:color w:val="111111"/>
          <w:sz w:val="28"/>
          <w:szCs w:val="28"/>
          <w:rtl w:val="true"/>
          <w:lang w:bidi="fa-IR"/>
        </w:rPr>
        <w:t>».</w:t>
      </w:r>
    </w:p>
    <w:p>
      <w:pPr>
        <w:pStyle w:val="Heading5"/>
        <w:numPr>
          <w:ilvl w:val="4"/>
          <w:numId w:val="1"/>
        </w:numPr>
        <w:rPr/>
      </w:pPr>
      <w:bookmarkStart w:id="2346" w:name="__RefHeading___Toc607076_1934241801"/>
      <w:bookmarkStart w:id="2347" w:name="_Toc1082"/>
      <w:bookmarkEnd w:id="2346"/>
      <w:r>
        <w:rPr>
          <w:rtl w:val="true"/>
        </w:rPr>
        <w:t>توضیح</w:t>
      </w:r>
      <w:bookmarkEnd w:id="23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یُمَزَّقُ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قبر او در روز رستاخیز شکافته می شود تا از آن خارج شود</w:t>
      </w:r>
      <w:r>
        <w:rPr>
          <w:rFonts w:eastAsia="IRNazanin" w:cs="IRNazanin"/>
          <w:color w:val="111111"/>
          <w:sz w:val="28"/>
          <w:szCs w:val="28"/>
          <w:rtl w:val="true"/>
          <w:lang w:bidi="fa-IR"/>
        </w:rPr>
        <w:t>.</w:t>
      </w:r>
    </w:p>
    <w:p>
      <w:pPr>
        <w:pStyle w:val="Heading5"/>
        <w:numPr>
          <w:ilvl w:val="4"/>
          <w:numId w:val="1"/>
        </w:numPr>
        <w:rPr/>
      </w:pPr>
      <w:bookmarkStart w:id="2348" w:name="__RefHeading___Toc607078_1934241801"/>
      <w:bookmarkStart w:id="2349" w:name="_Toc1083"/>
      <w:bookmarkEnd w:id="2348"/>
      <w:r>
        <w:rPr>
          <w:rtl w:val="true"/>
        </w:rPr>
        <w:t xml:space="preserve">روایت </w:t>
      </w:r>
      <w:r>
        <w:rPr/>
        <w:t>16</w:t>
      </w:r>
      <w:bookmarkEnd w:id="2349"/>
    </w:p>
    <w:p>
      <w:pPr>
        <w:pStyle w:val="BookText"/>
        <w:rPr/>
      </w:pPr>
      <w:r>
        <w:rPr>
          <w:rFonts w:ascii="IRNazanin" w:hAnsi="IRNazanin" w:eastAsia="IRNazanin"/>
          <w:color w:val="111111"/>
          <w:sz w:val="28"/>
          <w:sz w:val="28"/>
          <w:szCs w:val="28"/>
          <w:rtl w:val="true"/>
          <w:lang w:bidi="fa-IR"/>
        </w:rPr>
        <w:t>معرفة الرجال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عِکرمة را هنگام مرگ در می یافتم او را سود می رساندم؛ از امام صادق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با چه چیزی به عکرمة سود می رساند؟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ای که شما بر آن هستید را به او تلقین می کرد، ولی امام باقر علیه السلام او را در نیافت و به او سود نرسانید</w:t>
      </w:r>
      <w:r>
        <w:rPr>
          <w:rFonts w:eastAsia="IRNazanin" w:cs="IRNazanin"/>
          <w:color w:val="111111"/>
          <w:sz w:val="28"/>
          <w:szCs w:val="28"/>
          <w:rtl w:val="true"/>
          <w:lang w:bidi="fa-IR"/>
        </w:rPr>
        <w:t>.</w:t>
      </w:r>
      <w:r>
        <w:rPr>
          <w:rStyle w:val="FootnoteAnchor"/>
          <w:rtl w:val="true"/>
        </w:rPr>
        <w:footnoteReference w:id="1156"/>
      </w:r>
    </w:p>
    <w:p>
      <w:pPr>
        <w:pStyle w:val="Heading5"/>
        <w:numPr>
          <w:ilvl w:val="4"/>
          <w:numId w:val="1"/>
        </w:numPr>
        <w:rPr/>
      </w:pPr>
      <w:bookmarkStart w:id="2350" w:name="__RefHeading___Toc607080_1934241801"/>
      <w:bookmarkStart w:id="2351" w:name="_Toc1084"/>
      <w:bookmarkEnd w:id="2350"/>
      <w:r>
        <w:rPr>
          <w:rtl w:val="true"/>
        </w:rPr>
        <w:t xml:space="preserve">روایت </w:t>
      </w:r>
      <w:r>
        <w:rPr/>
        <w:t>17</w:t>
      </w:r>
      <w:bookmarkEnd w:id="2351"/>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معرفة الرجال کشی</w:t>
      </w:r>
      <w:r>
        <w:rPr>
          <w:rFonts w:eastAsia="IRNazanin" w:cs="IRNazanin"/>
          <w:color w:val="111111"/>
          <w:sz w:val="28"/>
          <w:szCs w:val="28"/>
          <w:rtl w:val="true"/>
          <w:lang w:bidi="fa-IR"/>
        </w:rPr>
        <w:t xml:space="preserve">: </w:t>
      </w:r>
      <w:bookmarkStart w:id="2352" w:name="pg13517_329268"/>
    </w:p>
    <w:p>
      <w:pPr>
        <w:pStyle w:val="BookText"/>
        <w:rPr/>
      </w:pPr>
      <w:bookmarkEnd w:id="2352"/>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سَعِيدٍ الْخُدْرِيُّ فَقَالَ كَانَ مِنْ أَصْحَابِ رَسُولِ اللَّهِ صَلَّي اللَّهُ عَلَيْهِ وَ آلِهِ وَ كَانَ مُسْتَقِيماً قَالَ فَنَزَعَ ثَلَاثَةَ أَيَّامٍ فَغَسَّلَهُ أَهْلُهُ ثُمَّ حَمَلُوهُ إِلَي مُصَلَّاهُ فَمَاتَ فِيهِ‌</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محمد بن المثني، عن جعفر بن محمد بن شريح عن ذريح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353" w:name="__RefHeading___Toc607082_1934241801"/>
      <w:bookmarkStart w:id="2354" w:name="_Toc1085"/>
      <w:bookmarkEnd w:id="2353"/>
      <w:r>
        <w:rPr>
          <w:rtl w:val="true"/>
        </w:rPr>
        <w:t>«</w:t>
      </w:r>
      <w:r>
        <w:rPr/>
        <w:t>18</w:t>
      </w:r>
      <w:r>
        <w:rPr>
          <w:rtl w:val="true"/>
        </w:rPr>
        <w:t>»</w:t>
      </w:r>
      <w:bookmarkEnd w:id="2354"/>
    </w:p>
    <w:p>
      <w:pPr>
        <w:pStyle w:val="BookText"/>
        <w:rPr/>
      </w:pPr>
      <w:r>
        <w:rPr>
          <w:rFonts w:ascii="Amiri" w:hAnsi="Amiri" w:eastAsia="Amiri" w:cs="Amiri"/>
          <w:color w:val="111111"/>
          <w:sz w:val="28"/>
          <w:sz w:val="28"/>
          <w:szCs w:val="28"/>
          <w:rtl w:val="true"/>
          <w:lang w:bidi="ar-SA"/>
        </w:rPr>
        <w:t>الْكَشِّيُّ، عَنْ مُحَمَّدِ بْنِ مَسْعُودٍ عَنِ الْحُسَيْنِ بْنِ إِشْكِيبَ عَنْ مُحَسِّنِ بْنِ أَحْمَدَ عَنْ أَبَانِ بْنِ عُثْمَانَ عَنْ لَيْثٍ الْمُرَادِيِّ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سَعِيدٍ الْخُدْرِيَّ كَانَ قَدْ رُزِقَ هَذَا الْأَمْرَ وَ إِنَّهُ اشْتَدَّ نَزْعُهُ فَأَمَرَ أَهْلَهُ أَنْ يَحْمِلُوهُ إِلَي مُصَلَّاهُ الَّذِي كَانَ يُصَلِّي فِيهِ فَفَعَلُوا فَمَا لَبِثَ أَنْ هَلَكَ‌</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5" w:name="__RefHeading___Toc607084_1934241801"/>
      <w:bookmarkStart w:id="2356" w:name="_Toc1086"/>
      <w:bookmarkEnd w:id="2355"/>
      <w:r>
        <w:rPr>
          <w:rtl w:val="true"/>
        </w:rPr>
        <w:t>«</w:t>
      </w:r>
      <w:r>
        <w:rPr/>
        <w:t>19</w:t>
      </w:r>
      <w:r>
        <w:rPr>
          <w:rtl w:val="true"/>
        </w:rPr>
        <w:t>»</w:t>
      </w:r>
      <w:bookmarkEnd w:id="2356"/>
    </w:p>
    <w:p>
      <w:pPr>
        <w:pStyle w:val="BookText"/>
        <w:rPr/>
      </w:pPr>
      <w:r>
        <w:rPr>
          <w:rFonts w:ascii="Amiri" w:hAnsi="Amiri" w:eastAsia="Amiri" w:cs="Amiri"/>
          <w:color w:val="111111"/>
          <w:sz w:val="28"/>
          <w:sz w:val="28"/>
          <w:szCs w:val="28"/>
          <w:rtl w:val="true"/>
          <w:lang w:bidi="ar-SA"/>
        </w:rPr>
        <w:t>وَ مِنْهُ، عَنْ حَمْدَوَيْهِ عَنْ يَعْقُوبَ بْنِ يَزِيدَ عَنِ ابْنِ أَبِي عُمَيْرٍ عَنِ الْحُسَيْنِ بْنِ عُثْمَانَ عَنْ ذَرِيحٍ قَالَ سَمِعْتُ أَبَا عَبْدِ اللَّهِ عليه السلام يَقُولُ كَانَ عَلِيُّ بْنُ الْحُسَيْنِ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لِلرَّجُلِ أَنْ يُعَافَي فِي الدُّنْيَا وَ لَا يُصِيبَهُ شَيْ‌ءٌ مِنَ الْمَصَائِبِ ثُمَّ ذَكَرَ أَنَّ أَبَا سَعِيدٍ الْخُدْرِيَّ وَ كَانَ مُسْتَقِيماً نَزَعَ ثَلَاثَةَ أَيَّامٍ فَغَسَّلَهُ أَهْلُهُ ثُمَّ حَمَلُوهُ إِلَي مُصَلَّاهُ فَمَاتَ فِيهِ‌</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7" w:name="__RefHeading___Toc607086_1934241801"/>
      <w:bookmarkStart w:id="2358" w:name="_Toc1087"/>
      <w:bookmarkEnd w:id="2357"/>
      <w:r>
        <w:rPr>
          <w:rtl w:val="true"/>
        </w:rPr>
        <w:t>«</w:t>
      </w:r>
      <w:r>
        <w:rPr/>
        <w:t>20</w:t>
      </w:r>
      <w:r>
        <w:rPr>
          <w:rtl w:val="true"/>
        </w:rPr>
        <w:t>»</w:t>
      </w:r>
      <w:bookmarkEnd w:id="2358"/>
    </w:p>
    <w:p>
      <w:pPr>
        <w:pStyle w:val="BookText"/>
        <w:rPr/>
      </w:pPr>
      <w:r>
        <w:rPr>
          <w:rFonts w:ascii="Amiri" w:hAnsi="Amiri" w:eastAsia="Amiri" w:cs="Amiri"/>
          <w:color w:val="111111"/>
          <w:sz w:val="28"/>
          <w:sz w:val="28"/>
          <w:szCs w:val="28"/>
          <w:rtl w:val="true"/>
          <w:lang w:bidi="ar-SA"/>
        </w:rPr>
        <w:t>طِبُّ الْأَئِمَّةِ، عَنِ الْخَضِرِ بْنِ مُحَمَّدٍ عَنِ الْعَبَّاسِ بْنِ مُحَمَّدٍ عَنْ حَمَّادِ بْنِ عِيسَي عَنْ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فَقَالَ لَهُ رَجُلٌ إِنَّ أَخِي مُنْذُ ثَلَاثَةِ أَيَّامٍ فِي النَّزْعِ وَ قَدِ اشْتَدَّ عَلَيْهِ الْأَمْرُ فَادْعُ لَهُ فَقَالَ اللَّهُمَّ سَهِّلْ عَلَيْهِ سَكَرَاتِ الْمَوْتِ ثُمَّ أَمَرَهُ وَ قَالَ حَوِّلُوا فِرَاشَهُ إِلَي مُصَلَّاهُ الَّذِي كَانَ يُصَلِّي فِيهِ فَإِنَّهُ يُخَفَّفُ عَلَيْهِ إِنْ كَانَ فِي أَجَلِهِ تَأْخِيرٌ وَ إِنْ كَانَتْ مَنِيَّتُهُ قَدْ حَضَرَتْ فَإِنَّهُ يُسَهَّلُ عَلَيْهِ إِنْ شَاءَ اللَّهُ‌</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9" w:name="__RefHeading___Toc607088_1934241801"/>
      <w:bookmarkStart w:id="2360" w:name="_Toc1088"/>
      <w:bookmarkEnd w:id="2359"/>
      <w:r>
        <w:rPr>
          <w:rtl w:val="true"/>
        </w:rPr>
        <w:t>«</w:t>
      </w:r>
      <w:r>
        <w:rPr/>
        <w:t>21</w:t>
      </w:r>
      <w:r>
        <w:rPr>
          <w:rtl w:val="true"/>
        </w:rPr>
        <w:t>»</w:t>
      </w:r>
      <w:bookmarkEnd w:id="2360"/>
    </w:p>
    <w:p>
      <w:pPr>
        <w:pStyle w:val="BookText"/>
        <w:rPr/>
      </w:pPr>
      <w:r>
        <w:rPr>
          <w:rFonts w:ascii="Amiri" w:hAnsi="Amiri" w:eastAsia="Amiri" w:cs="Amiri"/>
          <w:color w:val="111111"/>
          <w:sz w:val="28"/>
          <w:sz w:val="28"/>
          <w:szCs w:val="28"/>
          <w:rtl w:val="true"/>
          <w:lang w:bidi="ar-SA"/>
        </w:rPr>
        <w:t>وَ مِنْهُ، عَنِ الْأَحْوَصِ بْنِ مُحَمَّدٍ عَنْ عَبْدِ الرَّحْمَنِ بْنِ أَبِي نَجْرَانَ عَنْ حَمَّادِ بْنِ عِيسَي عَنْ حَرِيزِ بْنِ عَبْدِ اللَّهِ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w:t>
      </w:r>
    </w:p>
    <w:p>
      <w:pPr>
        <w:pStyle w:val="BookText"/>
        <w:rPr/>
      </w:pPr>
      <w:r>
        <w:rPr>
          <w:rFonts w:ascii="IRNazanin" w:hAnsi="IRNazanin" w:eastAsia="IRNazanin"/>
          <w:color w:val="111111"/>
          <w:sz w:val="28"/>
          <w:sz w:val="28"/>
          <w:szCs w:val="28"/>
          <w:rtl w:val="true"/>
          <w:lang w:bidi="fa-IR"/>
        </w:rPr>
        <w:t>نام ابوسعید خدریّ به میان آمد 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از اصحاب رسول خدا صلّی الله علیه و آله بود که در راه راست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سه روز در حال جان کندن بود، آن گاه خانواده اش او را غسل دادند و به سوی جایگاه نمازش او را حمل کردند و در آنجا جان سپرد</w:t>
      </w:r>
      <w:r>
        <w:rPr>
          <w:rFonts w:eastAsia="IRNazanin" w:cs="IRNazanin"/>
          <w:color w:val="111111"/>
          <w:sz w:val="28"/>
          <w:szCs w:val="28"/>
          <w:rtl w:val="true"/>
          <w:lang w:bidi="fa-IR"/>
        </w:rPr>
        <w:t>.</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کتاب محمد بن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روایت شده است</w:t>
      </w:r>
      <w:r>
        <w:rPr>
          <w:rFonts w:eastAsia="IRNazanin" w:cs="IRNazanin"/>
          <w:color w:val="111111"/>
          <w:sz w:val="28"/>
          <w:szCs w:val="28"/>
          <w:rtl w:val="true"/>
          <w:lang w:bidi="fa-IR"/>
        </w:rPr>
        <w:t>.</w:t>
      </w:r>
    </w:p>
    <w:p>
      <w:pPr>
        <w:pStyle w:val="Heading5"/>
        <w:numPr>
          <w:ilvl w:val="4"/>
          <w:numId w:val="1"/>
        </w:numPr>
        <w:rPr/>
      </w:pPr>
      <w:bookmarkStart w:id="2361" w:name="__RefHeading___Toc607090_1934241801"/>
      <w:bookmarkStart w:id="2362" w:name="_Toc1089"/>
      <w:bookmarkEnd w:id="2361"/>
      <w:r>
        <w:rPr>
          <w:rtl w:val="true"/>
        </w:rPr>
        <w:t xml:space="preserve">روایت </w:t>
      </w:r>
      <w:r>
        <w:rPr/>
        <w:t>18</w:t>
      </w:r>
      <w:bookmarkEnd w:id="2362"/>
    </w:p>
    <w:p>
      <w:pPr>
        <w:pStyle w:val="BookText"/>
        <w:rPr/>
      </w:pP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موهبت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ابوسعید خدریّ بخشیده شده است، جان کندن وی شدّت یافت پس به خانواده اش دستور داد که او را به سوی جایگاه نمازش که در آن نماز می گذارد حمل کنند، آنان چنان کردند و طولی نکشید که ابو سعید وفات نمود</w:t>
      </w:r>
      <w:r>
        <w:rPr>
          <w:rFonts w:eastAsia="IRNazanin" w:cs="IRNazanin"/>
          <w:color w:val="111111"/>
          <w:sz w:val="28"/>
          <w:szCs w:val="28"/>
          <w:rtl w:val="true"/>
          <w:lang w:bidi="fa-IR"/>
        </w:rPr>
        <w:t>.</w:t>
      </w:r>
      <w:r>
        <w:rPr>
          <w:rStyle w:val="FootnoteAnchor"/>
          <w:rtl w:val="true"/>
        </w:rPr>
        <w:footnoteReference w:id="1162"/>
      </w:r>
    </w:p>
    <w:p>
      <w:pPr>
        <w:pStyle w:val="Heading5"/>
        <w:numPr>
          <w:ilvl w:val="4"/>
          <w:numId w:val="1"/>
        </w:numPr>
        <w:rPr/>
      </w:pPr>
      <w:bookmarkStart w:id="2363" w:name="__RefHeading___Toc607092_1934241801"/>
      <w:bookmarkStart w:id="2364" w:name="_Toc1090"/>
      <w:bookmarkEnd w:id="2363"/>
      <w:r>
        <w:rPr>
          <w:rtl w:val="true"/>
        </w:rPr>
        <w:t xml:space="preserve">روایت </w:t>
      </w:r>
      <w:r>
        <w:rPr/>
        <w:t>19</w:t>
      </w:r>
      <w:bookmarkEnd w:id="2364"/>
    </w:p>
    <w:p>
      <w:pPr>
        <w:pStyle w:val="BookText"/>
        <w:rPr/>
      </w:pP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ذریح روایت شده که از امام صادق علیه السلام شنیدم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علیهما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شخصی که در دنیا سالم بماند و به مصیبتی از مصایب مبتلا نشود بیزارم، سپس ذکر کرد ابوسعید خدریّ که در راه راست بود، سه روز در حال جان کندن بود، پس خانواده اش او را غسل دادند و به سوی جایگاهی که در آن نماز می گُزارد حملش کردند و در آن جان سپرد</w:t>
      </w:r>
      <w:r>
        <w:rPr>
          <w:rFonts w:eastAsia="IRNazanin" w:cs="IRNazanin"/>
          <w:color w:val="111111"/>
          <w:sz w:val="28"/>
          <w:szCs w:val="28"/>
          <w:rtl w:val="true"/>
          <w:lang w:bidi="fa-IR"/>
        </w:rPr>
        <w:t>.</w:t>
      </w:r>
      <w:r>
        <w:rPr>
          <w:rStyle w:val="FootnoteAnchor"/>
          <w:rtl w:val="true"/>
        </w:rPr>
        <w:footnoteReference w:id="1163"/>
      </w:r>
    </w:p>
    <w:p>
      <w:pPr>
        <w:pStyle w:val="Heading5"/>
        <w:numPr>
          <w:ilvl w:val="4"/>
          <w:numId w:val="1"/>
        </w:numPr>
        <w:rPr/>
      </w:pPr>
      <w:bookmarkStart w:id="2365" w:name="__RefHeading___Toc607094_1934241801"/>
      <w:bookmarkStart w:id="2366" w:name="_Toc1091"/>
      <w:bookmarkEnd w:id="2365"/>
      <w:r>
        <w:rPr>
          <w:rtl w:val="true"/>
        </w:rPr>
        <w:t xml:space="preserve">روایت </w:t>
      </w:r>
      <w:r>
        <w:rPr/>
        <w:t>20</w:t>
      </w:r>
      <w:bookmarkEnd w:id="2366"/>
    </w:p>
    <w:p>
      <w:pPr>
        <w:pStyle w:val="BookText"/>
        <w:rPr/>
      </w:pP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حریز روایت شده است که ما نزد امام صادق علیه السلام بودیم، مردی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از سه روز پیش درحال جان کندن است و شرایط بر او دشوار گشته است، پس برای او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سکرات مرگ را بر او آسان گردان، سپس به او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او را به جایگاهی که در آن نماز می گزارد تغییر دهید که اگر اجل او به تأخیر افتاده باشد این کار باعث تخفیف در شدّت و سختی او خواهد شد، و اگر زمان مرگ او فرا رسیده باشد بر او آسان خواهد گشت إن شاءالله</w:t>
      </w:r>
      <w:r>
        <w:rPr>
          <w:rFonts w:eastAsia="IRNazanin" w:cs="IRNazanin"/>
          <w:color w:val="111111"/>
          <w:sz w:val="28"/>
          <w:szCs w:val="28"/>
          <w:rtl w:val="true"/>
          <w:lang w:bidi="fa-IR"/>
        </w:rPr>
        <w:t xml:space="preserve">. </w:t>
      </w:r>
      <w:r>
        <w:rPr>
          <w:rStyle w:val="FootnoteAnchor"/>
          <w:rtl w:val="true"/>
        </w:rPr>
        <w:footnoteReference w:id="1164"/>
      </w:r>
    </w:p>
    <w:p>
      <w:pPr>
        <w:pStyle w:val="Heading5"/>
        <w:numPr>
          <w:ilvl w:val="4"/>
          <w:numId w:val="1"/>
        </w:numPr>
        <w:rPr/>
      </w:pPr>
      <w:bookmarkStart w:id="2367" w:name="__RefHeading___Toc607096_1934241801"/>
      <w:bookmarkStart w:id="2368" w:name="_Toc1092"/>
      <w:bookmarkEnd w:id="2367"/>
      <w:r>
        <w:rPr>
          <w:rtl w:val="true"/>
        </w:rPr>
        <w:t xml:space="preserve">روایت </w:t>
      </w:r>
      <w:r>
        <w:rPr/>
        <w:t>21</w:t>
      </w:r>
      <w:bookmarkEnd w:id="2368"/>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بر </w:t>
      </w:r>
      <w:bookmarkStart w:id="2369" w:name="pg13517_329269"/>
    </w:p>
    <w:p>
      <w:pPr>
        <w:pStyle w:val="BookText"/>
        <w:rPr/>
      </w:pPr>
      <w:bookmarkEnd w:id="2369"/>
      <w:r>
        <w:rPr>
          <w:rFonts w:ascii="Amiri" w:hAnsi="Amiri" w:eastAsia="Amiri" w:cs="Amiri"/>
          <w:color w:val="111111"/>
          <w:sz w:val="28"/>
          <w:sz w:val="28"/>
          <w:szCs w:val="28"/>
          <w:rtl w:val="true"/>
          <w:lang w:bidi="ar-SA"/>
        </w:rPr>
        <w:t>عَلَي مَرِيضٍ وَ هُوَ فِي النَّزْعِ الشَّدِيدِ فَقُلْ لَهُ ادْعُ بِهَذَا الدُّعَاءِ يُخَفِّفِ اللَّهُ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أَعُوذُ بِاللَّهِ الْعَظِيمِ رَبِّ الْعَرْشِ الْكَرِيمِ مِنْ كُلِّ عِرْقٍ نَعَّارٍ وَ مِنْ شَرِّ حَرِّ النَّارِ سَبْعَ مَرَّاتٍ ثُمَّ لَقِّنْهُ كَلِمَاتِ الْفَرَجِ ثُمَّ حَوِّلْ وَجْهَهُ إِلَي مُصَلَّاهُ الَّذِي كَانَ يُصَلِّي فِيهِ فَإِنَّهُ يُخَفَّفُ عَنْهُ وَ يُسَهَّلُ أَمْرُهُ بِإِذْنِ اللَّهِ‌</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0" w:name="__RefHeading___Toc607098_1934241801"/>
      <w:bookmarkStart w:id="2371" w:name="_Toc1093"/>
      <w:bookmarkEnd w:id="2370"/>
      <w:r>
        <w:rPr>
          <w:rtl w:val="true"/>
        </w:rPr>
        <w:t>بيان</w:t>
      </w:r>
      <w:bookmarkEnd w:id="2371"/>
    </w:p>
    <w:p>
      <w:pPr>
        <w:pStyle w:val="BookText"/>
        <w:rPr/>
      </w:pPr>
      <w:r>
        <w:rPr>
          <w:rFonts w:ascii="Amiri" w:hAnsi="Amiri" w:eastAsia="Amiri" w:cs="Amiri"/>
          <w:color w:val="111111"/>
          <w:sz w:val="28"/>
          <w:sz w:val="28"/>
          <w:szCs w:val="28"/>
          <w:rtl w:val="true"/>
          <w:lang w:bidi="ar-SA"/>
        </w:rPr>
        <w:t>قوله ثم حول وجهه أقول ظاهره مناف لأخبار الاستقبال و أخبار التحويل إلا أن يقال أريد بالوجه البدن مجازا و لعله كان ثم حول وجهه إلي القبلة و حوله إلي مصلاه و يمكن تقدير ذلك بأن يقال المراد به حول وجهه إلي القبلة منتقلا إلي مصلاه</w:t>
      </w:r>
      <w:r>
        <w:rPr>
          <w:rFonts w:eastAsia="Amiri" w:cs="Amiri" w:ascii="Amiri" w:hAnsi="Amiri"/>
          <w:color w:val="111111"/>
          <w:sz w:val="28"/>
          <w:szCs w:val="28"/>
          <w:rtl w:val="true"/>
          <w:lang w:bidi="ar-SA"/>
        </w:rPr>
        <w:t>.</w:t>
      </w:r>
    </w:p>
    <w:p>
      <w:pPr>
        <w:pStyle w:val="Heading5"/>
        <w:numPr>
          <w:ilvl w:val="4"/>
          <w:numId w:val="1"/>
        </w:numPr>
        <w:rPr/>
      </w:pPr>
      <w:bookmarkStart w:id="2372" w:name="__RefHeading___Toc607100_1934241801"/>
      <w:bookmarkStart w:id="2373" w:name="_Toc1094"/>
      <w:bookmarkEnd w:id="2372"/>
      <w:r>
        <w:rPr>
          <w:rtl w:val="true"/>
        </w:rPr>
        <w:t>«</w:t>
      </w:r>
      <w:r>
        <w:rPr/>
        <w:t>22</w:t>
      </w:r>
      <w:r>
        <w:rPr>
          <w:rtl w:val="true"/>
        </w:rPr>
        <w:t>»</w:t>
      </w:r>
      <w:bookmarkEnd w:id="2373"/>
    </w:p>
    <w:p>
      <w:pPr>
        <w:pStyle w:val="BookText"/>
        <w:rPr/>
      </w:pPr>
      <w:r>
        <w:rPr>
          <w:rFonts w:ascii="Amiri" w:hAnsi="Amiri" w:eastAsia="Amiri" w:cs="Amiri"/>
          <w:color w:val="111111"/>
          <w:sz w:val="28"/>
          <w:sz w:val="28"/>
          <w:szCs w:val="28"/>
          <w:rtl w:val="true"/>
          <w:lang w:bidi="ar-SA"/>
        </w:rPr>
        <w:t>دَعَوَاتُ الرَّاوَنْدِيِّ، 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عليه السلام يَقُولُ لِابْنِهِ الْقَاسِمِ قُمْ يَا بُنَيَّ فَاقْرَأْ عِنْدَ رَأْسِ أَخِيكَ وَ الصَّافَّاتِ صَفًّا تَسْتَتِمُّهَا فَقَرَأَ فَلَمَّا بَلَغَ أَ هُمْ أَشَدُّ خَلْقاً أَمْ مَنْ خَلَقْنا قَضَي الْفَتَي فَلَمَّا سُجِّيَ وَ خَرَجُوا أَقْبَلَ عَلَيْهِ يَعْقُوبُ بْنُ جَعْفَرٍ فَقَالَ لَهُ كُنَّا نَعْهَدُ الْمَيِّتَ إِذَا نَزَلَ بِهِ الْمَوْتُ يُقْرَأُ عِنْدَهُ يس وَ الْقُرْآنِ الْحَكِيمِ فَصِرْتَ تَأْمُرُنَا بِالصَّافَّاتِ فَقَالَ يَا بُنَيَّ لَمْ تُقْرَأْ عِنْدَ مَكْرُوبٍ مِنَ الْمَوْتِ قَطُّ إِلَّا عَجَّلَ اللَّهُ رَاحَتَهُ</w:t>
      </w:r>
      <w:r>
        <w:rPr>
          <w:rFonts w:eastAsia="Amiri" w:cs="Amiri" w:ascii="Amiri" w:hAnsi="Amiri"/>
          <w:color w:val="111111"/>
          <w:sz w:val="28"/>
          <w:szCs w:val="28"/>
          <w:rtl w:val="true"/>
          <w:lang w:bidi="ar-SA"/>
        </w:rPr>
        <w:t>.</w:t>
      </w:r>
    </w:p>
    <w:p>
      <w:pPr>
        <w:pStyle w:val="Heading5"/>
        <w:numPr>
          <w:ilvl w:val="4"/>
          <w:numId w:val="1"/>
        </w:numPr>
        <w:rPr/>
      </w:pPr>
      <w:bookmarkStart w:id="2374" w:name="__RefHeading___Toc607102_1934241801"/>
      <w:bookmarkStart w:id="2375" w:name="_Toc1095"/>
      <w:bookmarkEnd w:id="2374"/>
      <w:r>
        <w:rPr>
          <w:rtl w:val="true"/>
        </w:rPr>
        <w:t>توضيح</w:t>
      </w:r>
      <w:bookmarkEnd w:id="2375"/>
    </w:p>
    <w:p>
      <w:pPr>
        <w:pStyle w:val="BookText"/>
        <w:rPr/>
      </w:pPr>
      <w:r>
        <w:rPr>
          <w:rFonts w:ascii="Amiri" w:hAnsi="Amiri" w:eastAsia="Amiri" w:cs="Amiri"/>
          <w:color w:val="111111"/>
          <w:sz w:val="28"/>
          <w:sz w:val="28"/>
          <w:szCs w:val="28"/>
          <w:rtl w:val="true"/>
          <w:lang w:bidi="ar-SA"/>
        </w:rPr>
        <w:t>في القاموس قضي مات و قال الجوهري سجيت الميت تسجية إذا مددت عليه ثوبا و قوله عليه السلام يا بني علي سبيل اللطف إن كان المخاطب يعقوب و إن كان القاسم ففي الحقيقة و الأول أظهر</w:t>
      </w:r>
      <w:r>
        <w:rPr>
          <w:rFonts w:eastAsia="Amiri" w:cs="Amiri" w:ascii="Amiri" w:hAnsi="Amiri"/>
          <w:color w:val="111111"/>
          <w:sz w:val="28"/>
          <w:szCs w:val="28"/>
          <w:rtl w:val="true"/>
          <w:lang w:bidi="ar-SA"/>
        </w:rPr>
        <w:t>.</w:t>
      </w:r>
    </w:p>
    <w:p>
      <w:pPr>
        <w:pStyle w:val="Heading5"/>
        <w:numPr>
          <w:ilvl w:val="4"/>
          <w:numId w:val="1"/>
        </w:numPr>
        <w:rPr/>
      </w:pPr>
      <w:bookmarkStart w:id="2376" w:name="__RefHeading___Toc607104_1934241801"/>
      <w:bookmarkStart w:id="2377" w:name="_Toc1096"/>
      <w:bookmarkEnd w:id="2376"/>
      <w:r>
        <w:rPr>
          <w:rtl w:val="true"/>
        </w:rPr>
        <w:t>«</w:t>
      </w:r>
      <w:r>
        <w:rPr/>
        <w:t>23</w:t>
      </w:r>
      <w:r>
        <w:rPr>
          <w:rtl w:val="true"/>
        </w:rPr>
        <w:t>»</w:t>
      </w:r>
      <w:bookmarkEnd w:id="2377"/>
    </w:p>
    <w:p>
      <w:pPr>
        <w:pStyle w:val="BookText"/>
        <w:rPr/>
      </w:pPr>
      <w:r>
        <w:rPr>
          <w:rFonts w:ascii="Amiri" w:hAnsi="Amiri" w:eastAsia="Amiri" w:cs="Amiri"/>
          <w:color w:val="111111"/>
          <w:sz w:val="28"/>
          <w:sz w:val="28"/>
          <w:szCs w:val="28"/>
          <w:rtl w:val="true"/>
          <w:lang w:bidi="ar-SA"/>
        </w:rPr>
        <w:t>إِكْمَالُ الدِّينِ، عَنْ مُحَمَّدِ بْنِ الْوَلِيدِ عَنْ مُحَمَّدِ بْنِ الْحَسَنِ الصَّفَّارِ عَنْ أَيُّوبَ بْنِ نُوحٍ وَ يَعْقُوبَ بْنِ يَزِيدَ عَنِ ابْنِ أَبِي عُمَيْرٍ عَنْ مُحَمَّدِ بْنِ شُعَيْبٍ عَنْ أَبِي كَهْمَسٍ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مَوْتَ إِسْمَاعِيلَ وَ أَبُو عَبْدِ اللَّهِ عليه السلام جَالِسٌ عِنْدَهُ فَلَمَّا حَضَرَهُ الْمَوْتُ شَدَّ لَحْيَيْهِ وَ غَمَّضَهُ وَ غَطَّاهُ بِالْمِلْحَفَةِ ثُمَّ أَمَرَ بِتَهْيِئَتِهِ فَلَمَّا فَرَغَ مِنْ أَمْرِهِ دَعَا</w:t>
      </w:r>
    </w:p>
    <w:p>
      <w:pPr>
        <w:pStyle w:val="BookText"/>
        <w:rPr/>
      </w:pPr>
      <w:r>
        <w:rPr>
          <w:rFonts w:ascii="IRNazanin" w:hAnsi="IRNazanin" w:eastAsia="IRNazanin"/>
          <w:color w:val="111111"/>
          <w:sz w:val="28"/>
          <w:sz w:val="28"/>
          <w:szCs w:val="28"/>
          <w:rtl w:val="true"/>
          <w:lang w:bidi="fa-IR"/>
        </w:rPr>
        <w:t>بالین بیماری حاضر گشتی که سخت در حال جان کندن است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هفت بار بر زبان جاری ساز که خداوند به واسطه آن بار تو را سبک می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الْعَظِیمِ رَبِّ الْعَرْشِ الْکَرِیمِ مِنْ کُلِّ عِرْقٍ نَعَّارٍ وَ مِنْ شَرِّ حَرِّ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رگ یا زخمی که از آن خون جاری می شود و همچنین از شرّ گرمای آتش جهنّم به خداوند بزرگ که پروردگار عرش کریم است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کلمات فرج را به او تلقین کن، آن گاه روی او را به سوی جایگاهی که در آن نماز می گزارده بچرخان که این کار باعث سبک شدن سختی و ناراحتی وارد شده بر او خواهد شد، و به اذن خداوند امرش را بر او آسان خواهد کرد</w:t>
      </w:r>
      <w:r>
        <w:rPr>
          <w:rFonts w:eastAsia="IRNazanin" w:cs="IRNazanin"/>
          <w:color w:val="111111"/>
          <w:sz w:val="28"/>
          <w:szCs w:val="28"/>
          <w:rtl w:val="true"/>
          <w:lang w:bidi="fa-IR"/>
        </w:rPr>
        <w:t>.</w:t>
      </w:r>
      <w:r>
        <w:rPr>
          <w:rStyle w:val="FootnoteAnchor"/>
          <w:rtl w:val="true"/>
        </w:rPr>
        <w:footnoteReference w:id="1166"/>
      </w:r>
    </w:p>
    <w:p>
      <w:pPr>
        <w:pStyle w:val="Heading5"/>
        <w:numPr>
          <w:ilvl w:val="4"/>
          <w:numId w:val="1"/>
        </w:numPr>
        <w:rPr/>
      </w:pPr>
      <w:bookmarkStart w:id="2378" w:name="__RefHeading___Toc607106_1934241801"/>
      <w:bookmarkStart w:id="2379" w:name="_Toc1097"/>
      <w:bookmarkEnd w:id="2378"/>
      <w:r>
        <w:rPr>
          <w:rtl w:val="true"/>
        </w:rPr>
        <w:t>توضیح</w:t>
      </w:r>
      <w:bookmarkEnd w:id="2379"/>
    </w:p>
    <w:p>
      <w:pPr>
        <w:pStyle w:val="BookText"/>
        <w:rPr/>
      </w:pPr>
      <w:r>
        <w:rPr>
          <w:rFonts w:ascii="IRNazanin" w:hAnsi="IRNazanin" w:eastAsia="IRNazanin"/>
          <w:color w:val="111111"/>
          <w:sz w:val="28"/>
          <w:sz w:val="28"/>
          <w:szCs w:val="28"/>
          <w:rtl w:val="true"/>
          <w:lang w:bidi="fa-IR"/>
        </w:rPr>
        <w:t>درباره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حَوّل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امام باقر علیه السلام روایت شده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کلام با احادیثی که بر چرخاندن شخص در حال احتضار به سوی قبله و جا به  جا کردن او دلالت می کنند منافات دارد، مگر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 بدن می باشد، و شاید جمله در اصل چنین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حوّل وجهه إلی القبلة و حوّله إلی مصلّاه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صورت او را به سوی قبله بچرخان و به جایگاهی که در آن نماز می خوانده منتقلش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ممکن است که تقدیر کلام چنین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حوّل وجهه إلی القبلة منتقلاً إلی مصلّلاه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او را به سوی جایگاهی که در آن نماز می گزارده منتقل می کنی، صورتش را به سوی قبله بچرخان</w:t>
      </w:r>
      <w:r>
        <w:rPr>
          <w:rFonts w:eastAsia="IRNazanin" w:cs="IRNazanin"/>
          <w:color w:val="111111"/>
          <w:sz w:val="28"/>
          <w:szCs w:val="28"/>
          <w:rtl w:val="true"/>
          <w:lang w:bidi="fa-IR"/>
        </w:rPr>
        <w:t>).</w:t>
      </w:r>
    </w:p>
    <w:p>
      <w:pPr>
        <w:pStyle w:val="Heading5"/>
        <w:numPr>
          <w:ilvl w:val="4"/>
          <w:numId w:val="1"/>
        </w:numPr>
        <w:rPr/>
      </w:pPr>
      <w:bookmarkStart w:id="2380" w:name="__RefHeading___Toc607108_1934241801"/>
      <w:bookmarkStart w:id="2381" w:name="_Toc1098"/>
      <w:bookmarkEnd w:id="2380"/>
      <w:r>
        <w:rPr>
          <w:rtl w:val="true"/>
        </w:rPr>
        <w:t xml:space="preserve">روایت </w:t>
      </w:r>
      <w:r>
        <w:rPr/>
        <w:t>22</w:t>
      </w:r>
      <w:bookmarkEnd w:id="2381"/>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سلیمان جعفری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را مشاهده کردم که به پسرش قاسم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برخیز و کنار سر برادرت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الصافّات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پایان برسان، پس قاسم شروع به خواندن کرد و هنگامی که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هُم أشدّ خلقاً أم مَن 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آن جوان فوت کرد، و آن گاه که جسد او را پوشانده و از خانه خارجش کردند، یعقوب بن جعفر نزد امام کاظم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تر رسم بر این بود که هرگاه زمان مرگ شخصی فرا می رسید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 و القرآن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خوانده می شد و اکنون شما ما را به خواندن سوره صافات فرمان می دهید؟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این سوره هرگز نزد کسی که از سکرات مرگ به تنگ آمده خوانده نشده است مگر اینکه خداوند آرمیدن او را سرعت بخشیده است</w:t>
      </w:r>
      <w:r>
        <w:rPr>
          <w:rFonts w:eastAsia="IRNazanin" w:cs="IRNazanin"/>
          <w:color w:val="111111"/>
          <w:sz w:val="28"/>
          <w:szCs w:val="28"/>
          <w:rtl w:val="true"/>
          <w:lang w:bidi="fa-IR"/>
        </w:rPr>
        <w:t>.</w:t>
      </w:r>
    </w:p>
    <w:p>
      <w:pPr>
        <w:pStyle w:val="Heading5"/>
        <w:numPr>
          <w:ilvl w:val="4"/>
          <w:numId w:val="1"/>
        </w:numPr>
        <w:rPr/>
      </w:pPr>
      <w:bookmarkStart w:id="2382" w:name="__RefHeading___Toc607110_1934241801"/>
      <w:bookmarkStart w:id="2383" w:name="_Toc1099"/>
      <w:bookmarkEnd w:id="2382"/>
      <w:r>
        <w:rPr>
          <w:rtl w:val="true"/>
        </w:rPr>
        <w:t>توضیح</w:t>
      </w:r>
      <w:bookmarkEnd w:id="2383"/>
    </w:p>
    <w:p>
      <w:pPr>
        <w:pStyle w:val="BookText"/>
        <w:rPr/>
      </w:pP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سجّیتَ المیّت تسجیة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میّت را با رواندازی پوشاندی، و اگر مخاطب این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باشد، مقصود مورد لطف قرار گرفتن او از جانب امام می باشد، ولی اگر مخاطب قاسم باشد معنای واقعی آن مورد نظر است، ولی تفسیر نخست صحیح تر به نظر می رسد</w:t>
      </w:r>
      <w:r>
        <w:rPr>
          <w:rFonts w:eastAsia="IRNazanin" w:cs="IRNazanin"/>
          <w:color w:val="111111"/>
          <w:sz w:val="28"/>
          <w:szCs w:val="28"/>
          <w:rtl w:val="true"/>
          <w:lang w:bidi="fa-IR"/>
        </w:rPr>
        <w:t>.</w:t>
      </w:r>
    </w:p>
    <w:p>
      <w:pPr>
        <w:pStyle w:val="Heading5"/>
        <w:numPr>
          <w:ilvl w:val="4"/>
          <w:numId w:val="1"/>
        </w:numPr>
        <w:rPr/>
      </w:pPr>
      <w:bookmarkStart w:id="2384" w:name="__RefHeading___Toc607112_1934241801"/>
      <w:bookmarkStart w:id="2385" w:name="_Toc1100"/>
      <w:bookmarkEnd w:id="2384"/>
      <w:r>
        <w:rPr>
          <w:rtl w:val="true"/>
        </w:rPr>
        <w:t xml:space="preserve">روایت </w:t>
      </w:r>
      <w:r>
        <w:rPr/>
        <w:t>23</w:t>
      </w:r>
      <w:bookmarkEnd w:id="2385"/>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ابوکَهمَس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اسماعیل در حال احتضار بود نزد او حاضر شدم و امام صادق علیه السلام نیز در کنار او نشسته بود، هنگامی که زمان مرگش فرا رسید، امام محاسن او را به شّدت گرفت، و چشم هایش را بست و او را با رواندازی پوشاند، سپس امر فرمود که او را تجهیز کنند و هنگامی  که از امر خویش فارغ گشت، ندا سر داد که </w:t>
      </w:r>
      <w:bookmarkStart w:id="2386" w:name="pg13517_329270"/>
    </w:p>
    <w:p>
      <w:pPr>
        <w:pStyle w:val="BookText"/>
        <w:rPr/>
      </w:pPr>
      <w:bookmarkEnd w:id="2386"/>
      <w:r>
        <w:rPr>
          <w:rFonts w:ascii="Amiri" w:hAnsi="Amiri" w:eastAsia="Amiri" w:cs="Amiri"/>
          <w:color w:val="111111"/>
          <w:sz w:val="28"/>
          <w:sz w:val="28"/>
          <w:szCs w:val="28"/>
          <w:rtl w:val="true"/>
          <w:lang w:bidi="ar-SA"/>
        </w:rPr>
        <w:t>بِكَفَنِهِ فَكَتَبَ فِي حَاشِيَةِ الْكَفَنِ إِسْمَاعِيلُ يَشْهَدُ أَنْ لَا إِلَهَ إِلَّا اللَّهُ‌</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7" w:name="__RefHeading___Toc607114_1934241801"/>
      <w:bookmarkStart w:id="2388" w:name="_Toc1101"/>
      <w:bookmarkEnd w:id="2387"/>
      <w:r>
        <w:rPr>
          <w:rtl w:val="true"/>
        </w:rPr>
        <w:t>بيان</w:t>
      </w:r>
      <w:bookmarkEnd w:id="2388"/>
    </w:p>
    <w:p>
      <w:pPr>
        <w:pStyle w:val="BookText"/>
        <w:rPr/>
      </w:pPr>
      <w:r>
        <w:rPr>
          <w:rFonts w:ascii="Amiri" w:hAnsi="Amiri" w:eastAsia="Amiri" w:cs="Amiri"/>
          <w:color w:val="111111"/>
          <w:sz w:val="28"/>
          <w:sz w:val="28"/>
          <w:szCs w:val="28"/>
          <w:rtl w:val="true"/>
          <w:lang w:bidi="ar-SA"/>
        </w:rPr>
        <w:t>استحباب شد اللحيين و تغميض العينين و التغطية بثوب مقطوع به في كلام الأصحاب و سيأتي مثل هذا الخبر بسند آخر في باب التكفين</w:t>
      </w:r>
      <w:r>
        <w:rPr>
          <w:rFonts w:eastAsia="Amiri" w:cs="Amiri" w:ascii="Amiri" w:hAnsi="Amiri"/>
          <w:color w:val="111111"/>
          <w:sz w:val="28"/>
          <w:szCs w:val="28"/>
          <w:rtl w:val="true"/>
          <w:lang w:bidi="ar-SA"/>
        </w:rPr>
        <w:t>.</w:t>
      </w:r>
    </w:p>
    <w:p>
      <w:pPr>
        <w:pStyle w:val="Heading5"/>
        <w:numPr>
          <w:ilvl w:val="4"/>
          <w:numId w:val="1"/>
        </w:numPr>
        <w:rPr/>
      </w:pPr>
      <w:bookmarkStart w:id="2389" w:name="__RefHeading___Toc607116_1934241801"/>
      <w:bookmarkStart w:id="2390" w:name="_Toc1102"/>
      <w:bookmarkEnd w:id="2389"/>
      <w:r>
        <w:rPr>
          <w:rtl w:val="true"/>
        </w:rPr>
        <w:t>«</w:t>
      </w:r>
      <w:r>
        <w:rPr/>
        <w:t>24</w:t>
      </w:r>
      <w:r>
        <w:rPr>
          <w:rtl w:val="true"/>
        </w:rPr>
        <w:t>»</w:t>
      </w:r>
      <w:bookmarkEnd w:id="2390"/>
    </w:p>
    <w:p>
      <w:pPr>
        <w:pStyle w:val="BookText"/>
        <w:rPr/>
      </w:pPr>
      <w:r>
        <w:rPr>
          <w:rFonts w:ascii="Amiri" w:hAnsi="Amiri" w:eastAsia="Amiri" w:cs="Amiri"/>
          <w:color w:val="111111"/>
          <w:sz w:val="28"/>
          <w:sz w:val="28"/>
          <w:szCs w:val="28"/>
          <w:rtl w:val="true"/>
          <w:lang w:bidi="ar-SA"/>
        </w:rPr>
        <w:t>مَجَالِسُ الْمُفِيدِ، عَنْ مُحَمَّدِ بْنِ عِمْرَانَ الْمَرْزُبَانِيِّ عَنْ مُحَمَّدِ بْنِ أَحْمَدَ الْحَكِيمِيِّ عَنْ مُحَمَّدِ بْنِ إِسْحَاقَ الصَّاغَانِيِّ عَنْ سُلَيْمَانَ بْنِ أَيُّوبَ عَنْ جَعْفَرِ بْنِ سُلَيْمَانَ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رَجُلٌ مِنَ الْأَنْصَارِ فَأَتَاهُ النَّبِيُّ صلي الله عليه و آله يَعُودُهُ فَوَافَقَهُ وَ هُوَ فِي الْمَوْتِ فَقَالَ كَيْفَ تَجِدُكَ قَالَ أَجِدُنِي أَرْجُو رَحْمَةَ رَبِّي وَ أَتَخَوَّفُ مِنْ ذُنُوبِي فَقَالَ النَّبِيُّ صلي الله عليه و آله مَا اجْتَمَعَتَا فِي قَلْبِ عَبْدٍ فِي مِثْلِ هَذَا الْمَوْطِنِ إِلَّا أَعْطَاهُ اللَّهُ رَجَاءَهُ وَ آمَنَهُ مِمَّا يَخَافُهُ‌</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1" w:name="__RefHeading___Toc607118_1934241801"/>
      <w:bookmarkStart w:id="2392" w:name="_Toc1103"/>
      <w:bookmarkEnd w:id="2391"/>
      <w:r>
        <w:rPr>
          <w:rtl w:val="true"/>
        </w:rPr>
        <w:t>«</w:t>
      </w:r>
      <w:r>
        <w:rPr/>
        <w:t>25</w:t>
      </w:r>
      <w:r>
        <w:rPr>
          <w:rtl w:val="true"/>
        </w:rPr>
        <w:t>»</w:t>
      </w:r>
      <w:bookmarkEnd w:id="2392"/>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يُلَقَّنُ عِنْدَ مَوْتِهِ كَلِمَاتُ الْفَرَجِ لَا إِلَهَ إِلَّا اللَّهُ الْحَلِيمُ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الْعَلِيُّ الْعَظِيمُ سُبْحَانَ اللَّهِ رَبِّ السَّمَاوَاتِ السَّبْعِ وَ رَبِّ الْأَرَضِينَ السَّبْعِ وَ مَا فِيهِنَّ وَ مَا بَيْنَهُنَّ وَ 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عَلَي الْمُرْسَلِينَ وَ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يَحْضُرَ الْحَائِضُ وَ الْجُنُبُ عِنْدَ التَّلْقِينِ لِأَنَّ الْمَلَائِكَةَ تَتَأَذَّي بِهِمَا فَإِنْ حَضَرَا وَ لَمْ يَجِدَا مِنْ ذَلِكَ بُدّاً فَلْيَخْرُجَا إِذَا قَرُبَ خُرُوجُ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الصَّادِقُ عليه السلام عَنْ تَوْجِيهِ الْمَيِّتِ فَقَالَ عليه السلام يَسْتَقْبِلُ بِبَاطِنِ قَدَمَيْهِ الْقِبْلَةَ</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3" w:name="__RefHeading___Toc607120_1934241801"/>
      <w:bookmarkStart w:id="2394" w:name="_Toc1104"/>
      <w:bookmarkEnd w:id="2393"/>
      <w:r>
        <w:rPr>
          <w:rtl w:val="true"/>
        </w:rPr>
        <w:t>«</w:t>
      </w:r>
      <w:r>
        <w:rPr/>
        <w:t>26</w:t>
      </w:r>
      <w:r>
        <w:rPr>
          <w:rtl w:val="true"/>
        </w:rPr>
        <w:t>»</w:t>
      </w:r>
      <w:bookmarkEnd w:id="2394"/>
    </w:p>
    <w:p>
      <w:pPr>
        <w:pStyle w:val="BookText"/>
        <w:rPr/>
      </w:pPr>
      <w:r>
        <w:rPr>
          <w:rFonts w:ascii="Amiri" w:hAnsi="Amiri" w:eastAsia="Amiri" w:cs="Amiri"/>
          <w:color w:val="111111"/>
          <w:sz w:val="28"/>
          <w:sz w:val="28"/>
          <w:szCs w:val="28"/>
          <w:rtl w:val="true"/>
          <w:lang w:bidi="ar-SA"/>
        </w:rPr>
        <w:t>دَعَوَاتُ الرَّاوَنْدِيِّ،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يس وَ مَاتَ فِي يَوْمِهِ أَدْخَلَهُ اللَّهُ الْجَنَّةَ وَ حَضَرَ غُسْلَهُ ثَلَاثُونَ أَلْفَ مَلَكٍ يَسْتَغْفِرُونَ لَهُ وَ يُشَيِّعُونَهُ إِلَي قَبْرِهِ بِالاسْتِغْفَارِ لَهُ فَإِذَا أُدْخِلَ إِلَي اللَّحْدِ كَانُوا فِي جَوْفِ قَبْرِهِ يَعْبُدُونَ اللَّهَ وَ ثَوَابُ عِبَادَتِهِمْ لَهُ وَ فُسِحَ لَهُ فِي قَبْرِهِ مَدَّ بَصَرِهِ وَ أُومِنَ ضَغْطَةَ الْقَبْرِ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کفنش را نزد او بیاورند، پس در حاشیه کفن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شهادت می دهد که خدایی جز الله وجود ندارد</w:t>
      </w:r>
      <w:r>
        <w:rPr>
          <w:rFonts w:eastAsia="IRNazanin" w:cs="IRNazanin"/>
          <w:color w:val="111111"/>
          <w:sz w:val="28"/>
          <w:szCs w:val="28"/>
          <w:rtl w:val="true"/>
          <w:lang w:bidi="fa-IR"/>
        </w:rPr>
        <w:t>.</w:t>
      </w:r>
      <w:r>
        <w:rPr>
          <w:rStyle w:val="FootnoteAnchor"/>
          <w:rtl w:val="true"/>
        </w:rPr>
        <w:footnoteReference w:id="1170"/>
      </w:r>
    </w:p>
    <w:p>
      <w:pPr>
        <w:pStyle w:val="Heading5"/>
        <w:numPr>
          <w:ilvl w:val="4"/>
          <w:numId w:val="1"/>
        </w:numPr>
        <w:rPr/>
      </w:pPr>
      <w:bookmarkStart w:id="2395" w:name="__RefHeading___Toc607122_1934241801"/>
      <w:bookmarkStart w:id="2396" w:name="_Toc1105"/>
      <w:bookmarkEnd w:id="2395"/>
      <w:r>
        <w:rPr>
          <w:rtl w:val="true"/>
        </w:rPr>
        <w:t>توضیح</w:t>
      </w:r>
      <w:bookmarkEnd w:id="2396"/>
    </w:p>
    <w:p>
      <w:pPr>
        <w:pStyle w:val="BookText"/>
        <w:rPr/>
      </w:pPr>
      <w:r>
        <w:rPr>
          <w:rFonts w:ascii="IRNazanin" w:hAnsi="IRNazanin" w:eastAsia="IRNazanin"/>
          <w:color w:val="111111"/>
          <w:sz w:val="28"/>
          <w:sz w:val="28"/>
          <w:szCs w:val="28"/>
          <w:rtl w:val="true"/>
          <w:lang w:bidi="fa-IR"/>
        </w:rPr>
        <w:t>استحباب گرفتن محاسن، بستن چشم ها و پوشاندن میّت با روانداز با توجه به کلام فقها قطعی به نظر می رسد، و حدیث دیگری با همین مضمون و با سند دیگر در باب تکفین ذکر خواهد شد</w:t>
      </w:r>
      <w:r>
        <w:rPr>
          <w:rFonts w:eastAsia="IRNazanin" w:cs="IRNazanin"/>
          <w:color w:val="111111"/>
          <w:sz w:val="28"/>
          <w:szCs w:val="28"/>
          <w:rtl w:val="true"/>
          <w:lang w:bidi="fa-IR"/>
        </w:rPr>
        <w:t>.</w:t>
      </w:r>
    </w:p>
    <w:p>
      <w:pPr>
        <w:pStyle w:val="Heading5"/>
        <w:numPr>
          <w:ilvl w:val="4"/>
          <w:numId w:val="1"/>
        </w:numPr>
        <w:rPr/>
      </w:pPr>
      <w:bookmarkStart w:id="2397" w:name="__RefHeading___Toc607124_1934241801"/>
      <w:bookmarkStart w:id="2398" w:name="_Toc1106"/>
      <w:bookmarkEnd w:id="2397"/>
      <w:r>
        <w:rPr>
          <w:rtl w:val="true"/>
        </w:rPr>
        <w:t xml:space="preserve">روایت </w:t>
      </w:r>
      <w:r>
        <w:rPr/>
        <w:t>24</w:t>
      </w:r>
      <w:bookmarkEnd w:id="2398"/>
    </w:p>
    <w:p>
      <w:pPr>
        <w:pStyle w:val="BookText"/>
        <w:rPr/>
      </w:pP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روایت شده که مردی از انصار بیمار گشت، پیامبر صلّی الله علیه وآله به عیادت او آمد و آمدن ایشان با حالت احتضار آن مرد همراه گشت،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خود را چگونه می یابی؟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حالی می بینم که به رحمت پروردگار امیدوارم و برگناهانم بیمناک،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حالت در چنین موقعیتی در قلب هیچ بنده ای جمع نمی گردند مگر اینکه خداوند امیدواریش را به او می بخشد و از آنچه بیمناک است در امانش نگاه می دارد</w:t>
      </w:r>
      <w:r>
        <w:rPr>
          <w:rFonts w:eastAsia="IRNazanin" w:cs="IRNazanin"/>
          <w:color w:val="111111"/>
          <w:sz w:val="28"/>
          <w:szCs w:val="28"/>
          <w:rtl w:val="true"/>
          <w:lang w:bidi="fa-IR"/>
        </w:rPr>
        <w:t>.</w:t>
      </w:r>
      <w:r>
        <w:rPr>
          <w:rStyle w:val="FootnoteAnchor"/>
          <w:rtl w:val="true"/>
        </w:rPr>
        <w:footnoteReference w:id="1171"/>
      </w:r>
    </w:p>
    <w:p>
      <w:pPr>
        <w:pStyle w:val="Heading5"/>
        <w:numPr>
          <w:ilvl w:val="4"/>
          <w:numId w:val="1"/>
        </w:numPr>
        <w:rPr/>
      </w:pPr>
      <w:bookmarkStart w:id="2399" w:name="__RefHeading___Toc607126_1934241801"/>
      <w:bookmarkStart w:id="2400" w:name="_Toc1107"/>
      <w:bookmarkEnd w:id="2399"/>
      <w:r>
        <w:rPr>
          <w:rtl w:val="true"/>
        </w:rPr>
        <w:t xml:space="preserve">روایت </w:t>
      </w:r>
      <w:r>
        <w:rPr/>
        <w:t>25</w:t>
      </w:r>
      <w:bookmarkEnd w:id="2400"/>
    </w:p>
    <w:p>
      <w:p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کلمات فرج به این ترتیب به شخص در حال احتضار تلقین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الْحَلِیمُ الْکَرِیمُ لَا إِلَهَ إِلَّا اللَّهُ الْعَلِیُّ الْعَظِیمُ سُبْحَانَ اللَّهِ رَبِّ السَّمَاوَاتِ السَّبْعِ وَ رَبِّ الْأَرَضِینَ السَّبْعِ وَ مَا فِیهِنَّ وَ مَا بَیْنَهُنَّ وَ رَبِّ الْعَرْشِ الْعَظِیمِ وَ سَلامٌ عَلَی الْمُرْسَلِینَ وَ الْحَمْدُ لِلَّهِ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غیر از الله که حلیم و کریم است وجود ندارد، خدایی غیر از الله که بلند مرتبه و بزرگوار است وجود ندارد، پاک و منزه است پروردگار آسمانهای هفت گانه و زمین های هفتگانه و هر آنچه که در آنها و مابین شان وجود دارد، پاک و منزه است پروردگار عرش عظیم، و درود و سلام بر فرستادگان خداوند و سپاس و ستایش مخصوص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جایز نیست که حائض و جُنب هنگام تلقین حاضر شوند، چرا که فرشتگان در صورت وجود آن دو آزرده می شوند، پس اگر ناچار شدند که حضور یابند باید هنگام نزدیک شدن خروج روح از جسم شخص در حال احتضار از نزد او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رو گردانیدن میّت سؤال شد،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کف پاهایش به سوی قبله چرخانده می شود</w:t>
      </w:r>
      <w:r>
        <w:rPr>
          <w:rFonts w:eastAsia="IRNazanin" w:cs="IRNazanin"/>
          <w:color w:val="111111"/>
          <w:sz w:val="28"/>
          <w:szCs w:val="28"/>
          <w:rtl w:val="true"/>
          <w:lang w:bidi="fa-IR"/>
        </w:rPr>
        <w:t xml:space="preserve">. </w:t>
      </w:r>
      <w:r>
        <w:rPr>
          <w:rStyle w:val="FootnoteAnchor"/>
          <w:rtl w:val="true"/>
        </w:rPr>
        <w:footnoteReference w:id="1172"/>
      </w:r>
    </w:p>
    <w:p>
      <w:pPr>
        <w:pStyle w:val="Heading5"/>
        <w:numPr>
          <w:ilvl w:val="4"/>
          <w:numId w:val="1"/>
        </w:numPr>
        <w:rPr/>
      </w:pPr>
      <w:bookmarkStart w:id="2401" w:name="__RefHeading___Toc607128_1934241801"/>
      <w:bookmarkStart w:id="2402" w:name="_Toc1108"/>
      <w:bookmarkEnd w:id="2401"/>
      <w:r>
        <w:rPr>
          <w:rtl w:val="true"/>
        </w:rPr>
        <w:t xml:space="preserve">روایت </w:t>
      </w:r>
      <w:r>
        <w:rPr/>
        <w:t>26</w:t>
      </w:r>
      <w:bookmarkEnd w:id="240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نماید و همان روز وفات نماید، خداوند او را وارد بهشت می گرداند و سی  هزار فرشته در غسل دادن او شرکت می کنند و برای او طلب مغفرت می کنند و با استغفار او را به سوی قبرش همراهی می کنند، پس آن گاه که در قبر وارد شد آن  فرشتگان در حفره قبرش به عبادت خداوند می پردازند و ثواب عبادت آنان در کارنامه میّت ثبت خواهد شد، و قبرش به اندازه وسعت دید او واسع و گسترده خواهد شد و از فشار قبر در امان خواهد بود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اقْرَأْ يس فَإِنَّ فِي قِرَاءَةِ يس عَشْرَ بَرَكَاتٍ مَا قَرَأَهَا جَائِعٌ إِلَّا أُشْبِعَ وَ لَا ظَامِي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ظَامِئٌ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رَوِيَ وَ لَا عَارٍ إِلَّا كُسِيَ وَ لَا عَزَبٌ إِلَّا تَزَوَّجَ وَ لَا خَائِفٌ إِلَّا أَمِنَ وَ لَا مَرِيضٌ إِلَّا بَرِئَ وَ لَا مَحْبُوسٌ إِلَّا أُخْرِجَ وَ لَا مُسَافِرٌ إِلَّا أُعِينَ عَلَي سَفَرِهِ وَ لَا قَرَأَهَا رَجُلٌ ضَلَّتْ لَهُ ضَالَّةٌ إِلَّا رَدَّهَا اللَّهُ عَلَيْهِ وَ لَا مَسْجُونٌ إِلَّا أُخْرِجَ وَ لَا مَدِينٌ إِلَّا أَدَّي دَيْنَهُ وَ لَا قُرِئَتْ عِنْدَ مَيِّتٍ إِلَّا خُفِّفَ عَنْهُ تِلْكَ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أَحَدَكُمُ الْمَوْتُ فَبَشِّرُوهُ يَلْقَي رَبَّهُ وَ هُوَ حَسَنُ الظَّنِّ بِاللَّهِ وَ إِذَا كَانَ فِي صِحَّةٍ فَخَوِّفُوهُ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يَقْبَلُ تَوْبَةَ عَبْدِهِ مَا لَمْ يُغَرْغِرْ تُوبُوا إِلَي رَبِّكُمْ قَبْلَ أَنْ تَمُوتُوا وَ بَادِرُوا بِالْأَعْمَالِ الزَّاكِيَةِ قَبْلَ أَنْ تُشْغَلُوا وَ صِلُوا الَّذِي بَيْنَكُمْ وَ بَيْنَهُ بِكَثْرَةِ ذِكْرِكُمْ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أَحَدٍ يَمُوتُ عَطْشَانَ إِلَّا ذَاكِرَ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إِذَا حَضَرَ مِنْ أَهْلِ بَيْتِهِ أَحَداً الْمَوْتُ قَالَ لَهُ لَا إِلَهَ إِلَّا اللَّهُ الْحَلِيمُ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الْعَلِيُّ الْعَظِيمُ سُبْحَانَ اللَّهِ رَبِّ السَّمَاوَاتِ السَّبْعِ وَ رَبِّ الْأَرَضِينَ السَّبْعِ وَ مَا فِيهِنَّ وَ مَا بَيْنَهُنَّ وَ رَبِّ الْعَرْشِ الْعَظِيمِ وَ الْحَمْدُ لِلَّهِ رَبِّ الْعالَمِينَ فَإِذَا قَالَهَا الْمَرِيضُ قَالَ اذْهَبْ لَيْسَ عَلَيْكَ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بكر الحضرمي قال مرض رجل من أهل بيتي فأتيته عائدا له فقلت له يا ابن أخ إن لك عندي نصيحة أ تقبلها قال نعم فقلت قل أشهد أن لا إله إلا الله وحده لا شريك له فشهد بذلك فقلت قل و أن محمدا رسول الله فشهد بذلك فقلت له إن هذا لا تنتفع به إلا أن يكون منك علي يقين فذكر أنه منه علي يقين فقلت قل أشهد أن عليا وصيه و هو الخليفة من بعده و الإمام المفترض الطاعة من بعده فشهد بذلك فقلت له إنك لن تنتفع بذلك حتي يكون منك علي يقين ثم سميت الأئمة واحدا بعد واحد فأقر بذلك و ذكر أنه منه علي يقين فلم يلبث الرجل</w:t>
      </w:r>
    </w:p>
    <w:p>
      <w:pPr>
        <w:pStyle w:val="BookText"/>
        <w:rPr/>
      </w:pPr>
      <w:r>
        <w:rPr>
          <w:rFonts w:ascii="IRNazanin" w:hAnsi="IRNazanin" w:eastAsia="IRNazanin"/>
          <w:color w:val="111111"/>
          <w:sz w:val="28"/>
          <w:sz w:val="28"/>
          <w:szCs w:val="28"/>
          <w:rtl w:val="true"/>
          <w:lang w:bidi="fa-IR"/>
        </w:rPr>
        <w:t>پیامبر صلّی الله علیه 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 که در آن ده برکت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گرسنه ای آن را قرائت نکرده مگر اینکه سیر شده است، هیچ تشنه ای آن را قرائت نکرده مگر اینکه سیراب گشته است، هیچ مجردی آن را قرائت نکرده مگر اینکه ازدواج کرده است، هیچ بیمناکی آن را قرائت نکرده مگر اینکه امنیت یافته است، هیچ مریضی آن را قرائت نکرده مگر اینکه شفا یافته است، هیچ محبوسی آن را قرائت نکرده مگر اینکه آزاد و رها گشته است، هیچ مسافری آن را قرائت نکرده مگر اینکه بر تحمل بار سفر یاری شده است، هیچ مردی که گمشده ای دارد آن را قرائت نکرده مگر اینکه خداوند گمشده اش را به او بازگردانده است، هیچ زندانی ای آن را قرائت نکرده مگر اینکه از زندان خارج شده است، هیچ صاحب قرضی آن را قرائت نکرده مگر اینکه قرضش را پرداخت نموده است، و نزد هیچ میّتی خوانده نشده مگر اینکه در آن هنگام شدّت و سختی تحمیل شده بر او سبک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در حال احتضار قرار گرفت، به او بشارت دهید که به ملاقات پروردگارش نائل می آید درحالی که نسبت به خداوند حسن ظنّ دارد، و اگر در حال تندرستی بود او را بیم و انذار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خداوند متعال توبه بنده اش را تا زمانی که به حال خِر خِر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نیفتاده باشد می پذیرد، قبل از آنکه بمیرید به سوی خدا بازگردید و توبه کنید، و قبل از آنکه دچار مشغله و گرفتاری شوید به انجام اعمال پاک و نیکو مبادرت ورزید، و با به خاطر آوردن ذکر و یاد چیزی که میان شما و آن فاصله بسیاری وجود دارد خود را به آن نزدیک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مرگ یا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 ها تشنه می میرند جز کسی که به ذکر خداوند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هنگامی  که یکی از اهل بیتش درحال احتضار قرار می گرفت به او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خدایی جز الله که حلیم و کریم است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الْحَلِیمُ الْکَرِیمُ لَا إِلَهَ إِلَّا اللَّهُ الْعَلِیُّ الْعَظِیمُ سُبْحَانَ اللَّهِ رَبِّ السَّمَاوَاتِ السَّبْعِ وَ رَبِّ الْأَرَضِینَ السَّبْعِ وَ مَا فِیهِنَّ وَ مَا بَیْنَهُنَّ وَ رَبِّ الْعَرْشِ الْعَظِیمِ وَ الْحَمْدُ لِلَّهِ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جز الله که بلند مرتبه و بزرگوار است وجود ندارد، پاک و منزّه است پروردگار آسمان های هفت گانه و زمین های هفت گانه و هرآنچه در میان و بین آنها وجود دارد، پاک و منزّه است پروردگار عرش عظیم، و سپاس مخصوص 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بیمار این کلام را به زبان می آورد امام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شو که اشکالی بر تو وارد نیست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ابوبکر حضرمیّ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بیتم بیمار گشت، پس به عیادتش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برادرم، برای تو پند و اندرزی دارم، آیا آن را می پذیری؟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 له، پس به این امر شهادت داد،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محمداً رسول الله، و به این امر نیز شهادت داد،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دادن به این امور سودی به تو نمی رساند مگر اینکه از سر یقین شهادت داده باشی، و ذکر کرد که شهادت او از سر یقین بوده است،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علی وصیّ محمّد، خلیفه و امام واجب الإطاعه پس از اوست، پس به این امر نیز شهادت داد،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شهادت دادن به تو سودی نمی رساند مگر اینکه از سر یقین باشد، سپس اسم یکایک امامان معصوم را برای او ذکر کردم و به آن ها اقرار نمود و ذکر کرد که این اقرار او از سر یقین است، و طولی نکشید که آن مرد </w:t>
      </w:r>
    </w:p>
    <w:p>
      <w:pPr>
        <w:pStyle w:val="BookText"/>
        <w:rPr/>
      </w:pPr>
      <w:r>
        <w:rPr>
          <w:rFonts w:ascii="Amiri" w:hAnsi="Amiri" w:eastAsia="Amiri" w:cs="Amiri"/>
          <w:color w:val="111111"/>
          <w:sz w:val="28"/>
          <w:sz w:val="28"/>
          <w:szCs w:val="28"/>
          <w:rtl w:val="true"/>
          <w:lang w:bidi="ar-SA"/>
        </w:rPr>
        <w:t xml:space="preserve">أن توفي فجزع أهله عليه جزعا شديدا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فغبت عنهم ثم أتيتهم بعد ذلك فرأيت عزاء حسنا فقلت كيف تجدونكم كيف عزاؤك أيتها المرأة فقالت و الله لقد أصبنا بمصيبة عظيمة بوفاة فلان و كان مما طيب نفسي لرؤيا رأيتها الليلة فقلت كيف قالت رأيته و قلت له ما كنت ميتا قال بلي و لكن نجوت بكلمات لقننيهن أبو بكر الحضرمي و لو لا ذلك كدت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نَابِذُوا عِنْدَ الْمَوْتِ فَقِيلَ كَيْفَ نُنَابِذُ قَالَ قُولُوا 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أَعْبُدُ ما تَعْبُدُونَ إِلَي آخِرِ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أَمِيرُ الْمُؤْمِنِينَ عليه السلام قَالَ عِنْدَ الْوَفَاةِ تَعاوَنُوا عَلَي الْبِرِّ وَ التَّقْوي وَ لا تَعاوَنُوا عَلَي الْإِثْمِ وَ الْعُدْوانِ‌</w:t>
      </w:r>
      <w:r>
        <w:rPr>
          <w:rStyle w:val="FootnoteAnchor"/>
          <w:rtl w:val="true"/>
        </w:rPr>
        <w:footnoteReference w:id="1173"/>
      </w:r>
      <w:r>
        <w:rPr>
          <w:rFonts w:ascii="Amiri" w:hAnsi="Amiri" w:eastAsia="Amiri" w:cs="Amiri"/>
          <w:color w:val="111111"/>
          <w:sz w:val="28"/>
          <w:sz w:val="28"/>
          <w:szCs w:val="28"/>
          <w:rtl w:val="true"/>
          <w:lang w:bidi="ar-SA"/>
        </w:rPr>
        <w:t>ثُمَّ كَانَ يَقُولُ لَا إِلَهَ إِلَّا اللَّهُ حَتَّي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لَقِّنُوا مَوْتَاكُمْ لَا إِلَهَ إِلَّا اللَّهُ فَإِنَّ مَنْ كَانَ آخِرُ كَلَامِهِ لَا إِلَهَ إِلَّا اللَّهُ دَخَلَ الْجَنَّةَ قِيلَ يَا رَسُولَ اللَّهِ صلي الله عليه و آله إِنَّ شَدَائِدَ الْمَوْتِ وَ سَكَرَاتِهِ تَشْغَلُنَا عَنْ ذَلِكَ فَنَزَلَ فِي الْحَالِ جَبْرَئِيلُ عليه السلام وَ قَالَ يَا مُحَمَّدُ قُلْ لَهُمْ حَتَّي يَقُولُوا الْآنَ فِي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عُدَّةً لِلْمَوْتِ 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زَيْنُ الْعَابِدِينَ عليه السلام يَقُولُ عِنْدَ الْمَوْتِ اللَّهُمَّ ارْحَمْنِي فَإِنَّكَ كَرِيمٌ اللَّهُمَّ ارْحَمْنِي فَإِنَّكَ رَحِيمٌ فَلَمْ يَزَلْ يُرَدِّدُهَا حَتَّي تُوُفِّيَ صَلَوَاتُ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عِنْدَ رَسُولِ اللَّهِ قَدَحٌ فِيهِ مَاءٌ وَ هُوَ فِي الْمَوْتِ وَ يُدْخِلُ يَدَهُ فِي الْقَدَحِ وَ يَمْسَحُ وَجْهَهُ بِالْمَاءِ وَ يَقُولُ اللَّهُمَّ أَعِنِّي عَلَي سَكَرَاتِ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تَقْرَأُ عِنْدَ الْمَرِيضِ وَ الْمَيِّتِ آيَةَ الْكُرْسِيِّ وَ تَقُولُ اللَّهُمَّ أَخْرِجْهُ إِلَي رِضًي مِنْكَ وَ رِضْوَانٍ اللَّهُمَّ اغْفِرْ لَهُ ذَنْبَهُ جَلَّ ثَنَاءُ وَجْهِكَ ثُمَّ تَقْرَأُ آيَةَ السُّخْرَةِ إِنَّ رَبَّكُمُ اللَّهُ الَّذِي خَلَقَ السَّماواتِ‌</w:t>
      </w:r>
      <w:r>
        <w:rPr>
          <w:rStyle w:val="FootnoteAnchor"/>
          <w:rtl w:val="true"/>
        </w:rPr>
        <w:footnoteReference w:id="1174"/>
      </w:r>
      <w:r>
        <w:rPr>
          <w:rFonts w:ascii="Amiri" w:hAnsi="Amiri" w:eastAsia="Amiri" w:cs="Amiri"/>
          <w:color w:val="111111"/>
          <w:sz w:val="28"/>
          <w:sz w:val="28"/>
          <w:szCs w:val="28"/>
          <w:rtl w:val="true"/>
          <w:lang w:bidi="ar-SA"/>
        </w:rPr>
        <w:t>إِلَخْ ثُمَّ تَقْرَأُ ثَلَاثَ آيَاتٍ مِنْ آخِرِ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ما فِي السَّماواتِ وَ ما فِي الْأَرْضِ ثُمَّ يَقْرَأُ سُورَةَ الْأَحْزَابِ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وفات نمود و خانواده اش شدیداً به جزع و فزع و بی تابی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مدّتی از آنان دور شدم و بعد از آن دوباره به نزدشان بازگشتم، و با مراسم عزای نیکویی مواجه شدم، بنابراین به خانواده میّت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چه حالی می یابید؟ و به همسرش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تسلّی خاطر تو چگونه حاصل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 وفات فلانی به مصیبت بزرگی گرفتار شدیم و آنچه خاطر مرا آسوده گرداند رؤیایی بود که امشب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مشاهده کردم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ولی کلماتی را نجوا کردم که ابوبکر حضرمیّ به من تلقین کرد و اگر کلام او نبود در آستانه نابودی قرار 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مرگ به مخالفت و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باشیطان و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مخالفت و دشمنی بپردازیم؟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أعبد 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هنگام وفات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تعاونوا علی البّر و التقوی و لا تعاونوا علی الإثم و العدوان</w:t>
      </w:r>
      <w:r>
        <w:rPr>
          <w:rFonts w:eastAsia="IRNazanin" w:cs="IRNazanin"/>
          <w:color w:val="111111"/>
          <w:sz w:val="28"/>
          <w:szCs w:val="28"/>
          <w:rtl w:val="true"/>
          <w:lang w:bidi="fa-IR"/>
        </w:rPr>
        <w:t>»</w:t>
      </w:r>
      <w:r>
        <w:rPr>
          <w:rStyle w:val="FootnoteAnchor"/>
          <w:rtl w:val="true"/>
        </w:rPr>
        <w:footnoteReference w:id="1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نیکوکاری و پرهیزگاری با یکدیگر همکاری کنید و در گناه و تعدی دستیار هم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تا زمانی که وفات نمود پیوسته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مردگان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تلقین کنید، چرا که هر کسی آخرین کلامش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وارد بهشت می گردد،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سختی ها و سکرات موت ما را از گفتن لا إله إلا الله باز می دارد، پس جبرئل علیه السلام فوراً نازل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آنان بگو که اکنون و در حال تندرستی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تا اندوخته ای باشد برای زمان وفات، و یا فرموده ای به این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هنگام مرگ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ارْحَمْنِی فَإِنَّکَ کَرِیمٌ اللَّهُمَّ ارْحَمْنِی فَإِنَّکَ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مرا مورد رحمت خود قرار ده که تو بخشنده و بزرگواری، خداوندا مرا مورد رحمت خود قرار ده که تو بسیار مهربانی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پیوسته این دعا را تکرار می فرمود تا اینکه وفات نمود، درود خداوند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رسول خدا صلّی الله علیه و آله به هنگام وفات جامی پر از آب قرار داشت، پس ایشان دست خود را در جام فرو می برد و صورتش را با آب مسح می نمود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أَعِنِّی عَلَی سَکَرَاتِ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مرا بر سکرات موت یاریگر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روایت شده که نزد بیمار و میّت آیةالکرسی می خوانی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أَخْرِجْهُ إِلَی رِضًی مِنْکَ وَ رِضْوَانٍ اللَّهُمَّ اغْفِرْ لَهُ ذَنْبَهُ جَلَّ ثَنَاءُ وَجْهِکَ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این شخص را به سوی رضایت و بهشت خود خارج ساز، خداوندا گناه او را ببخش، نور و ثنای وجه تو عظیم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آیة السخرة یعنی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ربّکم الله الذی خلق السّموات</w:t>
      </w:r>
      <w:r>
        <w:rPr>
          <w:rFonts w:eastAsia="IRNazanin" w:cs="IRNazanin"/>
          <w:color w:val="111111"/>
          <w:sz w:val="28"/>
          <w:szCs w:val="28"/>
          <w:rtl w:val="true"/>
          <w:lang w:bidi="fa-IR"/>
        </w:rPr>
        <w:t>»</w:t>
      </w:r>
      <w:r>
        <w:rPr>
          <w:rStyle w:val="FootnoteAnchor"/>
          <w:rtl w:val="true"/>
        </w:rPr>
        <w:footnoteReference w:id="1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شما کسی است که آسمانها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سه آیه از آیات آخر سوره بقره یعنی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ما فی السموات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سوره احزاب را قرائت می کنی</w:t>
      </w:r>
      <w:r>
        <w:rPr>
          <w:rFonts w:eastAsia="IRNazanin" w:cs="IRNazanin"/>
          <w:color w:val="111111"/>
          <w:sz w:val="28"/>
          <w:szCs w:val="28"/>
          <w:rtl w:val="true"/>
          <w:lang w:bidi="fa-IR"/>
        </w:rPr>
        <w:t xml:space="preserve">. </w:t>
      </w:r>
      <w:bookmarkStart w:id="2403" w:name="pg13517_329273"/>
    </w:p>
    <w:p>
      <w:pPr>
        <w:pStyle w:val="Heading5"/>
        <w:numPr>
          <w:ilvl w:val="4"/>
          <w:numId w:val="1"/>
        </w:numPr>
        <w:rPr/>
      </w:pPr>
      <w:bookmarkStart w:id="2404" w:name="__RefHeading___Toc607130_1934241801"/>
      <w:bookmarkStart w:id="2405" w:name="_Toc1109"/>
      <w:bookmarkEnd w:id="2403"/>
      <w:bookmarkEnd w:id="2404"/>
      <w:r>
        <w:rPr>
          <w:rtl w:val="true"/>
        </w:rPr>
        <w:t>إيضاح</w:t>
      </w:r>
      <w:bookmarkEnd w:id="2405"/>
    </w:p>
    <w:p>
      <w:pPr>
        <w:pStyle w:val="BookText"/>
        <w:rPr/>
      </w:pPr>
      <w:r>
        <w:rPr>
          <w:rFonts w:ascii="Amiri" w:hAnsi="Amiri" w:eastAsia="Amiri" w:cs="Amiri"/>
          <w:color w:val="111111"/>
          <w:sz w:val="28"/>
          <w:sz w:val="28"/>
          <w:szCs w:val="28"/>
          <w:rtl w:val="true"/>
          <w:lang w:bidi="ar-SA"/>
        </w:rPr>
        <w:t>قوله عليه السلام عشر بركات أقول ما ذكره اثنا عشر و لعل تكرار المحبوس و المسجون للتأكيد فهما يعدان بواحد إن لم يكن التكرار من النساخ أو الرواة و القراءة عند الميت ليست من تلك العشر فإنه صلي الله عليه و آله كان يعد فوائدها للقارئ و يمكن عد الشبع و الارتواء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الغرغرة تردد الروح في الحلق ذكره الجوهري و ضمير بينه في قوله بينكم و بينه راجع إلي الموت و يحتمل إرجاعه إلي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قولها مما طيب نفسي في الكافي مما سخي بنفسي لرؤيا رأيتها الليلة فقلت و ما تلك الرؤيا قالت رأيت فلانا تعني الميت حيا سليما فقلت فلان قال نعم فقلت ما كنت مت فقال بلي إلي آخر الخبر فقولها مما سخي علي بناء المجهول لمكان الباء أو علي المعلوم بأن تكون الباء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صلي الله عليه و آله نابذوا المنابذة المكاشفة و المقاتلة و لعل المراد المكاشفة مع الشيطان، أو مع الكافرين بإظهار العقائد الحقة و التبري منهم و من عقائدهم</w:t>
      </w:r>
      <w:r>
        <w:rPr>
          <w:rFonts w:eastAsia="Amiri" w:cs="Amiri" w:ascii="Amiri" w:hAnsi="Amiri"/>
          <w:color w:val="111111"/>
          <w:sz w:val="28"/>
          <w:szCs w:val="28"/>
          <w:rtl w:val="true"/>
          <w:lang w:bidi="ar-SA"/>
        </w:rPr>
        <w:t>.</w:t>
      </w:r>
    </w:p>
    <w:p>
      <w:pPr>
        <w:pStyle w:val="Heading5"/>
        <w:numPr>
          <w:ilvl w:val="4"/>
          <w:numId w:val="1"/>
        </w:numPr>
        <w:rPr/>
      </w:pPr>
      <w:bookmarkStart w:id="2406" w:name="__RefHeading___Toc607132_1934241801"/>
      <w:bookmarkStart w:id="2407" w:name="_Toc1110"/>
      <w:bookmarkEnd w:id="2406"/>
      <w:r>
        <w:rPr>
          <w:rtl w:val="true"/>
        </w:rPr>
        <w:t>«</w:t>
      </w:r>
      <w:r>
        <w:rPr/>
        <w:t>27</w:t>
      </w:r>
      <w:r>
        <w:rPr>
          <w:rtl w:val="true"/>
        </w:rPr>
        <w:t>»</w:t>
      </w:r>
      <w:bookmarkEnd w:id="2407"/>
    </w:p>
    <w:p>
      <w:pPr>
        <w:pStyle w:val="BookText"/>
        <w:rPr/>
      </w:pPr>
      <w:r>
        <w:rPr>
          <w:rFonts w:ascii="Amiri" w:hAnsi="Amiri" w:eastAsia="Amiri" w:cs="Amiri"/>
          <w:color w:val="111111"/>
          <w:sz w:val="28"/>
          <w:sz w:val="28"/>
          <w:szCs w:val="28"/>
          <w:rtl w:val="true"/>
          <w:lang w:bidi="ar-SA"/>
        </w:rPr>
        <w:t>عُدَّةُ الدَّاعِي، رُوِيَ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فِي حَالَةِ الْمَرَضِ خُصُوصاً مَرَضَ الْمَوْتِ أَنْ يَزِيدَ الرَّجَاءَ عَلَي الْخَوْفِ</w:t>
      </w:r>
      <w:r>
        <w:rPr>
          <w:rFonts w:eastAsia="Amiri" w:cs="Amiri" w:ascii="Amiri" w:hAnsi="Amiri"/>
          <w:color w:val="111111"/>
          <w:sz w:val="28"/>
          <w:szCs w:val="28"/>
          <w:rtl w:val="true"/>
          <w:lang w:bidi="ar-SA"/>
        </w:rPr>
        <w:t>.</w:t>
      </w:r>
    </w:p>
    <w:p>
      <w:pPr>
        <w:pStyle w:val="Heading5"/>
        <w:numPr>
          <w:ilvl w:val="4"/>
          <w:numId w:val="1"/>
        </w:numPr>
        <w:rPr/>
      </w:pPr>
      <w:bookmarkStart w:id="2408" w:name="__RefHeading___Toc607134_1934241801"/>
      <w:bookmarkStart w:id="2409" w:name="_Toc1111"/>
      <w:bookmarkEnd w:id="2408"/>
      <w:r>
        <w:rPr>
          <w:rtl w:val="true"/>
        </w:rPr>
        <w:t>«</w:t>
      </w:r>
      <w:r>
        <w:rPr/>
        <w:t>28</w:t>
      </w:r>
      <w:r>
        <w:rPr>
          <w:rtl w:val="true"/>
        </w:rPr>
        <w:t>»</w:t>
      </w:r>
      <w:bookmarkEnd w:id="2409"/>
    </w:p>
    <w:p>
      <w:pPr>
        <w:pStyle w:val="BookText"/>
        <w:rPr/>
      </w:pPr>
      <w:r>
        <w:rPr>
          <w:rFonts w:ascii="Amiri" w:hAnsi="Amiri" w:eastAsia="Amiri" w:cs="Amiri"/>
          <w:color w:val="111111"/>
          <w:sz w:val="28"/>
          <w:sz w:val="28"/>
          <w:szCs w:val="28"/>
          <w:rtl w:val="true"/>
          <w:lang w:bidi="ar-SA"/>
        </w:rPr>
        <w:t>مِصْبَاحُ الشَّيْخِ، 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يُحْسِنِ الْوَصِيَّةَ عِنْدَ مَوْتِهِ كَانَ ذَلِكَ نَقْصاً فِي عَقْلِهِ وَ مُرُوَّتِهِ قَالُوا يَا رَسُولَ اللَّهِ وَ كَيْفَ الْوَصِيَّةُ قَالَ إِذَا حَضَرَتْهُ الْوَفَاةُ وَ اجْتَمَعَ النَّاسُ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فاطِرَ السَّماواتِ وَ الْأَرْضِ عالِمَ الْغَيْبِ وَ الشَّهادَةِ الرَّحْمَنَ الرَّحِيمَ إِنِّي أَعْهَدُ إِلَيْكَ أَنِّي أَشْهَدُ أَنْ لَا إِلَهَ إِلَّا أَنْتَ وَحْدَكَ لَا شَرِيكَ لَكَ وَ أَنَّ مُحَمَّداً عَبْدُكَ وَ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السَّاعَةَ آتِيَةٌ لا رَيْبَ فِيها وَ أَنَّكَ تَبْعَثُ مَنْ فِي الْقُبُورِ وَ أَنَّ الْحِسَابَ حَقٌّ وَ أَنَّ الْجَنَّةَ حَقٌّ وَ مَا وَعَدَ فِيهَا مِنَ النَّعِيمِ مِنَ الْمَأْكَلِ وَ الْمَشْرَبِ وَ النِّكَاحِ حَقٌّ وَ أَنَّ النَّارَ حَقٌ</w:t>
      </w:r>
    </w:p>
    <w:p>
      <w:pPr>
        <w:pStyle w:val="Heading5"/>
        <w:numPr>
          <w:ilvl w:val="4"/>
          <w:numId w:val="1"/>
        </w:numPr>
        <w:rPr/>
      </w:pPr>
      <w:bookmarkStart w:id="2410" w:name="__RefHeading___Toc607136_1934241801"/>
      <w:bookmarkStart w:id="2411" w:name="_Toc1112"/>
      <w:bookmarkEnd w:id="2410"/>
      <w:r>
        <w:rPr>
          <w:rtl w:val="true"/>
        </w:rPr>
        <w:t>توضیح</w:t>
      </w:r>
      <w:bookmarkEnd w:id="2411"/>
    </w:p>
    <w:p>
      <w:pPr>
        <w:pStyle w:val="BookText"/>
        <w:rPr/>
      </w:pPr>
      <w:r>
        <w:rPr>
          <w:rFonts w:ascii="IRNazanin" w:hAnsi="IRNazanin" w:eastAsia="IRNazanin"/>
          <w:color w:val="111111"/>
          <w:sz w:val="28"/>
          <w:sz w:val="28"/>
          <w:szCs w:val="28"/>
          <w:rtl w:val="true"/>
          <w:lang w:bidi="fa-IR"/>
        </w:rPr>
        <w:t>در شرح این فرموده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قراءة یس عشر 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برکت های مذکور دوازده مورد است نَه ده مورد، شاید تکرار محبوس و مسجون به منظور تأکید باشد، چرا که این دو مورد یکی به حساب می آیند، البته اگر تکرار از جانب نسخه بردارها یا روایت کنندگان اتفاق نیفتاده باشد، و خوانندگان قرآن در کنار میّت از جمله آن ده برکت نیست، چرا که پیامبرصلّی الله علیه و آله فوائد خواندن آن را برای خواننده برشمرده است، همچنین ممکن است دو مورد سیری و سیراب شدن یک مورد به شمار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برگشت روح در حلق، این معنا را جوهری ذکر کرده است؛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بَینکم و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مرگ بر می گردد و امکان ارجاع آن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طیّب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خاطر مرا آسوده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ابوبکر حضرمی آن را به نقل از همسر مردی از اهل بیتش روایت کرده در الکافی چنین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باعث دل کَن شدن من گردید رؤیایی بود که امشب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رؤیا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یعنی میّت، را در حالی که زنده و سالم بود مشاهده کردم، 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فلانی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ننموده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وفات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 این گفته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خاطر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معلوم درنظر گرفته شود، ولی اگر مجهول پنداشته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فرموده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دشمنی کردن و جنگیدن گرفته شده است، و شاید مقصود از این کلام جنگیدن با شیطان و کافران از راه اظهار عقاید حقّ و تبرّی جستن از آن ها و عقایدشان باشد </w:t>
      </w:r>
      <w:r>
        <w:rPr>
          <w:rFonts w:eastAsia="IRNazanin" w:cs="IRNazanin"/>
          <w:color w:val="111111"/>
          <w:sz w:val="28"/>
          <w:szCs w:val="28"/>
          <w:rtl w:val="true"/>
          <w:lang w:bidi="fa-IR"/>
        </w:rPr>
        <w:t>.</w:t>
      </w:r>
    </w:p>
    <w:p>
      <w:pPr>
        <w:pStyle w:val="Heading5"/>
        <w:numPr>
          <w:ilvl w:val="4"/>
          <w:numId w:val="1"/>
        </w:numPr>
        <w:rPr/>
      </w:pPr>
      <w:bookmarkStart w:id="2412" w:name="__RefHeading___Toc607138_1934241801"/>
      <w:bookmarkStart w:id="2413" w:name="_Toc1113"/>
      <w:bookmarkEnd w:id="2412"/>
      <w:r>
        <w:rPr>
          <w:rtl w:val="true"/>
        </w:rPr>
        <w:t xml:space="preserve">روایت </w:t>
      </w:r>
      <w:r>
        <w:rPr/>
        <w:t>27</w:t>
      </w:r>
      <w:bookmarkEnd w:id="2413"/>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امامان معصوم علیهم السلام روایت شده که شایسته است در حال بیماری و مخصوصاً بیماری ای که منجر به مرگ می شود، 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داشته باشد</w:t>
      </w:r>
      <w:r>
        <w:rPr>
          <w:rFonts w:eastAsia="IRNazanin" w:cs="IRNazanin"/>
          <w:color w:val="111111"/>
          <w:sz w:val="28"/>
          <w:szCs w:val="28"/>
          <w:rtl w:val="true"/>
          <w:lang w:bidi="fa-IR"/>
        </w:rPr>
        <w:t>.</w:t>
      </w:r>
    </w:p>
    <w:p>
      <w:pPr>
        <w:pStyle w:val="Heading5"/>
        <w:numPr>
          <w:ilvl w:val="4"/>
          <w:numId w:val="1"/>
        </w:numPr>
        <w:rPr/>
      </w:pPr>
      <w:bookmarkStart w:id="2414" w:name="__RefHeading___Toc607140_1934241801"/>
      <w:bookmarkStart w:id="2415" w:name="_Toc1114"/>
      <w:bookmarkEnd w:id="2414"/>
      <w:r>
        <w:rPr>
          <w:rtl w:val="true"/>
        </w:rPr>
        <w:t xml:space="preserve">روایت </w:t>
      </w:r>
      <w:r>
        <w:rPr/>
        <w:t>28</w:t>
      </w:r>
      <w:bookmarkEnd w:id="2415"/>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هنگام وفات به صورتی نیکو وصیّت نکند، این امر به عنوان نقص در عقل و کمالش به شمار می آید؛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وصیّت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زمان مرگش فرا رسیده و مردم نزد او جمع شدند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فاطِرَ السَّماواتِ وَ الْأَرْضِ عالِمَ الْغَیْبِ وَ الشَّهادَةِ الرَّحْمَنَ الرَّحِیمَ إِنِّی أَعْهَدُ إِلَیْکَ أَنِّی أَشْهَدُ أَنْ لَا إِلَهَ إِلَّا أَنْتَ وَحْدَکَ لَا شَرِیکَ لَکَ وَ أَنَّ مُحَمَّداً عَبْدُکَ وَ رَسُولُکَ وَ أَنَّ السَّاعَةَ آتِیَةٌ لا رَیْبَ فِیها وَ أَنَّکَ تَبْعَثُ مَنْ فِی الْقُبُورِ وَ أَنَّ الْحِسَابَ حَقٌّ وَ أَنَّ الْجَنَّةَ حَقٌّ وَ مَا وَعَدَ فِیهَا مِنَ النَّعِیمِ مِنَ الْمَأْکَلِ وَ الْمَشْرَبِ وَ النِّکَاحِ حَقٌّ وَ أَنَّ النَّارَ حَقٌ </w:t>
      </w:r>
      <w:bookmarkStart w:id="2416" w:name="pg13517_329274"/>
    </w:p>
    <w:p>
      <w:pPr>
        <w:pStyle w:val="BookText"/>
        <w:rPr/>
      </w:pPr>
      <w:bookmarkEnd w:id="2416"/>
      <w:r>
        <w:rPr>
          <w:rFonts w:ascii="Amiri" w:hAnsi="Amiri" w:eastAsia="Amiri" w:cs="Amiri"/>
          <w:color w:val="111111"/>
          <w:sz w:val="28"/>
          <w:sz w:val="28"/>
          <w:szCs w:val="28"/>
          <w:rtl w:val="true"/>
          <w:lang w:bidi="ar-SA"/>
        </w:rPr>
        <w:t xml:space="preserve">وَ أَنَّ الْإِيمَانَ حَقٌّ وَ أَنَّ الدِّينَ كَمَا وَصَفْتَ وَ أَنَّ الْإِسْلَامَ كَمَا شَرَعْتَ وَ أَنَّ الْقَوْلَ كَمَا قُلْتَ وَ أَنَّ الْقُرْآنَ كَمَا أَنْزَلْتَ وَ أَنَّكَ أَنْتَ اللَّهُ الْحَقُّ الْمُبِينُ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أَعْهَدُ إِلَيْكَ فِي دَارِ الدُّنْيَا أَنِّي رَضِيتُ بِكَ رَبّاً وَ بِالْإِسْلَامِ دِيناً وَ بِمُحَمَّدٍ النَّبِيِّ صلي الله عليه و آله نَبِيّاً وَ بِعَلِيٍّ وَلِيّاً وَ بِالْقُرْآنِ كِتَاباً وَ أَنَّ أَهْلَ بَيْتِ نَبِيِّكَ عَلَيْهِ وَ عَلَيْهِمُ السَّلَامُ أَئِمَّتِي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ثِقَتِي عِنْدَ شِدَّتِي وَ رَجَائِي عِنْدَ كُرْبَتِي وَ عُدَّتِي عِنْدَ الْأُمُورِ الَّتِي تَنْزِلُ بِي وَ أَنْتَ وَلِيُّ نِعْمَتِي وَ إِلَهِي وَ إِلَهُ آبَائِي صَلِّ عَلَي مُحَمَّدٍ وَ آلِهِ وَ لَا تَكِلْنِي إِلَي نَفْسِي طَرْفَةَ عَيْنٍ أَبَداً وَ آنِسْ فِي قَبْرِي وَحْشَتِي وَ اجْعَلْ لِي عَهْداً عِنْدَكَ يَوْمَ أَلْقَاكَ مَنْشُوراً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عَهْدُ الْمَيِّتِ يَوْمَ يُوصِي بِحَاجَتِهِ وَ الْوَصِيَّةُ حَقٌّ عَلَي كُلِّ مُسْلِمٍ قَالَ أَبُو عَبْدِ اللَّهِ عليه السلام وَ تَصْدِيقُ هَذَا فِي سُورَةِ مَرْيَمَ قَوْلُ اللَّهِ تَبَارَكَ وَ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يَمْلِكُونَ الشَّفاعَةَ إِلَّا مَنِ اتَّخَذَ عِنْدَ الرَّحْمنِ عَهْداً وَ هَذَا هُوَ الْعَهْدُ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 لِعَلِيٍّ عليه السلام تَعَلَّمْهَا أَنْتَ وَ عَلِّمْهَا أَهْلَ بَيْتِكَ وَ شِيعَتَكَ قَالَ وَ قَالَ النَّبِيُّ صلي الله عليه و آله عَلَّمَنِيهَا جَبْرَئِيلُ عليه السلام‌</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7" w:name="__RefHeading___Toc607142_1934241801"/>
      <w:bookmarkStart w:id="2418" w:name="_Toc1115"/>
      <w:bookmarkEnd w:id="2417"/>
      <w:r>
        <w:rPr>
          <w:rtl w:val="true"/>
        </w:rPr>
        <w:t>«</w:t>
      </w:r>
      <w:r>
        <w:rPr/>
        <w:t>29</w:t>
      </w:r>
      <w:r>
        <w:rPr>
          <w:rtl w:val="true"/>
        </w:rPr>
        <w:t>»</w:t>
      </w:r>
      <w:bookmarkEnd w:id="2418"/>
    </w:p>
    <w:p>
      <w:pPr>
        <w:pStyle w:val="BookText"/>
        <w:rPr/>
      </w:pPr>
      <w:r>
        <w:rPr>
          <w:rFonts w:ascii="Amiri" w:hAnsi="Amiri" w:eastAsia="Amiri" w:cs="Amiri"/>
          <w:color w:val="111111"/>
          <w:sz w:val="28"/>
          <w:sz w:val="28"/>
          <w:szCs w:val="28"/>
          <w:rtl w:val="true"/>
          <w:lang w:bidi="ar-SA"/>
        </w:rPr>
        <w:t>دَعَائِمُ الْإِسْلَامِ،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الْفِطْرَةِ أَنْ يُسْتَقْبَلَ بِالْعَلِيلِ الْقِبْلَةَ إِذَا احْتُضِرَ</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 الرَّجُلَ الْمُسْلِمَ قَبْلَ أَنْ يَمُوتَ فَلَقِّنْهُ شَهَادَةَ أَنْ لَا إِلَهَ إِلَّا اللَّهُ وَحْدَهُ لَا شَرِيكَ لَهُ وَ أَنَّ مُحَمَّداً عَبْدُهُ وَ رَسُولُهُ‌</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لِمَنْ حَضَرَ النَّازِعَ أَنْ يَقْرَأَ عِنْدَ رَأْسِهِ آيَةَ الْكُرْسِيِّ وَ آيَتَيْنِ بَعْدَهَا وَ يَقْرَأَ إِنَّ رَبَّكُمُ اللَّهُ الَّذِي خَلَقَ السَّماواتِ وَ الْأَرْضَ</w:t>
      </w:r>
    </w:p>
    <w:p>
      <w:pPr>
        <w:pStyle w:val="BookText"/>
        <w:rPr/>
      </w:pPr>
      <w:r>
        <w:rPr>
          <w:rFonts w:ascii="IRNazanin" w:hAnsi="IRNazanin" w:eastAsia="IRNazanin"/>
          <w:color w:val="111111"/>
          <w:sz w:val="28"/>
          <w:sz w:val="28"/>
          <w:szCs w:val="28"/>
          <w:rtl w:val="true"/>
          <w:lang w:bidi="fa-IR"/>
        </w:rPr>
        <w:t>وَ أَنَّ الْإِیمَانَ حَقٌّ وَ أَنَّ الدِّینَ کَمَا وَصَفْتَ وَ أَنَّ الْإِسْلَامَ کَمَا شَرَعْتَ وَ أَنَّ الْقَوْلَ کَمَا قُلْتَ وَ أَنَّ الْقُرْآنَ کَمَا أَنْزَلْتَ وَ أَنَّکَ أَنْتَ اللَّهُ الْحَقُّ الْمُبِینُ وَ إِنِّی أَعْهَدُ إِلَیْکَ فِی دَارِ الدُّنْیَا أَنِّی رَضِیتُ بِکَ رَبّاً وَ بِالْإِسْلَامِ دِیناً وَ بِمُحَمَّدٍ النَّبِیِّ ص نَبِیّاً وَ بِعَلِیٍّ وَلِیّاً وَ بِالْقُرْآنِ کِتَاباً وَ أَنَّ أَهْلَ بَیْتِ نَبِیِّکَ عَلَیْهِ وَ عَلَیْهِمُ السَّلَامُ أَئِمَّتِی اللَّهُمَّ أَنْتَ ثِقَتِی عِنْدَ شِدَّتِی وَ رَجَائِی عِنْدَ کُرْبَتِی وَ عُدَّتِی عِنْدَ الْأُمُورِ الَّتِی تَنْزِلُ بِی وَ أَنْتَ وَلِیُّ نِعْمَتِی وَ إِلَهِی وَ إِلَهُ آبَائِی صَلِّ عَلَی مُحَمَّدٍ وَ آلِهِ وَ لَا تَکِلْنِی إِلَی نَفْسِی طَرْفَةَ عَیْنٍ أَبَداً وَ آنِسْ فِی قَبْرِی وَحْشَتِی وَ اجْعَلْ لِی عَهْداً عِنْدَکَ یَوْمَ أَلْقَاکَ مَنْشُوراً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 آفریننده آسمانها و زمین و ای آگاه از غیب و ظاهر، ای خداوند بخشنده مهربان، من با تو پیمان می بندم که شهادت می دهم خدایی جز تو وجود ندارد و در الوهیّت تنها هستی و هیچ شریکی نداری، همچنین شهادت می دهم که محمّد بنده و فرستاده توست، و روز قیامت فرا می رسد و هیچ تردیدی در آن وجود ندارد، و کسانی که در قبرها آرمیده اند را زنده خواهی گرداند، و شهادت می دهم که حسا ب رسی به اعمال حقّ است و بهشت و نعمت های وعده داده شده موجود در آن مانند خوراکی، آشامیدنی و ازدواج حق است و همچنین آتش جهنم حق است و ایمان حق است، شهادت می دهم که دین همان گونه است که تو توصیف کرده ای و اسلام همان  گونه است که تو وضع نموده ای و کلام همان  گونه است که تو به زبان آورده ای و قرآن همان  گونه است که تو نازل فرموده ای، و به راستی که تو خدایی حقّ و آشکار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 در دنیا با تو پیمان می بندم که راضی باشم تو پروردگام باشی و اسلام دینم باشد، محمّد صلّی الله علیه و آله پیامبرم، علی سرپرستم، قرآن کتابم و اهل بیت پیامبر علیهم السلام امامان من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تنها تکیه گاهم هنگام سختی ها، تنها امیدم هنگام گرفتاری و تنها ابزار رویارویی با مشکلاتی که بر من نازل می شود تو هستی، تو ولی نعمت من، خداوندگار من و پدرانم هستی، بر محمّد و آل او درود بفرست و هرگز حتی به اندازه یک چشم برهم زدن مرا به حال خودم وا مگذار، و در وحشت و تنهایی قبر مونس و همراهم باش، و در آن روزی که به ملاقات تو می آیم نزد خودت برای من ضمانت و امان نامه ای گشوده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عهد و پیمان میّت در آن روزی است که حاجات و نیازهای خود را وصیّت می کند و وصیّت کردن بر گردن هر انسان مسلمان واجب است ، 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این سخن در فرموده خداوند متعال در سوره مریم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یَمْلِکُونَ الشَّفاعَةَ إِلَّا مَنِ اتَّخَذَ عِنْدَ الرَّحْمنِ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وصیت همان عهد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را بیاموز و آن را به اهل بیت و پیروانت نیز آموزش ده، سپس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این وصیّت را به من آموخت</w:t>
      </w:r>
      <w:r>
        <w:rPr>
          <w:rFonts w:eastAsia="IRNazanin" w:cs="IRNazanin"/>
          <w:color w:val="111111"/>
          <w:sz w:val="28"/>
          <w:szCs w:val="28"/>
          <w:rtl w:val="true"/>
          <w:lang w:bidi="fa-IR"/>
        </w:rPr>
        <w:t>.</w:t>
      </w:r>
      <w:r>
        <w:rPr>
          <w:rStyle w:val="FootnoteAnchor"/>
          <w:rtl w:val="true"/>
        </w:rPr>
        <w:footnoteReference w:id="1180"/>
      </w:r>
    </w:p>
    <w:p>
      <w:pPr>
        <w:pStyle w:val="Heading5"/>
        <w:numPr>
          <w:ilvl w:val="4"/>
          <w:numId w:val="1"/>
        </w:numPr>
        <w:rPr/>
      </w:pPr>
      <w:bookmarkStart w:id="2419" w:name="__RefHeading___Toc607144_1934241801"/>
      <w:bookmarkStart w:id="2420" w:name="_Toc1116"/>
      <w:bookmarkEnd w:id="2419"/>
      <w:r>
        <w:rPr>
          <w:rtl w:val="true"/>
        </w:rPr>
        <w:t xml:space="preserve">روایت </w:t>
      </w:r>
      <w:r>
        <w:rPr/>
        <w:t>29</w:t>
      </w:r>
      <w:bookmarkEnd w:id="2420"/>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فطریات انسانی این است که هرگاه شخص بیمار در حال احتضار قرار گرفت، رو به قبله قرارداده شود</w:t>
      </w:r>
      <w:r>
        <w:rPr>
          <w:rFonts w:eastAsia="IRNazanin" w:cs="IRNazanin"/>
          <w:color w:val="111111"/>
          <w:sz w:val="28"/>
          <w:szCs w:val="28"/>
          <w:rtl w:val="true"/>
          <w:lang w:bidi="fa-IR"/>
        </w:rPr>
        <w:t>.</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مسلمان قبل از مرگ در حال احتضار قرار گرفت به او تلقین کنید که شهادت دهد خدایی جز الله وجود ندارد و تنها و بی شریک است، همچنین شهادت دهد که محمّد بنده و فرستاده اوست</w:t>
      </w:r>
      <w:r>
        <w:rPr>
          <w:rStyle w:val="FootnoteAnchor"/>
          <w:rtl w:val="true"/>
        </w:rPr>
        <w:footnoteReference w:id="1182"/>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آیة الکرسی و دو آیه پس از آن بر بالین کسی که در حال احتضار و جان کندن است خوانده شود، همچنین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ربّکم الله الذی خلق السموات و الأرض </w:t>
      </w:r>
      <w:bookmarkStart w:id="2421" w:name="pg13517_329275"/>
    </w:p>
    <w:p>
      <w:pPr>
        <w:pStyle w:val="BookText"/>
        <w:rPr/>
      </w:pPr>
      <w:bookmarkEnd w:id="2421"/>
      <w:r>
        <w:rPr>
          <w:rFonts w:ascii="Amiri" w:hAnsi="Amiri" w:eastAsia="Amiri" w:cs="Amiri"/>
          <w:color w:val="111111"/>
          <w:sz w:val="28"/>
          <w:sz w:val="28"/>
          <w:szCs w:val="28"/>
          <w:rtl w:val="true"/>
          <w:lang w:bidi="ar-SA"/>
        </w:rPr>
        <w:t>فِي سِتَّةِ أَيَّامٍ إِلَي آخِرِ الْآيَةِ</w:t>
      </w:r>
      <w:r>
        <w:rPr>
          <w:rStyle w:val="FootnoteAnchor"/>
          <w:rtl w:val="true"/>
        </w:rPr>
        <w:footnoteReference w:id="1183"/>
      </w:r>
      <w:r>
        <w:rPr>
          <w:rFonts w:ascii="Amiri" w:hAnsi="Amiri" w:eastAsia="Amiri" w:cs="Amiri"/>
          <w:color w:val="111111"/>
          <w:sz w:val="28"/>
          <w:sz w:val="28"/>
          <w:szCs w:val="28"/>
          <w:rtl w:val="true"/>
          <w:lang w:bidi="ar-SA"/>
        </w:rPr>
        <w:t>ثُمَّ ثَلَاثَ آيَاتٍ مِنْ آخِرِ الْبَقَرَةِ ثُمَّ يَقُولُ اللَّهُمَّ أَخْرِجْهَا مِنْهُ إِلَي رِضًي مِنْكَ وَ رِضْوَانٍ اللَّهُمَّ لَقِّهِ الْبُشْرَي اللَّهُمَّ اغْفِرْ لَهُ ذَنْبَهُ وَ ارْحَمْهُ‌</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حِيلَ بَيْنَهُ وَ بَيْنَ الْكَلَامِ أَتَاهُ رَسُولُ اللَّهِ صلي الله عليه و آله فَجَلَسَ عَنْ يَمِينِهِ وَ يَأْتِي عَلِيٌّ عليه السلام فَجَلَسَ عَنْ يَسَارِهِ فَيَقُولُ لَهُ رَسُولُ اللَّهِ صلي الله عليه و آله أَمَّا مَا كُنْتَ تَرْجُو فَهُوَ أَمَامَكَ وَ أَمَّا مَا كُنْتَ تَخَافُهُ فَقَدْ أَمِنْتَهُ ثُمَّ يُفْتَحُ لَهُ بَابٌ مِنَ الْجَنَّةِ فَيُقَالُ لَهُ هَذَا مَنْزِلُكَ مِنَ الْجَنَّةِ فَإِنْ شِئْتَ رُدِدْتَ إِلَي الدُّنْيَا وَ لَكَ ذَهَبُهَا وَ فِضَّتُهَا فَيَقُولُ لَا حَاجَةَ لِي فِي الدُّنْيَا فَعِنْدَ ذَلِكَ يَبْيَضُّ وَجْهُهُ وَ يَرْشَحُ جَبِينُهُ وَ تَتَقَلَّصُ شَفَتَاهُ وَ يَنْتَشِرُ مَنْخِرَاهُ وَ تَدْمَعُ عَيْنُهُ الْيُسْرَي فَإِذَا رَأَيْتُمْ ذَلِكَ فَاكْتَفُوا بِهِ وَ هُوَ قَوْلُ اللَّهِ عَزَّ وَ جَلَ لَهُمُ الْبُشْري فِي الْحَياةِ الدُّنْيا</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2" w:name="__RefHeading___Toc607146_1934241801"/>
      <w:bookmarkStart w:id="2423" w:name="_Toc1117"/>
      <w:bookmarkEnd w:id="2422"/>
      <w:r>
        <w:rPr>
          <w:rtl w:val="true"/>
        </w:rPr>
        <w:t>بيان</w:t>
      </w:r>
      <w:bookmarkEnd w:id="2423"/>
    </w:p>
    <w:p>
      <w:pPr>
        <w:pStyle w:val="BookText"/>
        <w:rPr/>
      </w:pPr>
      <w:r>
        <w:rPr>
          <w:rFonts w:ascii="Amiri" w:hAnsi="Amiri" w:eastAsia="Amiri" w:cs="Amiri"/>
          <w:color w:val="111111"/>
          <w:sz w:val="28"/>
          <w:sz w:val="28"/>
          <w:szCs w:val="28"/>
          <w:rtl w:val="true"/>
          <w:lang w:bidi="ar-SA"/>
        </w:rPr>
        <w:t>فاكتفوا به أي في الشروع في الأعمال المتعلقة بالاحتضار أو في العلم بأنه قد حضره النبي و الأئمة صلوات الله عليهم إن مات بعد ذلك لا العلم بالموت فإنها قد تتخلف عن الموت كثيرا</w:t>
      </w:r>
      <w:r>
        <w:rPr>
          <w:rFonts w:eastAsia="Amiri" w:cs="Amiri" w:ascii="Amiri" w:hAnsi="Amiri"/>
          <w:color w:val="111111"/>
          <w:sz w:val="28"/>
          <w:szCs w:val="28"/>
          <w:rtl w:val="true"/>
          <w:lang w:bidi="ar-SA"/>
        </w:rPr>
        <w:t>.</w:t>
      </w:r>
    </w:p>
    <w:p>
      <w:pPr>
        <w:pStyle w:val="Heading5"/>
        <w:numPr>
          <w:ilvl w:val="4"/>
          <w:numId w:val="1"/>
        </w:numPr>
        <w:rPr/>
      </w:pPr>
      <w:bookmarkStart w:id="2424" w:name="__RefHeading___Toc607148_1934241801"/>
      <w:bookmarkStart w:id="2425" w:name="_Toc1118"/>
      <w:bookmarkEnd w:id="2424"/>
      <w:r>
        <w:rPr>
          <w:rtl w:val="true"/>
        </w:rPr>
        <w:t>«</w:t>
      </w:r>
      <w:r>
        <w:rPr/>
        <w:t>30</w:t>
      </w:r>
      <w:r>
        <w:rPr>
          <w:rtl w:val="true"/>
        </w:rPr>
        <w:t>»</w:t>
      </w:r>
      <w:bookmarkEnd w:id="2425"/>
    </w:p>
    <w:p>
      <w:pPr>
        <w:pStyle w:val="BookText"/>
        <w:rPr/>
      </w:pPr>
      <w:r>
        <w:rPr>
          <w:rFonts w:ascii="Amiri" w:hAnsi="Amiri" w:eastAsia="Amiri" w:cs="Amiri"/>
          <w:color w:val="111111"/>
          <w:sz w:val="28"/>
          <w:sz w:val="28"/>
          <w:szCs w:val="28"/>
          <w:rtl w:val="true"/>
          <w:lang w:bidi="ar-SA"/>
        </w:rPr>
        <w:t>دَعَائِمُ الْإِسْلَامِ،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أُتِيَ رَسُولُ اللَّهِ صلي الله عليه و آله فَقِيلَ لَهُ يَا رَسُولَ اللَّهِ إِنَّ عَبْدَ اللَّهِ بْنَ رَوَاحَةَ ثَقِيلٌ لِمَا بِهِ فَقَامَ صلي الله عليه و آله وَ قُمْنَا مَعَهُ حَتَّي دَخَلَ عَلَيْهِ فَأَصَابَهُ مُغْمًي عَلَيْهِ لَا يَعْقِلُ شَيْئاً وَ النِّسَاءُ يَبْكِينَ وَ يَصْرُخْنَ وَ يَصِحْنَ فَدَعَاهُ رَسُولُ اللَّهِ صلي الله عليه و آله ثَلَاثَ مَرَّاتٍ فَلَمْ يُجِبْهُ فَقَالَ اللَّهُمَّ هَذَا عَبْدُكَ إِنْ كَانَ قَدِ انْقَضَي أَجَلُهُ وَ رِزْقُهُ وَ أَثَرُهُ فَإِلَي جَنَّتِكَ وَ رَحْمَتِكَ وَ إِنْ لَمْ يَنْقَضِ أَجَلُهُ وَ رِزْقُهُ وَ أَثَرُهُ فَعَجِّلْ شِفَاءَهُ وَ عَافِيَتَهُ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ستة أیام</w:t>
      </w:r>
      <w:r>
        <w:rPr>
          <w:rFonts w:eastAsia="IRNazanin" w:cs="IRNazanin"/>
          <w:color w:val="111111"/>
          <w:sz w:val="28"/>
          <w:szCs w:val="28"/>
          <w:rtl w:val="true"/>
          <w:lang w:bidi="fa-IR"/>
        </w:rPr>
        <w:t>»</w:t>
      </w:r>
      <w:r>
        <w:rPr>
          <w:rStyle w:val="FootnoteAnchor"/>
          <w:rtl w:val="true"/>
        </w:rPr>
        <w:footnoteReference w:id="1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پروردگار شما آن خدایی است که آسمانها و زمین را در شش روز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و سه آیه پایانی سوره بقره بر او خوانده شده و سپس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أَخْرِجْهَا مِنْهُ إِلَی رِضًی مِنْکَ وَ رِضْوَانٍ اللَّهُمَّ لَقِّهِ الْبُشْرَی اللَّهُمَّ اغْفِرْ لَهُ ذَنْبَهُ وَ ارْحَمْهُ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روح او را به سوی رضایت و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خارج ساز، خداوندا، او را با مژده و بشارت رویاروی گردان، خداوندا، گناهان او را ببخش و مورد مرحمتش قرار ده</w:t>
      </w:r>
      <w:r>
        <w:rPr>
          <w:rFonts w:eastAsia="IRNazanin" w:cs="IRNazanin"/>
          <w:color w:val="111111"/>
          <w:sz w:val="28"/>
          <w:szCs w:val="28"/>
          <w:rtl w:val="true"/>
          <w:lang w:bidi="fa-IR"/>
        </w:rPr>
        <w:t>.}</w:t>
      </w:r>
      <w:r>
        <w:rPr>
          <w:rStyle w:val="FootnoteAnchor"/>
          <w:rtl w:val="true"/>
        </w:rPr>
        <w:footnoteReference w:id="1187"/>
      </w:r>
    </w:p>
    <w:p>
      <w:pPr>
        <w:pStyle w:val="BookText"/>
        <w:rPr/>
      </w:pPr>
      <w:r>
        <w:rPr>
          <w:rFonts w:ascii="IRNazanin" w:hAnsi="IRNazanin" w:eastAsia="IRNazanin"/>
          <w:color w:val="111111"/>
          <w:sz w:val="28"/>
          <w:sz w:val="28"/>
          <w:szCs w:val="28"/>
          <w:rtl w:val="true"/>
          <w:lang w:bidi="fa-IR"/>
        </w:rPr>
        <w:t>همچنین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انسان مؤمن در حال احتضار قرار می گیرد و از سخن گفتن عاجز می گردد، رسول خدا صلّی الله علیه وآله نزد او آمده و در سمت راست و امام علی علیه السلام در سمت چپ او می نشیند، 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امید رسیدن به آن را در سر می پروراندی در مقابل تو قرار دارد و از آنچه بیمناک بودی درامان خواهی ماند، سپس دری از درهای بهشت به روی او گشوده شده و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و منزل تو در بهشت است، پس اگر می خواهی به دنیا بازگردانده خواهی شد و طلا و نقره موجود درآن نصیب تو خواهد شد، مؤمن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هیچ حاجتی در دنیا و بازگشت به سوی آن نیست، در این هنگام است چهره اش نورانی می گردد و عرق بر پیشانی اش جاری می شود و لب هایش چروک و ترنجیده و سوراخهای بینی اش گشاده می گردند و اشک از چشم چپش جاری می شود، اگر چنین حالت هایی را در او مشاهده کردید، او را آسوده بگذارید که مصداق این فرموده خداوند عزّ و 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البشری فی الحیواة الدنیا</w:t>
      </w:r>
      <w:r>
        <w:rPr>
          <w:rFonts w:eastAsia="IRNazanin" w:cs="IRNazanin"/>
          <w:color w:val="111111"/>
          <w:sz w:val="28"/>
          <w:szCs w:val="28"/>
          <w:rtl w:val="true"/>
          <w:lang w:bidi="fa-IR"/>
        </w:rPr>
        <w:t>»</w:t>
      </w:r>
      <w:r>
        <w:rPr>
          <w:rStyle w:val="FootnoteAnchor"/>
          <w:rtl w:val="true"/>
        </w:rPr>
        <w:footnoteReference w:id="1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در زندگی دنیایی مژده و بشارت باد</w:t>
      </w:r>
      <w:r>
        <w:rPr>
          <w:rFonts w:eastAsia="IRNazanin" w:cs="IRNazanin"/>
          <w:color w:val="111111"/>
          <w:sz w:val="28"/>
          <w:szCs w:val="28"/>
          <w:rtl w:val="true"/>
          <w:lang w:bidi="fa-IR"/>
        </w:rPr>
        <w:t>}.</w:t>
      </w:r>
    </w:p>
    <w:p>
      <w:pPr>
        <w:pStyle w:val="Heading5"/>
        <w:numPr>
          <w:ilvl w:val="4"/>
          <w:numId w:val="1"/>
        </w:numPr>
        <w:rPr/>
      </w:pPr>
      <w:bookmarkStart w:id="2426" w:name="__RefHeading___Toc607150_1934241801"/>
      <w:bookmarkStart w:id="2427" w:name="_Toc1119"/>
      <w:bookmarkEnd w:id="2426"/>
      <w:r>
        <w:rPr>
          <w:rtl w:val="true"/>
        </w:rPr>
        <w:t>توضیح</w:t>
      </w:r>
      <w:bookmarkEnd w:id="24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فاکتفوا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آغاز نمودن اعمال مربوط به شخص در حال احتضار به این نشانه ها بسنده کنید، یا برای آگاه شدن از این نکته که اگر شخصی بعد از این نشانه ها وفات نمود، پیامبر و ائمّه علیهم السلام بر بالین او حاضر شده اند و نه آگاه شدن از زمان مرگ، چرا که در بسیاری موارد این علامت ها با وقوع مرگ همراه نمی شود</w:t>
      </w:r>
      <w:r>
        <w:rPr>
          <w:rFonts w:eastAsia="IRNazanin" w:cs="IRNazanin"/>
          <w:color w:val="111111"/>
          <w:sz w:val="28"/>
          <w:szCs w:val="28"/>
          <w:rtl w:val="true"/>
          <w:lang w:bidi="fa-IR"/>
        </w:rPr>
        <w:t>.</w:t>
      </w:r>
    </w:p>
    <w:p>
      <w:pPr>
        <w:pStyle w:val="Heading5"/>
        <w:numPr>
          <w:ilvl w:val="4"/>
          <w:numId w:val="1"/>
        </w:numPr>
        <w:rPr/>
      </w:pPr>
      <w:bookmarkStart w:id="2428" w:name="__RefHeading___Toc607152_1934241801"/>
      <w:bookmarkStart w:id="2429" w:name="_Toc1120"/>
      <w:bookmarkEnd w:id="2428"/>
      <w:r>
        <w:rPr>
          <w:rtl w:val="true"/>
        </w:rPr>
        <w:t xml:space="preserve">روایت </w:t>
      </w:r>
      <w:r>
        <w:rPr/>
        <w:t>30</w:t>
      </w:r>
      <w:bookmarkEnd w:id="242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شده که شخصی نزد رسول خدا صلّی الله علیه و آله آمد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به راستی که عبدالله بن رواحه به خاطر مرضی که به آن مبتلا شده سنگین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 احتضار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پیامبر صلّی الله علیه و آله برخاست و ما نیز همراه ایشان برخاستیم تا اینکه بر عبدالله وارد شد، پس او بیهوش شده بود و چیزی نمی فهمید، و زنان در اطرافش می گریستند و شیون و ناله سر می دادند، پیامبر صلّی الله علیه و آله سه بار او را فراخواند ولی پاسخ نگفت،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این بنده توست، اگر اجل، رزق و زمان مرگ او به پایان رسیده است، او را در میان بهشت و رحمت خویش قرار ده، و اگر اجل، رزق و زمان مرگش به پایان نرسیده است، هرچه سریع تر او را عافیت و بهبودی عطا بفرما</w:t>
      </w:r>
      <w:r>
        <w:rPr>
          <w:rFonts w:eastAsia="IRNazanin" w:cs="IRNazanin"/>
          <w:color w:val="111111"/>
          <w:sz w:val="28"/>
          <w:szCs w:val="28"/>
          <w:rtl w:val="true"/>
          <w:lang w:bidi="fa-IR"/>
        </w:rPr>
        <w:t xml:space="preserve">". </w:t>
      </w:r>
      <w:bookmarkStart w:id="2430" w:name="pg13517_329276"/>
    </w:p>
    <w:p>
      <w:pPr>
        <w:pStyle w:val="BookText"/>
        <w:rPr/>
      </w:pPr>
      <w:bookmarkEnd w:id="2430"/>
      <w:r>
        <w:rPr>
          <w:rFonts w:ascii="Amiri" w:hAnsi="Amiri" w:eastAsia="Amiri" w:cs="Amiri"/>
          <w:color w:val="111111"/>
          <w:sz w:val="28"/>
          <w:sz w:val="28"/>
          <w:szCs w:val="28"/>
          <w:rtl w:val="true"/>
          <w:lang w:bidi="ar-SA"/>
        </w:rPr>
        <w:t xml:space="preserve">فَقَالَ بَعْضُ الْقَوْمِ يَا رَسُولَ اللَّهِ صلي الله عليه و آله عَجَباً لِعَبْدِ اللَّهِ بْنِ رَوَاحَةَ وَ تَعَرُّضِهِ فِي غَيْرِ مَوْطِنٍ لِلشَّهَادَةِ فَلَمْ يُرْزَقْهَا حَتَّي يُقْبَضَ عَلَي فِرَاشِهِ قَالَ رَسُولُ اللَّهِ صلي الله عليه و آله وَ مَنِ الشَّهِيدُ مِنْ أُمَّتِي فَقَالُوا أَ لَيْسَ هُوَ الَّذِي يُقْتَلُ فِي سَبِيلِ اللَّهِ مُقْبِلًا غَيْرَ مُدْبِرٍ فَقَالَ رَسُولُ اللَّهِ صلي الله عليه و آله إِنَّ شُهَدَاءَ أُمَّتِي إِذًا لَقَلِيلٌ الشَّهِيدُ الَّذِي ذَكَرْتُمْ وَ الطَّعِينُ وَ الْمَبْطُونُ وَ صَاحِبُ الْهَدْمِ وَ الْغَرَقِ وَ الْمَرْأَةُ تَمُوتُ جُمْعاً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وَ كَيْفَ تَمُوتُ جُمْعاً يَا رَسُولَ اللَّهِ قَالَ يَعْتَرِضُ وَلَدُهَا فِي بَطْنِهَا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رَسُولُ اللَّهِ صلي الله عليه و آله فَوَجَدَ عَبْدُ اللَّهِ بْنُ رَوَاحَةَ خِفَّةً فَأُخْبِرَ النَّبِيُّ صلي الله عليه و آله فَوَقَفَ فَقَالَ يَا عَبْدَ اللَّهِ حَدِّثْ بِمَا رَأَيْتَ فَقَدْ رَأَيْتَ عَجَباً فَقَالَ يَا رَسُولَ اللَّهِ رَأَيْتُ مَلَكاً مِنَ الْمَلَائِكَةِ بِيَدِهِ مِقْمَعَةٌ مِنْ حَدِيدٍ تَأَجَّجُ نَاراً كُلَّمَا صَرَخَتْ صَارِخَةٌ يَا جَبَلَاهْ أَهْوَي بِهَا لِهَامَتِي وَ قَالَ أَنْتَ جَبَلُهَا فَأَقُولُ لَا بَلِ اللَّهُ فَيَكُفُّ بَعْدَ أَهْوَائِهَا وَ إِذَا صَرَخَتْ صَارِخَةٌ يَا عِزَّاهْ أَهْوَي بِهَا لِهَامَتِي وَ قَالَ أَنْتَ عِزُّهَا فَأَقُولُ لَا بَلِ اللَّهُ فَيَكُفُّ بَعْدَ أَهْوَائِهَا فَقَالَ رَسُولُ اللَّهِ صلي الله عليه و آله صَدَقَ عَبْدُ اللَّهِ فَمَا بَالُ مَوْتَاكُمْ يُبْتَلَوْنَ بِقَوْلِ أَحْيَاءِكُمْ‌</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1" w:name="__RefHeading___Toc607154_1934241801"/>
      <w:bookmarkStart w:id="2432" w:name="_Toc1121"/>
      <w:bookmarkEnd w:id="2431"/>
      <w:r>
        <w:rPr>
          <w:rtl w:val="true"/>
        </w:rPr>
        <w:t>بيان</w:t>
      </w:r>
      <w:bookmarkEnd w:id="2432"/>
    </w:p>
    <w:p>
      <w:pPr>
        <w:pStyle w:val="BookText"/>
        <w:rPr/>
      </w:pPr>
      <w:r>
        <w:rPr>
          <w:rFonts w:ascii="Amiri" w:hAnsi="Amiri" w:eastAsia="Amiri" w:cs="Amiri"/>
          <w:color w:val="111111"/>
          <w:sz w:val="28"/>
          <w:sz w:val="28"/>
          <w:szCs w:val="28"/>
          <w:rtl w:val="true"/>
          <w:lang w:bidi="ar-SA"/>
        </w:rPr>
        <w:t>عجز هذا الحديث يخالف بعض أصولنا و سيأتي عدم تعذيب الميت ببكاء الحي و لعل الخبر علي تقدير صحته محمول علي أن الميت كان مستحقا ببعض أعماله لنوع من العذاب فعذب بهذا الوجه أو فعل ذلك به لتخفيف سيئاته أو لأنه كان آمرا أو راضيا به و لعل الخبر 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في حديث الشهداء و المرأة تموت بجمع أي تموت و في بطنها ولد و قيل التي تموت بكرا و الجمع بالضم بمعني المجموع كالذخر بمعني المذخور و يكسر الكسائي الجيم و المعني أنها ماتت مع شي‌ء مجموع فيها غير منفصل عنها من حمل أو بكارة</w:t>
      </w:r>
      <w:r>
        <w:rPr>
          <w:rFonts w:eastAsia="Amiri" w:cs="Amiri" w:ascii="Amiri" w:hAnsi="Amiri"/>
          <w:color w:val="111111"/>
          <w:sz w:val="28"/>
          <w:szCs w:val="28"/>
          <w:rtl w:val="true"/>
          <w:lang w:bidi="ar-SA"/>
        </w:rPr>
        <w:t>.</w:t>
      </w:r>
    </w:p>
    <w:p>
      <w:pPr>
        <w:pStyle w:val="Heading5"/>
        <w:numPr>
          <w:ilvl w:val="4"/>
          <w:numId w:val="1"/>
        </w:numPr>
        <w:rPr/>
      </w:pPr>
      <w:bookmarkStart w:id="2433" w:name="__RefHeading___Toc607156_1934241801"/>
      <w:bookmarkStart w:id="2434" w:name="_Toc1122"/>
      <w:bookmarkEnd w:id="2433"/>
      <w:r>
        <w:rPr>
          <w:rtl w:val="true"/>
        </w:rPr>
        <w:t>«</w:t>
      </w:r>
      <w:r>
        <w:rPr/>
        <w:t>31</w:t>
      </w:r>
      <w:r>
        <w:rPr>
          <w:rtl w:val="true"/>
        </w:rPr>
        <w:t>»</w:t>
      </w:r>
      <w:bookmarkEnd w:id="2434"/>
    </w:p>
    <w:p>
      <w:pPr>
        <w:pStyle w:val="BookText"/>
        <w:rPr/>
      </w:pPr>
      <w:r>
        <w:rPr>
          <w:rFonts w:ascii="Amiri" w:hAnsi="Amiri" w:eastAsia="Amiri" w:cs="Amiri"/>
          <w:color w:val="111111"/>
          <w:sz w:val="28"/>
          <w:sz w:val="28"/>
          <w:szCs w:val="28"/>
          <w:rtl w:val="true"/>
          <w:lang w:bidi="ar-SA"/>
        </w:rPr>
        <w:t>مِصْبَاحُ الْأَنْوَارِ، عَنِ ابْنِ أَبِي رَافِعٍ عَنْ أَبِيهِ عَنْ أُمِّهِ 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اشْتَكَتْ فَاطِمَةُ عليها السلام بَعْدَ مَا قُبِضَ رَسُولُ اللَّهِ صلي الله عليه و آله بِسِتَّةِ أَشْهُرٍ قَالَتْ فَكُنْتُ أُمَرِّضُهَا</w:t>
      </w:r>
    </w:p>
    <w:p>
      <w:pPr>
        <w:pStyle w:val="BookText"/>
        <w:rPr/>
      </w:pPr>
      <w:r>
        <w:rPr>
          <w:rFonts w:ascii="IRNazanin" w:hAnsi="IRNazanin" w:eastAsia="IRNazanin"/>
          <w:color w:val="111111"/>
          <w:sz w:val="28"/>
          <w:sz w:val="28"/>
          <w:szCs w:val="28"/>
          <w:rtl w:val="true"/>
          <w:lang w:bidi="fa-IR"/>
        </w:rPr>
        <w:t>پس یکی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 از عبدالله بن رواحه در شگفتم و اینکه چند بار در معرض شهادت قرار گرفت ولی شهادت نصیب او نشد تا اینکه بر بسترخویش وفات نمود،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میان امّت من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نیست که در راه خدا به سوی دشمن پیش می رود و نمی گریزد تا اینکه کشته می شود؟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شهدای امّت من اندک هستند، شهیدی که شما ذکر کردید، همچنین کسی که بر اثر طاعون و درد شکم از دنیا برود، و کسی که بر اثر افتادن در چاه و یا ماندن در زیر آوار می میرد، و کسی که در آب غرق می گردد، و زنی که به صورت جمعی از دنیا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چگونه به صورت جمعی از دنیا می 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بچه در شکم او آشکار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برخاست، و عبدالله بن رواحه پس از برخاستن پیامبر احساس سبکی و هوشیاری کرد، بنابراین به پیامبر خبر دادند و ایشان توقّف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آنچه را دیده ای بازگو کن که چیزهای شگفتی دیده ای،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فرشته ای از فرشتگان را مشاهده کردم که چماقی آهنین و آتشین در دست داشت و هرگاه زنی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کوهِ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گریستن بر قوّت و عظمت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را بر سر من می کوفت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کوه آن زن هستی؟ و من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خداوند است؛ فرشته بعد از فرود آوردن چماق نخست دست نگاه می داشت و هنگامی که زن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قوی و نیرومند من، چماق را دوباره بر سر من می کوفت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قوی و توانمند او هستی؟ و من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خداوند است، بعد از فرودآوردن چماق دوباره دست نگاه می داشت،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راست می گوید، پس گناه مردگان شما چیست که به سبب گفتار زندگان شما مبتلا می شوند</w:t>
      </w:r>
      <w:r>
        <w:rPr>
          <w:rFonts w:eastAsia="IRNazanin" w:cs="IRNazanin"/>
          <w:color w:val="111111"/>
          <w:sz w:val="28"/>
          <w:szCs w:val="28"/>
          <w:rtl w:val="true"/>
          <w:lang w:bidi="fa-IR"/>
        </w:rPr>
        <w:t>.</w:t>
      </w:r>
      <w:r>
        <w:rPr>
          <w:rStyle w:val="FootnoteAnchor"/>
          <w:rtl w:val="true"/>
        </w:rPr>
        <w:footnoteReference w:id="1190"/>
      </w:r>
    </w:p>
    <w:p>
      <w:pPr>
        <w:pStyle w:val="Heading5"/>
        <w:numPr>
          <w:ilvl w:val="4"/>
          <w:numId w:val="1"/>
        </w:numPr>
        <w:rPr/>
      </w:pPr>
      <w:bookmarkStart w:id="2435" w:name="__RefHeading___Toc607158_1934241801"/>
      <w:bookmarkStart w:id="2436" w:name="_Toc1123"/>
      <w:bookmarkEnd w:id="2435"/>
      <w:r>
        <w:rPr>
          <w:rtl w:val="true"/>
        </w:rPr>
        <w:t>توضیح</w:t>
      </w:r>
      <w:bookmarkEnd w:id="2436"/>
    </w:p>
    <w:p>
      <w:pPr>
        <w:pStyle w:val="BookText"/>
        <w:rPr/>
      </w:pPr>
      <w:r>
        <w:rPr>
          <w:rFonts w:ascii="IRNazanin" w:hAnsi="IRNazanin" w:eastAsia="IRNazanin"/>
          <w:color w:val="111111"/>
          <w:sz w:val="28"/>
          <w:sz w:val="28"/>
          <w:szCs w:val="28"/>
          <w:rtl w:val="true"/>
          <w:lang w:bidi="fa-IR"/>
        </w:rPr>
        <w:t xml:space="preserve">قسمت پایانی این حدیث با برخی از اصول ما مخالف است، و در ادامه ذکر خواهد شد که مردگان به سبب گریه زندگان عذاب داده نمی شوند، امّا اگر حدیث را صحیح فرض کنیم شاید بر این نکته حمل شود که میّت به خاطر مرتکب شدن برخی از اعمال مستحق تحمّل نوعی از عذاب بوده، پس به این صورت عذاب داده می شود، یا شاید به خاطر تخفیف در گناهان او و کاستن از آن ها به چنین مجازاتی دچار می شود یا اینکه خود فرمان داده که زندگان بر او بگریند و یا از این امر راضی بوده است، و شاید حدیث از اهل سنت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النهایة در تفسیر حدیث شهدا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المرءة تموت بجمع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حالی که بچّه ای در شکم دارد می میرد، و گفته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زود از دنیا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ذخیره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همچنین کسائی این کلمه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 است، و معنای کلام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همراه با چیزی که براثر حاملگی یا پرده بکارت در او جمع است و از او جدا نمی شود وفات نماید، شهید محسوب می شود</w:t>
      </w:r>
      <w:r>
        <w:rPr>
          <w:rFonts w:eastAsia="IRNazanin" w:cs="IRNazanin"/>
          <w:color w:val="111111"/>
          <w:sz w:val="28"/>
          <w:szCs w:val="28"/>
          <w:rtl w:val="true"/>
          <w:lang w:bidi="fa-IR"/>
        </w:rPr>
        <w:t>.</w:t>
      </w:r>
    </w:p>
    <w:p>
      <w:pPr>
        <w:pStyle w:val="Heading5"/>
        <w:numPr>
          <w:ilvl w:val="4"/>
          <w:numId w:val="1"/>
        </w:numPr>
        <w:rPr/>
      </w:pPr>
      <w:bookmarkStart w:id="2437" w:name="__RefHeading___Toc607160_1934241801"/>
      <w:bookmarkStart w:id="2438" w:name="_Toc1124"/>
      <w:bookmarkEnd w:id="2437"/>
      <w:r>
        <w:rPr>
          <w:rtl w:val="true"/>
        </w:rPr>
        <w:t xml:space="preserve">روایت </w:t>
      </w:r>
      <w:r>
        <w:rPr/>
        <w:t>31</w:t>
      </w:r>
      <w:bookmarkEnd w:id="243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رافع از پدرش و او از مادرش سلمی روایت کرده است که فاطمه علیها السلام شش ماه پس از وفات پیامبر صلّی الله علیه وآله بیمار گشت و من از او پرستاری می کردم، </w:t>
      </w:r>
    </w:p>
    <w:p>
      <w:pPr>
        <w:pStyle w:val="BookText"/>
        <w:rPr/>
      </w:pPr>
      <w:r>
        <w:rPr>
          <w:rFonts w:ascii="Amiri" w:hAnsi="Amiri" w:eastAsia="Amiri" w:cs="Amiri"/>
          <w:color w:val="111111"/>
          <w:sz w:val="28"/>
          <w:sz w:val="28"/>
          <w:szCs w:val="28"/>
          <w:rtl w:val="true"/>
          <w:lang w:bidi="ar-SA"/>
        </w:rPr>
        <w:t xml:space="preserve">فَقَالَتْ لِي ذَاتَ يَوْمٍ اسْكُبِي غُسْلًا قَالَتْ فَسَكَبْتُ لَهَا غُسْلًا فَقَامَتْ فَاغْتَسَلَتْ كَأَحْسَنِ مَا كَانَتْ تَغْتَسِلُ ثُمَّ قَالَتْ يَا سَلْمَي هَلُمِّي ثِيَابِيَ الْجُدُدَ فَأَتَيْتُهَا بِهَا فَلَبِسَتْهَا ثُمَّ جَاءَتْ إِلَي مَكَانِهَا الَّذِي كَانَتْ تُصَلِّي فِيهِ فَقَالَتْ قَرِّبِي فِرَاشِي إِلَي وَسَطِ الْبَيْتِ فَفَعَلْتُ فَاضْطَجَعَتْ عَلَيْهِ وَ وَضَعَتْ يَدَهَا الْيُمْنَي تَحْتَ خَدِّهَا وَ اسْتَقْبَلَتِ الْقِبْلَةَ وَ قَالَتْ يَا سَلْمَي إِنِّي مَقْبُوضَةٌ الْآنَ قَالَتْ وَ كَانَ عَلِيٌّ عليه السلام يَرَي ذَلِكَ مِنْ صَنِيعِهَا فَلَمَّا سَمِعَهَا تَقُولُ إِنِّي مَقْبُوضَةٌ الْآنَ اسْتَبَقَتْ عَيْنَاهُ بِالدُّمُوعِ فَقَالَتْ يَا أَبَا الْحَسَنِ اصْبِرْ فَإِنَّ اللَّهَ مَعَ الصَّابِرِينَ اللَّهُ خَلِيفَتِي عَلَيْكَ وَ ضَمَّتْ حَسَناً وَ حُسَيْناً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سَلْمَي فَكَأَنَّهَا كَانَتْ نَائِمَةً قُبِضَتْ صَلَوَاتُ اللَّهِ عَلَيْهَا فَأَخَذَ عَلِيٌّ فِي شَأْنِهَا وَ أَخْرَجَهَا فَدَفَنَهَا 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 روز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غسل کردن را برای من فراهم کن، من نیز مقدّمات غسل کردن را برای ایشان فراهم کردم و برخاست و به بهترین شیوه غسل نمود،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سلمی، لباسهای جدیدم را برایم بیاور، من نیز لباسها را حاضر کردم، پس آن ها را پوشید و به جایگاهی که در آن نماز می گزارد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بسترم را به وسط خانه نزدیک کن، من نیز چنان کردم و ایشان بر روی آن دراز کشید و دست راستش را زیر چهره اش نهاد و رو به قبله قرار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سلمی، اکنون جان از تنم به درمی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 علیه السلام نظاره گر کارهایی بود که فاطمه علیهاالسلام انجام می داد و هنگامی  که این سخن او را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جان از تنم به در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پر از اشک شد، پس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صبر داشته باش که خداوند همراه صابران است، خداوند جانشین من نزد تو باشد، سپس حسن و حسین را در آغوش کشید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علیهاالسلام در حالی که گویا خواب بود از دنیا رفت، پس علی علیه السلام به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و 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رسیدگی و از خانه  خارجش کرد و شبانه او را به خاک سپرد </w:t>
      </w:r>
      <w:r>
        <w:rPr>
          <w:rFonts w:eastAsia="IRNazanin" w:cs="IRNazanin"/>
          <w:color w:val="111111"/>
          <w:sz w:val="28"/>
          <w:szCs w:val="28"/>
          <w:rtl w:val="true"/>
          <w:lang w:bidi="fa-IR"/>
        </w:rPr>
        <w:t xml:space="preserve">. </w:t>
      </w:r>
      <w:bookmarkStart w:id="2439" w:name="pg13517_329278"/>
    </w:p>
    <w:p>
      <w:pPr>
        <w:pStyle w:val="Heading3"/>
        <w:numPr>
          <w:ilvl w:val="2"/>
          <w:numId w:val="1"/>
        </w:numPr>
        <w:rPr/>
      </w:pPr>
      <w:bookmarkStart w:id="2440" w:name="__RefHeading___Toc607162_1934241801"/>
      <w:bookmarkStart w:id="2441" w:name="_Toc1125"/>
      <w:bookmarkEnd w:id="2439"/>
      <w:bookmarkEnd w:id="2440"/>
      <w:r>
        <w:rPr>
          <w:rtl w:val="true"/>
        </w:rPr>
        <w:t xml:space="preserve">باب </w:t>
      </w:r>
      <w:r>
        <w:rPr/>
        <w:t>6</w:t>
      </w:r>
      <w:r>
        <w:rPr>
          <w:rtl w:val="true"/>
        </w:rPr>
        <w:t xml:space="preserve"> </w:t>
      </w:r>
      <w:r>
        <w:rPr>
          <w:rtl w:val="true"/>
        </w:rPr>
        <w:t>تجهيز الميت و ما يتعلق به من الأحكام</w:t>
      </w:r>
      <w:bookmarkEnd w:id="2441"/>
    </w:p>
    <w:p>
      <w:pPr>
        <w:pStyle w:val="Heading4"/>
        <w:numPr>
          <w:ilvl w:val="3"/>
          <w:numId w:val="1"/>
        </w:numPr>
        <w:rPr/>
      </w:pPr>
      <w:bookmarkStart w:id="2442" w:name="__RefHeading___Toc607164_1934241801"/>
      <w:bookmarkStart w:id="2443" w:name="_Toc1126"/>
      <w:bookmarkEnd w:id="2442"/>
      <w:r>
        <w:rPr>
          <w:rtl w:val="true"/>
        </w:rPr>
        <w:t>روايات</w:t>
      </w:r>
      <w:bookmarkEnd w:id="2443"/>
    </w:p>
    <w:p>
      <w:pPr>
        <w:pStyle w:val="Heading5"/>
        <w:numPr>
          <w:ilvl w:val="4"/>
          <w:numId w:val="1"/>
        </w:numPr>
        <w:rPr/>
      </w:pPr>
      <w:bookmarkStart w:id="2444" w:name="__RefHeading___Toc607166_1934241801"/>
      <w:bookmarkStart w:id="2445" w:name="_Toc1127"/>
      <w:bookmarkEnd w:id="2444"/>
      <w:r>
        <w:rPr>
          <w:rtl w:val="true"/>
        </w:rPr>
        <w:t>«</w:t>
      </w:r>
      <w:r>
        <w:rPr/>
        <w:t>1</w:t>
      </w:r>
      <w:r>
        <w:rPr>
          <w:rtl w:val="true"/>
        </w:rPr>
        <w:t>»</w:t>
      </w:r>
      <w:bookmarkEnd w:id="2445"/>
    </w:p>
    <w:p>
      <w:pPr>
        <w:pStyle w:val="BookText"/>
        <w:rPr/>
      </w:pPr>
      <w:r>
        <w:rPr>
          <w:rFonts w:ascii="Amiri" w:hAnsi="Amiri" w:eastAsia="Amiri" w:cs="Amiri"/>
          <w:color w:val="111111"/>
          <w:sz w:val="28"/>
          <w:sz w:val="28"/>
          <w:szCs w:val="28"/>
          <w:rtl w:val="true"/>
          <w:lang w:bidi="ar-SA"/>
        </w:rPr>
        <w:t>الْعِلَلُ، عَنْ أَبِيهِ عَنْ عَلِيِّ بْنِ إِبْرَاهِيمَ عَنْ أَبِيهِ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تَطَوَّلَ عَلَي عِبَادِهِ بِثَلَاثٍ أَلْقَي عَلَيْهِمُ الرِّيحَ بَعْدَ الرُّوحِ وَ لَوْ لَا ذَلِكَ مَا دَفَنَ حَمِيمٌ حَمِيماً وَ أَلْقَي عَلَيْهِمُ السَّلْوَةَ بَعْدَ الْمُصِيبَةِ وَ لَوْ لَا ذَلِكَ لَانْقَطَعَ النَّسْلُ وَ أَلْقَي عَلَي هَذِهِ الْحَبَّةِ الدَّابَّةَ وَ لَوْ لَا ذَلِكَ لَكَنَزَتْهَا مُلُوكُهُمْ كَمَا يَكْنِزُونَ الذَّهَبَ وَ الْفِضَّةَ</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6" w:name="__RefHeading___Toc607168_1934241801"/>
      <w:bookmarkStart w:id="2447" w:name="_Toc1128"/>
      <w:bookmarkEnd w:id="2446"/>
      <w:r>
        <w:rPr>
          <w:rtl w:val="true"/>
        </w:rPr>
        <w:t>«</w:t>
      </w:r>
      <w:r>
        <w:rPr/>
        <w:t>2</w:t>
      </w:r>
      <w:r>
        <w:rPr>
          <w:rtl w:val="true"/>
        </w:rPr>
        <w:t>»</w:t>
      </w:r>
      <w:bookmarkEnd w:id="2447"/>
    </w:p>
    <w:p>
      <w:pPr>
        <w:pStyle w:val="BookText"/>
        <w:rPr/>
      </w:pPr>
      <w:r>
        <w:rPr>
          <w:rFonts w:ascii="Amiri" w:hAnsi="Amiri" w:eastAsia="Amiri" w:cs="Amiri"/>
          <w:color w:val="111111"/>
          <w:sz w:val="28"/>
          <w:sz w:val="28"/>
          <w:szCs w:val="28"/>
          <w:rtl w:val="true"/>
          <w:lang w:bidi="ar-SA"/>
        </w:rPr>
        <w:t>الْخِصَالُ، عَنْ أَحْمَدَ بْنِ مُحَمَّدٍ الْعَطَّارِ عَنْ سَعْدِ بْنِ عَبْدِ اللَّهِ عَنْ مُحَمَّدِ بْنِ عَبْدِ الْجَبَّارِ عَنْ مُحَمَّدِ بْنِ إِسْمَاعِيلَ 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92"/>
      </w:r>
    </w:p>
    <w:p>
      <w:pPr>
        <w:pStyle w:val="Heading5"/>
        <w:numPr>
          <w:ilvl w:val="4"/>
          <w:numId w:val="1"/>
        </w:numPr>
        <w:rPr/>
      </w:pPr>
      <w:bookmarkStart w:id="2448" w:name="__RefHeading___Toc607170_1934241801"/>
      <w:bookmarkStart w:id="2449" w:name="_Toc1129"/>
      <w:bookmarkEnd w:id="2448"/>
      <w:r>
        <w:rPr>
          <w:rtl w:val="true"/>
        </w:rPr>
        <w:t>بيان</w:t>
      </w:r>
      <w:bookmarkEnd w:id="2449"/>
    </w:p>
    <w:p>
      <w:pPr>
        <w:pStyle w:val="BookText"/>
        <w:rPr/>
      </w:pPr>
      <w:r>
        <w:rPr>
          <w:rFonts w:ascii="Amiri" w:hAnsi="Amiri" w:eastAsia="Amiri" w:cs="Amiri"/>
          <w:color w:val="111111"/>
          <w:sz w:val="28"/>
          <w:sz w:val="28"/>
          <w:szCs w:val="28"/>
          <w:rtl w:val="true"/>
          <w:lang w:bidi="ar-SA"/>
        </w:rPr>
        <w:t>في القاموس سلاه و عنه كدعاه و رضيه سلوا و سلوا نسيه و أسلاه عنه فتسلي و الاسم السلوة و يضم</w:t>
      </w:r>
      <w:r>
        <w:rPr>
          <w:rFonts w:eastAsia="Amiri" w:cs="Amiri" w:ascii="Amiri" w:hAnsi="Amiri"/>
          <w:color w:val="111111"/>
          <w:sz w:val="28"/>
          <w:szCs w:val="28"/>
          <w:rtl w:val="true"/>
          <w:lang w:bidi="ar-SA"/>
        </w:rPr>
        <w:t>.</w:t>
      </w:r>
    </w:p>
    <w:p>
      <w:pPr>
        <w:pStyle w:val="Heading5"/>
        <w:numPr>
          <w:ilvl w:val="4"/>
          <w:numId w:val="1"/>
        </w:numPr>
        <w:rPr/>
      </w:pPr>
      <w:bookmarkStart w:id="2450" w:name="__RefHeading___Toc607172_1934241801"/>
      <w:bookmarkStart w:id="2451" w:name="_Toc1130"/>
      <w:bookmarkEnd w:id="2450"/>
      <w:r>
        <w:rPr>
          <w:rtl w:val="true"/>
        </w:rPr>
        <w:t>«</w:t>
      </w:r>
      <w:r>
        <w:rPr/>
        <w:t>3</w:t>
      </w:r>
      <w:r>
        <w:rPr>
          <w:rtl w:val="true"/>
        </w:rPr>
        <w:t>»</w:t>
      </w:r>
      <w:bookmarkEnd w:id="2451"/>
    </w:p>
    <w:p>
      <w:pPr>
        <w:pStyle w:val="BookText"/>
        <w:rPr/>
      </w:pP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فِي رِسَالَتِهِ إِلَيَّ لَا يُتْرَكِ الْمَيِّتُ وَحْدَهُ فَإِنَّ الشَّيْطَانَ يَعْبَثُ بِهِ فِي جَوْفِهِ‌</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الفقيه،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95"/>
      </w:r>
    </w:p>
    <w:p>
      <w:pPr>
        <w:pStyle w:val="Heading5"/>
        <w:numPr>
          <w:ilvl w:val="4"/>
          <w:numId w:val="1"/>
        </w:numPr>
        <w:rPr/>
      </w:pPr>
      <w:bookmarkStart w:id="2452" w:name="__RefHeading___Toc607174_1934241801"/>
      <w:bookmarkStart w:id="2453" w:name="_Toc1131"/>
      <w:bookmarkEnd w:id="2452"/>
      <w:r>
        <w:rPr>
          <w:rtl w:val="true"/>
        </w:rPr>
        <w:t>بيان</w:t>
      </w:r>
      <w:bookmarkEnd w:id="2453"/>
    </w:p>
    <w:p>
      <w:pPr>
        <w:pStyle w:val="BookText"/>
        <w:rPr/>
      </w:pPr>
      <w:r>
        <w:rPr>
          <w:rFonts w:ascii="Amiri" w:hAnsi="Amiri" w:eastAsia="Amiri" w:cs="Amiri"/>
          <w:color w:val="111111"/>
          <w:sz w:val="28"/>
          <w:sz w:val="28"/>
          <w:szCs w:val="28"/>
          <w:rtl w:val="true"/>
          <w:lang w:bidi="ar-SA"/>
        </w:rPr>
        <w:t>لا يبعد أن يكون المراد به حال الاحتضار فالمراد بعبث الشيطان، وسوسته و إضلاله و الأصحاب حملوه علي ظاهره و لذا أوردناه في هذا الباب</w:t>
      </w:r>
      <w:r>
        <w:rPr>
          <w:rFonts w:eastAsia="Amiri" w:cs="Amiri" w:ascii="Amiri" w:hAnsi="Amiri"/>
          <w:color w:val="111111"/>
          <w:sz w:val="28"/>
          <w:szCs w:val="28"/>
          <w:rtl w:val="true"/>
          <w:lang w:bidi="ar-SA"/>
        </w:rPr>
        <w:t>.</w:t>
      </w:r>
    </w:p>
    <w:p>
      <w:pPr>
        <w:pStyle w:val="Heading3"/>
        <w:numPr>
          <w:ilvl w:val="2"/>
          <w:numId w:val="1"/>
        </w:numPr>
        <w:rPr/>
      </w:pPr>
      <w:bookmarkStart w:id="2454" w:name="__RefHeading___Toc607176_1934241801"/>
      <w:bookmarkStart w:id="2455" w:name="_Toc1132"/>
      <w:bookmarkEnd w:id="2454"/>
      <w:r>
        <w:rPr>
          <w:rtl w:val="true"/>
        </w:rPr>
        <w:t xml:space="preserve">باب ششم </w:t>
      </w:r>
      <w:r>
        <w:rPr>
          <w:rtl w:val="true"/>
        </w:rPr>
        <w:t xml:space="preserve">: </w:t>
      </w:r>
      <w:r>
        <w:rPr>
          <w:rtl w:val="true"/>
        </w:rPr>
        <w:t>تجهیز و آماده ساختن میّت و احکام مربوط به آن</w:t>
      </w:r>
      <w:bookmarkEnd w:id="2455"/>
    </w:p>
    <w:p>
      <w:pPr>
        <w:pStyle w:val="Heading4"/>
        <w:numPr>
          <w:ilvl w:val="3"/>
          <w:numId w:val="1"/>
        </w:numPr>
        <w:rPr/>
      </w:pPr>
      <w:bookmarkStart w:id="2456" w:name="__RefHeading___Toc607178_1934241801"/>
      <w:bookmarkStart w:id="2457" w:name="_Toc1133"/>
      <w:bookmarkEnd w:id="2456"/>
      <w:r>
        <w:rPr>
          <w:rtl w:val="true"/>
        </w:rPr>
        <w:t>روایات</w:t>
      </w:r>
      <w:bookmarkEnd w:id="2457"/>
    </w:p>
    <w:p>
      <w:pPr>
        <w:pStyle w:val="Heading5"/>
        <w:numPr>
          <w:ilvl w:val="4"/>
          <w:numId w:val="1"/>
        </w:numPr>
        <w:rPr/>
      </w:pPr>
      <w:bookmarkStart w:id="2458" w:name="__RefHeading___Toc607180_1934241801"/>
      <w:bookmarkStart w:id="2459" w:name="_Toc1134"/>
      <w:bookmarkEnd w:id="2458"/>
      <w:r>
        <w:rPr>
          <w:rtl w:val="true"/>
        </w:rPr>
        <w:t xml:space="preserve">روایت </w:t>
      </w:r>
      <w:r>
        <w:rPr/>
        <w:t>1</w:t>
      </w:r>
      <w:bookmarkEnd w:id="2459"/>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 و جلّ به سه شیوه به بندگانش کَرَم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خارج شدن روح، بوی بد را در جسد قرار داد و اگر چنین نبود هیچ خویشاوندی نمی توانست خویشاوند نزدیک خود را دفن کند، و بعد از مصیبت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دلداری و آرامش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آنان عطا فرمود و اگر چنین نبود نسل منقرض نمی گشت، و کِرم را بر حبوبات مسلط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را فاسد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چنین نبود پادشاهان حاکم بر مردم،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طلا و نقره انبار می کردند</w:t>
      </w:r>
      <w:r>
        <w:rPr>
          <w:rFonts w:eastAsia="IRNazanin" w:cs="IRNazanin"/>
          <w:color w:val="111111"/>
          <w:sz w:val="28"/>
          <w:szCs w:val="28"/>
          <w:rtl w:val="true"/>
          <w:lang w:bidi="fa-IR"/>
        </w:rPr>
        <w:t>.</w:t>
      </w:r>
      <w:r>
        <w:rPr>
          <w:rStyle w:val="FootnoteAnchor"/>
          <w:rtl w:val="true"/>
        </w:rPr>
        <w:footnoteReference w:id="1196"/>
      </w:r>
    </w:p>
    <w:p>
      <w:pPr>
        <w:pStyle w:val="Heading5"/>
        <w:numPr>
          <w:ilvl w:val="4"/>
          <w:numId w:val="1"/>
        </w:numPr>
        <w:rPr/>
      </w:pPr>
      <w:bookmarkStart w:id="2460" w:name="__RefHeading___Toc607182_1934241801"/>
      <w:bookmarkStart w:id="2461" w:name="_Toc1135"/>
      <w:bookmarkEnd w:id="2460"/>
      <w:r>
        <w:rPr>
          <w:rtl w:val="true"/>
        </w:rPr>
        <w:t xml:space="preserve">روایت </w:t>
      </w:r>
      <w:r>
        <w:rPr/>
        <w:t>2</w:t>
      </w:r>
      <w:bookmarkEnd w:id="2461"/>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روایت شده است</w:t>
      </w:r>
      <w:r>
        <w:rPr>
          <w:rFonts w:eastAsia="IRNazanin" w:cs="IRNazanin"/>
          <w:color w:val="111111"/>
          <w:sz w:val="28"/>
          <w:szCs w:val="28"/>
          <w:rtl w:val="true"/>
          <w:lang w:bidi="fa-IR"/>
        </w:rPr>
        <w:t>.</w:t>
      </w:r>
      <w:r>
        <w:rPr>
          <w:rStyle w:val="FootnoteAnchor"/>
          <w:rtl w:val="true"/>
        </w:rPr>
        <w:footnoteReference w:id="1197"/>
      </w:r>
      <w:r>
        <w:rPr>
          <w:rFonts w:ascii="Amiri" w:hAnsi="Amiri" w:eastAsia="Amiri" w:cs="Amiri"/>
          <w:color w:val="111111"/>
          <w:sz w:val="28"/>
          <w:sz w:val="28"/>
          <w:szCs w:val="28"/>
          <w:rtl w:val="true"/>
          <w:lang w:bidi="ar-SA"/>
        </w:rPr>
        <w:t>ّ</w:t>
      </w:r>
    </w:p>
    <w:p>
      <w:pPr>
        <w:pStyle w:val="Heading5"/>
        <w:numPr>
          <w:ilvl w:val="4"/>
          <w:numId w:val="1"/>
        </w:numPr>
        <w:rPr/>
      </w:pPr>
      <w:bookmarkStart w:id="2462" w:name="__RefHeading___Toc607184_1934241801"/>
      <w:bookmarkStart w:id="2463" w:name="_Toc1136"/>
      <w:bookmarkEnd w:id="2462"/>
      <w:r>
        <w:rPr>
          <w:rtl w:val="true"/>
        </w:rPr>
        <w:t>توضیح</w:t>
      </w:r>
      <w:bookmarkEnd w:id="2463"/>
    </w:p>
    <w:p>
      <w:pPr>
        <w:pStyle w:val="BookText"/>
        <w:rPr/>
      </w:pP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سلاه و عنه، سَلواً و 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 و 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فراموش کرد و از یاد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أسلاه عنه فتسلّی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 را از یاد او برد و او هم آن را فراموش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او تسلّّی داد و او هم تسلّی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 و آرامش خاطر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فراموش کردن و از یاد بردن</w:t>
      </w:r>
      <w:r>
        <w:rPr>
          <w:rFonts w:eastAsia="IRNazanin" w:cs="IRNazanin"/>
          <w:color w:val="111111"/>
          <w:sz w:val="28"/>
          <w:szCs w:val="28"/>
          <w:rtl w:val="true"/>
          <w:lang w:bidi="fa-IR"/>
        </w:rPr>
        <w:t>).</w:t>
      </w:r>
    </w:p>
    <w:p>
      <w:pPr>
        <w:pStyle w:val="Heading5"/>
        <w:numPr>
          <w:ilvl w:val="4"/>
          <w:numId w:val="1"/>
        </w:numPr>
        <w:rPr/>
      </w:pPr>
      <w:bookmarkStart w:id="2464" w:name="__RefHeading___Toc607186_1934241801"/>
      <w:bookmarkStart w:id="2465" w:name="_Toc1137"/>
      <w:bookmarkEnd w:id="2464"/>
      <w:r>
        <w:rPr>
          <w:rtl w:val="true"/>
        </w:rPr>
        <w:t xml:space="preserve">روایت </w:t>
      </w:r>
      <w:r>
        <w:rPr/>
        <w:t>3</w:t>
      </w:r>
      <w:bookmarkEnd w:id="2465"/>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نامه ای 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را تنها نگذارید، چرا که شیطان در قبر، او را وسوسه و گمراه می سازد</w:t>
      </w:r>
      <w:r>
        <w:rPr>
          <w:rFonts w:eastAsia="IRNazanin" w:cs="IRNazanin"/>
          <w:color w:val="111111"/>
          <w:sz w:val="28"/>
          <w:szCs w:val="28"/>
          <w:rtl w:val="true"/>
          <w:lang w:bidi="fa-IR"/>
        </w:rPr>
        <w:t>.</w:t>
      </w:r>
      <w:r>
        <w:rPr>
          <w:rStyle w:val="FootnoteAnchor"/>
          <w:rtl w:val="true"/>
        </w:rPr>
        <w:footnoteReference w:id="1198"/>
      </w:r>
    </w:p>
    <w:p>
      <w:pPr>
        <w:pStyle w:val="BookText"/>
        <w:rPr/>
      </w:pP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کلام روایت شده است</w:t>
      </w:r>
      <w:r>
        <w:rPr>
          <w:rFonts w:eastAsia="IRNazanin" w:cs="IRNazanin"/>
          <w:color w:val="111111"/>
          <w:sz w:val="28"/>
          <w:szCs w:val="28"/>
          <w:rtl w:val="true"/>
          <w:lang w:bidi="fa-IR"/>
        </w:rPr>
        <w:t>.</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کلام از امام صادق علیه السلام روایت شده است</w:t>
      </w:r>
      <w:r>
        <w:rPr>
          <w:rFonts w:eastAsia="IRNazanin" w:cs="IRNazanin"/>
          <w:color w:val="111111"/>
          <w:sz w:val="28"/>
          <w:szCs w:val="28"/>
          <w:rtl w:val="true"/>
          <w:lang w:bidi="fa-IR"/>
        </w:rPr>
        <w:t>.</w:t>
      </w:r>
      <w:r>
        <w:rPr>
          <w:rStyle w:val="FootnoteAnchor"/>
          <w:rtl w:val="true"/>
        </w:rPr>
        <w:footnoteReference w:id="1200"/>
      </w:r>
    </w:p>
    <w:p>
      <w:pPr>
        <w:pStyle w:val="Heading5"/>
        <w:numPr>
          <w:ilvl w:val="4"/>
          <w:numId w:val="1"/>
        </w:numPr>
        <w:rPr/>
      </w:pPr>
      <w:bookmarkStart w:id="2466" w:name="__RefHeading___Toc607188_1934241801"/>
      <w:bookmarkStart w:id="2467" w:name="_Toc1138"/>
      <w:bookmarkEnd w:id="2466"/>
      <w:r>
        <w:rPr>
          <w:rtl w:val="true"/>
        </w:rPr>
        <w:t>توضیح</w:t>
      </w:r>
      <w:bookmarkEnd w:id="246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بعید نیست که منظور از این سخن، وسوسه کردن و گمراه ساختن شخص در حال احتضار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عبث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کردن و گمراه ساختنی که از جانب شیطان باشد، و فقها آن را بر ظاهر حمل کرده اند و ما نیز به همین سبب این کلام را در این باب ذکر کرده ایم</w:t>
      </w:r>
      <w:r>
        <w:rPr>
          <w:rFonts w:eastAsia="IRNazanin" w:cs="IRNazanin"/>
          <w:color w:val="111111"/>
          <w:sz w:val="28"/>
          <w:szCs w:val="28"/>
          <w:rtl w:val="true"/>
          <w:lang w:bidi="fa-IR"/>
        </w:rPr>
        <w:t xml:space="preserve">. </w:t>
      </w:r>
      <w:bookmarkStart w:id="2468" w:name="pg13517_329279"/>
    </w:p>
    <w:p>
      <w:pPr>
        <w:pStyle w:val="Heading5"/>
        <w:numPr>
          <w:ilvl w:val="4"/>
          <w:numId w:val="1"/>
        </w:numPr>
        <w:rPr/>
      </w:pPr>
      <w:bookmarkStart w:id="2469" w:name="__RefHeading___Toc607190_1934241801"/>
      <w:bookmarkStart w:id="2470" w:name="_Toc1139"/>
      <w:bookmarkEnd w:id="2468"/>
      <w:bookmarkEnd w:id="2469"/>
      <w:r>
        <w:rPr>
          <w:rtl w:val="true"/>
        </w:rPr>
        <w:t>«</w:t>
      </w:r>
      <w:r>
        <w:rPr/>
        <w:t>4</w:t>
      </w:r>
      <w:r>
        <w:rPr>
          <w:rtl w:val="true"/>
        </w:rPr>
        <w:t>»</w:t>
      </w:r>
      <w:bookmarkEnd w:id="2470"/>
    </w:p>
    <w:p>
      <w:pPr>
        <w:pStyle w:val="BookText"/>
        <w:rPr/>
      </w:pPr>
      <w:r>
        <w:rPr>
          <w:rFonts w:ascii="Amiri" w:hAnsi="Amiri" w:eastAsia="Amiri" w:cs="Amiri"/>
          <w:color w:val="111111"/>
          <w:sz w:val="28"/>
          <w:sz w:val="28"/>
          <w:szCs w:val="28"/>
          <w:rtl w:val="true"/>
          <w:lang w:bidi="ar-SA"/>
        </w:rPr>
        <w:t>الْخِصَالُ، عَنْ أَبِيهِ عَنْ سَعْدٍ عَنِ الْيَقْطِينِيِّ عَنْ يُونُسَ عَنْ إِسْمَاعِيلَ بْنِ عَبْدِ الْخَالِقِ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يُنْتَظَرُ بِهِمْ إِلَّا أَنْ يَتَغَيَّرُوا الْغَرِيقُ وَ الْمَصْعُوقُ وَ الْمَبْطُونُ وَ الْمَهْدُومُ وَ الْمُدَخَّنُ‌</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02"/>
      </w:r>
    </w:p>
    <w:p>
      <w:pPr>
        <w:pStyle w:val="Heading5"/>
        <w:numPr>
          <w:ilvl w:val="4"/>
          <w:numId w:val="1"/>
        </w:numPr>
        <w:rPr/>
      </w:pPr>
      <w:bookmarkStart w:id="2471" w:name="__RefHeading___Toc607192_1934241801"/>
      <w:bookmarkStart w:id="2472" w:name="_Toc1140"/>
      <w:bookmarkEnd w:id="2471"/>
      <w:r>
        <w:rPr>
          <w:rtl w:val="true"/>
        </w:rPr>
        <w:t>بيان</w:t>
      </w:r>
      <w:bookmarkEnd w:id="2472"/>
    </w:p>
    <w:p>
      <w:pPr>
        <w:pStyle w:val="BookText"/>
        <w:rPr/>
      </w:pPr>
      <w:r>
        <w:rPr>
          <w:rFonts w:ascii="Amiri" w:hAnsi="Amiri" w:eastAsia="Amiri" w:cs="Amiri"/>
          <w:color w:val="111111"/>
          <w:sz w:val="28"/>
          <w:sz w:val="28"/>
          <w:szCs w:val="28"/>
          <w:rtl w:val="true"/>
          <w:lang w:bidi="ar-SA"/>
        </w:rPr>
        <w:t>لا خلاف في استحباب تعجيل تجهيز الميت و دفنه إلا مع الاشتباه فينظر به إلي أن يتحقق موته و ما ورد في بعض الأخبار من تحديد التربص باليومين و الثلاثة فهو مبني علي الغالب من حصول العلم بعد ذلك و كذا التغيير الوارد في هذا الخبر إذ يمكن حصول العلم بدون هذه الأمور و إن كان الأحوط عدم الدفن قبل التغير و حكم في الذكري بوجوب التربص ثلاثا إلا أن يعلم حاله قبل ذلك</w:t>
      </w:r>
      <w:r>
        <w:rPr>
          <w:rFonts w:eastAsia="Amiri" w:cs="Amiri" w:ascii="Amiri" w:hAnsi="Amiri"/>
          <w:color w:val="111111"/>
          <w:sz w:val="28"/>
          <w:szCs w:val="28"/>
          <w:rtl w:val="true"/>
          <w:lang w:bidi="ar-SA"/>
        </w:rPr>
        <w:t>.</w:t>
      </w:r>
    </w:p>
    <w:p>
      <w:pPr>
        <w:pStyle w:val="Heading5"/>
        <w:numPr>
          <w:ilvl w:val="4"/>
          <w:numId w:val="1"/>
        </w:numPr>
        <w:rPr/>
      </w:pPr>
      <w:bookmarkStart w:id="2473" w:name="__RefHeading___Toc607194_1934241801"/>
      <w:bookmarkStart w:id="2474" w:name="_Toc1141"/>
      <w:bookmarkEnd w:id="2473"/>
      <w:r>
        <w:rPr>
          <w:rtl w:val="true"/>
        </w:rPr>
        <w:t>«</w:t>
      </w:r>
      <w:r>
        <w:rPr/>
        <w:t>5</w:t>
      </w:r>
      <w:r>
        <w:rPr>
          <w:rtl w:val="true"/>
        </w:rPr>
        <w:t>»</w:t>
      </w:r>
      <w:bookmarkEnd w:id="2474"/>
    </w:p>
    <w:p>
      <w:pPr>
        <w:pStyle w:val="BookText"/>
        <w:rPr/>
      </w:pPr>
      <w:r>
        <w:rPr>
          <w:rFonts w:ascii="Amiri" w:hAnsi="Amiri" w:eastAsia="Amiri" w:cs="Amiri"/>
          <w:color w:val="111111"/>
          <w:sz w:val="28"/>
          <w:sz w:val="28"/>
          <w:szCs w:val="28"/>
          <w:rtl w:val="true"/>
          <w:lang w:bidi="ar-SA"/>
        </w:rPr>
        <w:t>الْعِلَلُ، عَنْ مُحَمَّدِ بْنِ مُوسَي بْنِ الْمُتَوَكِّلِ عَنْ عَبْدِ اللَّهِ بْنِ جَعْفَرٍ عَنْ أَحْمَدَ بْنِ مُحَمَّدٍ عَنِ الْحَسَنِ بْنِ مَحْبُوبٍ عَنْ أَبِي وَلَّادٍ وَ ابْنِ سِنَانٍ جَمِيعاً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لِأَوْلِيَاءِ الْمَيِّتِ مِنْكُمْ أَنْ يُؤْذِنُوا إِخْوَانَ الْمَيِّتِ بِمَوْتِهِ فَيَشْهَدُونَ جَنَازَتَهُ وَ يُصَلُّونَ عَلَيْهِ وَ يَسْتَغْفِرُونَ لَهُ فَيَكْسِبُ لَهُمُ الْأَجْرَ وَ يَكْسِبُ لِمَيِّتِهِ الِاسْتِغْفَارَ وَ يَكْسِبُ هُوَ الْأَجْرَ فِيهِمْ وَ فِيمَا اكْتَسَبَ لِمَيِّتِهِ مِنَ الِاسْتِغْفَارِ</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السرائر، نقلا من كتاب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الراوندي،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Heading5"/>
        <w:numPr>
          <w:ilvl w:val="4"/>
          <w:numId w:val="1"/>
        </w:numPr>
        <w:rPr/>
      </w:pPr>
      <w:bookmarkStart w:id="2475" w:name="__RefHeading___Toc607196_1934241801"/>
      <w:bookmarkStart w:id="2476" w:name="_Toc1142"/>
      <w:bookmarkEnd w:id="2475"/>
      <w:r>
        <w:rPr>
          <w:rtl w:val="true"/>
        </w:rPr>
        <w:t>بيان</w:t>
      </w:r>
      <w:bookmarkEnd w:id="2476"/>
    </w:p>
    <w:p>
      <w:pPr>
        <w:pStyle w:val="BookText"/>
        <w:rPr/>
      </w:pPr>
      <w:r>
        <w:rPr>
          <w:rFonts w:ascii="Amiri" w:hAnsi="Amiri" w:eastAsia="Amiri" w:cs="Amiri"/>
          <w:color w:val="111111"/>
          <w:sz w:val="28"/>
          <w:sz w:val="28"/>
          <w:szCs w:val="28"/>
          <w:rtl w:val="true"/>
          <w:lang w:bidi="ar-SA"/>
        </w:rPr>
        <w:t>المشهور استحباب إيذان إخوانه بموته و قال الشيخ في الخلاف لا نص في النداء و في المعتبر و التذكرة لا بأس به و قال الجعفي يكره النعي إلا</w:t>
      </w:r>
    </w:p>
    <w:p>
      <w:pPr>
        <w:pStyle w:val="Heading5"/>
        <w:numPr>
          <w:ilvl w:val="4"/>
          <w:numId w:val="1"/>
        </w:numPr>
        <w:rPr/>
      </w:pPr>
      <w:bookmarkStart w:id="2477" w:name="__RefHeading___Toc607198_1934241801"/>
      <w:bookmarkStart w:id="2478" w:name="_Toc1143"/>
      <w:bookmarkEnd w:id="2477"/>
      <w:r>
        <w:rPr>
          <w:rtl w:val="true"/>
        </w:rPr>
        <w:t xml:space="preserve">روایت </w:t>
      </w:r>
      <w:r>
        <w:rPr/>
        <w:t>4</w:t>
      </w:r>
      <w:bookmarkEnd w:id="2478"/>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گروه منتظر گذاشته شده و سریع به خاک سپرده نمی شوند مگر اینکه بیم تغییر جسد آن ها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آب غرق شود، کسی که بر اثر اصابت صاعقه مرده باشد، کسی که بر اثر درد شکم فوت کرده باشد، کسی که بر اثر خراب شدن آوار بر سر او فوت کرده باشد، و کسی که بر اثر درد و گرفتگی از دنیا رفته باشد</w:t>
      </w:r>
      <w:r>
        <w:rPr>
          <w:rFonts w:eastAsia="IRNazanin" w:cs="IRNazanin"/>
          <w:color w:val="111111"/>
          <w:sz w:val="28"/>
          <w:szCs w:val="28"/>
          <w:rtl w:val="true"/>
          <w:lang w:bidi="fa-IR"/>
        </w:rPr>
        <w:t>.</w:t>
      </w:r>
      <w:r>
        <w:rPr>
          <w:rStyle w:val="FootnoteAnchor"/>
          <w:rtl w:val="true"/>
        </w:rPr>
        <w:footnoteReference w:id="1205"/>
      </w:r>
    </w:p>
    <w:p>
      <w:p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به صورت مرسل روایت شده است</w:t>
      </w:r>
      <w:r>
        <w:rPr>
          <w:rFonts w:eastAsia="IRNazanin" w:cs="IRNazanin"/>
          <w:color w:val="111111"/>
          <w:sz w:val="28"/>
          <w:szCs w:val="28"/>
          <w:rtl w:val="true"/>
          <w:lang w:bidi="fa-IR"/>
        </w:rPr>
        <w:t>.</w:t>
      </w:r>
      <w:r>
        <w:rPr>
          <w:rStyle w:val="FootnoteAnchor"/>
          <w:rtl w:val="true"/>
        </w:rPr>
        <w:footnoteReference w:id="1206"/>
      </w:r>
    </w:p>
    <w:p>
      <w:pPr>
        <w:pStyle w:val="Heading5"/>
        <w:numPr>
          <w:ilvl w:val="4"/>
          <w:numId w:val="1"/>
        </w:numPr>
        <w:rPr/>
      </w:pPr>
      <w:bookmarkStart w:id="2479" w:name="__RefHeading___Toc607200_1934241801"/>
      <w:bookmarkStart w:id="2480" w:name="_Toc1144"/>
      <w:bookmarkEnd w:id="2479"/>
      <w:r>
        <w:rPr>
          <w:rtl w:val="true"/>
        </w:rPr>
        <w:t>توضیح</w:t>
      </w:r>
      <w:bookmarkEnd w:id="2480"/>
    </w:p>
    <w:p>
      <w:pPr>
        <w:pStyle w:val="BookText"/>
        <w:rPr/>
      </w:pPr>
      <w:r>
        <w:rPr>
          <w:rFonts w:ascii="IRNazanin" w:hAnsi="IRNazanin" w:eastAsia="IRNazanin"/>
          <w:color w:val="111111"/>
          <w:sz w:val="28"/>
          <w:sz w:val="28"/>
          <w:szCs w:val="28"/>
          <w:rtl w:val="true"/>
          <w:lang w:bidi="fa-IR"/>
        </w:rPr>
        <w:t>اختلافی بر سر مستحبّ بودن تعجیل در آماده سازی میّت و به خاک سپردن او وجود ندارد، مگر اینکه شبه  ای روی دهد، که در این صورت منتظر گذاشته می شود تا مرگش محقق شود، و آنچه در برخی از احادیث در مورد مشخص کردن زمان انتظار به مدّت دو یا سه روز ذکر شده است غالباً مبنی بر حصول علم بعد از آن است، همچنین تغییرِ ذکر شده در این حدیث نیز چنین است، چه که امکان حصول علم بدون وجود این امور امکان پذیر است، اگرچه شرط احتیاط عدم دفن قبل از تغییر یافتن است، و شهید در الذکری حُکم وجوب انتظار به مدت سه روز را صادر کرده است، مگر در صورتی که وضعیت میّت قبل از آن روشن شود</w:t>
      </w:r>
      <w:r>
        <w:rPr>
          <w:rFonts w:eastAsia="IRNazanin" w:cs="IRNazanin"/>
          <w:color w:val="111111"/>
          <w:sz w:val="28"/>
          <w:szCs w:val="28"/>
          <w:rtl w:val="true"/>
          <w:lang w:bidi="fa-IR"/>
        </w:rPr>
        <w:t>.</w:t>
      </w:r>
    </w:p>
    <w:p>
      <w:pPr>
        <w:pStyle w:val="Heading5"/>
        <w:numPr>
          <w:ilvl w:val="4"/>
          <w:numId w:val="1"/>
        </w:numPr>
        <w:rPr/>
      </w:pPr>
      <w:bookmarkStart w:id="2481" w:name="__RefHeading___Toc607202_1934241801"/>
      <w:bookmarkStart w:id="2482" w:name="_Toc1145"/>
      <w:bookmarkEnd w:id="2481"/>
      <w:r>
        <w:rPr>
          <w:rtl w:val="true"/>
        </w:rPr>
        <w:t xml:space="preserve">روایت </w:t>
      </w:r>
      <w:r>
        <w:rPr/>
        <w:t>5</w:t>
      </w:r>
      <w:bookmarkEnd w:id="2482"/>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که اولیای مردگان شما، برادرانشان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دینی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مرگ او آگاه کنند، تا در مراسم تشییع جنازه اش شرکت کرده و بر او نماز بگزارند و برای او طلب مغفرت کنند، تا برای آنان اسباب جلب پاداش الهی و برای میت، اسباب استغفار فراهم گردد و همچنین اولیای میت به خاطر رساندن اجر به آنان و برای به دست آوردن استغفار برای مرده خود، اجر ببرند</w:t>
      </w:r>
      <w:r>
        <w:rPr>
          <w:rFonts w:eastAsia="IRNazanin" w:cs="IRNazanin"/>
          <w:color w:val="111111"/>
          <w:sz w:val="28"/>
          <w:szCs w:val="28"/>
          <w:rtl w:val="true"/>
          <w:lang w:bidi="fa-IR"/>
        </w:rPr>
        <w:t>.</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به نقل از کتاب ابن محبوب روایت شده است</w:t>
      </w:r>
      <w:r>
        <w:rPr>
          <w:rFonts w:eastAsia="IRNazanin" w:cs="IRNazanin"/>
          <w:color w:val="111111"/>
          <w:sz w:val="28"/>
          <w:szCs w:val="28"/>
          <w:rtl w:val="true"/>
          <w:lang w:bidi="fa-IR"/>
        </w:rPr>
        <w:t>.</w:t>
      </w:r>
      <w:r>
        <w:rPr>
          <w:rStyle w:val="FootnoteAnchor"/>
          <w:rtl w:val="true"/>
        </w:rPr>
        <w:footnoteReference w:id="1208"/>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از امام صادق علیه السلام روایت شده است</w:t>
      </w:r>
      <w:r>
        <w:rPr>
          <w:rFonts w:eastAsia="IRNazanin" w:cs="IRNazanin"/>
          <w:color w:val="111111"/>
          <w:sz w:val="28"/>
          <w:szCs w:val="28"/>
          <w:rtl w:val="true"/>
          <w:lang w:bidi="fa-IR"/>
        </w:rPr>
        <w:t>.</w:t>
      </w:r>
    </w:p>
    <w:p>
      <w:pPr>
        <w:pStyle w:val="Heading5"/>
        <w:numPr>
          <w:ilvl w:val="4"/>
          <w:numId w:val="1"/>
        </w:numPr>
        <w:rPr/>
      </w:pPr>
      <w:bookmarkStart w:id="2483" w:name="__RefHeading___Toc607204_1934241801"/>
      <w:bookmarkStart w:id="2484" w:name="_Toc1146"/>
      <w:bookmarkEnd w:id="2483"/>
      <w:r>
        <w:rPr>
          <w:rtl w:val="true"/>
        </w:rPr>
        <w:t>توضیح</w:t>
      </w:r>
      <w:bookmarkEnd w:id="248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مشهور استحبابِ باخبر ساختن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از مرگ او می باشد، ولی شیخ در الخلاف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نصّی در مورد خبر کردن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وجود ندارد؛ و در المعتبر و التذکرة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ایراد و اشکالی ندارد؛ و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 از مرگ میّت کراهت دارد، </w:t>
      </w:r>
      <w:bookmarkStart w:id="2485" w:name="pg13517_329280"/>
    </w:p>
    <w:p>
      <w:pPr>
        <w:pStyle w:val="BookText"/>
        <w:rPr/>
      </w:pPr>
      <w:bookmarkEnd w:id="2485"/>
      <w:r>
        <w:rPr>
          <w:rFonts w:ascii="Amiri" w:hAnsi="Amiri" w:eastAsia="Amiri" w:cs="Amiri"/>
          <w:color w:val="111111"/>
          <w:sz w:val="28"/>
          <w:sz w:val="28"/>
          <w:szCs w:val="28"/>
          <w:rtl w:val="true"/>
          <w:lang w:bidi="ar-SA"/>
        </w:rPr>
        <w:t>أن يرسل صاحب المصيبة إلي من يختص به</w:t>
      </w:r>
      <w:r>
        <w:rPr>
          <w:rFonts w:eastAsia="Amiri" w:cs="Amiri" w:ascii="Amiri" w:hAnsi="Amiri"/>
          <w:color w:val="111111"/>
          <w:sz w:val="28"/>
          <w:szCs w:val="28"/>
          <w:rtl w:val="true"/>
          <w:lang w:bidi="ar-SA"/>
        </w:rPr>
        <w:t>.</w:t>
      </w:r>
    </w:p>
    <w:p>
      <w:pPr>
        <w:pStyle w:val="Heading5"/>
        <w:numPr>
          <w:ilvl w:val="4"/>
          <w:numId w:val="1"/>
        </w:numPr>
        <w:rPr/>
      </w:pPr>
      <w:bookmarkStart w:id="2486" w:name="__RefHeading___Toc607206_1934241801"/>
      <w:bookmarkStart w:id="2487" w:name="_Toc1147"/>
      <w:bookmarkEnd w:id="2486"/>
      <w:r>
        <w:rPr>
          <w:rtl w:val="true"/>
        </w:rPr>
        <w:t>«</w:t>
      </w:r>
      <w:r>
        <w:rPr/>
        <w:t>6</w:t>
      </w:r>
      <w:r>
        <w:rPr>
          <w:rtl w:val="true"/>
        </w:rPr>
        <w:t>»</w:t>
      </w:r>
      <w:bookmarkEnd w:id="2487"/>
    </w:p>
    <w:p>
      <w:pPr>
        <w:pStyle w:val="BookText"/>
        <w:rPr/>
      </w:pPr>
      <w:r>
        <w:rPr>
          <w:rFonts w:ascii="Amiri" w:hAnsi="Amiri" w:eastAsia="Amiri" w:cs="Amiri"/>
          <w:color w:val="111111"/>
          <w:sz w:val="28"/>
          <w:sz w:val="28"/>
          <w:szCs w:val="28"/>
          <w:rtl w:val="true"/>
          <w:lang w:bidi="ar-SA"/>
        </w:rPr>
        <w:t>الْعِلَلُ، عَنْ مُحَمَّدِ بْنِ مُوسَي عَنْ عَلِيِّ بْنِ الْحُسَيْنِ السَّعْدَآبَادِيِّ عَنْ أَحْمَدَ بْنِ أَبِي عَبْدِ اللَّهِ عَنِ ابْنِ مَحْبُوبٍ عَنِ ابْنِ سَيَابَةَ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تَكْتُمُوا مَوْتَ مَيِّتٍ مِنَ الْمُؤْمِنِينَ مَاتَ فِي غَيْبَتِهِ لِتَعْتَدَّ زَوْجَتُهُ وَ يُقْسَمَ مِيرَاثُهُ‌</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8" w:name="__RefHeading___Toc607208_1934241801"/>
      <w:bookmarkStart w:id="2489" w:name="_Toc1148"/>
      <w:bookmarkEnd w:id="2488"/>
      <w:r>
        <w:rPr>
          <w:rtl w:val="true"/>
        </w:rPr>
        <w:t>«</w:t>
      </w:r>
      <w:r>
        <w:rPr/>
        <w:t>7</w:t>
      </w:r>
      <w:r>
        <w:rPr>
          <w:rtl w:val="true"/>
        </w:rPr>
        <w:t>»</w:t>
      </w:r>
      <w:bookmarkEnd w:id="2489"/>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الْمَيِّتُ مَصْعُوقاً أَوْ غَرِيقاً أَوْ مُدَخَّناً صَبَرْتَ عَلَيْهِ ثَلَاثَةَ أَيَّامٍ إِلَّا أَنْ يَتَغَيَّرَ قَبْلَ ذَلِكَ فَإِنْ تَغَيَّرَ غَسَّلْتَ وَ حَنَّطْتَ وَ دَفَنْتَ‌</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يَرْحَمُكَ اللَّهُ أَنَّ تَجْهِيزَ الْمَيِّتِ فَرْضٌ وَاجِبٌ عَلَي الْحَيِّ عُودُوا مَرْضَاكُمْ وَ شَيِّعُوا جَنَازَةَ مَوْتَاكُمْ فَإِنَّهَا مِنْ خِصَالِ الْإِيمَانِ وَ سُنَّةِ نَبِيِّكُمْ تُؤْجَرُونَ عَلَي ذَلِكَ ثَوَاباً و عَظِيماً</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جُعِلَ لَهُ النَّعْشُ فَاطِمَةُ ابْنَةُ رَسُولِ اللَّهِ صَلَوَاتُ اللَّهِ عَلَيْهَا وَ عَلَي أَبِيهَا وَ بَعْلِهَا وَ بَنِيهَا</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0" w:name="__RefHeading___Toc607210_1934241801"/>
      <w:bookmarkStart w:id="2491" w:name="_Toc1149"/>
      <w:bookmarkEnd w:id="2490"/>
      <w:r>
        <w:rPr>
          <w:rtl w:val="true"/>
        </w:rPr>
        <w:t>بيان</w:t>
      </w:r>
      <w:bookmarkEnd w:id="2491"/>
    </w:p>
    <w:p>
      <w:pPr>
        <w:pStyle w:val="BookText"/>
        <w:rPr/>
      </w:pPr>
      <w:r>
        <w:rPr>
          <w:rFonts w:ascii="Amiri" w:hAnsi="Amiri" w:eastAsia="Amiri" w:cs="Amiri"/>
          <w:color w:val="111111"/>
          <w:sz w:val="28"/>
          <w:sz w:val="28"/>
          <w:szCs w:val="28"/>
          <w:rtl w:val="true"/>
          <w:lang w:bidi="ar-SA"/>
        </w:rPr>
        <w:t>المشهور بين الأصحاب وجوب الأحكام المتعلقة بالميت من توجيهه إلي القبلة و تغسيله و تكفينه و الصلاة عليه و دفنه علي كل من علم بموته علي الكفاية و هل المعتبر في السقوط عن المكلفين العلم بوقوع الفعل علي الوجه الشرعي أم يكفي الظن الغالب بذلك فيه قولان أحوطهما الأول و إن كان القول بسقوطه إذا علم توجه جماعة من المسلمين إلي الإتيان بها لا سيما مع الوثوق ببعضهم لا يخلو من قوة و اكتفي بعض المتأخرين بشهادة العدلين في السقوط إذا شهدا بأن الأفعال قد وقعت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اینکه صاحب مصیبت خبر مرگ را برای کسانی که با او ارتباط دارند بفرستد</w:t>
      </w:r>
      <w:r>
        <w:rPr>
          <w:rFonts w:eastAsia="IRNazanin" w:cs="IRNazanin"/>
          <w:color w:val="111111"/>
          <w:sz w:val="28"/>
          <w:szCs w:val="28"/>
          <w:rtl w:val="true"/>
          <w:lang w:bidi="fa-IR"/>
        </w:rPr>
        <w:t>.</w:t>
      </w:r>
    </w:p>
    <w:p>
      <w:pPr>
        <w:pStyle w:val="Heading5"/>
        <w:numPr>
          <w:ilvl w:val="4"/>
          <w:numId w:val="1"/>
        </w:numPr>
        <w:rPr/>
      </w:pPr>
      <w:bookmarkStart w:id="2492" w:name="__RefHeading___Toc607212_1934241801"/>
      <w:bookmarkStart w:id="2493" w:name="_Toc1150"/>
      <w:bookmarkEnd w:id="2492"/>
      <w:r>
        <w:rPr>
          <w:rtl w:val="true"/>
        </w:rPr>
        <w:t xml:space="preserve">روایت </w:t>
      </w:r>
      <w:r>
        <w:rPr/>
        <w:t>6</w:t>
      </w:r>
      <w:bookmarkEnd w:id="2493"/>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سیابة روایت شده که از امام صادق علیه السلام شنیدم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میّتی از مؤمنان که در غیبت و دور از خاندان خویش وفات نموده است را پنهان نکنید تا همسرش عده نگه دارد و همچنین میراث او تقسیم گردد</w:t>
      </w:r>
      <w:r>
        <w:rPr>
          <w:rFonts w:eastAsia="IRNazanin" w:cs="IRNazanin"/>
          <w:color w:val="111111"/>
          <w:sz w:val="28"/>
          <w:szCs w:val="28"/>
          <w:rtl w:val="true"/>
          <w:lang w:bidi="fa-IR"/>
        </w:rPr>
        <w:t>.</w:t>
      </w:r>
      <w:r>
        <w:rPr>
          <w:rStyle w:val="FootnoteAnchor"/>
          <w:rtl w:val="true"/>
        </w:rPr>
        <w:footnoteReference w:id="1213"/>
      </w:r>
    </w:p>
    <w:p>
      <w:pPr>
        <w:pStyle w:val="Heading5"/>
        <w:numPr>
          <w:ilvl w:val="4"/>
          <w:numId w:val="1"/>
        </w:numPr>
        <w:rPr/>
      </w:pPr>
      <w:bookmarkStart w:id="2494" w:name="__RefHeading___Toc607214_1934241801"/>
      <w:bookmarkStart w:id="2495" w:name="_Toc1151"/>
      <w:bookmarkEnd w:id="2494"/>
      <w:r>
        <w:rPr>
          <w:rtl w:val="true"/>
        </w:rPr>
        <w:t xml:space="preserve">روایت </w:t>
      </w:r>
      <w:r>
        <w:rPr/>
        <w:t>7</w:t>
      </w:r>
      <w:bookmarkEnd w:id="2495"/>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 به صورت ناگهانی یا بر اثر غرق شدن و یا خفگی در دود وفات کرده باشد، سه روز بر او صبر کنید مگر اینکه جسد او قبل از آن تغییر کند، پس اگر تغییر کرد او را غسل داده و حنوط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کافور اندود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به خاک بسپارید</w:t>
      </w:r>
      <w:r>
        <w:rPr>
          <w:rFonts w:eastAsia="IRNazanin" w:cs="IRNazanin"/>
          <w:color w:val="111111"/>
          <w:sz w:val="28"/>
          <w:szCs w:val="28"/>
          <w:rtl w:val="true"/>
          <w:lang w:bidi="fa-IR"/>
        </w:rPr>
        <w:t>.</w:t>
      </w:r>
      <w:r>
        <w:rPr>
          <w:rStyle w:val="FootnoteAnchor"/>
          <w:rtl w:val="true"/>
        </w:rPr>
        <w:footnoteReference w:id="1214"/>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ببخشاید، آگاه باش که آماده ساختن میّت واجبی است که بر دوش زندگان قرار دارد، از بیماران خویش عیادت و در تشییع جنازه مردگان شرکت کنید، که این دو امر از جمله خصلت های ایمان و سنّت های پیامبرتان است و به خاطر انجام آن ها ثواب بزرگی را کسب خواهید کرد</w:t>
      </w:r>
      <w:r>
        <w:rPr>
          <w:rFonts w:eastAsia="IRNazanin" w:cs="IRNazanin"/>
          <w:color w:val="111111"/>
          <w:sz w:val="28"/>
          <w:szCs w:val="28"/>
          <w:rtl w:val="true"/>
          <w:lang w:bidi="fa-IR"/>
        </w:rPr>
        <w:t>.</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جسدش در تابوت قرار داده شد، فاطمه دختر رسول خدا بود که درود خدا بر پدر، شوهر و فرزندان او باد</w:t>
      </w:r>
      <w:r>
        <w:rPr>
          <w:rFonts w:eastAsia="IRNazanin" w:cs="IRNazanin"/>
          <w:color w:val="111111"/>
          <w:sz w:val="28"/>
          <w:szCs w:val="28"/>
          <w:rtl w:val="true"/>
          <w:lang w:bidi="fa-IR"/>
        </w:rPr>
        <w:t>.</w:t>
      </w:r>
      <w:r>
        <w:rPr>
          <w:rStyle w:val="FootnoteAnchor"/>
          <w:rtl w:val="true"/>
        </w:rPr>
        <w:footnoteReference w:id="1216"/>
      </w:r>
    </w:p>
    <w:p>
      <w:pPr>
        <w:pStyle w:val="Heading5"/>
        <w:numPr>
          <w:ilvl w:val="4"/>
          <w:numId w:val="1"/>
        </w:numPr>
        <w:rPr/>
      </w:pPr>
      <w:bookmarkStart w:id="2496" w:name="__RefHeading___Toc607216_1934241801"/>
      <w:bookmarkStart w:id="2497" w:name="_Toc1152"/>
      <w:bookmarkEnd w:id="2496"/>
      <w:r>
        <w:rPr>
          <w:rtl w:val="true"/>
        </w:rPr>
        <w:t>توضیح</w:t>
      </w:r>
      <w:bookmarkEnd w:id="249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مشهور در میان فقها واجب بودن ِکفایی احکام متعلّق به میت می باشد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میّت رو به قبله، غسل دادن، کفن کردن و نماز گزاردن بر او همچنین به خاک سپردن او توسط کسانی که از مرگش آگاه گشته اند، ولی در مورد اینکه آیا ساقط شدن آن از گردن سایر مکلّفین به حصول یقین از انجام اعمال مربوط به میّت به صورت شرعی است و یا ظنّ غالب در این زمینه کفایت می کند دو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نخست به احتیاط نزدیک تر است، اگرچه قائل بودن به سقوط احکام در صورتی که یقین حاصل شود گروهی از مسلمانان به انجام اعمال متعلّق به میّت مبادرت می ورزند، خالی از قوّت نیست، مخصوصاً اگر عدّه ای از آنان قابل اطمینان باشند، امّا گروهی از متأخرین بر این باورند که اگر دو شاهد عادل شهادت دهند که افعال متعّلق به میّت انجام گرفته است، انجام آن ها از گردن سایر مکلّفین ساقط می گردد</w:t>
      </w:r>
      <w:r>
        <w:rPr>
          <w:rFonts w:eastAsia="IRNazanin" w:cs="IRNazanin"/>
          <w:color w:val="111111"/>
          <w:sz w:val="28"/>
          <w:szCs w:val="28"/>
          <w:rtl w:val="true"/>
          <w:lang w:bidi="fa-IR"/>
        </w:rPr>
        <w:t xml:space="preserve">. </w:t>
      </w:r>
      <w:bookmarkStart w:id="2498" w:name="pg13517_329281"/>
    </w:p>
    <w:p>
      <w:pPr>
        <w:pStyle w:val="Heading5"/>
        <w:numPr>
          <w:ilvl w:val="4"/>
          <w:numId w:val="1"/>
        </w:numPr>
        <w:rPr/>
      </w:pPr>
      <w:bookmarkStart w:id="2499" w:name="__RefHeading___Toc607218_1934241801"/>
      <w:bookmarkStart w:id="2500" w:name="_Toc1153"/>
      <w:bookmarkEnd w:id="2498"/>
      <w:bookmarkEnd w:id="2499"/>
      <w:r>
        <w:rPr>
          <w:rtl w:val="true"/>
        </w:rPr>
        <w:t>«</w:t>
      </w:r>
      <w:r>
        <w:rPr/>
        <w:t>8</w:t>
      </w:r>
      <w:r>
        <w:rPr>
          <w:rtl w:val="true"/>
        </w:rPr>
        <w:t>»</w:t>
      </w:r>
      <w:bookmarkEnd w:id="2500"/>
    </w:p>
    <w:p>
      <w:pPr>
        <w:pStyle w:val="BookText"/>
        <w:rPr/>
      </w:pPr>
      <w:r>
        <w:rPr>
          <w:rFonts w:ascii="Amiri" w:hAnsi="Amiri" w:eastAsia="Amiri" w:cs="Amiri"/>
          <w:color w:val="111111"/>
          <w:sz w:val="28"/>
          <w:sz w:val="28"/>
          <w:szCs w:val="28"/>
          <w:rtl w:val="true"/>
          <w:lang w:bidi="ar-SA"/>
        </w:rPr>
        <w:t>الْعِلَلُ، عَنْ عَلِيِّ بْنِ أَحْمَدَ بْنِ مُحَمَّدٍ عَنْ مُحَمَّدِ بْنِ أَبِي عَبْدِ اللَّهِ عَنْ مُوسَي بْنِ عِمْرَانَ عَنْ عَمِّهِ الْحُسَيْنِ بْنِ يَزِيدَ عَنِ الْحَسَنِ بْنِ عَلِيِّ بْنِ أَبِي حَمْزَةَ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لِأَيِّ عِلَّةٍ دُفِنَتْ فَاطِمَةُ بِاللَّيْلِ وَ لَمْ تُدْفَنْ بِالنَّهَارِ قَالَ لِأَنَّهَا أَوْصَتْ أَنْ لَا يُصَلِّيَ عَلَيْهَا رِجَالٌ‌</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1" w:name="__RefHeading___Toc607220_1934241801"/>
      <w:bookmarkStart w:id="2502" w:name="_Toc1154"/>
      <w:bookmarkEnd w:id="2501"/>
      <w:r>
        <w:rPr>
          <w:rtl w:val="true"/>
        </w:rPr>
        <w:t>بيان</w:t>
      </w:r>
      <w:bookmarkEnd w:id="2502"/>
    </w:p>
    <w:p>
      <w:pPr>
        <w:pStyle w:val="BookText"/>
        <w:rPr/>
      </w:pPr>
      <w:r>
        <w:rPr>
          <w:rFonts w:ascii="Amiri" w:hAnsi="Amiri" w:eastAsia="Amiri" w:cs="Amiri"/>
          <w:color w:val="111111"/>
          <w:sz w:val="28"/>
          <w:sz w:val="28"/>
          <w:szCs w:val="28"/>
          <w:rtl w:val="true"/>
          <w:lang w:bidi="ar-SA"/>
        </w:rPr>
        <w:t>المراد بالرجال أبو بكر و عمر و أتباعهما لكونهم قاتليها صلوات الله عليها و لعنة الله علي من ظلمها كما مر مفصلا في كتاب الفتن و في بعض النسخ مكان الرجال الرجلان الأعرابيان و في بعضها الأعرابيان فقط</w:t>
      </w:r>
      <w:r>
        <w:rPr>
          <w:rFonts w:eastAsia="Amiri" w:cs="Amiri" w:ascii="Amiri" w:hAnsi="Amiri"/>
          <w:color w:val="111111"/>
          <w:sz w:val="28"/>
          <w:szCs w:val="28"/>
          <w:rtl w:val="true"/>
          <w:lang w:bidi="ar-SA"/>
        </w:rPr>
        <w:t>.</w:t>
      </w:r>
    </w:p>
    <w:p>
      <w:pPr>
        <w:pStyle w:val="Heading5"/>
        <w:numPr>
          <w:ilvl w:val="4"/>
          <w:numId w:val="1"/>
        </w:numPr>
        <w:rPr/>
      </w:pPr>
      <w:bookmarkStart w:id="2503" w:name="__RefHeading___Toc607222_1934241801"/>
      <w:bookmarkStart w:id="2504" w:name="_Toc1155"/>
      <w:bookmarkEnd w:id="2503"/>
      <w:r>
        <w:rPr>
          <w:rtl w:val="true"/>
        </w:rPr>
        <w:t>«</w:t>
      </w:r>
      <w:r>
        <w:rPr/>
        <w:t>9</w:t>
      </w:r>
      <w:r>
        <w:rPr>
          <w:rtl w:val="true"/>
        </w:rPr>
        <w:t>»</w:t>
      </w:r>
      <w:bookmarkEnd w:id="2504"/>
    </w:p>
    <w:p>
      <w:pPr>
        <w:pStyle w:val="BookText"/>
        <w:rPr/>
      </w:pPr>
      <w:r>
        <w:rPr>
          <w:rFonts w:ascii="Amiri" w:hAnsi="Amiri" w:eastAsia="Amiri" w:cs="Amiri"/>
          <w:color w:val="111111"/>
          <w:sz w:val="28"/>
          <w:sz w:val="28"/>
          <w:szCs w:val="28"/>
          <w:rtl w:val="true"/>
          <w:lang w:bidi="ar-SA"/>
        </w:rPr>
        <w:t>كَشْفُ الْغُمَّةِ،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فَاطِمَةُ عليها السلام مَرَضاً شَدِيداً فَقَالَتْ لِأَسْمَاءَ بِنْتِ عُمَيْسٍ أَ لَا تَرَيْنَ إِلَي مَا بَلَغْتُ‌</w:t>
      </w:r>
      <w:r>
        <w:rPr>
          <w:rStyle w:val="FootnoteAnchor"/>
          <w:rtl w:val="true"/>
        </w:rPr>
        <w:footnoteReference w:id="1218"/>
      </w:r>
      <w:r>
        <w:rPr>
          <w:rFonts w:ascii="Amiri" w:hAnsi="Amiri" w:eastAsia="Amiri" w:cs="Amiri"/>
          <w:color w:val="111111"/>
          <w:sz w:val="28"/>
          <w:sz w:val="28"/>
          <w:szCs w:val="28"/>
          <w:rtl w:val="true"/>
          <w:lang w:bidi="ar-SA"/>
        </w:rPr>
        <w:t>فَلَا تَحْمِلِينِي عَلَي سَرِيرٍ ظَاهِرٍ فَقَالَتْ لَا لَعَمْرِي وَ لَكِنْ أَصْنَعُ نَعْشاً كَمَا رَأَيْتُ يُصْنَعُ بِالْحَبَشَةِ فَقَالَتْ أَرِينِيهِ فَأَرْسَلْتُ إِلَي جَرَائِدَ رَطْبَةٍ فَقُطِّعَتْ مِنَ الْأَسْوَاقِ ثُمَّ جَعَلْتُ عَلَي السَّرِيرِ نَعْشاً وَ هُوَ أَوَّلُ مَا كَانَ النَّعْشُ فَتَبَسَّمَتْ وَ مَا رَأَيْتُهَا مُتَبَسِّمَةً إِلَّا يَوْمَئِذٍ حَمَلْنَاهَا فَدَفَنَّاهَا لَيْلًا</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5" w:name="__RefHeading___Toc607224_1934241801"/>
      <w:bookmarkStart w:id="2506" w:name="_Toc1156"/>
      <w:bookmarkEnd w:id="2505"/>
      <w:r>
        <w:rPr>
          <w:rtl w:val="true"/>
        </w:rPr>
        <w:t>«</w:t>
      </w:r>
      <w:r>
        <w:rPr/>
        <w:t>10</w:t>
      </w:r>
      <w:r>
        <w:rPr>
          <w:rtl w:val="true"/>
        </w:rPr>
        <w:t>»</w:t>
      </w:r>
      <w:bookmarkEnd w:id="2506"/>
    </w:p>
    <w:p>
      <w:pPr>
        <w:pStyle w:val="BookText"/>
        <w:rPr/>
      </w:pPr>
      <w:r>
        <w:rPr>
          <w:rFonts w:ascii="Amiri" w:hAnsi="Amiri" w:eastAsia="Amiri" w:cs="Amiri"/>
          <w:color w:val="111111"/>
          <w:sz w:val="28"/>
          <w:sz w:val="28"/>
          <w:szCs w:val="28"/>
          <w:rtl w:val="true"/>
          <w:lang w:bidi="ar-SA"/>
        </w:rPr>
        <w:t>وَ مِنْهُ، عَنْ أَسْمَاءَ بِنْتِ عُمَيْسٍ‌</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بل لم تكن ليأذن عليّ عليه السلام أن تحضر أسماء في بيته و هي أجنبية منه، لحرمة الاجتماع معها في بيت واحد، كيف بالخلوة معها لتعاونه في غسل السيّدة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لو لم يكن أسماء أجنبية منه عليه السلام لكان يحرم عليها الخروج من بيت زوجها أبي بكر و الدخول الي بيت فاطمة و المبيت فيه الا باذن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أبو بكر هو الذي أمر أسماء أو أذن لها بذلك لكفي به فخرا و شرفا و مكانة له من آل الرسول صلي الله عليه و آله بل و منة عليهم حديث أخدمهم زوجته المرضعة فأجاز لها أن تدع بيته و تدع ولده الرضيع فتدخل الي بيت فاطمة تمرضها و تخدمها و تؤنسها و تصنع لها النعش سترا لجسدها من شامتيها و شانئيها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لكان اذن أبي بكر لزوجته بذلك كالاستعتاب من السيّدة فاطمة و قبولها خدمة أسماء و الاستيناس بها بحيث توصي لها أن تلي غسلها و كفنها و دفنها كالعتبي و الرضا من زوجها أبي بكر حيث قبل هذه المنة منه، و لم تكن لترضي منه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أذنت فاطمة البتول أن تخدمها أسماء و يتوهم الناس أنّها قد رضيت من أبي بكر و طابت نفسها منه، و هي التي أوصت بأن تدفن سرا لتؤذن بذلك أنّها كانت باغضة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ما ورد في تاريخ تزويجها بعلي عليهما السلام من ذكر أسماء بنت عميس و مبيتها ليلة الزفاف في بيت عليّ عليه السلام لتلي من فاطمة ما تلي الام الشفيقة من بنتها كما وقعت في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كشف الغمّة هذا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الإسلامية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أسماء عاهدت خديجة أم السيّدة فاطمة عند وفاتها في مكّة ان بقيت الي وقت زفاف الزهراء أن تقوم مقام خديجة في هذا الامر، مع أن أسماء بنت عميس كانت من المهاجرات الي الحبشة مع زوجها جعفر بن أبي طالب قبل وفاة خديجة عليها السلام بسنين؛ و لم تعد منها حتّي عادت مع زوجها جعفر سنة ست من الهجرة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خيبر، فلم تكن في مكّة لتعاهد خديجة عليها السلام عند رحلتها و لا في المدينة حتّي تلي زفاف الزهراء 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كثر ذكر أسماء بنت عميس هذه في الروايات التي تتعلق بحياة السيّدة فاطمة، تارة عند زفافها، و أخري عند نفاسها بأولادها، و اخري عند تمريضها و تغسيلها و تعبية نعش لها يسترها عن الرائين و كلها مدعومة مزعومة من روايات القصاصين و أساطيرهم، كيف و اجماع علماء أهل البيت و شيعتهم قائم علي أنّها دفنت ليلا في بيتها خفية، بوصية منها عليها السلام أوصت الي علي بذلك و عهدت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السيّدة المظلومة المضطهدة غسلت في بيتها ليلا اختفاء من الناس و أمرائهم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بيتها بيت علي عليهما السلام متصلا بمسجد رسول اللّه صلّي اللّه عليه و آله ليس لهم باب يمرون منه الا من داخل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دفنت هناك، لئلا يتمكن الامراء من الصلاة علي قبرها فلم تكن حاجة الي النعش و لا السرير لتحمل عليها، و لا أن تشيع جنازتها بنار و مشعل أو مجمرة و غير ذلك ممّا نطقت به ألسنة القصاصين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في ذلك كتاب المزار 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زيارة فاطمة عليها السلام و موضع قبرها، و ان شئت راجع 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نجف، عيون الأخبار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الإسلامية، قرب الإسناد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حجر، معاني الأخبار 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xml:space="preserve">،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نجف، و قد صرّح الصدوق في كتبه و الشيخ في التهذيب و هكذا استظهر المؤلّف العلّامة المجلسيّ في البحار الباب المذكور آنفا أن السيّدة فاطمة مدفونة في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فَاطِمَةَ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w:t>
      </w:r>
    </w:p>
    <w:p>
      <w:pPr>
        <w:pStyle w:val="Heading5"/>
        <w:numPr>
          <w:ilvl w:val="4"/>
          <w:numId w:val="1"/>
        </w:numPr>
        <w:rPr/>
      </w:pPr>
      <w:bookmarkStart w:id="2507" w:name="__RefHeading___Toc607226_1934241801"/>
      <w:bookmarkStart w:id="2508" w:name="_Toc1157"/>
      <w:bookmarkEnd w:id="2507"/>
      <w:r>
        <w:rPr>
          <w:rtl w:val="true"/>
        </w:rPr>
        <w:t xml:space="preserve">روایت </w:t>
      </w:r>
      <w:r>
        <w:rPr/>
        <w:t>8</w:t>
      </w:r>
      <w:bookmarkEnd w:id="2508"/>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فاطمه علیها السلام در شب به خاک سپرده شد نه در روز؟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فاطمه علیها السلام سفارش فرمود که مردان بر او نماز نگزارند</w:t>
      </w:r>
      <w:r>
        <w:rPr>
          <w:rFonts w:eastAsia="IRNazanin" w:cs="IRNazanin"/>
          <w:color w:val="111111"/>
          <w:sz w:val="28"/>
          <w:szCs w:val="28"/>
          <w:rtl w:val="true"/>
          <w:lang w:bidi="fa-IR"/>
        </w:rPr>
        <w:t>.</w:t>
      </w:r>
      <w:r>
        <w:rPr>
          <w:rStyle w:val="FootnoteAnchor"/>
          <w:rtl w:val="true"/>
        </w:rPr>
        <w:footnoteReference w:id="1221"/>
      </w:r>
    </w:p>
    <w:p>
      <w:pPr>
        <w:pStyle w:val="Heading5"/>
        <w:numPr>
          <w:ilvl w:val="4"/>
          <w:numId w:val="1"/>
        </w:numPr>
        <w:rPr/>
      </w:pPr>
      <w:bookmarkStart w:id="2509" w:name="__RefHeading___Toc607228_1934241801"/>
      <w:bookmarkStart w:id="2510" w:name="_Toc1158"/>
      <w:bookmarkEnd w:id="2509"/>
      <w:r>
        <w:rPr>
          <w:rtl w:val="true"/>
        </w:rPr>
        <w:t>توضیح</w:t>
      </w:r>
      <w:bookmarkEnd w:id="2510"/>
    </w:p>
    <w:p>
      <w:pPr>
        <w:pStyle w:val="BookText"/>
        <w:rPr/>
      </w:pPr>
      <w:r>
        <w:rPr>
          <w:rFonts w:ascii="IRNazanin" w:hAnsi="IRNazanin" w:eastAsia="IRNazanin"/>
          <w:color w:val="111111"/>
          <w:sz w:val="28"/>
          <w:sz w:val="28"/>
          <w:szCs w:val="28"/>
          <w:rtl w:val="true"/>
          <w:lang w:bidi="fa-IR"/>
        </w:rPr>
        <w:t xml:space="preserve">منظور از مردان ابوبکر و عمر و پیروان آنان می باشد، چرا که قاتلان فاطمه صلوات الله علیها بودند، و لعنت خداوند بر کسانی که نسبت به او ظلم روا داشتند، چنان که در کتاب الفتن به صورت مفصل به این بحث پرداخته شد، و در یکی از نسخه 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الرّجُلان الأعرابیّان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بادیه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 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بادیه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Heading5"/>
        <w:numPr>
          <w:ilvl w:val="4"/>
          <w:numId w:val="1"/>
        </w:numPr>
        <w:rPr/>
      </w:pPr>
      <w:bookmarkStart w:id="2511" w:name="__RefHeading___Toc607230_1934241801"/>
      <w:bookmarkStart w:id="2512" w:name="_Toc1159"/>
      <w:bookmarkEnd w:id="2511"/>
      <w:r>
        <w:rPr>
          <w:rtl w:val="true"/>
        </w:rPr>
        <w:t xml:space="preserve">روایت </w:t>
      </w:r>
      <w:r>
        <w:rPr/>
        <w:t>9</w:t>
      </w:r>
      <w:bookmarkEnd w:id="2512"/>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به شدّت بیمار گشت، پس به اسماء دختر عُمیس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بینی که به چه حدّی از ضعف و نزاری رسیده ام،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تختی که رو باز است به سوی مزارم حمل نکنید؛ 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جانم سوگند، تابوتی مانند آنچه در حبشه مشاهده کرده ام برای شما آماده خواهم ساخت،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تابوت را به من نشان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شاخه هایی تَر از درخت خرما فرستادم، پس آن شاخه ها را از نخلستان قطع و حاضر کردند و من بر روی تخت تابوتی ساختم، و این اوّلین تابوت ساخته شده بود، آن گاه فاطمه علیها السلام لبخندی زد و من ایشان را فقط در آن روز خندان مشاهده کرده ام، پس از وفات فاطمه علیها السلام را بر دوش حمل کردیم و شبانه او را به خاک سپردیم</w:t>
      </w:r>
      <w:r>
        <w:rPr>
          <w:rFonts w:eastAsia="IRNazanin" w:cs="IRNazanin"/>
          <w:color w:val="111111"/>
          <w:sz w:val="28"/>
          <w:szCs w:val="28"/>
          <w:rtl w:val="true"/>
          <w:lang w:bidi="fa-IR"/>
        </w:rPr>
        <w:t>.</w:t>
      </w:r>
      <w:r>
        <w:rPr>
          <w:rStyle w:val="FootnoteAnchor"/>
          <w:rtl w:val="true"/>
        </w:rPr>
        <w:footnoteReference w:id="1222"/>
      </w:r>
    </w:p>
    <w:p>
      <w:pPr>
        <w:pStyle w:val="Heading5"/>
        <w:numPr>
          <w:ilvl w:val="4"/>
          <w:numId w:val="1"/>
        </w:numPr>
        <w:rPr/>
      </w:pPr>
      <w:bookmarkStart w:id="2513" w:name="__RefHeading___Toc607232_1934241801"/>
      <w:bookmarkStart w:id="2514" w:name="_Toc1160"/>
      <w:bookmarkEnd w:id="2513"/>
      <w:r>
        <w:rPr>
          <w:rtl w:val="true"/>
        </w:rPr>
        <w:t xml:space="preserve">روایت </w:t>
      </w:r>
      <w:r>
        <w:rPr/>
        <w:t>10</w:t>
      </w:r>
      <w:bookmarkEnd w:id="2514"/>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دختر عمیس روایت شده که فاطمه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زشت </w:t>
      </w:r>
    </w:p>
    <w:p>
      <w:pPr>
        <w:pStyle w:val="BookText"/>
        <w:rPr/>
      </w:pPr>
      <w:r>
        <w:rPr>
          <w:rFonts w:ascii="Amiri" w:hAnsi="Amiri" w:eastAsia="Amiri" w:cs="Amiri"/>
          <w:color w:val="111111"/>
          <w:sz w:val="28"/>
          <w:sz w:val="28"/>
          <w:szCs w:val="28"/>
          <w:rtl w:val="true"/>
          <w:lang w:bidi="ar-SA"/>
        </w:rPr>
        <w:t>اسْتَقْبَحْتُ مَا يُصْنَعُ بِالنِّسَاءِ أَنَّهُ يُطْرَحُ عَلَي الْمَرْأَةِ الثَّوْبُ فَيَصِفُهَا لِمَنْ رَأَي فَقُلْتُ يَا بِنْتَ رَسُولِ اللَّهِ صلي الله عليه و آله أَنَا أَصْنَعُ لَكِ شَيْئاً رَأَيْتُهُ بِأَرْضِ الْحَبَشَةِ قَالَتْ فَدَعَوْتُ بِجَرِيدَةٍ</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ناپسند می شمارم که پس از مرگ پارچه ای بر روی زنان انداخته می شود و هر بیننده ای از اسرار آن ها آگاه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رسول خدا صلّی الله علیه و آله، من چیزی برای شما خواهم ساخت که مانند آن را در سرزمین حبشه مشاهده کرده ام، پس به دنبال شاخه ای از درخت خرما فرستادم </w:t>
      </w:r>
      <w:bookmarkStart w:id="2515" w:name="pg13517_329283"/>
    </w:p>
    <w:p>
      <w:pPr>
        <w:pStyle w:val="BookText"/>
        <w:rPr/>
      </w:pPr>
      <w:bookmarkEnd w:id="2515"/>
      <w:r>
        <w:rPr>
          <w:rFonts w:ascii="Amiri" w:hAnsi="Amiri" w:eastAsia="Amiri" w:cs="Amiri"/>
          <w:color w:val="111111"/>
          <w:sz w:val="28"/>
          <w:sz w:val="28"/>
          <w:szCs w:val="28"/>
          <w:rtl w:val="true"/>
          <w:lang w:bidi="ar-SA"/>
        </w:rPr>
        <w:t>فَحَنَّيْتُهَا ثُمَّ طَرَحْتُ عَلَيْهَا ثَوْباً فَقَالَتْ فَاطِمَةُ مَا أَحْسَنَ هَذَا وَ أَجْمَلَهُ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تَعْرِفُ الْمَرْأَةُ مِنَ الرَّجُلِ فَإِذَا مِتُّ فَاغْسِلِينِي أَنْتِ فَلَمَّا مَاتَتْ غَسَّلَهَا عَلِيٌّ وَ أَسْمَاءُ</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6" w:name="__RefHeading___Toc607234_1934241801"/>
      <w:bookmarkStart w:id="2517" w:name="_Toc1161"/>
      <w:bookmarkEnd w:id="2516"/>
      <w:r>
        <w:rPr>
          <w:rtl w:val="true"/>
        </w:rPr>
        <w:t>بيان</w:t>
      </w:r>
      <w:bookmarkEnd w:id="2517"/>
    </w:p>
    <w:p>
      <w:pPr>
        <w:pStyle w:val="BookText"/>
        <w:rPr/>
      </w:pPr>
      <w:r>
        <w:rPr>
          <w:rFonts w:ascii="Amiri" w:hAnsi="Amiri" w:eastAsia="Amiri" w:cs="Amiri"/>
          <w:color w:val="111111"/>
          <w:sz w:val="28"/>
          <w:sz w:val="28"/>
          <w:szCs w:val="28"/>
          <w:rtl w:val="true"/>
          <w:lang w:bidi="ar-SA"/>
        </w:rPr>
        <w:t>قال في الذكري يستحب حمل النساء في النعش للستر و قال النعش لغة السرير عليه الميت أو السرير و هنا يراد المظلل عليه</w:t>
      </w:r>
      <w:r>
        <w:rPr>
          <w:rFonts w:eastAsia="Amiri" w:cs="Amiri" w:ascii="Amiri" w:hAnsi="Amiri"/>
          <w:color w:val="111111"/>
          <w:sz w:val="28"/>
          <w:szCs w:val="28"/>
          <w:rtl w:val="true"/>
          <w:lang w:bidi="ar-SA"/>
        </w:rPr>
        <w:t>.</w:t>
      </w:r>
    </w:p>
    <w:p>
      <w:pPr>
        <w:pStyle w:val="Heading5"/>
        <w:numPr>
          <w:ilvl w:val="4"/>
          <w:numId w:val="1"/>
        </w:numPr>
        <w:rPr/>
      </w:pPr>
      <w:bookmarkStart w:id="2518" w:name="__RefHeading___Toc607236_1934241801"/>
      <w:bookmarkStart w:id="2519" w:name="_Toc1162"/>
      <w:bookmarkEnd w:id="2518"/>
      <w:r>
        <w:rPr>
          <w:rtl w:val="true"/>
        </w:rPr>
        <w:t>«</w:t>
      </w:r>
      <w:r>
        <w:rPr/>
        <w:t>11</w:t>
      </w:r>
      <w:r>
        <w:rPr>
          <w:rtl w:val="true"/>
        </w:rPr>
        <w:t>»</w:t>
      </w:r>
      <w:bookmarkEnd w:id="2519"/>
    </w:p>
    <w:p>
      <w:pPr>
        <w:pStyle w:val="BookText"/>
        <w:rPr/>
      </w:pPr>
      <w:r>
        <w:rPr>
          <w:rFonts w:ascii="Amiri" w:hAnsi="Amiri" w:eastAsia="Amiri" w:cs="Amiri"/>
          <w:color w:val="111111"/>
          <w:sz w:val="28"/>
          <w:sz w:val="28"/>
          <w:szCs w:val="28"/>
          <w:rtl w:val="true"/>
          <w:lang w:bidi="ar-SA"/>
        </w:rPr>
        <w:t>الْعِلَلُ، عَنْ عَلِيِّ بْنِ أَحْمَدَ عَنْ أَبِي الْعَبَّاسِ أَحْمَدَ بْنِ مُحَمَّدِ بْنِ يَحْيَي عَنْ عَمْرِو بْنِ أَبِي الْمِقْدَامِ وَ زِيَادِ بْنِ عُبَيْدِ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رَجُلٌ أَبَا عَبْدِ اللَّهِ عليه السلام فَقَالَ</w:t>
      </w:r>
    </w:p>
    <w:p>
      <w:pPr>
        <w:pStyle w:val="BookText"/>
        <w:rPr/>
      </w:pPr>
      <w:r>
        <w:rPr>
          <w:rFonts w:ascii="IRNazanin" w:hAnsi="IRNazanin" w:eastAsia="IRNazanin"/>
          <w:color w:val="111111"/>
          <w:sz w:val="28"/>
          <w:sz w:val="28"/>
          <w:szCs w:val="28"/>
          <w:rtl w:val="true"/>
          <w:lang w:bidi="fa-IR"/>
        </w:rPr>
        <w:t>و آن را خم کرده و بر آن پارچه ای انداختم،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خوب و زبیاست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مرد تشخیص داده نمی شود پس چون وفات کردم تو مرا غسل بده و هنگامی که فوت کرد علی علیه السلام و اسماء او را غسل دادند</w:t>
      </w:r>
      <w:r>
        <w:rPr>
          <w:rFonts w:eastAsia="IRNazanin" w:cs="IRNazanin"/>
          <w:color w:val="111111"/>
          <w:sz w:val="28"/>
          <w:szCs w:val="28"/>
          <w:rtl w:val="true"/>
          <w:lang w:bidi="fa-IR"/>
        </w:rPr>
        <w:t>.</w:t>
      </w:r>
    </w:p>
    <w:p>
      <w:pPr>
        <w:pStyle w:val="Heading5"/>
        <w:numPr>
          <w:ilvl w:val="4"/>
          <w:numId w:val="1"/>
        </w:numPr>
        <w:rPr/>
      </w:pPr>
      <w:bookmarkStart w:id="2520" w:name="__RefHeading___Toc607238_1934241801"/>
      <w:bookmarkStart w:id="2521" w:name="_Toc1163"/>
      <w:bookmarkEnd w:id="2520"/>
      <w:r>
        <w:rPr>
          <w:rtl w:val="true"/>
        </w:rPr>
        <w:t>توضیح</w:t>
      </w:r>
      <w:bookmarkEnd w:id="2521"/>
    </w:p>
    <w:p>
      <w:pPr>
        <w:pStyle w:val="BookText"/>
        <w:rPr/>
      </w:pPr>
      <w:r>
        <w:rPr>
          <w:rFonts w:ascii="IRNazanin" w:hAnsi="IRNazanin" w:eastAsia="IRNazanin"/>
          <w:color w:val="111111"/>
          <w:sz w:val="28"/>
          <w:sz w:val="28"/>
          <w:szCs w:val="28"/>
          <w:rtl w:val="true"/>
          <w:lang w:bidi="fa-IR"/>
        </w:rPr>
        <w:t>شهید در الذکری گفته مستحب است حمل زنان در تابوت به دلیل پوشش آن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النعش کلمه ای برای تابوت است که میت را بر آن می گذارند یا تختی است و در اینجا مراد چیز پشش دار است</w:t>
      </w:r>
      <w:r>
        <w:rPr>
          <w:rFonts w:eastAsia="IRNazanin" w:cs="IRNazanin"/>
          <w:color w:val="111111"/>
          <w:sz w:val="28"/>
          <w:szCs w:val="28"/>
          <w:rtl w:val="true"/>
          <w:lang w:bidi="fa-IR"/>
        </w:rPr>
        <w:t>.</w:t>
      </w:r>
    </w:p>
    <w:p>
      <w:pPr>
        <w:pStyle w:val="Heading5"/>
        <w:numPr>
          <w:ilvl w:val="4"/>
          <w:numId w:val="1"/>
        </w:numPr>
        <w:rPr/>
      </w:pPr>
      <w:bookmarkStart w:id="2522" w:name="__RefHeading___Toc607240_1934241801"/>
      <w:bookmarkStart w:id="2523" w:name="_Toc1164"/>
      <w:bookmarkEnd w:id="2522"/>
      <w:r>
        <w:rPr>
          <w:rtl w:val="true"/>
        </w:rPr>
        <w:t xml:space="preserve">روایت </w:t>
      </w:r>
      <w:r>
        <w:rPr/>
        <w:t>11</w:t>
      </w:r>
      <w:bookmarkEnd w:id="2523"/>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مردی نزد امام صادق علیه السلام آمد و از ایشان پرسید</w:t>
      </w:r>
      <w:r>
        <w:rPr>
          <w:rFonts w:eastAsia="IRNazanin" w:cs="IRNazanin"/>
          <w:color w:val="111111"/>
          <w:sz w:val="28"/>
          <w:szCs w:val="28"/>
          <w:rtl w:val="true"/>
          <w:lang w:bidi="fa-IR"/>
        </w:rPr>
        <w:t xml:space="preserve">: </w:t>
      </w:r>
      <w:bookmarkStart w:id="2524" w:name="pg13517_329284"/>
    </w:p>
    <w:p>
      <w:pPr>
        <w:pStyle w:val="BookText"/>
        <w:rPr/>
      </w:pPr>
      <w:bookmarkEnd w:id="2524"/>
      <w:r>
        <w:rPr>
          <w:rFonts w:ascii="Amiri" w:hAnsi="Amiri" w:eastAsia="Amiri" w:cs="Amiri"/>
          <w:color w:val="111111"/>
          <w:sz w:val="28"/>
          <w:sz w:val="28"/>
          <w:szCs w:val="28"/>
          <w:rtl w:val="true"/>
          <w:lang w:bidi="ar-SA"/>
        </w:rPr>
        <w:t xml:space="preserve">لَهُ يَرْحَمُكَ اللَّهُ هَلْ شَيَّعْتَ الْجَنَازَةَ بِنَارٍ وَ يُمْشَي مَعَهَا بِمِجْمَرَةٍ وَ قِنْدِيلٍ أَوْ غَيْرِ ذَلِكَ مِمَّا يُضَاءُ بِهِ قَالَ فَتَغَيَّرَ لَوْنُ أَبِي عَبْدِ اللَّهِ عليه السلام مِنْ ذَلِكَ ثُمَّ سَاقَ الْحَدِيثَ الطَّوِيلَ فِيمَا جَرَي بَيْنَ فَاطِمَةَ وَ الظَّالِمِينَ الْمَلْعُونِينَ إِلَي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نُعِيَتْ إِلَي فَاطِمَةَ عليها السلام نَفْسُهَا أُرْسِلَتْ إِلَي أُمِّ أَيْمَنَ وَ كَانَتْ أَوْثَقَ نِسَائِهَا عِنْدَهَا وَ فِي نَفْسِهَا فَقَالَتْ يَا أُمَّ أَيْمَنَ إِنَّ نَفْسِي نُعِيَتْ إِلَيَّ فَادْعِي لِي عَلِيّاً فَدَعَتْهُ لَهَا فَلَمَّا دَخَلَ عَلَيْهَا قَالَتْ لَهُ يَا ابْنَ الْعَمِّ أُرِيدُ أَنْ أُوصِيَكَ بِأَشْيَاءَ فَاحْفَظْهَا عَلَيَّ فَقَالَ لَهَا قُولِي مَا أَحْبَبْتِ قَالَتْ لَهُ تَزَوَّجْ فُلَانَةَ تَكُونُ لِوُلْدِي مِنْ بَعْدِي مِثْلِي وَ اعْمَلْ نَعْشِي رَأَيْتُ الْمَلَائِكَةَ قَدْ صَوَّرَتْهُ لِي‌</w:t>
      </w:r>
      <w:r>
        <w:rPr>
          <w:rStyle w:val="FootnoteAnchor"/>
          <w:rtl w:val="true"/>
        </w:rPr>
        <w:footnoteReference w:id="1224"/>
      </w:r>
      <w:r>
        <w:rPr>
          <w:rFonts w:ascii="Amiri" w:hAnsi="Amiri" w:eastAsia="Amiri" w:cs="Amiri"/>
          <w:color w:val="111111"/>
          <w:sz w:val="28"/>
          <w:sz w:val="28"/>
          <w:szCs w:val="28"/>
          <w:rtl w:val="true"/>
          <w:lang w:bidi="ar-SA"/>
        </w:rPr>
        <w:t>فَقَالَ لِي عَلِيٌّ أَرِينِي كَيْفَ صَوَّرَتْهُ فَأَرَتْهُ ذَلِكَ كَمَا وُصِفَ لَهَا وَ كَمَا أُمِرَتْ بِهِ ثُمَّ قَالَتْ فَإِذَا أَنَا قَضَيْتُ نَحْبِي فَأَخْرِجْنِي مِنْ سَاعَتِكَ أَيَّ سَاعَةٍ كَانَتْ مِنْ لَيْلٍ أَوْ نَهَارٍ وَ لَا يَحْضُرَنَّ مِنْ أَعْدَاءِ اللَّهِ وَ أَعْدَاءِ رَسُولِهِ لِلصَّلَاةِ عَلَيَّ قَالَ عَلِيٌّ عليه السلام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قَضَتْ نَحْبَهَا صَلَّي اللَّهُ عَلَيْهَا وَ هُمْ فِي جَوْفِ اللَّيْلِ أَخَذَ عَلِيٌّ عليه السلام فِي جَهَازِهَا مِنْ سَاعَتِهِ كَمَا أَوْصَتْهُ فَلَمَّا فَرَغَ مِنْ جَهَازِهَا أَخْرَجَ عَلِيٌّ عليه السلام الْجَنَازَةَ وَ أَشْعَلَ النَّارَ فِي جَرِيدِ النَّخْلِ وَ مَشَي مَعَ الْجَنَازَةِ بِالنَّارِ حَتَّي صَلَّي عَلَيْهَا وَ دَفَنَهَا لَيْلًا إِلَي آخِرِ مَا مَرَّ فِي أَبْوَابِ أَحْوَالِهَا عليها السلام‌</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5" w:name="__RefHeading___Toc607242_1934241801"/>
      <w:bookmarkStart w:id="2526" w:name="_Toc1165"/>
      <w:bookmarkEnd w:id="2525"/>
      <w:r>
        <w:rPr>
          <w:rtl w:val="true"/>
        </w:rPr>
        <w:t>تبيين</w:t>
      </w:r>
      <w:bookmarkEnd w:id="2526"/>
    </w:p>
    <w:p>
      <w:pPr>
        <w:pStyle w:val="BookText"/>
        <w:rPr/>
      </w:pPr>
      <w:r>
        <w:rPr>
          <w:rFonts w:ascii="Amiri" w:hAnsi="Amiri" w:eastAsia="Amiri" w:cs="Amiri"/>
          <w:color w:val="111111"/>
          <w:sz w:val="28"/>
          <w:sz w:val="28"/>
          <w:szCs w:val="28"/>
          <w:rtl w:val="true"/>
          <w:lang w:bidi="ar-SA"/>
        </w:rPr>
        <w:t>يدل علي استحباب اتباع الجنازة بالسراج إذا كان بالليل و ربما يوهم جواز استحباب المجمرة أيضا لكنه ليس إلا في كلام السائل و جوابه عليه السلام مقصور علي السراج قال في الذكري يكره الاتباع بنار إجماعا و لو كان ليلا جاز المصباح، لقول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ابنة رسول الله أخرجت ليلا و معها مصابيح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 نفي ما ذهب إليه الحسن من العامة من عدم جواز الدفن ليلا</w:t>
      </w:r>
    </w:p>
    <w:p>
      <w:pPr>
        <w:pStyle w:val="BookText"/>
        <w:rPr/>
      </w:pPr>
      <w:r>
        <w:rPr>
          <w:rFonts w:ascii="IRNazanin" w:hAnsi="IRNazanin" w:eastAsia="IRNazanin"/>
          <w:color w:val="111111"/>
          <w:sz w:val="28"/>
          <w:sz w:val="28"/>
          <w:szCs w:val="28"/>
          <w:rtl w:val="true"/>
          <w:lang w:bidi="fa-IR"/>
        </w:rPr>
        <w:t>خداوند شما را ببخشاید، آیا جنازه ای را در نور آتش تشییع نموده اید درحالی که آتشدان، چراغ یا هر وسیله ای که نور از آن استفاده شود همراه آن جنازه وجود داشته باشد؟ رنگ چهره امام صادق علیه السلام از این سخن دگرگون شد، سپس کلامی طولانی که بر شرح جریان رخ داده میان فاطمه و ستمگران ملعون می پرداخت را پی گرفت تا جائی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وفات فاطمه علیها السلام از درون به او الهام شد، به دنبال أمّ ایمن که قابل اعتمادترین زنان نزد او بود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 أیمن، خبر مرگ من به من الهام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دلم افتاده که بزودی از دنیا می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علی را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أیمن نیز علی علیه السلام را برای ایشان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نزد فاطمه علیها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تو را به چیزهایی وصیت کنم، پس آنها را در حق من رعایت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دوست داری بر زبان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فلان زن ازدواج کن که پس از من برای فرزندانم همانند خودم خواهد بود، و برای من تابوتی بساز که فرشتگان برایم تصویر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ده که فرشتگان تابوت را چگونه ساختند؟ و فاطمه علیها السلام شیوه ساخت تابوت را آن گونه که برایش توصیف و به آن امر شده بود به علی علیه السلام نشان 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دنیا رفتم، فوراً و در هر ساعتی از شب یا روز مرا به سوی مزارم خارج ساز و هیچ یک از دشمنان خدا و رسول خدا برای نماز گزاردن بر من حاضر نشوند،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فاطمه صلوات الله علیها در دل شب و هنگام خواب مردم وفات نمود، علی علیه السلام فوراً شروع به تجهیز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او کرد چنان  که خود سفارش فرموده بود، و آن گاه که علی علیه السلام از تجهیز او فارغ گشت، جنازه را از خانه خارج ساخت و آتش را در شاخه ای از درخت خرما برافروخت و با نور آتش، جنازه را تشییع کرد و برآن نماز گزارد و شبانه به خاکش سپرد، تا پایان آنچه که در ابواب احوال فاطمه علیها السلام ذکر شد</w:t>
      </w:r>
      <w:r>
        <w:rPr>
          <w:rFonts w:eastAsia="IRNazanin" w:cs="IRNazanin"/>
          <w:color w:val="111111"/>
          <w:sz w:val="28"/>
          <w:szCs w:val="28"/>
          <w:rtl w:val="true"/>
          <w:lang w:bidi="fa-IR"/>
        </w:rPr>
        <w:t>.</w:t>
      </w:r>
      <w:r>
        <w:rPr>
          <w:rStyle w:val="FootnoteAnchor"/>
          <w:rtl w:val="true"/>
        </w:rPr>
        <w:footnoteReference w:id="1226"/>
      </w:r>
    </w:p>
    <w:p>
      <w:pPr>
        <w:pStyle w:val="Heading5"/>
        <w:numPr>
          <w:ilvl w:val="4"/>
          <w:numId w:val="1"/>
        </w:numPr>
        <w:rPr/>
      </w:pPr>
      <w:bookmarkStart w:id="2527" w:name="__RefHeading___Toc607244_1934241801"/>
      <w:bookmarkStart w:id="2528" w:name="_Toc1166"/>
      <w:bookmarkEnd w:id="2527"/>
      <w:r>
        <w:rPr>
          <w:rtl w:val="true"/>
        </w:rPr>
        <w:t>توضیح</w:t>
      </w:r>
      <w:bookmarkEnd w:id="2528"/>
    </w:p>
    <w:p>
      <w:pPr>
        <w:pStyle w:val="BookText"/>
        <w:rPr/>
      </w:pPr>
      <w:r>
        <w:rPr>
          <w:rFonts w:ascii="IRNazanin" w:hAnsi="IRNazanin" w:eastAsia="IRNazanin"/>
          <w:color w:val="111111"/>
          <w:sz w:val="28"/>
          <w:sz w:val="28"/>
          <w:szCs w:val="28"/>
          <w:rtl w:val="true"/>
          <w:lang w:bidi="fa-IR"/>
        </w:rPr>
        <w:t>این حدیث بر استحباب تشییع جنازه با چراغ دلالت می کند البته اگر در شب باشد، و چه بسا جواز استحباب استفاده از آتشدان نیز از آن برداشت می شود، ولی آتشدان جز در کلام سؤال کننده ذکر نشده است، و امام صادق علیه السلام در پاسخ خویش اختصاصاً به ذکر چراغ پرداخته است؛ شهید 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اجماع فقها تشییع جنازه با نور آتش مکروه است، ولی اگر تشییع جنازه در شب صورت پذیرد استفاده از چراغ جایز است، به خاطر استناد به این فرموده امام صادق علیه السلام که دختر رسول خدا شبانه و در حالی که چراغ هایی همراه جنازه او حمل می شد، از خانه خارج و به خاک سپرده 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بر نفی نظر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عامّه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عدم جواز دفن شبانه میّت دلالت می کند، </w:t>
      </w:r>
      <w:bookmarkStart w:id="2529" w:name="pg13517_329285"/>
    </w:p>
    <w:p>
      <w:pPr>
        <w:pStyle w:val="BookText"/>
        <w:rPr/>
      </w:pPr>
      <w:bookmarkEnd w:id="2529"/>
      <w:r>
        <w:rPr>
          <w:rFonts w:ascii="Amiri" w:hAnsi="Amiri" w:eastAsia="Amiri" w:cs="Amiri"/>
          <w:color w:val="111111"/>
          <w:sz w:val="28"/>
          <w:sz w:val="28"/>
          <w:szCs w:val="28"/>
          <w:rtl w:val="true"/>
          <w:lang w:bidi="ar-SA"/>
        </w:rPr>
        <w:t>و علي أن ما اشتهر بين الناس من استحباب دفن النساء ليلا لدفن فاطمة عليها السلام ليلا لا أصل له إذ دفنها ليلا كان لفوتها ليلا مع أنها صلوات الله عليها قالت فأخرجني من ساعتك أي ساعة كانت من ليل أو نهار و يظهر من سائر الأخبار أن دفنها ليلا كان لئلا يحضر الملعونان جنازتها كما أن دفن أمير المؤمنين عليه السلام ليلا كان لإخفاء القبر عن الخوارج لعنهم الله مع أن أخبار تعجيل التجهيز شاملة للنساء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 استحباب النعش الذي يستر جسد الميت للنساء أو مطلقا و في النساء آكد و يدل علي أن عمل النعش كان بتعليم الملائكة و الأخبار السابقة عامية لكن ورد موافقا لها من طريق الخاصة فيمكن أن يكون أسماء أيضا وافقت الملائكة في ذلك و يدل علي استحباب تعجيل التجهيز</w:t>
      </w:r>
      <w:r>
        <w:rPr>
          <w:rFonts w:eastAsia="Amiri" w:cs="Amiri" w:ascii="Amiri" w:hAnsi="Amiri"/>
          <w:color w:val="111111"/>
          <w:sz w:val="28"/>
          <w:szCs w:val="28"/>
          <w:rtl w:val="true"/>
          <w:lang w:bidi="ar-SA"/>
        </w:rPr>
        <w:t>.</w:t>
      </w:r>
    </w:p>
    <w:p>
      <w:pPr>
        <w:pStyle w:val="Heading5"/>
        <w:numPr>
          <w:ilvl w:val="4"/>
          <w:numId w:val="1"/>
        </w:numPr>
        <w:rPr/>
      </w:pPr>
      <w:bookmarkStart w:id="2530" w:name="__RefHeading___Toc607246_1934241801"/>
      <w:bookmarkStart w:id="2531" w:name="_Toc1167"/>
      <w:bookmarkEnd w:id="2530"/>
      <w:r>
        <w:rPr>
          <w:rtl w:val="true"/>
        </w:rPr>
        <w:t>«</w:t>
      </w:r>
      <w:r>
        <w:rPr/>
        <w:t>12</w:t>
      </w:r>
      <w:r>
        <w:rPr>
          <w:rtl w:val="true"/>
        </w:rPr>
        <w:t>»</w:t>
      </w:r>
      <w:bookmarkEnd w:id="2531"/>
    </w:p>
    <w:p>
      <w:pPr>
        <w:pStyle w:val="BookText"/>
        <w:rPr/>
      </w:pPr>
      <w:r>
        <w:rPr>
          <w:rFonts w:ascii="Amiri" w:hAnsi="Amiri" w:eastAsia="Amiri" w:cs="Amiri"/>
          <w:color w:val="111111"/>
          <w:sz w:val="28"/>
          <w:sz w:val="28"/>
          <w:szCs w:val="28"/>
          <w:rtl w:val="true"/>
          <w:lang w:bidi="ar-SA"/>
        </w:rPr>
        <w:t>دَعَائِمُ الْإِسْلَامِ، عَنْ عَلِيٍّ عليه السلام أَنَّهُ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احْبِسُوا الْغَرِيقَ يَوْماً أَوْ لَيْلَةً ثُمَّ ادْفِنُوهُ‌</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الرَّجُلِ تُصِيبُهُ الصَّاعِقَةُ قَالَ لَا يُدْفَنْ دُونَ ثَلَاثٍ إِلَّا أَنْ يَتَبَيَّنَ مَوْتُهُ وَ يَسْتَيْقِنَ‌</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الْمَيِّتُ فِي أَوَّلِ النَّهَارِ فَلَا يَقِيلَنَّ إِلَّا فِي قَبْرِهِ وَ إِذَا مَاتَ فِي آخِرِ النَّهَارِ فَلَا يَبِيتَنَّ إِلَّا فِي قَبْرِهِ‌</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2" w:name="__RefHeading___Toc607248_1934241801"/>
      <w:bookmarkStart w:id="2533" w:name="_Toc1168"/>
      <w:bookmarkEnd w:id="2532"/>
      <w:r>
        <w:rPr>
          <w:rtl w:val="true"/>
        </w:rPr>
        <w:t>«</w:t>
      </w:r>
      <w:r>
        <w:rPr/>
        <w:t>13</w:t>
      </w:r>
      <w:r>
        <w:rPr>
          <w:rtl w:val="true"/>
        </w:rPr>
        <w:t>»</w:t>
      </w:r>
      <w:bookmarkEnd w:id="2533"/>
    </w:p>
    <w:p>
      <w:pPr>
        <w:pStyle w:val="BookText"/>
        <w:rPr/>
      </w:pPr>
      <w:r>
        <w:rPr>
          <w:rFonts w:ascii="Amiri" w:hAnsi="Amiri" w:eastAsia="Amiri" w:cs="Amiri"/>
          <w:color w:val="111111"/>
          <w:sz w:val="28"/>
          <w:sz w:val="28"/>
          <w:szCs w:val="28"/>
          <w:rtl w:val="true"/>
          <w:lang w:bidi="ar-SA"/>
        </w:rPr>
        <w:t>مِصْبَاحُ الْأَنْوَارِ، عَنْ جَعْفَرِ بْنِ مُحَمَّدٍ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مَكَثَتْ فَاطِمَةُ عليها السلام بَعْدَ النَّبِيِّ صلي الله عليه و آله خَمْسَةً وَ سَبْعِينَ يَوْماً ثُمَّ مَرِضَتْ فَاسْتَأْذَنَ عَلَيْهَا أَبُو بَكْرٍ وَ عُمَرُ فَلَمْ تَأْذَنْ لَهُمَا فَأَتَيَا أَمِيرَ الْمُؤْمِنِينَ عليه السلام فَكَلَّمَاهُ فِي ذَلِكَ فَكَلَّمَهَا وَ كَانَتْ لَا تَعْصِيهِ فَأَذِنَتْ لَهُمَا فَدَخَلَا وَ كَلَّمَاهَا فَلَمْ تَرُدَّ عَلَيْهِمَا جَوَاباً وَ حَوَّلَتْ وَجْهَهَا الْكَرِيمَ عَنْهُمَا فَخَرَجَا وَ هُمَا يَقُولَانِ لِعَلِيٍّ إِنْ حَدَثَ بِهَا حَدَثٌ فَلَا تَفُوتُنَا فَقَالَتْ عِنْدَ خُرُوجِهِمَا لِعَلِيٍّ عليه السلام إِنَّ لِي إِلَيْكَ حَاجَةً فَأُحِبُّ أَنْ لَا تَمْنَعَنِيهَا فَقَالَ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حدیث بر این نکته دلالت می کند که نظر مشهور در بین مردم مبنی بر استحباب دفن شبانه زنان به خاطر دفن شبانه فاطمه علیهاالسلام، هیچ اصل و اساسی ندارد، چرا که دفن شبانه ایشان به خاطر وفات نمودن در شب بوده است و خود نیز وصیّت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بعداز مرگ فوراً مرا به سوی مزارم خارج ساز در هرساعتی از شب یا روز که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از سایر احادیث چنین برمی آید که دفن شبانه فاطمه علیهاالسلام به خاطر جلوگیری از حضور ملعونان در تشییع جنازه وی بوده است، چنان که دفن شبانه امیرالمؤمین علیه السلام به خاطر پنهان ساختن قبر ایشان از خوارج، لعنت خدا بر آنان باد، بوده است، هر چند احادیثی که حاوی تعجیل در تجهیز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ساختن وسایل کفن و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شامل زنان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حدیث بر استحباب استفاده از تابوت برای زنان به منظور پوشیده ماندن جسد آنان و یا استفاده از آن به صورت مطلق دلالت دارد، هر چند تأکید استفاده از تابوت برای زنان بیشتر است، و بر این نکته نیز دلالت می کند که ساختن تابوت به آموزش ملائکه بوده است، و احادیث ذکر شده عامّی هستند امّا از طریق خواصّ نیز احادیثی موافق با احادیث مذکور روایت شده است، پس ممکن است که تابوت ساخته شده توسط اسماء با تابوت ساخته شده توسط ملائکه سازگاری و هم خوانی داشته باشد؛ این حدیث بر استحباب تعجیل در تجهیز نیز دلالت دارد</w:t>
      </w:r>
      <w:r>
        <w:rPr>
          <w:rFonts w:eastAsia="IRNazanin" w:cs="IRNazanin"/>
          <w:color w:val="111111"/>
          <w:sz w:val="28"/>
          <w:szCs w:val="28"/>
          <w:rtl w:val="true"/>
          <w:lang w:bidi="fa-IR"/>
        </w:rPr>
        <w:t>.</w:t>
      </w:r>
    </w:p>
    <w:p>
      <w:pPr>
        <w:pStyle w:val="Heading5"/>
        <w:numPr>
          <w:ilvl w:val="4"/>
          <w:numId w:val="1"/>
        </w:numPr>
        <w:rPr/>
      </w:pPr>
      <w:bookmarkStart w:id="2534" w:name="__RefHeading___Toc607250_1934241801"/>
      <w:bookmarkStart w:id="2535" w:name="_Toc1169"/>
      <w:bookmarkEnd w:id="2534"/>
      <w:r>
        <w:rPr>
          <w:rtl w:val="true"/>
        </w:rPr>
        <w:t xml:space="preserve">روایت </w:t>
      </w:r>
      <w:r>
        <w:rPr/>
        <w:t>12</w:t>
      </w:r>
      <w:bookmarkEnd w:id="2535"/>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شخص غرق شده در آب را یک روز یا شب نگاه دارید، سپس به خاکش بسپارید</w:t>
      </w:r>
      <w:r>
        <w:rPr>
          <w:rFonts w:eastAsia="IRNazanin" w:cs="IRNazanin"/>
          <w:color w:val="111111"/>
          <w:sz w:val="28"/>
          <w:szCs w:val="28"/>
          <w:rtl w:val="true"/>
          <w:lang w:bidi="fa-IR"/>
        </w:rPr>
        <w:t>.</w:t>
      </w:r>
      <w:r>
        <w:rPr>
          <w:rStyle w:val="FootnoteAnchor"/>
          <w:rtl w:val="true"/>
        </w:rPr>
        <w:footnoteReference w:id="1230"/>
      </w:r>
    </w:p>
    <w:p>
      <w:pPr>
        <w:pStyle w:val="BookText"/>
        <w:rPr/>
      </w:pPr>
      <w:r>
        <w:rPr>
          <w:rFonts w:ascii="IRNazanin" w:hAnsi="IRNazanin" w:eastAsia="IRNazanin"/>
          <w:color w:val="111111"/>
          <w:sz w:val="28"/>
          <w:sz w:val="28"/>
          <w:szCs w:val="28"/>
          <w:rtl w:val="true"/>
          <w:lang w:bidi="fa-IR"/>
        </w:rPr>
        <w:t>از امام باقر علیه السلام روایت شده که در مورد شخصی که به صاعقه زدگی مبتلا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در زمانی کمتر از سه روز دفن نمی گردد مگر یقین حاصل شود که وفات نموده و مرگش قطعی شده است</w:t>
      </w:r>
      <w:r>
        <w:rPr>
          <w:rFonts w:eastAsia="IRNazanin" w:cs="IRNazanin"/>
          <w:color w:val="111111"/>
          <w:sz w:val="28"/>
          <w:szCs w:val="28"/>
          <w:rtl w:val="true"/>
          <w:lang w:bidi="fa-IR"/>
        </w:rPr>
        <w:t>.</w:t>
      </w:r>
      <w:r>
        <w:rPr>
          <w:rStyle w:val="FootnoteAnchor"/>
          <w:rtl w:val="true"/>
        </w:rPr>
        <w:footnoteReference w:id="1231"/>
      </w:r>
    </w:p>
    <w:p>
      <w:pPr>
        <w:pStyle w:val="BookText"/>
        <w:rPr/>
      </w:pPr>
      <w:r>
        <w:rPr>
          <w:rFonts w:ascii="IRNazanin" w:hAnsi="IRNazanin" w:eastAsia="IRNazanin"/>
          <w:color w:val="111111"/>
          <w:sz w:val="28"/>
          <w:sz w:val="28"/>
          <w:szCs w:val="28"/>
          <w:rtl w:val="true"/>
          <w:lang w:bidi="fa-IR"/>
        </w:rPr>
        <w:t>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میّت در آغاز روز بمیرد باید نیمروز را در قبر خود بگذراند، و هنگامی که در پایان روز بمیرد باید شب را در قبر خود بگذراند</w:t>
      </w:r>
      <w:r>
        <w:rPr>
          <w:rFonts w:eastAsia="IRNazanin" w:cs="IRNazanin"/>
          <w:color w:val="111111"/>
          <w:sz w:val="28"/>
          <w:szCs w:val="28"/>
          <w:rtl w:val="true"/>
          <w:lang w:bidi="fa-IR"/>
        </w:rPr>
        <w:t>.</w:t>
      </w:r>
      <w:r>
        <w:rPr>
          <w:rStyle w:val="FootnoteAnchor"/>
          <w:rtl w:val="true"/>
        </w:rPr>
        <w:footnoteReference w:id="1232"/>
      </w:r>
    </w:p>
    <w:p>
      <w:pPr>
        <w:pStyle w:val="Heading5"/>
        <w:numPr>
          <w:ilvl w:val="4"/>
          <w:numId w:val="1"/>
        </w:numPr>
        <w:rPr/>
      </w:pPr>
      <w:bookmarkStart w:id="2536" w:name="__RefHeading___Toc607252_1934241801"/>
      <w:bookmarkStart w:id="2537" w:name="_Toc1170"/>
      <w:bookmarkEnd w:id="2536"/>
      <w:r>
        <w:rPr>
          <w:rtl w:val="true"/>
        </w:rPr>
        <w:t xml:space="preserve">روایت </w:t>
      </w:r>
      <w:r>
        <w:rPr/>
        <w:t>13</w:t>
      </w:r>
      <w:bookmarkEnd w:id="253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از پدرانش علیهم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هفتاد و پنج روز پس از وفات پیامبر صلّی الله علیه و آله بیمار گشت، پس ابوبکر و عمر درخواست ورود و ملاقات کردند، ولی فاطمه علیها السلام به آنها اجازه نداد، آن گاه نزد امیرالمؤمنین علیه السلام رفتند و در این زمینه با ایشان سخن گفتند، امام علیه السلام نیز با فاطمه علیها السلام که از سخنان او سرپیچی نمی کرد سخن گفت و به آن ها اجازه داد که وارد شوند، ابوبکر و عمر داخل شدند و با فاطمه علیها السلام سخن  گفتند ولی به آن ها پاسخ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مبارک خود را از آن ها برمی گرداند، پس از نزد او خارج شدند و به امام علی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 بدی برای فاطمه رخ داد ما را بی خبر مگذار، فاطمه علیها السلام بعد از خروج آن دو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تو حاجتی است، دوست دارم که مرا از برآورده شدن آن منع نکنی، امام علیه السلام فرمود</w:t>
      </w:r>
      <w:r>
        <w:rPr>
          <w:rFonts w:eastAsia="IRNazanin" w:cs="IRNazanin"/>
          <w:color w:val="111111"/>
          <w:sz w:val="28"/>
          <w:szCs w:val="28"/>
          <w:rtl w:val="true"/>
          <w:lang w:bidi="fa-IR"/>
        </w:rPr>
        <w:t xml:space="preserve">: </w:t>
      </w:r>
      <w:bookmarkStart w:id="2538" w:name="pg13517_329286"/>
    </w:p>
    <w:p>
      <w:pPr>
        <w:pStyle w:val="BookText"/>
        <w:rPr/>
      </w:pPr>
      <w:bookmarkEnd w:id="2538"/>
      <w:r>
        <w:rPr>
          <w:rFonts w:ascii="Amiri" w:hAnsi="Amiri" w:eastAsia="Amiri" w:cs="Amiri"/>
          <w:color w:val="111111"/>
          <w:sz w:val="28"/>
          <w:sz w:val="28"/>
          <w:szCs w:val="28"/>
          <w:rtl w:val="true"/>
          <w:lang w:bidi="ar-SA"/>
        </w:rPr>
        <w:t xml:space="preserve">وَ مَا ذَاكِ فَقَالَتْ أَسْأَلُكَ أَنْ لَا يُصَلِّيَ عَلَيَّ أَبُو بَكْرٍ وَ لَا عُمَرُ وَ مَاتَتْ مِنْ لَيْلَتِهَا فَدَفَنَهَا قَبْلَ الصَّبَاحِ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فَجَاءَا حِينَ أَصْبَحَا فَقَالا لَا تَتْرُكُ عَدَاوَتَكَ يَا ابْنَ أَبِي طَالِبٍ أَبَداً مَاتَتْ بِنْتُ رَسُولِ اللَّهِ فَلَمْ تُعْلِمْنَا فَقَالَ أَمِيرُ الْمُؤْمِنِينَ عليه السلام لَئِنْ لَمْ تَرْجِعَا لَأَفْضَحَنَّكُمَا قَالَهَا ثَلَاثاً فَلَمَّا قَالَ انْصَرَفُوا</w:t>
      </w:r>
      <w:r>
        <w:rPr>
          <w:rFonts w:eastAsia="Amiri" w:cs="Amiri" w:ascii="Amiri" w:hAnsi="Amiri"/>
          <w:color w:val="111111"/>
          <w:sz w:val="28"/>
          <w:szCs w:val="28"/>
          <w:rtl w:val="true"/>
          <w:lang w:bidi="ar-SA"/>
        </w:rPr>
        <w:t>.</w:t>
      </w:r>
    </w:p>
    <w:p>
      <w:pPr>
        <w:pStyle w:val="Heading5"/>
        <w:numPr>
          <w:ilvl w:val="4"/>
          <w:numId w:val="1"/>
        </w:numPr>
        <w:rPr/>
      </w:pPr>
      <w:bookmarkStart w:id="2539" w:name="__RefHeading___Toc607254_1934241801"/>
      <w:bookmarkStart w:id="2540" w:name="_Toc1171"/>
      <w:bookmarkEnd w:id="2539"/>
      <w:r>
        <w:rPr>
          <w:rtl w:val="true"/>
        </w:rPr>
        <w:t>«</w:t>
      </w:r>
      <w:r>
        <w:rPr/>
        <w:t>14</w:t>
      </w:r>
      <w:r>
        <w:rPr>
          <w:rtl w:val="true"/>
        </w:rPr>
        <w:t>»</w:t>
      </w:r>
      <w:bookmarkEnd w:id="2540"/>
    </w:p>
    <w:p>
      <w:pPr>
        <w:pStyle w:val="BookText"/>
        <w:rPr/>
      </w:pPr>
      <w:r>
        <w:rPr>
          <w:rFonts w:ascii="Amiri" w:hAnsi="Amiri" w:eastAsia="Amiri" w:cs="Amiri"/>
          <w:color w:val="111111"/>
          <w:sz w:val="28"/>
          <w:sz w:val="28"/>
          <w:szCs w:val="28"/>
          <w:rtl w:val="true"/>
          <w:lang w:bidi="ar-SA"/>
        </w:rPr>
        <w:t>وَ مِنْهُ، عَنْ أَبِي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فَاطِمَةَ الْوَفَاةُ كَانَتْ قَدْ ذَابَتْ مِنَ الْحُزْنِ وَ ذَهَبَ لَحْمُهَا فَدَعَتْ أَسْمَاءَ بِنْتَ عُمَيْسٍ وَ قَالَ أَبُو بَصِيرٍ فِي حَدِيثِهِ عَنْ أَبِي جَعْفَرٍ عليه السلام أَنَّهَا دَعَتْ أُمَّ أَيْمَنَ فَقَالَتْ يَا أُمَّ أَيْمَنَ اصْنَعِي لِي نَعْشاً يُوَارِي جَسَدِي فَإِنِّي قَدْ ذَهَبَ لَحْمِي فَقَالَتْ لَهَا يَا بِنْتَ رَسُولِ اللَّهِ صلي الله عليه و آله أَ لَا أُرِيكِ شَيْئاً يُصْنَعُ فِي أَرْضِ الْحَبَشَةِ قَالَتْ فَاطِمَةُ بَلَي فَصَنَعَتْ لَهَا مِقْدَارَ ذِرَاعٍ مِنْ جَرَائِدِ النَّخْلِ وَ طَرَحَتْ فَوْقَ النَّعْشِ ثَوْباً فَغَطَّاهُ فَقَالَتْ فَاطِمَةُ عليها السلام سَتَرْتِينِي سَتَرَكِ اللَّهُ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الْفُرَاتُ بْنُ أَحْنَفَ فِي حَدِيثِهِ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النَّعْشُ أَوَّلُ نَعْشٍ عُمِلَ عَلَي جِنَازَةِ امْرَأَةٍ فِي الْإِسْلَامِ</w:t>
      </w:r>
      <w:r>
        <w:rPr>
          <w:rFonts w:eastAsia="Amiri" w:cs="Amiri" w:ascii="Amiri" w:hAnsi="Amiri"/>
          <w:color w:val="111111"/>
          <w:sz w:val="28"/>
          <w:szCs w:val="28"/>
          <w:rtl w:val="true"/>
          <w:lang w:bidi="ar-SA"/>
        </w:rPr>
        <w:t>.</w:t>
      </w:r>
    </w:p>
    <w:p>
      <w:pPr>
        <w:pStyle w:val="Heading5"/>
        <w:numPr>
          <w:ilvl w:val="4"/>
          <w:numId w:val="1"/>
        </w:numPr>
        <w:rPr/>
      </w:pPr>
      <w:bookmarkStart w:id="2541" w:name="__RefHeading___Toc607256_1934241801"/>
      <w:bookmarkStart w:id="2542" w:name="_Toc1172"/>
      <w:bookmarkEnd w:id="2541"/>
      <w:r>
        <w:rPr>
          <w:rtl w:val="true"/>
        </w:rPr>
        <w:t>«</w:t>
      </w:r>
      <w:r>
        <w:rPr/>
        <w:t>15</w:t>
      </w:r>
      <w:r>
        <w:rPr>
          <w:rtl w:val="true"/>
        </w:rPr>
        <w:t>»</w:t>
      </w:r>
      <w:bookmarkEnd w:id="2542"/>
    </w:p>
    <w:p>
      <w:pPr>
        <w:pStyle w:val="BookText"/>
        <w:rPr/>
      </w:pPr>
      <w:r>
        <w:rPr>
          <w:rFonts w:ascii="Amiri" w:hAnsi="Amiri" w:eastAsia="Amiri" w:cs="Amiri"/>
          <w:color w:val="111111"/>
          <w:sz w:val="28"/>
          <w:sz w:val="28"/>
          <w:szCs w:val="28"/>
          <w:rtl w:val="true"/>
          <w:lang w:bidi="ar-SA"/>
        </w:rPr>
        <w:t>وَ مِنْهُ،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أَمِيرُ الْمُؤْمِنِينَ عليه السلام فَاطِمَةَ بِنْتَ مُحَمَّدٍ صَلَوَاتُ اللَّهِ عَلَيْهِمْ بِالْبَقِيعِ وَ رَشَّ مَاءً حَوْلَ تِلْكَ الْقُبُورِ لِئَلَّا يُعْرَفَ الْقَبْرُ وَ بَلَغَ أَبَا بَكْرٍ وَ عُمَرَ أَنَّ عَلِيّاً دَفَنَهَا لَيْلًا فَقَالا لَهُ فَلِمَ لَمْ تُعْلِمْنَا قَالَ كَانَ اللَّيْلَ وَ كَرِهْتُ أَنْ أُشْخِصَكُمْ فَقَالَ لَهُ عُمَرُ مَا هَذَا وَ لَكِنْ شَحْنَاءُ فِي صَدْرِكَ فَقَالَ أَمِيرُ الْمُؤْمِنِينَ عليه السلام أَمَّا إِذَا أَبَيْتُمَا فَإِنَّهَا اسْتَحْلَفَتْنِي بِحَقِّ اللَّهِ وَ حُرْمَةِ رَسُولِهِ وَ بِحَقِّهَا عَلَيَّ أَنْ لَا تَشْهَدَا جَنَازَتَهَا</w:t>
      </w:r>
      <w:r>
        <w:rPr>
          <w:rFonts w:eastAsia="Amiri" w:cs="Amiri" w:ascii="Amiri" w:hAnsi="Amiri"/>
          <w:color w:val="111111"/>
          <w:sz w:val="28"/>
          <w:szCs w:val="28"/>
          <w:rtl w:val="true"/>
          <w:lang w:bidi="ar-SA"/>
        </w:rPr>
        <w:t>.</w:t>
      </w:r>
    </w:p>
    <w:p>
      <w:pPr>
        <w:pStyle w:val="Heading5"/>
        <w:numPr>
          <w:ilvl w:val="4"/>
          <w:numId w:val="1"/>
        </w:numPr>
        <w:rPr/>
      </w:pPr>
      <w:bookmarkStart w:id="2543" w:name="__RefHeading___Toc607258_1934241801"/>
      <w:bookmarkStart w:id="2544" w:name="_Toc1173"/>
      <w:bookmarkEnd w:id="2543"/>
      <w:r>
        <w:rPr>
          <w:rtl w:val="true"/>
        </w:rPr>
        <w:t>«</w:t>
      </w:r>
      <w:r>
        <w:rPr/>
        <w:t>16</w:t>
      </w:r>
      <w:r>
        <w:rPr>
          <w:rtl w:val="true"/>
        </w:rPr>
        <w:t>»</w:t>
      </w:r>
      <w:bookmarkEnd w:id="2544"/>
    </w:p>
    <w:p>
      <w:pPr>
        <w:pStyle w:val="BookText"/>
        <w:rPr/>
      </w:pPr>
      <w:r>
        <w:rPr>
          <w:rFonts w:ascii="Amiri" w:hAnsi="Amiri" w:eastAsia="Amiri" w:cs="Amiri"/>
          <w:color w:val="111111"/>
          <w:sz w:val="28"/>
          <w:sz w:val="28"/>
          <w:szCs w:val="28"/>
          <w:rtl w:val="true"/>
          <w:lang w:bidi="ar-SA"/>
        </w:rPr>
        <w:t>وَ مِنْهُ، عَنْ جَعْفَرِ بْنِ مُحَمَّدٍ عَنْ آبَائِهِ عليهم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 فَاطِمَةُ عليها السلام أَنْ لَا يُصَلِّيَ عَلَيْهَا أَبُو بَكْرٍ وَ لَا عُمَرُ فَلَمَّا تُوُفِّيَتْ أَتَاهُ الْعَبَّاسُ فَقَالَ مَا تُرِيدُ أَنْ تَصْنَعَ قَالَ أُخْرِجُهَا لَيْلًا قَالَ فَذَكَرَ كَلِمَةً خَوَّفَهُ بِهَا الْعَبَّاسُ مِنْهُمَا قَالَ فَأَخْرَجَهَا لَيْلًا فَدَفَنَهَا وَ رَشَّ الْمَاءَ عَلَي قَبْرِهَا قَالَ فَلَمَّا صَلَّي أَبُو بَكْرٍ الْفَجْرَ الْتَفَتَ</w:t>
      </w:r>
    </w:p>
    <w:p>
      <w:pPr>
        <w:pStyle w:val="BookText"/>
        <w:rPr/>
      </w:pPr>
      <w:r>
        <w:rPr>
          <w:rFonts w:ascii="IRNazanin" w:hAnsi="IRNazanin" w:eastAsia="IRNazanin"/>
          <w:color w:val="111111"/>
          <w:sz w:val="28"/>
          <w:sz w:val="28"/>
          <w:szCs w:val="28"/>
          <w:rtl w:val="true"/>
          <w:lang w:bidi="fa-IR"/>
        </w:rPr>
        <w:t>آن حاجت چیست؟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که اجازه ندهی ابوبکر و عمر بر من نماز بگزارند؛ و در همان شب وفات نمود و علی علیه السلام قبل از صبح او را به خاک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و عمر صبح گاهان نزد علی علیه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 هرگز دشمنی ات را ترک نکردی، دختر رسول خدا وفات نمود و ما را آگاه نساختی؟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نگردید شما را رسوا خواهم ساخت، و این جمله را سه بار تکرار فرمود و هنگامی که امام این سخن را بر زبان آورد بازگشتند</w:t>
      </w:r>
      <w:r>
        <w:rPr>
          <w:rFonts w:eastAsia="IRNazanin" w:cs="IRNazanin"/>
          <w:color w:val="111111"/>
          <w:sz w:val="28"/>
          <w:szCs w:val="28"/>
          <w:rtl w:val="true"/>
          <w:lang w:bidi="fa-IR"/>
        </w:rPr>
        <w:t>.</w:t>
      </w:r>
    </w:p>
    <w:p>
      <w:pPr>
        <w:pStyle w:val="Heading5"/>
        <w:numPr>
          <w:ilvl w:val="4"/>
          <w:numId w:val="1"/>
        </w:numPr>
        <w:rPr/>
      </w:pPr>
      <w:bookmarkStart w:id="2545" w:name="__RefHeading___Toc607260_1934241801"/>
      <w:bookmarkStart w:id="2546" w:name="_Toc1174"/>
      <w:bookmarkEnd w:id="2545"/>
      <w:r>
        <w:rPr>
          <w:rtl w:val="true"/>
        </w:rPr>
        <w:t xml:space="preserve">روایت </w:t>
      </w:r>
      <w:r>
        <w:rPr/>
        <w:t>14</w:t>
      </w:r>
      <w:bookmarkEnd w:id="2546"/>
    </w:p>
    <w:p>
      <w:pPr>
        <w:pStyle w:val="BookText"/>
        <w:rPr/>
      </w:pP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از پدرانش علیهم السلام روایت کرده است، هنگامی  که فاطمه علیها السلام در حال احتضار قرار گرفت، از غم و اندوه آب شده و گوشت بدنش از بین رفته بود، پس اسماء دختر عمیس را فراخواند، ابو بصیر در حدیثی که از امام باقر علیه السلام روایت کرده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امّ ایمن را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ایمن، برای من تابوتی بساز که جسدم را بپوشاند، چرا که گوشت بدنم ذوب شده و از بین رفته است، امّ ایمن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صلّی الله علیه و آله، آیا چیزی را به شما نشان دهم که در سرزمین حبشه ساخته می شود؟ فاطمه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تابوتی به اندازه یک ذراع از شاخه های درخت خرما برای ایشان ساختم و بر آن رواندازی انداختم که آن را می پوشاند،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بپوشان، خداوند تو را از آتش جهنم پوشیده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 بن أحنف در حدیث خویش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تابوت، نخستین تابوتی بود که از زمان ظهور اسلام برای جنازه زنی ساخته می شد</w:t>
      </w:r>
      <w:r>
        <w:rPr>
          <w:rFonts w:eastAsia="IRNazanin" w:cs="IRNazanin"/>
          <w:color w:val="111111"/>
          <w:sz w:val="28"/>
          <w:szCs w:val="28"/>
          <w:rtl w:val="true"/>
          <w:lang w:bidi="fa-IR"/>
        </w:rPr>
        <w:t>.</w:t>
      </w:r>
    </w:p>
    <w:p>
      <w:pPr>
        <w:pStyle w:val="Heading5"/>
        <w:numPr>
          <w:ilvl w:val="4"/>
          <w:numId w:val="1"/>
        </w:numPr>
        <w:rPr/>
      </w:pPr>
      <w:bookmarkStart w:id="2547" w:name="__RefHeading___Toc607262_1934241801"/>
      <w:bookmarkStart w:id="2548" w:name="_Toc1175"/>
      <w:bookmarkEnd w:id="2547"/>
      <w:r>
        <w:rPr>
          <w:rtl w:val="true"/>
        </w:rPr>
        <w:t xml:space="preserve">روایت </w:t>
      </w:r>
      <w:r>
        <w:rPr/>
        <w:t>15</w:t>
      </w:r>
      <w:bookmarkEnd w:id="2548"/>
    </w:p>
    <w:p>
      <w:pPr>
        <w:pStyle w:val="BookText"/>
        <w:rPr/>
      </w:pP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فاطمه دختر محمد صلوات الله علیهما را در بقیع به خاک سپرد و در اطراف آن قبرها آب پاشید تا قبر فاطمه علیهاالسلام شناخته نشود، ابوبکر و عمر آگاه گشتند که علی علیه السلام فاطمه را شبانه به خاک سپرده است، پس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را از این امر آگاه نساختی؟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و ناپسند شمردم که شما را زحمت دهم، عمر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بلکه به خاطر دشمنی و کینه ای بوده که در سینه داری،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از پاسخ من راضی نمی شوید پس بدانید که دلیل خبر ندادن به شما این بود که فاطمه مرا به حقّ خداوند، حرمت رسول خدا و حقّ خودش سوگند داد که شما در تشییع جنازه او حضور نداشته باشید </w:t>
      </w:r>
      <w:r>
        <w:rPr>
          <w:rFonts w:eastAsia="IRNazanin" w:cs="IRNazanin"/>
          <w:color w:val="111111"/>
          <w:sz w:val="28"/>
          <w:szCs w:val="28"/>
          <w:rtl w:val="true"/>
          <w:lang w:bidi="fa-IR"/>
        </w:rPr>
        <w:t>.</w:t>
      </w:r>
    </w:p>
    <w:p>
      <w:pPr>
        <w:pStyle w:val="Heading5"/>
        <w:numPr>
          <w:ilvl w:val="4"/>
          <w:numId w:val="1"/>
        </w:numPr>
        <w:rPr/>
      </w:pPr>
      <w:bookmarkStart w:id="2549" w:name="__RefHeading___Toc607264_1934241801"/>
      <w:bookmarkStart w:id="2550" w:name="_Toc1176"/>
      <w:bookmarkEnd w:id="2549"/>
      <w:r>
        <w:rPr>
          <w:rtl w:val="true"/>
        </w:rPr>
        <w:t xml:space="preserve">روایت </w:t>
      </w:r>
      <w:r>
        <w:rPr/>
        <w:t>16</w:t>
      </w:r>
      <w:bookmarkEnd w:id="2550"/>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از پدرانش علیهم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وصیّت نمود که ابوبکر و عمر بر او نماز نگزارند؛ هنگامی  که فاطمه وفات نمود، عباس نزد امام علی علیه السلام آمد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چه کار کنی؟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شبانه به سوی مزارش خارج خواهم کرد، پس کلامی را بر زبان آورد که به وسیله آن عباس را از ابوبکر و عمر ترساند، آن گاه علی علیه السلام شبانه فاطمه علیها السلام را به سوی مزارش خارج کرد و او را به خاک سپرد و بر مزارش آب پاشید، هنگامی  که ابوبکر نماز صبح را اقامه کرد به </w:t>
      </w:r>
      <w:bookmarkStart w:id="2551" w:name="pg13517_329287"/>
    </w:p>
    <w:p>
      <w:pPr>
        <w:pStyle w:val="BookText"/>
        <w:rPr/>
      </w:pPr>
      <w:bookmarkEnd w:id="2551"/>
      <w:r>
        <w:rPr>
          <w:rFonts w:ascii="Amiri" w:hAnsi="Amiri" w:eastAsia="Amiri" w:cs="Amiri"/>
          <w:color w:val="111111"/>
          <w:sz w:val="28"/>
          <w:sz w:val="28"/>
          <w:szCs w:val="28"/>
          <w:rtl w:val="true"/>
          <w:lang w:bidi="ar-SA"/>
        </w:rPr>
        <w:t>إِلَي النَّاسِ فَقَالَ احْضُرُوا بِنْتَ رَسُولِ اللَّهِ صلي الله عليه و آله فَقَدْ تُوُفِّيَتْ فِي هَذِهِ اللَّيْلَةِ قَالَ فَذَهَبَ لِيَحْضُرَهَا فَإِذَا عَلِيٌّ قَدْ خَرَجَ بِهَا وَ دَفَنَهَا وَ مَضَي فَاسْتَقْبَلَ عَلِيّاً رَاجِعاً فَقَالَ لَهُ هَذَا مِثْلُ اسْتِيثَارِكَ عَلَيْنَا بِغُسْلِ رَسُولِ اللَّهِ صلي الله عليه و آله وَحْدَكَ فَقَالَ أَمِيرُ الْمُؤْمِنِينَ عليه السلام هِيَ وَ اللَّهِ أَوْصَتْنِي أَنْ لَا تُصَلِّيَا عَلَيْهَا</w:t>
      </w:r>
      <w:r>
        <w:rPr>
          <w:rFonts w:eastAsia="Amiri" w:cs="Amiri" w:ascii="Amiri" w:hAnsi="Amiri"/>
          <w:color w:val="111111"/>
          <w:sz w:val="28"/>
          <w:szCs w:val="28"/>
          <w:rtl w:val="true"/>
          <w:lang w:bidi="ar-SA"/>
        </w:rPr>
        <w:t>.</w:t>
      </w:r>
    </w:p>
    <w:p>
      <w:pPr>
        <w:pStyle w:val="Heading5"/>
        <w:numPr>
          <w:ilvl w:val="4"/>
          <w:numId w:val="1"/>
        </w:numPr>
        <w:rPr/>
      </w:pPr>
      <w:bookmarkStart w:id="2552" w:name="__RefHeading___Toc607266_1934241801"/>
      <w:bookmarkStart w:id="2553" w:name="_Toc1177"/>
      <w:bookmarkEnd w:id="2552"/>
      <w:r>
        <w:rPr>
          <w:rtl w:val="true"/>
        </w:rPr>
        <w:t>«</w:t>
      </w:r>
      <w:r>
        <w:rPr/>
        <w:t>17</w:t>
      </w:r>
      <w:r>
        <w:rPr>
          <w:rtl w:val="true"/>
        </w:rPr>
        <w:t>»</w:t>
      </w:r>
      <w:bookmarkEnd w:id="2553"/>
    </w:p>
    <w:p>
      <w:pPr>
        <w:pStyle w:val="BookText"/>
        <w:rPr/>
      </w:pPr>
      <w:r>
        <w:rPr>
          <w:rFonts w:ascii="Amiri" w:hAnsi="Amiri" w:eastAsia="Amiri" w:cs="Amiri"/>
          <w:color w:val="111111"/>
          <w:sz w:val="28"/>
          <w:sz w:val="28"/>
          <w:szCs w:val="28"/>
          <w:rtl w:val="true"/>
          <w:lang w:bidi="ar-SA"/>
        </w:rPr>
        <w:t>وَ مِنْهُ، عَنْ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قَالَتْ لِأَسْمَاءَ بِنْتِ عُمَيْسٍ يَا أُمِّ إِنِّي أَرَي النِّسَاءَ عَلَي جَنَائِزِهِنَّ إِذَا حُمِلْنَ عَلَيْهَا تَشِفُّ أَكْفَانُهُنَّ وَ إِنِّي أَكْرَهُ ذَلِكَ فَذَكَرَتْ لَهَا أَسْمَاءُ بِنْتُ عُمَيْسٍ النَّعْشَ فَقَالَتِ اصْنَعِيهِ عَلَي جِنَازَتِي فَفَعَلَتْ ذَلِكَ</w:t>
      </w:r>
      <w:r>
        <w:rPr>
          <w:rFonts w:eastAsia="Amiri" w:cs="Amiri" w:ascii="Amiri" w:hAnsi="Amiri"/>
          <w:color w:val="111111"/>
          <w:sz w:val="28"/>
          <w:szCs w:val="28"/>
          <w:rtl w:val="true"/>
          <w:lang w:bidi="ar-SA"/>
        </w:rPr>
        <w:t>.</w:t>
      </w:r>
    </w:p>
    <w:p>
      <w:pPr>
        <w:pStyle w:val="Heading5"/>
        <w:numPr>
          <w:ilvl w:val="4"/>
          <w:numId w:val="1"/>
        </w:numPr>
        <w:rPr/>
      </w:pPr>
      <w:bookmarkStart w:id="2554" w:name="__RefHeading___Toc607268_1934241801"/>
      <w:bookmarkStart w:id="2555" w:name="_Toc1178"/>
      <w:bookmarkEnd w:id="2554"/>
      <w:r>
        <w:rPr>
          <w:rtl w:val="true"/>
        </w:rPr>
        <w:t>«</w:t>
      </w:r>
      <w:r>
        <w:rPr/>
        <w:t>18</w:t>
      </w:r>
      <w:r>
        <w:rPr>
          <w:rtl w:val="true"/>
        </w:rPr>
        <w:t>»</w:t>
      </w:r>
      <w:bookmarkEnd w:id="2555"/>
    </w:p>
    <w:p>
      <w:pPr>
        <w:pStyle w:val="BookText"/>
        <w:rPr/>
      </w:pPr>
      <w:r>
        <w:rPr>
          <w:rFonts w:ascii="Amiri" w:hAnsi="Amiri" w:eastAsia="Amiri" w:cs="Amiri"/>
          <w:color w:val="111111"/>
          <w:sz w:val="28"/>
          <w:sz w:val="28"/>
          <w:szCs w:val="28"/>
          <w:rtl w:val="true"/>
          <w:lang w:bidi="ar-SA"/>
        </w:rPr>
        <w:t>كِتَابُ سُلَيْمِ بْنِ قَيْسٍ، عَنْ أَبَانِ بْنِ أَبِي عَيَّاشٍ عَنْهُ عَنْ سَلْمَانَ وَ ابْنِ عَبَّاسٍ فِي حَدِيثٍ طَوِيلٍ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فَاطِمَةُ بَعْدَ أَبِيهَا أَرْبَعِينَ لَيْلَةً فَلَمَّا اشْتَدَّ بِهَا الْأَمْرُ دَعَتْ عَلِيّاً وَ قَالَتْ يَا ابْنَ عَمِّ مَا أَرَانِي إِلَّا لِمَا بِي وَ أَنَا أُوصِيكَ بِأَنْ تَتَزَوَّجَ بِأُمَامَةَ بِنْتِ أُخْتِي زَيْنَبَ تَكُونُ لِوُلْدِي مِثْلِي وَ أَنْ تَتَّخِذَ لِي نَعْشاً فَإِنِّي رَأَيْتُ الْمَلَائِكَةَ يَصِفُونَهُ لِي وَ أَنْ لَا يَشْهَدَ أَحَدٌ مِنْ أَعْدَاءِ اللَّهِ جَنَازَتِي وَ لَا دَفْنِي وَ لَا الصَّلَاةَ عَلَيَّ فَدَفَنَهَا عَلِيٌّ عليه السلام لَيْلًا الْخَبَرَ</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6" w:name="__RefHeading___Toc607270_1934241801"/>
      <w:bookmarkStart w:id="2557" w:name="_Toc1179"/>
      <w:bookmarkEnd w:id="2556"/>
      <w:r>
        <w:rPr>
          <w:rtl w:val="true"/>
        </w:rPr>
        <w:t>«</w:t>
      </w:r>
      <w:r>
        <w:rPr/>
        <w:t>19</w:t>
      </w:r>
      <w:r>
        <w:rPr>
          <w:rtl w:val="true"/>
        </w:rPr>
        <w:t>»</w:t>
      </w:r>
      <w:bookmarkEnd w:id="2557"/>
    </w:p>
    <w:p>
      <w:pPr>
        <w:pStyle w:val="BookText"/>
        <w:rPr/>
      </w:pPr>
      <w:r>
        <w:rPr>
          <w:rFonts w:ascii="Amiri" w:hAnsi="Amiri" w:eastAsia="Amiri" w:cs="Amiri"/>
          <w:color w:val="111111"/>
          <w:sz w:val="28"/>
          <w:sz w:val="28"/>
          <w:szCs w:val="28"/>
          <w:rtl w:val="true"/>
          <w:lang w:bidi="ar-SA"/>
        </w:rPr>
        <w:t>كِتَابُ مُحَمَّدِ بْنِ الْمُثَنَّي الْحَضْرَمِيِّ، عَنْ جَعْفَرِ بْنِ مُحَمَّدِ بْنِ شُرَيْحٍ عَنْ ذَرِيحٍ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الْجِنَازَةِ أَ يُؤْذَنُ بِهَا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 صلّی الله علیه و آله که امشب وفات نموده است را حاضر کنید تا بر او نماز بگزاریم، پس رفت تا بر فاطمه حاضر شود، امّا علی علیه السلام او را به سوی مزارش خارج ساخته و دفن کرده بود و باز گشته بود، و ابوبکر امام علی علیه السلام را هنگام بازگشت مشاهده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تو مانند غسل دادن رسول خدا صلّی الله علیه و آله به تنهایی و محروم کردن ما از آن بود، پس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فاطمه خود وصیّت کرد که تو و عمر بر او نماز نگزارید</w:t>
      </w:r>
      <w:r>
        <w:rPr>
          <w:rFonts w:eastAsia="IRNazanin" w:cs="IRNazanin"/>
          <w:color w:val="111111"/>
          <w:sz w:val="28"/>
          <w:szCs w:val="28"/>
          <w:rtl w:val="true"/>
          <w:lang w:bidi="fa-IR"/>
        </w:rPr>
        <w:t>.</w:t>
      </w:r>
    </w:p>
    <w:p>
      <w:pPr>
        <w:pStyle w:val="Heading5"/>
        <w:numPr>
          <w:ilvl w:val="4"/>
          <w:numId w:val="1"/>
        </w:numPr>
        <w:rPr/>
      </w:pPr>
      <w:bookmarkStart w:id="2558" w:name="__RefHeading___Toc607272_1934241801"/>
      <w:bookmarkStart w:id="2559" w:name="_Toc1180"/>
      <w:bookmarkEnd w:id="2558"/>
      <w:r>
        <w:rPr>
          <w:rtl w:val="true"/>
        </w:rPr>
        <w:t xml:space="preserve">روایت </w:t>
      </w:r>
      <w:r>
        <w:rPr/>
        <w:t>17</w:t>
      </w:r>
      <w:bookmarkEnd w:id="2559"/>
    </w:p>
    <w:p>
      <w:pPr>
        <w:pStyle w:val="BookText"/>
        <w:rPr/>
      </w:pP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علی روایت شده که فاطمه علیهاالسلام به اسماء دختر عمیس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مادرم، من جسد زنان را مشاهده می کنم که بر تختی سرگشاده حمل می شود و کفن آنان روشنایی می دهد، از این امر کراهت دارم و آن را ناپسند می شمارم؛ پس اسماء دختر عمیس ذکر کرد که تابوتی سربسته در سرزمین حبشه ساخته می شود، فاطمه علیها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 من تابوت بساز، و اسماء چنان کرد</w:t>
      </w:r>
      <w:r>
        <w:rPr>
          <w:rFonts w:eastAsia="IRNazanin" w:cs="IRNazanin"/>
          <w:color w:val="111111"/>
          <w:sz w:val="28"/>
          <w:szCs w:val="28"/>
          <w:rtl w:val="true"/>
          <w:lang w:bidi="fa-IR"/>
        </w:rPr>
        <w:t>.</w:t>
      </w:r>
    </w:p>
    <w:p>
      <w:pPr>
        <w:pStyle w:val="Heading5"/>
        <w:numPr>
          <w:ilvl w:val="4"/>
          <w:numId w:val="1"/>
        </w:numPr>
        <w:rPr/>
      </w:pPr>
      <w:bookmarkStart w:id="2560" w:name="__RefHeading___Toc607274_1934241801"/>
      <w:bookmarkStart w:id="2561" w:name="_Toc1181"/>
      <w:bookmarkEnd w:id="2560"/>
      <w:r>
        <w:rPr>
          <w:rtl w:val="true"/>
        </w:rPr>
        <w:t xml:space="preserve">روایت </w:t>
      </w:r>
      <w:r>
        <w:rPr/>
        <w:t>18</w:t>
      </w:r>
      <w:bookmarkEnd w:id="2561"/>
    </w:p>
    <w:p>
      <w:pPr>
        <w:pStyle w:val="BookText"/>
        <w:rPr/>
      </w:pP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طولانی روایت شده که فاطمه علیها السلام چهل شبانه  روز بعد از پدرش بیمار گشت، و هنگامی  که شرایط بر او دشوار شد علی علیه السلام را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 مرا این چنین مشاهده نمی کنی مگر به خاطر غم و اندوهی که در درونم وجود دارد، من تو را سفارش می کنم که با أُمامه دختر خواهرم زینب ازدواج کنی که با فرزندانم چون خودم رفتار خواهد کرد، و برای من تابوتی بسازی چه که ملائکه را مشاهده نمودم که آن را برایم توصیف می کردند، و سرانجام اینکه هیچ یک از دشمنان خدا در مراسم تشییع جنازه، خاکسپاری و نمازگزاردن بر من حضور نیابند، پس علی علیه السلام فاطمه علیهاالسلام را شبانه به خاک سپرد، تا آخرحدیث</w:t>
      </w:r>
      <w:r>
        <w:rPr>
          <w:rFonts w:eastAsia="IRNazanin" w:cs="IRNazanin"/>
          <w:color w:val="111111"/>
          <w:sz w:val="28"/>
          <w:szCs w:val="28"/>
          <w:rtl w:val="true"/>
          <w:lang w:bidi="fa-IR"/>
        </w:rPr>
        <w:t>.</w:t>
      </w:r>
      <w:r>
        <w:rPr>
          <w:rStyle w:val="FootnoteAnchor"/>
          <w:rtl w:val="true"/>
        </w:rPr>
        <w:footnoteReference w:id="1234"/>
      </w:r>
    </w:p>
    <w:p>
      <w:pPr>
        <w:pStyle w:val="Heading5"/>
        <w:numPr>
          <w:ilvl w:val="4"/>
          <w:numId w:val="1"/>
        </w:numPr>
        <w:rPr/>
      </w:pPr>
      <w:bookmarkStart w:id="2562" w:name="__RefHeading___Toc607276_1934241801"/>
      <w:bookmarkStart w:id="2563" w:name="_Toc1182"/>
      <w:bookmarkEnd w:id="2562"/>
      <w:r>
        <w:rPr>
          <w:rtl w:val="true"/>
        </w:rPr>
        <w:t xml:space="preserve">روایت </w:t>
      </w:r>
      <w:r>
        <w:rPr/>
        <w:t>19</w:t>
      </w:r>
      <w:bookmarkEnd w:id="256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محمد بن المثنی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ذریح المحاربّی روایت شده که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برگزاری مراسم تشییع جنازه خبر داده می 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bookmarkStart w:id="2564" w:name="pg13517_329288"/>
    </w:p>
    <w:p>
      <w:pPr>
        <w:pStyle w:val="Heading3"/>
        <w:numPr>
          <w:ilvl w:val="2"/>
          <w:numId w:val="1"/>
        </w:numPr>
        <w:rPr/>
      </w:pPr>
      <w:bookmarkStart w:id="2565" w:name="__RefHeading___Toc607278_1934241801"/>
      <w:bookmarkStart w:id="2566" w:name="_Toc1183"/>
      <w:bookmarkEnd w:id="2564"/>
      <w:bookmarkEnd w:id="2565"/>
      <w:r>
        <w:rPr>
          <w:rtl w:val="true"/>
        </w:rPr>
        <w:t xml:space="preserve">باب </w:t>
      </w:r>
      <w:r>
        <w:rPr/>
        <w:t>7</w:t>
      </w:r>
      <w:r>
        <w:rPr>
          <w:rtl w:val="true"/>
        </w:rPr>
        <w:t xml:space="preserve"> </w:t>
      </w:r>
      <w:r>
        <w:rPr>
          <w:rtl w:val="true"/>
        </w:rPr>
        <w:t>تشييع الجنازة و سننه و آدابه</w:t>
      </w:r>
      <w:bookmarkEnd w:id="2566"/>
    </w:p>
    <w:p>
      <w:pPr>
        <w:pStyle w:val="Heading4"/>
        <w:numPr>
          <w:ilvl w:val="3"/>
          <w:numId w:val="1"/>
        </w:numPr>
        <w:rPr/>
      </w:pPr>
      <w:bookmarkStart w:id="2567" w:name="__RefHeading___Toc607280_1934241801"/>
      <w:bookmarkStart w:id="2568" w:name="_Toc1184"/>
      <w:bookmarkEnd w:id="2567"/>
      <w:r>
        <w:rPr>
          <w:rtl w:val="true"/>
        </w:rPr>
        <w:t>روايات</w:t>
      </w:r>
      <w:bookmarkEnd w:id="2568"/>
    </w:p>
    <w:p>
      <w:pPr>
        <w:pStyle w:val="Heading5"/>
        <w:numPr>
          <w:ilvl w:val="4"/>
          <w:numId w:val="1"/>
        </w:numPr>
        <w:rPr/>
      </w:pPr>
      <w:bookmarkStart w:id="2569" w:name="__RefHeading___Toc607282_1934241801"/>
      <w:bookmarkStart w:id="2570" w:name="_Toc1185"/>
      <w:bookmarkEnd w:id="2569"/>
      <w:r>
        <w:rPr>
          <w:rtl w:val="true"/>
        </w:rPr>
        <w:t>«</w:t>
      </w:r>
      <w:r>
        <w:rPr/>
        <w:t>1</w:t>
      </w:r>
      <w:r>
        <w:rPr>
          <w:rtl w:val="true"/>
        </w:rPr>
        <w:t>»</w:t>
      </w:r>
      <w:bookmarkEnd w:id="2570"/>
    </w:p>
    <w:p>
      <w:pPr>
        <w:pStyle w:val="BookText"/>
        <w:rPr/>
      </w:pPr>
      <w:r>
        <w:rPr>
          <w:rFonts w:ascii="Amiri" w:hAnsi="Amiri" w:eastAsia="Amiri" w:cs="Amiri"/>
          <w:color w:val="111111"/>
          <w:sz w:val="28"/>
          <w:sz w:val="28"/>
          <w:szCs w:val="28"/>
          <w:rtl w:val="true"/>
          <w:lang w:bidi="ar-SA"/>
        </w:rPr>
        <w:t>مَجَالِسُ الصَّدُوقِ، عَنْ أَبِيهِ عَنْ سَعْدِ بْنِ عَبْدِ اللَّهِ عَنِ الْهَيْثَمِ النَّهْدِيِّ عَنِ ابْنِ مَحْبُوبٍ عَنْ دَاوُدَ بْنِ كَثِيرٍ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شَيَّعَ جَنَازَةَ مُؤْمِنٍ حَتَّي يُدْفَنَ فِي قَبْرِهِ وَكَّلَ اللَّهُ عَزَّ وَ جَلَّ سَبْعِينَ أَلْفَ مَلَكٍ مِنَ الْمُشَيِّعِينَ يُشَيِّعُونَهُ وَ يَسْتَغْفِرُونَ لَهُ إِذَا خَرَجَ مِنْ قَبْرِهِ‌</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1" w:name="__RefHeading___Toc607284_1934241801"/>
      <w:bookmarkStart w:id="2572" w:name="_Toc1186"/>
      <w:bookmarkEnd w:id="2571"/>
      <w:r>
        <w:rPr>
          <w:rtl w:val="true"/>
        </w:rPr>
        <w:t>«</w:t>
      </w:r>
      <w:r>
        <w:rPr/>
        <w:t>2</w:t>
      </w:r>
      <w:r>
        <w:rPr>
          <w:rtl w:val="true"/>
        </w:rPr>
        <w:t>»</w:t>
      </w:r>
      <w:bookmarkEnd w:id="2572"/>
    </w:p>
    <w:p>
      <w:pPr>
        <w:pStyle w:val="BookText"/>
        <w:rPr/>
      </w:pPr>
      <w:r>
        <w:rPr>
          <w:rFonts w:ascii="Amiri" w:hAnsi="Amiri" w:eastAsia="Amiri" w:cs="Amiri"/>
          <w:color w:val="111111"/>
          <w:sz w:val="28"/>
          <w:sz w:val="28"/>
          <w:szCs w:val="28"/>
          <w:rtl w:val="true"/>
          <w:lang w:bidi="ar-SA"/>
        </w:rPr>
        <w:t>وَ مِنْهُ، عَنْ مُحَمَّدِ بْنِ الْحَسَنِ بْنِ الْوَلِيدِ عَنْ مُحَمَّدِ بْنِ الْحَسَنِ الصَّفَّارِ عَنْ أَحْمَدَ بْنِ مُحَمَّدِ بْنِ عِيسَي عَنِ الْحَسَنِ بْنِ عَلِيِّ بْنِ فَضَّالٍ عَنْ عَلِيِّ بْنِ عُقْبَةَ عَنْ مُيَسِّرٍ قَالَ سَمِعْتُ أَبَا جَعْفَرٍ الْبَاقِرَ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شَيَّعَ جَنَازَةَ امْرِئٍ مُسْلِمٍ أُعْطِيَ يَوْمَ الْقِيَامَةِ أَرْبَعَ شَفَاعَاتٍ وَ لَمْ يَقُلْ شَيْئاً إِلَّا قَالَ الْمَلَكُ وَ لَكَ مِثْلُ ذَلِكَ‌</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3" w:name="__RefHeading___Toc607286_1934241801"/>
      <w:bookmarkStart w:id="2574" w:name="_Toc1187"/>
      <w:bookmarkEnd w:id="2573"/>
      <w:r>
        <w:rPr>
          <w:rtl w:val="true"/>
        </w:rPr>
        <w:t>بيان</w:t>
      </w:r>
      <w:bookmarkEnd w:id="2574"/>
    </w:p>
    <w:p>
      <w:pPr>
        <w:pStyle w:val="BookText"/>
        <w:rPr/>
      </w:pPr>
      <w:r>
        <w:rPr>
          <w:rFonts w:ascii="Amiri" w:hAnsi="Amiri" w:eastAsia="Amiri" w:cs="Amiri"/>
          <w:color w:val="111111"/>
          <w:sz w:val="28"/>
          <w:sz w:val="28"/>
          <w:szCs w:val="28"/>
          <w:rtl w:val="true"/>
          <w:lang w:bidi="ar-SA"/>
        </w:rPr>
        <w:t>قوله عليه السلام أربع شفاعات أي تقبل شفاعته في أربعة من المذنبين أو في أربع حوائج من حوائجه قوله عليه السلام و لم يقل شيئا أي من الدعاء للميت بالمغفرة و غيرها إلا دعا له الملك بمثله و دعاؤه لا يرد</w:t>
      </w:r>
      <w:r>
        <w:rPr>
          <w:rFonts w:eastAsia="Amiri" w:cs="Amiri" w:ascii="Amiri" w:hAnsi="Amiri"/>
          <w:color w:val="111111"/>
          <w:sz w:val="28"/>
          <w:szCs w:val="28"/>
          <w:rtl w:val="true"/>
          <w:lang w:bidi="ar-SA"/>
        </w:rPr>
        <w:t>.</w:t>
      </w:r>
    </w:p>
    <w:p>
      <w:pPr>
        <w:pStyle w:val="Heading5"/>
        <w:numPr>
          <w:ilvl w:val="4"/>
          <w:numId w:val="1"/>
        </w:numPr>
        <w:rPr/>
      </w:pPr>
      <w:bookmarkStart w:id="2575" w:name="__RefHeading___Toc607288_1934241801"/>
      <w:bookmarkStart w:id="2576" w:name="_Toc1188"/>
      <w:bookmarkEnd w:id="2575"/>
      <w:r>
        <w:rPr>
          <w:rtl w:val="true"/>
        </w:rPr>
        <w:t>«</w:t>
      </w:r>
      <w:r>
        <w:rPr/>
        <w:t>3</w:t>
      </w:r>
      <w:r>
        <w:rPr>
          <w:rtl w:val="true"/>
        </w:rPr>
        <w:t>»</w:t>
      </w:r>
      <w:bookmarkEnd w:id="2576"/>
    </w:p>
    <w:p>
      <w:pPr>
        <w:pStyle w:val="BookText"/>
        <w:rPr/>
      </w:pPr>
      <w:r>
        <w:rPr>
          <w:rFonts w:ascii="Amiri" w:hAnsi="Amiri" w:eastAsia="Amiri" w:cs="Amiri"/>
          <w:color w:val="111111"/>
          <w:sz w:val="28"/>
          <w:sz w:val="28"/>
          <w:szCs w:val="28"/>
          <w:rtl w:val="true"/>
          <w:lang w:bidi="ar-SA"/>
        </w:rPr>
        <w:t>الْمَجَالِسُ، عَنْ حَمْزَةَ الْعَلَوِيِّ عَنْ عَبْدِ الْعَزِيزِ بْنِ مُحَمَّدٍ الْأَبْهَرِيِّ عَنْ مُحَمَّدِ بْنِ زَكَرِيَّا الْجَوْهَرِيِّ عَنْ شُعَيْبِ بْنِ وَاقِدٍ عَنِ الْحُسَيْنِ بْنِ زَيْدٍ عَنِ الصَّادِقِ عليه السلام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رَسُولُ اللَّهِ صلي الله عليه و آله عَنِ الرَّنَّةِ عِنْدَ الْمُصِيبَةِ وَ نَهَي عَنِ النِّيَاحَةِ وَ الِاسْتِمَاعِ إِلَيْهَا وَ نَهَي عَنِ اتِّبَاعِ النِّسَاءِ الْجَنَائِزَ</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وَ مَنْ صَلَّي عَلَي مَيِّتٍ صَلَّي عَلَيْهِ سَبْعُونَ أَلْفَ مَلَكٍ وَ غَفَرَ اللَّهُ لَهُ مَا تَقَدَّمَ مِنْ ذَنْبِهِ فَإِنْ أَقَامَ حَتَّي يُدْفَنَ وَ يُحْثَي عَلَيْهِ التُّرَابُ كَانَ لَهُ بِكُلِّ قَدَمٍ نَقَلَهَا</w:t>
      </w:r>
    </w:p>
    <w:p>
      <w:pPr>
        <w:pStyle w:val="Heading3"/>
        <w:numPr>
          <w:ilvl w:val="2"/>
          <w:numId w:val="1"/>
        </w:numPr>
        <w:rPr/>
      </w:pPr>
      <w:bookmarkStart w:id="2577" w:name="__RefHeading___Toc607290_1934241801"/>
      <w:bookmarkStart w:id="2578" w:name="_Toc1189"/>
      <w:bookmarkEnd w:id="2577"/>
      <w:r>
        <w:rPr>
          <w:rtl w:val="true"/>
        </w:rPr>
        <w:t xml:space="preserve">باب هفتم </w:t>
      </w:r>
      <w:r>
        <w:rPr>
          <w:rtl w:val="true"/>
        </w:rPr>
        <w:t xml:space="preserve">: </w:t>
      </w:r>
      <w:r>
        <w:rPr>
          <w:rtl w:val="true"/>
        </w:rPr>
        <w:t>تشییع جنازه و آداب و سنن مربوط به آن</w:t>
      </w:r>
      <w:bookmarkEnd w:id="2578"/>
    </w:p>
    <w:p>
      <w:pPr>
        <w:pStyle w:val="Heading4"/>
        <w:numPr>
          <w:ilvl w:val="3"/>
          <w:numId w:val="1"/>
        </w:numPr>
        <w:rPr/>
      </w:pPr>
      <w:bookmarkStart w:id="2579" w:name="__RefHeading___Toc607292_1934241801"/>
      <w:bookmarkStart w:id="2580" w:name="_Toc1190"/>
      <w:bookmarkEnd w:id="2579"/>
      <w:r>
        <w:rPr>
          <w:rtl w:val="true"/>
        </w:rPr>
        <w:t>روایات</w:t>
      </w:r>
      <w:bookmarkEnd w:id="2580"/>
    </w:p>
    <w:p>
      <w:pPr>
        <w:pStyle w:val="Heading5"/>
        <w:numPr>
          <w:ilvl w:val="4"/>
          <w:numId w:val="1"/>
        </w:numPr>
        <w:rPr/>
      </w:pPr>
      <w:bookmarkStart w:id="2581" w:name="__RefHeading___Toc607294_1934241801"/>
      <w:bookmarkStart w:id="2582" w:name="_Toc1191"/>
      <w:bookmarkEnd w:id="2581"/>
      <w:r>
        <w:rPr>
          <w:rtl w:val="true"/>
        </w:rPr>
        <w:t xml:space="preserve">روایت </w:t>
      </w:r>
      <w:r>
        <w:rPr/>
        <w:t>1</w:t>
      </w:r>
      <w:bookmarkEnd w:id="2582"/>
    </w:p>
    <w:p>
      <w:p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مراسم تشییع جنازه مؤمنی شرکت کند تا در قبرش دفن  گردد، خداوند هفتاد هزار فرشته را برای تشییع جنازه خود او فرو می فرستد و هنگامی  که از قبرش خارج می شود برای او طلب مغفرت می کنند</w:t>
      </w:r>
      <w:r>
        <w:rPr>
          <w:rFonts w:eastAsia="IRNazanin" w:cs="IRNazanin"/>
          <w:color w:val="111111"/>
          <w:sz w:val="28"/>
          <w:szCs w:val="28"/>
          <w:rtl w:val="true"/>
          <w:lang w:bidi="fa-IR"/>
        </w:rPr>
        <w:t>.</w:t>
      </w:r>
      <w:r>
        <w:rPr>
          <w:rStyle w:val="FootnoteAnchor"/>
          <w:rtl w:val="true"/>
        </w:rPr>
        <w:footnoteReference w:id="1238"/>
      </w:r>
    </w:p>
    <w:p>
      <w:pPr>
        <w:pStyle w:val="Heading5"/>
        <w:numPr>
          <w:ilvl w:val="4"/>
          <w:numId w:val="1"/>
        </w:numPr>
        <w:rPr/>
      </w:pPr>
      <w:bookmarkStart w:id="2583" w:name="__RefHeading___Toc607296_1934241801"/>
      <w:bookmarkStart w:id="2584" w:name="_Toc1192"/>
      <w:bookmarkEnd w:id="2583"/>
      <w:r>
        <w:rPr>
          <w:rtl w:val="true"/>
        </w:rPr>
        <w:t xml:space="preserve">روایت </w:t>
      </w:r>
      <w:r>
        <w:rPr/>
        <w:t>2</w:t>
      </w:r>
      <w:bookmarkEnd w:id="2584"/>
    </w:p>
    <w:p>
      <w:p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شنیده شده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مراسم تشییع جنازه انسان مسلمانی شرکت کند، در روز قیامت چهار مرتبه شفاعت کردن به او بخشیده می شود، و چیزی نمی گوید مگر اینکه فرشتگان در پاسخ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تو نیز چنین پاداشی وجود دارد</w:t>
      </w:r>
      <w:r>
        <w:rPr>
          <w:rFonts w:eastAsia="IRNazanin" w:cs="IRNazanin"/>
          <w:color w:val="111111"/>
          <w:sz w:val="28"/>
          <w:szCs w:val="28"/>
          <w:rtl w:val="true"/>
          <w:lang w:bidi="fa-IR"/>
        </w:rPr>
        <w:t>.</w:t>
      </w:r>
      <w:r>
        <w:rPr>
          <w:rStyle w:val="FootnoteAnchor"/>
          <w:rtl w:val="true"/>
        </w:rPr>
        <w:footnoteReference w:id="1239"/>
      </w:r>
    </w:p>
    <w:p>
      <w:pPr>
        <w:pStyle w:val="Heading5"/>
        <w:numPr>
          <w:ilvl w:val="4"/>
          <w:numId w:val="1"/>
        </w:numPr>
        <w:rPr/>
      </w:pPr>
      <w:bookmarkStart w:id="2585" w:name="__RefHeading___Toc607298_1934241801"/>
      <w:bookmarkStart w:id="2586" w:name="_Toc1193"/>
      <w:bookmarkEnd w:id="2585"/>
      <w:r>
        <w:rPr>
          <w:rtl w:val="true"/>
        </w:rPr>
        <w:t>توضیح</w:t>
      </w:r>
      <w:bookmarkEnd w:id="2586"/>
    </w:p>
    <w:p>
      <w:pPr>
        <w:pStyle w:val="BookText"/>
        <w:rPr/>
      </w:pPr>
      <w:r>
        <w:rPr>
          <w:rFonts w:ascii="IRNazanin" w:hAnsi="IRNazanin" w:eastAsia="IRNazanin"/>
          <w:color w:val="111111"/>
          <w:sz w:val="28"/>
          <w:sz w:val="28"/>
          <w:szCs w:val="28"/>
          <w:rtl w:val="true"/>
          <w:lang w:bidi="fa-IR"/>
        </w:rPr>
        <w:t>این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شفاعات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او در مورد چهار نفر از گناهکاران یا در مورد چهار حاجات از حاجات های او پذیرفته می شود، و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یَقُل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در مراسم تشییع جنازه شرکت می کند، هر دعایی را برای میّت بخواند و برای او طلب استغفار یا چیز دیگری کند، فرشتگان مانند آن دعا را برای خود او تکرار می کنند و دعای چنین شخصی ردّ نخواهد شد </w:t>
      </w:r>
      <w:r>
        <w:rPr>
          <w:rFonts w:eastAsia="IRNazanin" w:cs="IRNazanin"/>
          <w:color w:val="111111"/>
          <w:sz w:val="28"/>
          <w:szCs w:val="28"/>
          <w:rtl w:val="true"/>
          <w:lang w:bidi="fa-IR"/>
        </w:rPr>
        <w:t>.</w:t>
      </w:r>
    </w:p>
    <w:p>
      <w:pPr>
        <w:pStyle w:val="Heading5"/>
        <w:numPr>
          <w:ilvl w:val="4"/>
          <w:numId w:val="1"/>
        </w:numPr>
        <w:rPr/>
      </w:pPr>
      <w:bookmarkStart w:id="2587" w:name="__RefHeading___Toc607300_1934241801"/>
      <w:bookmarkStart w:id="2588" w:name="_Toc1194"/>
      <w:bookmarkEnd w:id="2587"/>
      <w:r>
        <w:rPr>
          <w:rtl w:val="true"/>
        </w:rPr>
        <w:t xml:space="preserve">روایت </w:t>
      </w:r>
      <w:r>
        <w:rPr/>
        <w:t>3</w:t>
      </w:r>
      <w:bookmarkEnd w:id="2588"/>
    </w:p>
    <w:p>
      <w:pPr>
        <w:pStyle w:val="BookText"/>
        <w:rPr/>
      </w:pP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 السلام روایت کرده است که رسول خدا صلّی الله علیه وآله از آه و ناله سر دادن هنگام دچار شدن به مصیبت، نوحه خوانی و گوش دادن به آن و رفتن زنان به دنبال جنازه منع فرموده است</w:t>
      </w:r>
      <w:r>
        <w:rPr>
          <w:rFonts w:eastAsia="IRNazanin" w:cs="IRNazanin"/>
          <w:color w:val="111111"/>
          <w:sz w:val="28"/>
          <w:szCs w:val="28"/>
          <w:rtl w:val="true"/>
          <w:lang w:bidi="fa-IR"/>
        </w:rPr>
        <w:t>.</w:t>
      </w:r>
      <w:r>
        <w:rPr>
          <w:rStyle w:val="FootnoteAnchor"/>
          <w:rtl w:val="true"/>
        </w:rPr>
        <w:footnoteReference w:id="1240"/>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بر میّتی نماز بگزارد، هفتاد هزار فرشته بر او نماز می گزارند و خداوند گناهان قبلی او را خواهد بخشید، پس اگر توقف نماید تا میّت دفن می گردد و بر او خاک پاشیده می شود، به اندازه هر قدمی که برداشته است </w:t>
      </w:r>
      <w:bookmarkStart w:id="2589" w:name="pg13517_329289"/>
    </w:p>
    <w:p>
      <w:pPr>
        <w:pStyle w:val="BookText"/>
        <w:rPr/>
      </w:pPr>
      <w:bookmarkEnd w:id="2589"/>
      <w:r>
        <w:rPr>
          <w:rFonts w:ascii="Amiri" w:hAnsi="Amiri" w:eastAsia="Amiri" w:cs="Amiri"/>
          <w:color w:val="111111"/>
          <w:sz w:val="28"/>
          <w:sz w:val="28"/>
          <w:szCs w:val="28"/>
          <w:rtl w:val="true"/>
          <w:lang w:bidi="ar-SA"/>
        </w:rPr>
        <w:t>قِيرَاطٌ مِنَ الْأَجْرِ وَ الْقِيرَاطُ مِثْلُ جَبَلِ أُحُدٍ</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0" w:name="__RefHeading___Toc607302_1934241801"/>
      <w:bookmarkStart w:id="2591" w:name="_Toc1195"/>
      <w:bookmarkEnd w:id="2590"/>
      <w:r>
        <w:rPr>
          <w:rtl w:val="true"/>
        </w:rPr>
        <w:t>بيان</w:t>
      </w:r>
      <w:bookmarkEnd w:id="2591"/>
    </w:p>
    <w:p>
      <w:pPr>
        <w:pStyle w:val="BookText"/>
        <w:rPr/>
      </w:pPr>
      <w:r>
        <w:rPr>
          <w:rFonts w:ascii="Amiri" w:hAnsi="Amiri" w:eastAsia="Amiri" w:cs="Amiri"/>
          <w:color w:val="111111"/>
          <w:sz w:val="28"/>
          <w:sz w:val="28"/>
          <w:szCs w:val="28"/>
          <w:rtl w:val="true"/>
          <w:lang w:bidi="ar-SA"/>
        </w:rPr>
        <w:t>المشهور بين الأصحاب كراهة اتباع النساء الجنائز و الأخبار الدالة عليها لا تخلو من ضعف و وردت أخبار كثيرة بجواز صلاتهن علي الجنازة فإن فاطمة صلوات الله عليها صلت علي أختها و القيراط نصف عشر الدينار و المراد هنا قدر من الثواب و التشبيه بجبل أحد من قبيل تشبيه المعقول بالمحسوس أي كان ذلك الثواب عظيما ممتازا بالنسبة إلي سائر المثوبات الأخروية كما أن جبل أحد مشهور ممتاز في العظمة بين الأجسام المحسوسة في الدنيا و يحتمل أن يكون المراد أن هذا العمل له هذا الثقل في ميزان عمله إما بناء علي تجسم الأعمال كما ذهب إليه بعض أو تثقيل الدفتر المكتوب فيه العمل بقدر ما يستحقه ذلك العمل من الثواب كما ذهب إليه آخرون و قد سبق الكلام فيه</w:t>
      </w:r>
      <w:r>
        <w:rPr>
          <w:rFonts w:eastAsia="Amiri" w:cs="Amiri" w:ascii="Amiri" w:hAnsi="Amiri"/>
          <w:color w:val="111111"/>
          <w:sz w:val="28"/>
          <w:szCs w:val="28"/>
          <w:rtl w:val="true"/>
          <w:lang w:bidi="ar-SA"/>
        </w:rPr>
        <w:t>.</w:t>
      </w:r>
    </w:p>
    <w:p>
      <w:pPr>
        <w:pStyle w:val="Heading5"/>
        <w:numPr>
          <w:ilvl w:val="4"/>
          <w:numId w:val="1"/>
        </w:numPr>
        <w:rPr/>
      </w:pPr>
      <w:bookmarkStart w:id="2592" w:name="__RefHeading___Toc607304_1934241801"/>
      <w:bookmarkStart w:id="2593" w:name="_Toc1196"/>
      <w:bookmarkEnd w:id="2592"/>
      <w:r>
        <w:rPr>
          <w:rtl w:val="true"/>
        </w:rPr>
        <w:t>«</w:t>
      </w:r>
      <w:r>
        <w:rPr/>
        <w:t>4</w:t>
      </w:r>
      <w:r>
        <w:rPr>
          <w:rtl w:val="true"/>
        </w:rPr>
        <w:t>»</w:t>
      </w:r>
      <w:bookmarkEnd w:id="2593"/>
    </w:p>
    <w:p>
      <w:pPr>
        <w:pStyle w:val="BookText"/>
        <w:rPr/>
      </w:pPr>
      <w:r>
        <w:rPr>
          <w:rFonts w:ascii="Amiri" w:hAnsi="Amiri" w:eastAsia="Amiri" w:cs="Amiri"/>
          <w:color w:val="111111"/>
          <w:sz w:val="28"/>
          <w:sz w:val="28"/>
          <w:szCs w:val="28"/>
          <w:rtl w:val="true"/>
          <w:lang w:bidi="ar-SA"/>
        </w:rPr>
        <w:t>قُرْبُ الْإِسْنَادِ، عَنْ هَارُونَ بْنِ مُسْلِمٍ عَنْ مَسْعَدَةَ بْنِ زِيَادٍ عَنِ الصَّادِقِ عَنْ أَبِيهِ عليهما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دُعِيتُمْ إِلَي الْعُرُسَاتِ فَأَبْطِئُوا فَإِنَّهَا تُذَكِّرُ الدُّنْيَا وَ إِذَا دُعِيتُمْ إِلَي الْجَنَائِزِ فَأَسْرِعُوا</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4" w:name="__RefHeading___Toc607306_1934241801"/>
      <w:bookmarkStart w:id="2595" w:name="_Toc1197"/>
      <w:bookmarkEnd w:id="2594"/>
      <w:r>
        <w:rPr>
          <w:rtl w:val="true"/>
        </w:rPr>
        <w:t>بيان</w:t>
      </w:r>
      <w:bookmarkEnd w:id="2595"/>
    </w:p>
    <w:p>
      <w:pPr>
        <w:pStyle w:val="BookText"/>
        <w:rPr/>
      </w:pPr>
      <w:r>
        <w:rPr>
          <w:rFonts w:ascii="Amiri" w:hAnsi="Amiri" w:eastAsia="Amiri" w:cs="Amiri"/>
          <w:color w:val="111111"/>
          <w:sz w:val="28"/>
          <w:sz w:val="28"/>
          <w:szCs w:val="28"/>
          <w:rtl w:val="true"/>
          <w:lang w:bidi="ar-SA"/>
        </w:rPr>
        <w:t>يحتمل أن يكون الإبطاء و الإسراع محمولين علي الحقيقة أو علي التجوز كناية عن الاهتمام به و عدمه قال في الذكري لو دعي إلي وليمة و جنازة قدم الجنازة لخبر إسماعيل بن أبي زياد عن الصادق عن أبيه عن النبي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معللا بأن الجنازة تذكر الآخرة و الوليمة تذكر الدنيا</w:t>
      </w:r>
      <w:r>
        <w:rPr>
          <w:rFonts w:eastAsia="Amiri" w:cs="Amiri" w:ascii="Amiri" w:hAnsi="Amiri"/>
          <w:color w:val="111111"/>
          <w:sz w:val="28"/>
          <w:szCs w:val="28"/>
          <w:rtl w:val="true"/>
          <w:lang w:bidi="ar-SA"/>
        </w:rPr>
        <w:t>.</w:t>
      </w:r>
    </w:p>
    <w:p>
      <w:pPr>
        <w:pStyle w:val="Heading5"/>
        <w:numPr>
          <w:ilvl w:val="4"/>
          <w:numId w:val="1"/>
        </w:numPr>
        <w:rPr/>
      </w:pPr>
      <w:bookmarkStart w:id="2596" w:name="__RefHeading___Toc607308_1934241801"/>
      <w:bookmarkStart w:id="2597" w:name="_Toc1198"/>
      <w:bookmarkEnd w:id="2596"/>
      <w:r>
        <w:rPr>
          <w:rtl w:val="true"/>
        </w:rPr>
        <w:t>«</w:t>
      </w:r>
      <w:r>
        <w:rPr/>
        <w:t>5</w:t>
      </w:r>
      <w:r>
        <w:rPr>
          <w:rtl w:val="true"/>
        </w:rPr>
        <w:t>»</w:t>
      </w:r>
      <w:bookmarkEnd w:id="2597"/>
    </w:p>
    <w:p>
      <w:pPr>
        <w:pStyle w:val="BookText"/>
        <w:rPr/>
      </w:pPr>
      <w:r>
        <w:rPr>
          <w:rFonts w:ascii="Amiri" w:hAnsi="Amiri" w:eastAsia="Amiri" w:cs="Amiri"/>
          <w:color w:val="111111"/>
          <w:sz w:val="28"/>
          <w:sz w:val="28"/>
          <w:szCs w:val="28"/>
          <w:rtl w:val="true"/>
          <w:lang w:bidi="ar-SA"/>
        </w:rPr>
        <w:t>الْخِصَالُ، عَنْ مُحَمَّدِ بْنِ مُوسَي بْنِ الْمُتَوَكِّلِ عَنْ عَلِيِّ بْنِ الْحُسَيْنِ السَّعْدَآبَادِيِّ عَنْ أَحْمَدَ بْنِ أَبِي عَبْدِ اللَّهِ الْبَرْقِيِّ عَنْ أَبِيهِ عَنِ ابْنِ أَبِي عُمَيْرٍ عَنِ الْحُسَيْنِ بْنِ عُثْمَانَ وَ ابْنِ أَبِي حَمْزَةَ عَنْ إِسْحَاقَ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أَوَّلُ مَا يُتْحَفُ بِهِ الْمُؤْمِنُ قَالَ يُغْفَرُ لِمَنْ تَبِعَ جَنَازَتَهُ‌</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قیراط اجر و پاداش برای او در نظر گرفته می شود، و هر قیراط به اندازه کوه احد است</w:t>
      </w:r>
      <w:r>
        <w:rPr>
          <w:rFonts w:eastAsia="IRNazanin" w:cs="IRNazanin"/>
          <w:color w:val="111111"/>
          <w:sz w:val="28"/>
          <w:szCs w:val="28"/>
          <w:rtl w:val="true"/>
          <w:lang w:bidi="fa-IR"/>
        </w:rPr>
        <w:t>.</w:t>
      </w:r>
      <w:r>
        <w:rPr>
          <w:rStyle w:val="FootnoteAnchor"/>
          <w:rtl w:val="true"/>
        </w:rPr>
        <w:footnoteReference w:id="1244"/>
      </w:r>
    </w:p>
    <w:p>
      <w:pPr>
        <w:pStyle w:val="Heading5"/>
        <w:numPr>
          <w:ilvl w:val="4"/>
          <w:numId w:val="1"/>
        </w:numPr>
        <w:rPr/>
      </w:pPr>
      <w:bookmarkStart w:id="2598" w:name="__RefHeading___Toc607310_1934241801"/>
      <w:bookmarkStart w:id="2599" w:name="_Toc1199"/>
      <w:bookmarkEnd w:id="2598"/>
      <w:r>
        <w:rPr>
          <w:rtl w:val="true"/>
        </w:rPr>
        <w:t>توضیح</w:t>
      </w:r>
      <w:bookmarkEnd w:id="2599"/>
    </w:p>
    <w:p>
      <w:pPr>
        <w:pStyle w:val="BookText"/>
        <w:rPr/>
      </w:pPr>
      <w:r>
        <w:rPr>
          <w:rFonts w:ascii="IRNazanin" w:hAnsi="IRNazanin" w:eastAsia="IRNazanin"/>
          <w:color w:val="111111"/>
          <w:sz w:val="28"/>
          <w:sz w:val="28"/>
          <w:szCs w:val="28"/>
          <w:rtl w:val="true"/>
          <w:lang w:bidi="fa-IR"/>
        </w:rPr>
        <w:t xml:space="preserve">نظر مشهور در بین فقها مکروه بودن رفتن زنان به دنبال جنازه است، ولی احادیثی که بر این کراهت دلالت می کنند خالی از ضعف نیستند، و احادیث بسیاری در مورد جواز نماز گزاردن زنان بر جنازه روایت شده است، چه که فاطمه صلوات الله علیها بر جنازه خواهرش نماز گزارد؛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یک دهم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بیستم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مقصود از آن در حدیث اخیر اندازه معینی از ثواب می باشد، و تشبیه کردن آن به کوه احد از باب تشبیه معقول به محسوس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و عظمت ثواب در نظر گرفته شده برای چنین عملی به نسبت سایر ثوابهای اخروی مانند شهرت و امتیاز کوه احد در بزرگی و عظمت نسبت به سایر اجسام محسوس موجود در دنیاست، همچنین ممکن است مقصود از ذکر قیراط در این حدیث چنین باشد که این عمل در کارنامه اعمال او دارای چنین وزنی است یا بر مبنای مجسّم نمودن اعمال، آن گونه که عدّه ای براین باورند، یا سنگین کردن دفتری که اعمال در آن نوشته می شود به اندازه ای که آن عمل شایسته اجر و ثواب است، آن گونه که عده ای دیگر پنداشته اند، و قبلاً در این باره سخن گفته شد</w:t>
      </w:r>
      <w:r>
        <w:rPr>
          <w:rFonts w:eastAsia="IRNazanin" w:cs="IRNazanin"/>
          <w:color w:val="111111"/>
          <w:sz w:val="28"/>
          <w:szCs w:val="28"/>
          <w:rtl w:val="true"/>
          <w:lang w:bidi="fa-IR"/>
        </w:rPr>
        <w:t>.</w:t>
      </w:r>
    </w:p>
    <w:p>
      <w:pPr>
        <w:pStyle w:val="Heading5"/>
        <w:numPr>
          <w:ilvl w:val="4"/>
          <w:numId w:val="1"/>
        </w:numPr>
        <w:rPr/>
      </w:pPr>
      <w:bookmarkStart w:id="2600" w:name="__RefHeading___Toc607312_1934241801"/>
      <w:bookmarkStart w:id="2601" w:name="_Toc1200"/>
      <w:bookmarkEnd w:id="2600"/>
      <w:r>
        <w:rPr>
          <w:rtl w:val="true"/>
        </w:rPr>
        <w:t xml:space="preserve">روایت </w:t>
      </w:r>
      <w:r>
        <w:rPr/>
        <w:t>4</w:t>
      </w:r>
      <w:bookmarkEnd w:id="2601"/>
    </w:p>
    <w:p>
      <w:pPr>
        <w:pStyle w:val="BookText"/>
        <w:rPr/>
      </w:pP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جشن های عروسی دعوت شدید، در رفتن درنگ کنید چرا که دنیا را به شما یادآوری می کند، ولی هرگاه به مراسم تشییع جنازه دعوت شدید سرعت به خرج دهید</w:t>
      </w:r>
      <w:r>
        <w:rPr>
          <w:rFonts w:eastAsia="IRNazanin" w:cs="IRNazanin"/>
          <w:color w:val="111111"/>
          <w:sz w:val="28"/>
          <w:szCs w:val="28"/>
          <w:rtl w:val="true"/>
          <w:lang w:bidi="fa-IR"/>
        </w:rPr>
        <w:t>.</w:t>
      </w:r>
      <w:r>
        <w:rPr>
          <w:rStyle w:val="FootnoteAnchor"/>
          <w:rtl w:val="true"/>
        </w:rPr>
        <w:footnoteReference w:id="1245"/>
      </w:r>
    </w:p>
    <w:p>
      <w:pPr>
        <w:pStyle w:val="Heading5"/>
        <w:numPr>
          <w:ilvl w:val="4"/>
          <w:numId w:val="1"/>
        </w:numPr>
        <w:rPr/>
      </w:pPr>
      <w:bookmarkStart w:id="2602" w:name="__RefHeading___Toc607314_1934241801"/>
      <w:bookmarkStart w:id="2603" w:name="_Toc1201"/>
      <w:bookmarkEnd w:id="2602"/>
      <w:r>
        <w:rPr>
          <w:rtl w:val="true"/>
        </w:rPr>
        <w:t>توضیح</w:t>
      </w:r>
      <w:bookmarkEnd w:id="2603"/>
    </w:p>
    <w:p>
      <w:pPr>
        <w:pStyle w:val="BookText"/>
        <w:rPr/>
      </w:pPr>
      <w:r>
        <w:rPr>
          <w:rFonts w:ascii="IRNazanin" w:hAnsi="IRNazanin" w:eastAsia="IRNazanin"/>
          <w:color w:val="111111"/>
          <w:sz w:val="28"/>
          <w:sz w:val="28"/>
          <w:szCs w:val="28"/>
          <w:rtl w:val="true"/>
          <w:lang w:bidi="fa-IR"/>
        </w:rPr>
        <w:t>ممکن است که دو لفظ درنگ کردن و سرعت به خرج دادن بر معنای حقیقی آن ها حمل شود، همچنین ممکن است معنای مجازی آن ها مدّ نظر باشد و کنایه از اهتمام داشتن به مراسم تشییع جنازه و عدم اهتمام به مراسم عروسی باشد، شهید 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همزمان به خوردن ولیمه در عروسی و شرکت در مراسم تشییع جنازه دعوت شدید، مراسم تشییع جنازه را مقدّم شمارید، آن  هم به دلیل حدیثی که امام صادق از پدرش علیهما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تشییع جنازه آخرت و مراسم عروسی دنیا را یادآوری می کنند</w:t>
      </w:r>
      <w:r>
        <w:rPr>
          <w:rFonts w:eastAsia="IRNazanin" w:cs="IRNazanin"/>
          <w:color w:val="111111"/>
          <w:sz w:val="28"/>
          <w:szCs w:val="28"/>
          <w:rtl w:val="true"/>
          <w:lang w:bidi="fa-IR"/>
        </w:rPr>
        <w:t>.</w:t>
      </w:r>
    </w:p>
    <w:p>
      <w:pPr>
        <w:pStyle w:val="Heading5"/>
        <w:numPr>
          <w:ilvl w:val="4"/>
          <w:numId w:val="1"/>
        </w:numPr>
        <w:rPr/>
      </w:pPr>
      <w:bookmarkStart w:id="2604" w:name="__RefHeading___Toc607316_1934241801"/>
      <w:bookmarkStart w:id="2605" w:name="_Toc1202"/>
      <w:bookmarkEnd w:id="2604"/>
      <w:r>
        <w:rPr>
          <w:rtl w:val="true"/>
        </w:rPr>
        <w:t xml:space="preserve">روایت </w:t>
      </w:r>
      <w:r>
        <w:rPr/>
        <w:t>5</w:t>
      </w:r>
      <w:bookmarkEnd w:id="260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عمّار روایت شده که از امام صدق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تحفه ای که در قیامت به مؤمن بخشیده می شود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مراسم تشییع جنازه اش شرکت کرده است بخشیده می شود</w:t>
      </w:r>
      <w:r>
        <w:rPr>
          <w:rFonts w:eastAsia="IRNazanin" w:cs="IRNazanin"/>
          <w:color w:val="111111"/>
          <w:sz w:val="28"/>
          <w:szCs w:val="28"/>
          <w:rtl w:val="true"/>
          <w:lang w:bidi="fa-IR"/>
        </w:rPr>
        <w:t>.</w:t>
      </w:r>
      <w:r>
        <w:rPr>
          <w:rStyle w:val="FootnoteAnchor"/>
          <w:rtl w:val="true"/>
        </w:rPr>
        <w:footnoteReference w:id="1246"/>
      </w:r>
      <w:bookmarkStart w:id="2606" w:name="pg13517_329290"/>
    </w:p>
    <w:p>
      <w:pPr>
        <w:pStyle w:val="BookText"/>
        <w:rPr/>
      </w:pPr>
      <w:bookmarkEnd w:id="2606"/>
      <w:r>
        <w:rPr>
          <w:rFonts w:ascii="Amiri" w:hAnsi="Amiri" w:eastAsia="Amiri" w:cs="Amiri"/>
          <w:color w:val="111111"/>
          <w:sz w:val="28"/>
          <w:sz w:val="28"/>
          <w:szCs w:val="28"/>
          <w:rtl w:val="true"/>
          <w:lang w:bidi="ar-SA"/>
        </w:rPr>
        <w:t>الهداية، مرسلا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7" w:name="__RefHeading___Toc607318_1934241801"/>
      <w:bookmarkStart w:id="2608" w:name="_Toc1203"/>
      <w:bookmarkEnd w:id="2607"/>
      <w:r>
        <w:rPr>
          <w:rtl w:val="true"/>
        </w:rPr>
        <w:t>«</w:t>
      </w:r>
      <w:r>
        <w:rPr/>
        <w:t>6</w:t>
      </w:r>
      <w:r>
        <w:rPr>
          <w:rtl w:val="true"/>
        </w:rPr>
        <w:t>»</w:t>
      </w:r>
      <w:bookmarkEnd w:id="2608"/>
    </w:p>
    <w:p>
      <w:pPr>
        <w:pStyle w:val="BookText"/>
        <w:rPr/>
      </w:pPr>
      <w:r>
        <w:rPr>
          <w:rFonts w:ascii="Amiri" w:hAnsi="Amiri" w:eastAsia="Amiri" w:cs="Amiri"/>
          <w:color w:val="111111"/>
          <w:sz w:val="28"/>
          <w:sz w:val="28"/>
          <w:szCs w:val="28"/>
          <w:rtl w:val="true"/>
          <w:lang w:bidi="ar-SA"/>
        </w:rPr>
        <w:t>وَ قَالَ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شَيَّعَ جَنَازَةَ مُؤْمِنٍ حُطَّ عَنْهُ خَمْسٌ وَ عِشْرُونَ كَبِيرَةً فَإِنْ رَبَّعَهَا خَرَجَ مِنَ الذُّنُوبِ‌</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يُنَادَي أَلَا إِنَّ أَوَّلَ حِبَائِكَ الْجَنَّةُ وَ أَوَّلَ حِبَاءِ مَنْ تَبِعَكَ الْمَغْفِرَةُ</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الخبرين الأخيرين</w:t>
      </w:r>
      <w:r>
        <w:rPr>
          <w:rFonts w:eastAsia="Amiri" w:cs="Amiri" w:ascii="Amiri" w:hAnsi="Amiri"/>
          <w:color w:val="111111"/>
          <w:sz w:val="28"/>
          <w:szCs w:val="28"/>
          <w:rtl w:val="true"/>
          <w:lang w:bidi="ar-SA"/>
        </w:rPr>
        <w:t>.</w:t>
      </w:r>
    </w:p>
    <w:p>
      <w:pPr>
        <w:pStyle w:val="Heading5"/>
        <w:numPr>
          <w:ilvl w:val="4"/>
          <w:numId w:val="1"/>
        </w:numPr>
        <w:rPr/>
      </w:pPr>
      <w:bookmarkStart w:id="2609" w:name="__RefHeading___Toc607320_1934241801"/>
      <w:bookmarkStart w:id="2610" w:name="_Toc1204"/>
      <w:bookmarkEnd w:id="2609"/>
      <w:r>
        <w:rPr>
          <w:rtl w:val="true"/>
        </w:rPr>
        <w:t>«</w:t>
      </w:r>
      <w:r>
        <w:rPr/>
        <w:t>7</w:t>
      </w:r>
      <w:r>
        <w:rPr>
          <w:rtl w:val="true"/>
        </w:rPr>
        <w:t>»</w:t>
      </w:r>
      <w:bookmarkEnd w:id="2610"/>
    </w:p>
    <w:p>
      <w:pPr>
        <w:pStyle w:val="BookText"/>
        <w:rPr/>
      </w:pPr>
      <w:r>
        <w:rPr>
          <w:rFonts w:ascii="Amiri" w:hAnsi="Amiri" w:eastAsia="Amiri" w:cs="Amiri"/>
          <w:color w:val="111111"/>
          <w:sz w:val="28"/>
          <w:sz w:val="28"/>
          <w:szCs w:val="28"/>
          <w:rtl w:val="true"/>
          <w:lang w:bidi="ar-SA"/>
        </w:rPr>
        <w:t>مَجَالِسُ ابْنِ الشَّيْخِ، عَنْ أَبِيهِ عَنِ الْمُفِيدِ عَنْ جَعْفَرِ بْنِ مُحَمَّدِ بْنِ قُولَوَيْهِ عَنْ مُحَمَّدِ بْنِ عَبْدِ اللَّهِ الْحِمْيَرِيِّ عَنْ أَبِيهِ عَنْ أَحْمَدَ بْنِ أَبِي عَبْدِ اللَّهِ الْبَرْقِيِّ عَنْ شَرِيفِ بْنِ سَابِقٍ عَنِ الْفَضْلِ بْنِ عَبْدِ الْمَلِكِ عَنْ أَبِي عَبْدِ اللَّهِ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عُنْوَانِ صَحِيفَةِ الْمُؤْمِنِ بَعْدَ مَوْتِهِ مَا يَقُولُ النَّاسُ فِيهِ إِنْ خَيْراً فَخَيْراً وَ إِنْ شَرّاً فَشَرّاً وَ أَوَّلُ تُحْفَةِ الْمُؤْمِنِ أَنْ يَغْفِرَ اللَّهُ لَهُ وَ لِمَنْ تَبِعَ جَنَازَتَهُ‌</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1" w:name="__RefHeading___Toc607322_1934241801"/>
      <w:bookmarkStart w:id="2612" w:name="_Toc1205"/>
      <w:bookmarkEnd w:id="2611"/>
      <w:r>
        <w:rPr>
          <w:rtl w:val="true"/>
        </w:rPr>
        <w:t>«</w:t>
      </w:r>
      <w:r>
        <w:rPr/>
        <w:t>8</w:t>
      </w:r>
      <w:r>
        <w:rPr>
          <w:rtl w:val="true"/>
        </w:rPr>
        <w:t>»</w:t>
      </w:r>
      <w:bookmarkEnd w:id="2612"/>
    </w:p>
    <w:p>
      <w:pPr>
        <w:pStyle w:val="BookText"/>
        <w:rPr/>
      </w:pPr>
      <w:r>
        <w:rPr>
          <w:rFonts w:ascii="Amiri" w:hAnsi="Amiri" w:eastAsia="Amiri" w:cs="Amiri"/>
          <w:color w:val="111111"/>
          <w:sz w:val="28"/>
          <w:sz w:val="28"/>
          <w:szCs w:val="28"/>
          <w:rtl w:val="true"/>
          <w:lang w:bidi="ar-SA"/>
        </w:rPr>
        <w:t>وَ مِنْهُ، عَنْ أَبِيهِ عَنِ الْمُفِيدِ عَنْ جَعْفَرِ بْنِ مُحَمَّدِ بْنِ قُولَوَيْهِ عَنْ أَبِيهِ عَنْ سَعْدِ بْنِ عَبْدِ اللَّهِ عَنْ أَحْمَدَ بْنِ مُحَمَّدِ بْنِ عِيسَي عَنْ مُحَمَّدِ بْنِ عِيسَي عَنْ بَكْرِ بْنِ مُحَمَّدٍ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لِخَيْثَمَةَ يَا خَيْثَمَةُ أَقْرِئْ مَوَالِيَنَا السَّلَامَ وَ أَوْصِهِمْ بِتَقْوَي اللَّهِ الْعَظِيمِ وَ أَنْ يَشْهَدَ أَحْيَاؤُهُمْ جَنَائِزَ مَوْتَاهُمْ وَ أَنْ يَتَلَاقَوْا فِي بُيُوتِهِمْ الْخَبَرَ</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3" w:name="__RefHeading___Toc607324_1934241801"/>
      <w:bookmarkStart w:id="2614" w:name="_Toc1206"/>
      <w:bookmarkEnd w:id="2613"/>
      <w:r>
        <w:rPr>
          <w:rtl w:val="true"/>
        </w:rPr>
        <w:t>«</w:t>
      </w:r>
      <w:r>
        <w:rPr/>
        <w:t>9</w:t>
      </w:r>
      <w:r>
        <w:rPr>
          <w:rtl w:val="true"/>
        </w:rPr>
        <w:t>»</w:t>
      </w:r>
      <w:bookmarkEnd w:id="2614"/>
    </w:p>
    <w:p>
      <w:pPr>
        <w:pStyle w:val="BookText"/>
        <w:rPr/>
      </w:pPr>
      <w:r>
        <w:rPr>
          <w:rFonts w:ascii="Amiri" w:hAnsi="Amiri" w:eastAsia="Amiri" w:cs="Amiri"/>
          <w:color w:val="111111"/>
          <w:sz w:val="28"/>
          <w:sz w:val="28"/>
          <w:szCs w:val="28"/>
          <w:rtl w:val="true"/>
          <w:lang w:bidi="ar-SA"/>
        </w:rPr>
        <w:t>وَ مِنْهُ، عَنْ أَبِيهِ عَنْ مُحَمَّدِ بْنِ مُحَمَّدِ بْنِ مَخْلَدٍ عَنْ عُمَرَ بْنِ الْحَسَنِ الشَّيْبَانِيِّ عَنْ مُوسَي بْنِ سَهْلٍ عَنْ إِسْمَاعِيلَ بْنِ عُلَيَّةَ عَنْ لَيْثِ بْنِ أَبِي قُرَّةَ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بِجَنَازَةٍ تُمْخَضُ كَمَا يُمْخَضُ الزِّقُّ فَقَالَ النَّبِيُّ صلي الله عليه و آله عَلَيْكُمْ بِالسَّكِينَةِ عَلَيْكُمْ</w:t>
      </w:r>
    </w:p>
    <w:p>
      <w:p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از امام صادق علیه السلام به صورت مرسل روایت شده است</w:t>
      </w:r>
      <w:r>
        <w:rPr>
          <w:rFonts w:eastAsia="IRNazanin" w:cs="IRNazanin"/>
          <w:color w:val="111111"/>
          <w:sz w:val="28"/>
          <w:szCs w:val="28"/>
          <w:rtl w:val="true"/>
          <w:lang w:bidi="fa-IR"/>
        </w:rPr>
        <w:t>.</w:t>
      </w:r>
      <w:r>
        <w:rPr>
          <w:rStyle w:val="FootnoteAnchor"/>
          <w:rtl w:val="true"/>
        </w:rPr>
        <w:footnoteReference w:id="1252"/>
      </w:r>
    </w:p>
    <w:p>
      <w:pPr>
        <w:pStyle w:val="Heading5"/>
        <w:numPr>
          <w:ilvl w:val="4"/>
          <w:numId w:val="1"/>
        </w:numPr>
        <w:rPr/>
      </w:pPr>
      <w:bookmarkStart w:id="2615" w:name="__RefHeading___Toc607326_1934241801"/>
      <w:bookmarkStart w:id="2616" w:name="_Toc1207"/>
      <w:bookmarkEnd w:id="2615"/>
      <w:r>
        <w:rPr>
          <w:rtl w:val="true"/>
        </w:rPr>
        <w:t xml:space="preserve">روایت </w:t>
      </w:r>
      <w:r>
        <w:rPr/>
        <w:t>6</w:t>
      </w:r>
      <w:bookmarkEnd w:id="2616"/>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جنازه مؤمنی را تشییع کند، بیست و پنج گناه از گناهان کبیره او از بین می رود، پس اگر او را به خاک بسپارد و بر سر قبرش درنگ کند، تمام گناهانش زدوده می شود</w:t>
      </w:r>
      <w:r>
        <w:rPr>
          <w:rFonts w:eastAsia="IRNazanin" w:cs="IRNazanin"/>
          <w:color w:val="111111"/>
          <w:sz w:val="28"/>
          <w:szCs w:val="28"/>
          <w:rtl w:val="true"/>
          <w:lang w:bidi="fa-IR"/>
        </w:rPr>
        <w:t>.</w:t>
      </w:r>
      <w:r>
        <w:rPr>
          <w:rStyle w:val="FootnoteAnchor"/>
          <w:rtl w:val="true"/>
        </w:rPr>
        <w:footnoteReference w:id="1253"/>
      </w:r>
    </w:p>
    <w:p>
      <w:pPr>
        <w:pStyle w:val="BookText"/>
        <w:rPr/>
      </w:pPr>
      <w:r>
        <w:rPr>
          <w:rFonts w:ascii="IRNazanin" w:hAnsi="IRNazanin" w:eastAsia="IRNazanin"/>
          <w:color w:val="111111"/>
          <w:sz w:val="28"/>
          <w:sz w:val="28"/>
          <w:szCs w:val="28"/>
          <w:rtl w:val="true"/>
          <w:lang w:bidi="fa-IR"/>
        </w:rPr>
        <w:t>و روایت شده که مؤمن در روز قیامت ندا سر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بهشت نخستین پاداشی است که به تو بخشیده می شود و مغفرت خداوند نخستین پاداشی است که به کسی که جنازه تو را تشییع کرده بخشیده می شود</w:t>
      </w:r>
      <w:r>
        <w:rPr>
          <w:rFonts w:eastAsia="IRNazanin" w:cs="IRNazanin"/>
          <w:color w:val="111111"/>
          <w:sz w:val="28"/>
          <w:szCs w:val="28"/>
          <w:rtl w:val="true"/>
          <w:lang w:bidi="fa-IR"/>
        </w:rPr>
        <w:t>.</w:t>
      </w:r>
      <w:r>
        <w:rPr>
          <w:rStyle w:val="FootnoteAnchor"/>
          <w:rtl w:val="true"/>
        </w:rPr>
        <w:footnoteReference w:id="1254"/>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دو حدیث اخیر روایت شده است </w:t>
      </w:r>
      <w:r>
        <w:rPr>
          <w:rFonts w:eastAsia="IRNazanin" w:cs="IRNazanin"/>
          <w:color w:val="111111"/>
          <w:sz w:val="28"/>
          <w:szCs w:val="28"/>
          <w:rtl w:val="true"/>
          <w:lang w:bidi="fa-IR"/>
        </w:rPr>
        <w:t>.</w:t>
      </w:r>
    </w:p>
    <w:p>
      <w:pPr>
        <w:pStyle w:val="Heading5"/>
        <w:numPr>
          <w:ilvl w:val="4"/>
          <w:numId w:val="1"/>
        </w:numPr>
        <w:rPr/>
      </w:pPr>
      <w:bookmarkStart w:id="2617" w:name="__RefHeading___Toc607328_1934241801"/>
      <w:bookmarkStart w:id="2618" w:name="_Toc1208"/>
      <w:bookmarkEnd w:id="2617"/>
      <w:r>
        <w:rPr>
          <w:rtl w:val="true"/>
        </w:rPr>
        <w:t xml:space="preserve">روایت </w:t>
      </w:r>
      <w:r>
        <w:rPr/>
        <w:t>7</w:t>
      </w:r>
      <w:bookmarkEnd w:id="2618"/>
    </w:p>
    <w:p>
      <w:p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عنوان کارنامه اعمال مؤمن بعد از وفاتش سخنی است که مردم درباره او می گویند، اگر خیر باشد خیر است و اگر شرّ باشد شرّ، و نخستین تحفه ای که به مؤمن بخشیده می شود این است که خداوند از گناهان او و کسی که در تشییع جنازه اش شرکت کرده در می گذرد</w:t>
      </w:r>
      <w:r>
        <w:rPr>
          <w:rFonts w:eastAsia="IRNazanin" w:cs="IRNazanin"/>
          <w:color w:val="111111"/>
          <w:sz w:val="28"/>
          <w:szCs w:val="28"/>
          <w:rtl w:val="true"/>
          <w:lang w:bidi="fa-IR"/>
        </w:rPr>
        <w:t>.</w:t>
      </w:r>
      <w:r>
        <w:rPr>
          <w:rStyle w:val="FootnoteAnchor"/>
          <w:rtl w:val="true"/>
        </w:rPr>
        <w:footnoteReference w:id="1255"/>
      </w:r>
    </w:p>
    <w:p>
      <w:pPr>
        <w:pStyle w:val="Heading5"/>
        <w:numPr>
          <w:ilvl w:val="4"/>
          <w:numId w:val="1"/>
        </w:numPr>
        <w:rPr/>
      </w:pPr>
      <w:bookmarkStart w:id="2619" w:name="__RefHeading___Toc607330_1934241801"/>
      <w:bookmarkStart w:id="2620" w:name="_Toc1209"/>
      <w:bookmarkEnd w:id="2619"/>
      <w:r>
        <w:rPr>
          <w:rtl w:val="true"/>
        </w:rPr>
        <w:t xml:space="preserve">روایت </w:t>
      </w:r>
      <w:r>
        <w:rPr/>
        <w:t>8</w:t>
      </w:r>
      <w:bookmarkEnd w:id="2620"/>
    </w:p>
    <w:p>
      <w:p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شنیده شده که به خثیمة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خثیمة، سلام من را به دوستداران مان برسان و آنان را به رعایت تقوای خداوند عظیم سفارش کن، و اینکه زندگان آن ها در مراسم تشییع جنازه مردگان شرکت کنند و در خانه هایشان با هم ملاقات کنند، تا آخر حدیث</w:t>
      </w:r>
      <w:r>
        <w:rPr>
          <w:rFonts w:eastAsia="IRNazanin" w:cs="IRNazanin"/>
          <w:color w:val="111111"/>
          <w:sz w:val="28"/>
          <w:szCs w:val="28"/>
          <w:rtl w:val="true"/>
          <w:lang w:bidi="fa-IR"/>
        </w:rPr>
        <w:t xml:space="preserve">. </w:t>
      </w:r>
      <w:r>
        <w:rPr>
          <w:rStyle w:val="FootnoteAnchor"/>
          <w:rtl w:val="true"/>
        </w:rPr>
        <w:footnoteReference w:id="1256"/>
      </w:r>
    </w:p>
    <w:p>
      <w:pPr>
        <w:pStyle w:val="Heading5"/>
        <w:numPr>
          <w:ilvl w:val="4"/>
          <w:numId w:val="1"/>
        </w:numPr>
        <w:rPr/>
      </w:pPr>
      <w:bookmarkStart w:id="2621" w:name="__RefHeading___Toc607332_1934241801"/>
      <w:bookmarkStart w:id="2622" w:name="_Toc1210"/>
      <w:bookmarkEnd w:id="2621"/>
      <w:r>
        <w:rPr>
          <w:rtl w:val="true"/>
        </w:rPr>
        <w:t xml:space="preserve">روایت </w:t>
      </w:r>
      <w:r>
        <w:rPr/>
        <w:t>9</w:t>
      </w:r>
      <w:bookmarkEnd w:id="262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بن ابی قُردة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ای را به سرعت و مانند تکان دادن مشک از مقابل پیامبر صلّی الله علیه و آله عبور دادند،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باشید، </w:t>
      </w:r>
      <w:bookmarkStart w:id="2623" w:name="pg13517_329291"/>
    </w:p>
    <w:p>
      <w:pPr>
        <w:pStyle w:val="BookText"/>
        <w:rPr/>
      </w:pPr>
      <w:bookmarkEnd w:id="2623"/>
      <w:r>
        <w:rPr>
          <w:rFonts w:ascii="Amiri" w:hAnsi="Amiri" w:eastAsia="Amiri" w:cs="Amiri"/>
          <w:color w:val="111111"/>
          <w:sz w:val="28"/>
          <w:sz w:val="28"/>
          <w:szCs w:val="28"/>
          <w:rtl w:val="true"/>
          <w:lang w:bidi="ar-SA"/>
        </w:rPr>
        <w:t>بِالْقَصْدِ فِي الْمَشْيِ بِجَنَائِزِكُمْ‌</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4" w:name="__RefHeading___Toc607334_1934241801"/>
      <w:bookmarkStart w:id="2625" w:name="_Toc1211"/>
      <w:bookmarkEnd w:id="2624"/>
      <w:r>
        <w:rPr>
          <w:rtl w:val="true"/>
        </w:rPr>
        <w:t>بيان</w:t>
      </w:r>
      <w:bookmarkEnd w:id="2625"/>
    </w:p>
    <w:p>
      <w:pPr>
        <w:pStyle w:val="BookText"/>
        <w:rPr/>
      </w:pPr>
      <w:r>
        <w:rPr>
          <w:rFonts w:ascii="Amiri" w:hAnsi="Amiri" w:eastAsia="Amiri" w:cs="Amiri"/>
          <w:color w:val="111111"/>
          <w:sz w:val="28"/>
          <w:sz w:val="28"/>
          <w:szCs w:val="28"/>
          <w:rtl w:val="true"/>
          <w:lang w:bidi="ar-SA"/>
        </w:rPr>
        <w:t>قال في الذكري نقل الشيخ الإجماع علي كراهية الإسراع بالجنازة لقول النبي صلي الله عليه و آله عليكم بالقصد في جنائزكم لما رأي جنازة تمخض مخضا و قال ابن عباس في جنازة ميمونة ارفقوا فإنها أمكم و لو خيف علي الميت فالإسراع أولي قال المحقق أراد الشيخ كراهية ما زاد علي المعتاد و قال الجعفي السعي بها أفضل و قال ابن الجنيد يمشي بها خببا ثم قال السعي العدو و الخبب ضرب منه فهما دالان علي السرعة و رَوَي الصَّدُوقُ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الْمَيِّتَ إِذَا كَانَ مِنْ أَهْلِ الْجَنَّةِ نَادَي عَجِّلُوا بِي وَ إِنْ كَانَ مِنْ أَهْلِ النَّارِ نَادَي رُدُّونِي</w:t>
      </w:r>
      <w:r>
        <w:rPr>
          <w:rFonts w:eastAsia="Amiri" w:cs="Amiri" w:ascii="Amiri" w:hAnsi="Amiri"/>
          <w:color w:val="111111"/>
          <w:sz w:val="28"/>
          <w:szCs w:val="28"/>
          <w:rtl w:val="true"/>
          <w:lang w:bidi="ar-SA"/>
        </w:rPr>
        <w:t>.</w:t>
      </w:r>
    </w:p>
    <w:p>
      <w:pPr>
        <w:pStyle w:val="Heading5"/>
        <w:numPr>
          <w:ilvl w:val="4"/>
          <w:numId w:val="1"/>
        </w:numPr>
        <w:rPr/>
      </w:pPr>
      <w:bookmarkStart w:id="2626" w:name="__RefHeading___Toc607336_1934241801"/>
      <w:bookmarkStart w:id="2627" w:name="_Toc1212"/>
      <w:bookmarkEnd w:id="2626"/>
      <w:r>
        <w:rPr>
          <w:rtl w:val="true"/>
        </w:rPr>
        <w:t>«</w:t>
      </w:r>
      <w:r>
        <w:rPr/>
        <w:t>10</w:t>
      </w:r>
      <w:r>
        <w:rPr>
          <w:rtl w:val="true"/>
        </w:rPr>
        <w:t>»</w:t>
      </w:r>
      <w:bookmarkEnd w:id="2627"/>
    </w:p>
    <w:p>
      <w:pPr>
        <w:pStyle w:val="BookText"/>
        <w:rPr/>
      </w:pPr>
      <w:r>
        <w:rPr>
          <w:rFonts w:ascii="Amiri" w:hAnsi="Amiri" w:eastAsia="Amiri" w:cs="Amiri"/>
          <w:color w:val="111111"/>
          <w:sz w:val="28"/>
          <w:sz w:val="28"/>
          <w:szCs w:val="28"/>
          <w:rtl w:val="true"/>
          <w:lang w:bidi="ar-SA"/>
        </w:rPr>
        <w:t>قُرْبُ الْإِسْنَادِ، عَنِ السِّنْدِيِّ بْنِ مُحَمَّدٍ عَنْ أَبِي الْبَخْتَرِيِّ عَنْ جَعْفَرٍ عَنْ أَبِيهِ عَنْ عَلِيٍّ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 جَنَازَةَ مُشْرِكٍ فَلَا تَسْتَقْبِلْهَا خُذْ عَنْ يَمِينِهَا وَ عَنْ شِمَالِهَا</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8" w:name="__RefHeading___Toc607338_1934241801"/>
      <w:bookmarkStart w:id="2629" w:name="_Toc1213"/>
      <w:bookmarkEnd w:id="2628"/>
      <w:r>
        <w:rPr>
          <w:rtl w:val="true"/>
        </w:rPr>
        <w:t>بيان</w:t>
      </w:r>
      <w:bookmarkEnd w:id="2629"/>
    </w:p>
    <w:p>
      <w:pPr>
        <w:pStyle w:val="BookText"/>
        <w:rPr/>
      </w:pPr>
      <w:r>
        <w:rPr>
          <w:rFonts w:ascii="Amiri" w:hAnsi="Amiri" w:eastAsia="Amiri" w:cs="Amiri"/>
          <w:color w:val="111111"/>
          <w:sz w:val="28"/>
          <w:sz w:val="28"/>
          <w:szCs w:val="28"/>
          <w:rtl w:val="true"/>
          <w:lang w:bidi="ar-SA"/>
        </w:rPr>
        <w:t>يدل علي كراهة استقبال جنازة المشرك للعلة التي بها يكره المشي أمام جنازة المخالف و لم أر من تعرض له</w:t>
      </w:r>
      <w:r>
        <w:rPr>
          <w:rFonts w:eastAsia="Amiri" w:cs="Amiri" w:ascii="Amiri" w:hAnsi="Amiri"/>
          <w:color w:val="111111"/>
          <w:sz w:val="28"/>
          <w:szCs w:val="28"/>
          <w:rtl w:val="true"/>
          <w:lang w:bidi="ar-SA"/>
        </w:rPr>
        <w:t>.</w:t>
      </w:r>
    </w:p>
    <w:p>
      <w:pPr>
        <w:pStyle w:val="Heading5"/>
        <w:numPr>
          <w:ilvl w:val="4"/>
          <w:numId w:val="1"/>
        </w:numPr>
        <w:rPr/>
      </w:pPr>
      <w:bookmarkStart w:id="2630" w:name="__RefHeading___Toc607340_1934241801"/>
      <w:bookmarkStart w:id="2631" w:name="_Toc1214"/>
      <w:bookmarkEnd w:id="2630"/>
      <w:r>
        <w:rPr>
          <w:rtl w:val="true"/>
        </w:rPr>
        <w:t>«</w:t>
      </w:r>
      <w:r>
        <w:rPr/>
        <w:t>11</w:t>
      </w:r>
      <w:r>
        <w:rPr>
          <w:rtl w:val="true"/>
        </w:rPr>
        <w:t>»</w:t>
      </w:r>
      <w:bookmarkEnd w:id="2631"/>
    </w:p>
    <w:p>
      <w:pPr>
        <w:pStyle w:val="BookText"/>
        <w:rPr/>
      </w:pPr>
      <w:r>
        <w:rPr>
          <w:rFonts w:ascii="Amiri" w:hAnsi="Amiri" w:eastAsia="Amiri" w:cs="Amiri"/>
          <w:color w:val="111111"/>
          <w:sz w:val="28"/>
          <w:sz w:val="28"/>
          <w:szCs w:val="28"/>
          <w:rtl w:val="true"/>
          <w:lang w:bidi="ar-SA"/>
        </w:rPr>
        <w:t>الْخِصَالُ، عَنْ أَبِيهِ عَنْ مُحَمَّدِ بْنِ يَحْيَي الْعَطَّارِ عَنْ مُحَمَّدِ بْنِ أَحْمَدَ عَنْ أَحْمَدَ بْنِ مُحَمَّدٍ بِإِسْنَادِهِ رَفَعَهُ إِلَي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أَمِيرَانِ وَ لَيْسَا بِأَمِيرَيْنِ لَيْسَ لِمَنْ تَبِعَ جَنَازَةً أَنْ يَرْجِعَ حَتَّي تُدْفَنَ أَوْ يُؤْذَنَ لَهُ وَ رَجُلٌ يَحُجُّ مَعَ امْرَأَةٍ فَلَيْسَ لَهُ أَنْ يَنْفِرَ حَتَّي تَقْضِيَ نُسُكَهَا</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60"/>
      </w:r>
    </w:p>
    <w:p>
      <w:pPr>
        <w:pStyle w:val="Heading5"/>
        <w:numPr>
          <w:ilvl w:val="4"/>
          <w:numId w:val="1"/>
        </w:numPr>
        <w:rPr/>
      </w:pPr>
      <w:bookmarkStart w:id="2632" w:name="__RefHeading___Toc607342_1934241801"/>
      <w:bookmarkStart w:id="2633" w:name="_Toc1215"/>
      <w:bookmarkEnd w:id="2632"/>
      <w:r>
        <w:rPr>
          <w:rtl w:val="true"/>
        </w:rPr>
        <w:t>بيان</w:t>
      </w:r>
      <w:bookmarkEnd w:id="2633"/>
    </w:p>
    <w:p>
      <w:pPr>
        <w:pStyle w:val="BookText"/>
        <w:rPr/>
      </w:pPr>
      <w:r>
        <w:rPr>
          <w:rFonts w:ascii="Amiri" w:hAnsi="Amiri" w:eastAsia="Amiri" w:cs="Amiri"/>
          <w:color w:val="111111"/>
          <w:sz w:val="28"/>
          <w:sz w:val="28"/>
          <w:szCs w:val="28"/>
          <w:rtl w:val="true"/>
          <w:lang w:bidi="ar-SA"/>
        </w:rPr>
        <w:t>أميران أي يلزم إطاعتهما و قبول ما يأمران به و ليسا بأميرين منصوبين من قبل الإمام علي الخصوص أو ليسا بأميرين عامين</w:t>
      </w:r>
    </w:p>
    <w:p>
      <w:pPr>
        <w:pStyle w:val="BookText"/>
        <w:rPr/>
      </w:pPr>
      <w:r>
        <w:rPr>
          <w:rFonts w:ascii="IRNazanin" w:hAnsi="IRNazanin" w:eastAsia="IRNazanin"/>
          <w:color w:val="111111"/>
          <w:sz w:val="28"/>
          <w:sz w:val="28"/>
          <w:szCs w:val="28"/>
          <w:rtl w:val="true"/>
          <w:lang w:bidi="fa-IR"/>
        </w:rPr>
        <w:t xml:space="preserve">در راه رفتن به دنبال جنازه مردگان خویش متعادل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تند و نه کنُد</w:t>
      </w:r>
      <w:r>
        <w:rPr>
          <w:rFonts w:eastAsia="IRNazanin" w:cs="IRNazanin"/>
          <w:color w:val="111111"/>
          <w:sz w:val="28"/>
          <w:szCs w:val="28"/>
          <w:rtl w:val="true"/>
          <w:lang w:bidi="fa-IR"/>
        </w:rPr>
        <w:t xml:space="preserve">). </w:t>
      </w:r>
      <w:r>
        <w:rPr>
          <w:rStyle w:val="FootnoteAnchor"/>
          <w:rtl w:val="true"/>
        </w:rPr>
        <w:footnoteReference w:id="1261"/>
      </w:r>
    </w:p>
    <w:p>
      <w:pPr>
        <w:pStyle w:val="Heading5"/>
        <w:numPr>
          <w:ilvl w:val="4"/>
          <w:numId w:val="1"/>
        </w:numPr>
        <w:rPr/>
      </w:pPr>
      <w:bookmarkStart w:id="2634" w:name="__RefHeading___Toc607344_1934241801"/>
      <w:bookmarkStart w:id="2635" w:name="_Toc1216"/>
      <w:bookmarkEnd w:id="2634"/>
      <w:r>
        <w:rPr>
          <w:rtl w:val="true"/>
        </w:rPr>
        <w:t>توضیح</w:t>
      </w:r>
      <w:bookmarkEnd w:id="2635"/>
    </w:p>
    <w:p>
      <w:pPr>
        <w:pStyle w:val="BookText"/>
        <w:rPr/>
      </w:pPr>
      <w:r>
        <w:rPr>
          <w:rFonts w:ascii="IRNazanin" w:hAnsi="IRNazanin" w:eastAsia="IRNazanin"/>
          <w:color w:val="111111"/>
          <w:sz w:val="28"/>
          <w:sz w:val="28"/>
          <w:szCs w:val="28"/>
          <w:rtl w:val="true"/>
          <w:lang w:bidi="fa-IR"/>
        </w:rPr>
        <w:t>شهید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اجماع نظر علما را بر کراهت سریع حرکت دادن جنازه نقل کرده است، چرا که پیامبر صلّی الله علیه و آله هنگامی   که جنازه ای را مشاهده کرد که مانند حرکت دادن مشک به سرعت حرکت داده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رفتن به دنبال جنازه مردگان خویش متعادل باشید؛ و ابن عباس در مراسم تشییع جنازه میمونه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و نرمش به خرج دهید که او مادر شماست؛ امّا اگر بر از بین رفتن یا تغییر جسد میّت بیم و ترس وجود داشته باشد سریع حرکت دادن جنازه اولویت دارد؛ محقّق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شیخ، کراهت داشتن حرکت دادن جنازه با سرعتی بیش از حدّ معمول است، ولی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حرکت دادن جنازه بهتر است، و ابن جنید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 با سرعتی در حدّ دویدن حرکت دهید، سپس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دویدن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راه رفتن که شبیه دویدن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دو واژه بر سرعت و سریع حرکت دادن جنازه دلالت می کنند؛ شیخ صدوق از امام صادق علیه السلام روایت کرده که اگر میّت از اهل بهشت باشد ندا سر می دهد که مرا سریع حرکت دهید، و اگر از اهل جهنم باشد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 گردانید</w:t>
      </w:r>
      <w:r>
        <w:rPr>
          <w:rFonts w:eastAsia="IRNazanin" w:cs="IRNazanin"/>
          <w:color w:val="111111"/>
          <w:sz w:val="28"/>
          <w:szCs w:val="28"/>
          <w:rtl w:val="true"/>
          <w:lang w:bidi="fa-IR"/>
        </w:rPr>
        <w:t>.</w:t>
      </w:r>
    </w:p>
    <w:p>
      <w:pPr>
        <w:pStyle w:val="Heading5"/>
        <w:numPr>
          <w:ilvl w:val="4"/>
          <w:numId w:val="1"/>
        </w:numPr>
        <w:rPr/>
      </w:pPr>
      <w:bookmarkStart w:id="2636" w:name="__RefHeading___Toc607346_1934241801"/>
      <w:bookmarkStart w:id="2637" w:name="_Toc1217"/>
      <w:bookmarkEnd w:id="2636"/>
      <w:r>
        <w:rPr>
          <w:rtl w:val="true"/>
        </w:rPr>
        <w:t xml:space="preserve">روایت </w:t>
      </w:r>
      <w:r>
        <w:rPr/>
        <w:t>10</w:t>
      </w:r>
      <w:bookmarkEnd w:id="2637"/>
    </w:p>
    <w:p>
      <w:pPr>
        <w:pStyle w:val="BookText"/>
        <w:rPr/>
      </w:pP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تشییع جنازه شخصی مشرک مواجه شدید، از مقابل به استقبال آن نروید بلکه از طرف راست و چپ آن حرکت کنید</w:t>
      </w:r>
      <w:r>
        <w:rPr>
          <w:rFonts w:eastAsia="IRNazanin" w:cs="IRNazanin"/>
          <w:color w:val="111111"/>
          <w:sz w:val="28"/>
          <w:szCs w:val="28"/>
          <w:rtl w:val="true"/>
          <w:lang w:bidi="fa-IR"/>
        </w:rPr>
        <w:t>.</w:t>
      </w:r>
      <w:r>
        <w:rPr>
          <w:rStyle w:val="FootnoteAnchor"/>
          <w:rtl w:val="true"/>
        </w:rPr>
        <w:footnoteReference w:id="1262"/>
      </w:r>
    </w:p>
    <w:p>
      <w:pPr>
        <w:pStyle w:val="Heading5"/>
        <w:numPr>
          <w:ilvl w:val="4"/>
          <w:numId w:val="1"/>
        </w:numPr>
        <w:rPr/>
      </w:pPr>
      <w:bookmarkStart w:id="2638" w:name="__RefHeading___Toc607348_1934241801"/>
      <w:bookmarkStart w:id="2639" w:name="_Toc1218"/>
      <w:bookmarkEnd w:id="2638"/>
      <w:r>
        <w:rPr>
          <w:rtl w:val="true"/>
        </w:rPr>
        <w:t>توضیح</w:t>
      </w:r>
      <w:bookmarkEnd w:id="2639"/>
    </w:p>
    <w:p>
      <w:pPr>
        <w:pStyle w:val="BookText"/>
        <w:rPr/>
      </w:pPr>
      <w:r>
        <w:rPr>
          <w:rFonts w:ascii="IRNazanin" w:hAnsi="IRNazanin" w:eastAsia="IRNazanin"/>
          <w:color w:val="111111"/>
          <w:sz w:val="28"/>
          <w:sz w:val="28"/>
          <w:szCs w:val="28"/>
          <w:rtl w:val="true"/>
          <w:lang w:bidi="fa-IR"/>
        </w:rPr>
        <w:t>این حدیث بر کراهت استقبال از جنازه مشرک از رو به  رو دلالت می کند، بنا به همان علّتی که بر اساس آن حرکت کردن در پیشاپیش جنازه شخص مخالف کراهت دارد، و کسی را مشاهده نکرده ام که مخالف این نظر باشد</w:t>
      </w:r>
      <w:r>
        <w:rPr>
          <w:rFonts w:eastAsia="IRNazanin" w:cs="IRNazanin"/>
          <w:color w:val="111111"/>
          <w:sz w:val="28"/>
          <w:szCs w:val="28"/>
          <w:rtl w:val="true"/>
          <w:lang w:bidi="fa-IR"/>
        </w:rPr>
        <w:t>.</w:t>
      </w:r>
    </w:p>
    <w:p>
      <w:pPr>
        <w:pStyle w:val="Heading5"/>
        <w:numPr>
          <w:ilvl w:val="4"/>
          <w:numId w:val="1"/>
        </w:numPr>
        <w:rPr/>
      </w:pPr>
      <w:bookmarkStart w:id="2640" w:name="__RefHeading___Toc607350_1934241801"/>
      <w:bookmarkStart w:id="2641" w:name="_Toc1219"/>
      <w:bookmarkEnd w:id="2640"/>
      <w:r>
        <w:rPr>
          <w:rtl w:val="true"/>
        </w:rPr>
        <w:t xml:space="preserve">روایت </w:t>
      </w:r>
      <w:r>
        <w:rPr/>
        <w:t>11</w:t>
      </w:r>
      <w:bookmarkEnd w:id="2641"/>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کردن از دو نفر و پذیرفتن اوامر آن ها لازم است حال آنکه امیر و فرمانروا نیز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تشییع جنازه شرکت می کند نمی تواند بازگردد مگر اینکه میّت دفن گردد یا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اولیای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داده شود، و مردی که با زنی به حجّ مشرف می شود اجازه ندارد هجرت کند مگر بعد از پایان یافتن مناسک آن زن</w:t>
      </w:r>
      <w:r>
        <w:rPr>
          <w:rFonts w:eastAsia="IRNazanin" w:cs="IRNazanin"/>
          <w:color w:val="111111"/>
          <w:sz w:val="28"/>
          <w:szCs w:val="28"/>
          <w:rtl w:val="true"/>
          <w:lang w:bidi="fa-IR"/>
        </w:rPr>
        <w:t>.</w:t>
      </w: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به صورت مرسل روایت شده است</w:t>
      </w:r>
      <w:r>
        <w:rPr>
          <w:rFonts w:eastAsia="IRNazanin" w:cs="IRNazanin"/>
          <w:color w:val="111111"/>
          <w:sz w:val="28"/>
          <w:szCs w:val="28"/>
          <w:rtl w:val="true"/>
          <w:lang w:bidi="fa-IR"/>
        </w:rPr>
        <w:t>.</w:t>
      </w:r>
      <w:r>
        <w:rPr>
          <w:rStyle w:val="FootnoteAnchor"/>
          <w:rtl w:val="true"/>
        </w:rPr>
        <w:footnoteReference w:id="1264"/>
      </w:r>
    </w:p>
    <w:p>
      <w:pPr>
        <w:pStyle w:val="Heading5"/>
        <w:numPr>
          <w:ilvl w:val="4"/>
          <w:numId w:val="1"/>
        </w:numPr>
        <w:rPr/>
      </w:pPr>
      <w:bookmarkStart w:id="2642" w:name="__RefHeading___Toc607352_1934241801"/>
      <w:bookmarkStart w:id="2643" w:name="_Toc1220"/>
      <w:bookmarkEnd w:id="2642"/>
      <w:r>
        <w:rPr>
          <w:rtl w:val="true"/>
        </w:rPr>
        <w:t>توضیح</w:t>
      </w:r>
      <w:bookmarkEnd w:id="264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کردن از آن ها و پذیرش اوامرشان الزامی است در حالی که امیر و فرمانروا نیستند که به صورت خصوصی از جانب امام تعیین شده باشند، و یا به صورت عمومی </w:t>
      </w:r>
      <w:bookmarkStart w:id="2644" w:name="pg13517_329292"/>
    </w:p>
    <w:p>
      <w:pPr>
        <w:pStyle w:val="BookText"/>
        <w:rPr/>
      </w:pPr>
      <w:bookmarkEnd w:id="2644"/>
      <w:r>
        <w:rPr>
          <w:rFonts w:ascii="Amiri" w:hAnsi="Amiri" w:eastAsia="Amiri" w:cs="Amiri"/>
          <w:color w:val="111111"/>
          <w:sz w:val="28"/>
          <w:sz w:val="28"/>
          <w:szCs w:val="28"/>
          <w:rtl w:val="true"/>
          <w:lang w:bidi="ar-SA"/>
        </w:rPr>
        <w:t>يلزم إطاعتهما في أكثر الأمور و هذا الخبر يدل علي زوال الكراهة مع الإذن و لا يدل علي عدم استحباب إتمام التشييع بعد الإذن بل يستحب لما سيأتي و لما رواه الْكُلَيْنِيُ‌</w:t>
      </w:r>
      <w:r>
        <w:rPr>
          <w:rStyle w:val="FootnoteAnchor"/>
          <w:rtl w:val="true"/>
        </w:rPr>
        <w:footnoteReference w:id="1265"/>
      </w:r>
      <w:r>
        <w:rPr>
          <w:rFonts w:ascii="Amiri" w:hAnsi="Amiri" w:eastAsia="Amiri" w:cs="Amiri"/>
          <w:color w:val="111111"/>
          <w:sz w:val="28"/>
          <w:sz w:val="28"/>
          <w:szCs w:val="28"/>
          <w:rtl w:val="true"/>
          <w:lang w:bidi="ar-SA"/>
        </w:rPr>
        <w:t>عَنِ الْعِدَّةِ عَنْ سَهْلٍ عَنِ ابْنِ مَحْبُوبٍ عَنِ ابْنِ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جَعْفَرٍ عليه السلام فِي جِنَازَةٍ لِبَعْضِ قَرَابَتِهِ فَلَمَّا أَنْ صَلَّي عَلَي الْمَيِّتِ قَالَ وَلِيُّهُ لِأَبِي جَعْفَرٍ عليه السلام ارْجِعْ يَا أَبَا جَعْفَرٍ مَأْجُوراً وَ لَا تَعَنَّي لِأَنَّكَ تَضْعُفُ عَنِ الْمَشْيِ فَقُلْتُ أَنَا لِأَبِي جَعْفَرٍ عليه السلام قَدْ أَذِنَ لَكَ فِي الرُّجُوعِ فَارْجِعْ وَ لِيَ حَاجَةٌ أُرِيدُ أَنْ أَسْأَلَكَ عَنْهَا فَقَالَ لِي أَبُو جَعْفَرٍ عليه السلام إِنَّمَا هُوَ فَضْلٌ وَ أَجْرٌ فَبِقَدْرِ مَا يَمْشِي مَعَ الْجَنَازَةِ يُؤْجَرُ الَّذِي يَتْبَعُهَا فَأَمَّا بِإِذْنِهِ فَلَيْسَ بِإِذْنِهِ جِئْنَا وَ لَا بِإِذْنِهِ نَرْجِعُ</w:t>
      </w:r>
      <w:r>
        <w:rPr>
          <w:rFonts w:eastAsia="Amiri" w:cs="Amiri" w:ascii="Amiri" w:hAnsi="Amiri"/>
          <w:color w:val="111111"/>
          <w:sz w:val="28"/>
          <w:szCs w:val="28"/>
          <w:rtl w:val="true"/>
          <w:lang w:bidi="ar-SA"/>
        </w:rPr>
        <w:t>.</w:t>
      </w:r>
    </w:p>
    <w:p>
      <w:pPr>
        <w:pStyle w:val="Heading5"/>
        <w:numPr>
          <w:ilvl w:val="4"/>
          <w:numId w:val="1"/>
        </w:numPr>
        <w:rPr/>
      </w:pPr>
      <w:bookmarkStart w:id="2645" w:name="__RefHeading___Toc607354_1934241801"/>
      <w:bookmarkStart w:id="2646" w:name="_Toc1221"/>
      <w:bookmarkEnd w:id="2645"/>
      <w:r>
        <w:rPr>
          <w:rtl w:val="true"/>
        </w:rPr>
        <w:t>«</w:t>
      </w:r>
      <w:r>
        <w:rPr/>
        <w:t>12</w:t>
      </w:r>
      <w:r>
        <w:rPr>
          <w:rtl w:val="true"/>
        </w:rPr>
        <w:t>»</w:t>
      </w:r>
      <w:bookmarkEnd w:id="2646"/>
    </w:p>
    <w:p>
      <w:pPr>
        <w:pStyle w:val="BookText"/>
        <w:rPr/>
      </w:pPr>
      <w:r>
        <w:rPr>
          <w:rFonts w:ascii="Amiri" w:hAnsi="Amiri" w:eastAsia="Amiri" w:cs="Amiri"/>
          <w:color w:val="111111"/>
          <w:sz w:val="28"/>
          <w:sz w:val="28"/>
          <w:szCs w:val="28"/>
          <w:rtl w:val="true"/>
          <w:lang w:bidi="ar-SA"/>
        </w:rPr>
        <w:t>الْخِصَالُ، عَنْ مُحَمَّدِ بْنِ أَحْمَدَ السِّنَانِيِّ عَنْ أَحْمَدَ بْنِ يَحْيَي بْنِ زَكَرِيَّا عَنْ بَكْرِ بْنِ عَبْدِ اللَّهِ بْنِ حَبِيبٍ عَنْ تَمِيمِ بْنِ بُهْلُولٍ عَنْ أَبِيهِ عَنْ عَبْدِ اللَّهِ بْنِ الْفَضْلِ الْهَاشِمِيِّ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يُدْرَي أَيُّهُمْ أَعْظَمُ جُرْماً الَّذِي يَمْشِي خَلْفَ جَنَازَةٍ فِي مُصِيبَةِ غَيْرِهِ بِغَيْرِ رِدَاءٍ أَوِ الَّذِي يَضْرِبُ يَدَهُ عَلَي فَخِذِهِ عِنْدَ الْمُصِيبَةِ أَوِ الَّذِي يَقُولُ ارْفُقُوا بِهِ وَ تَرَحَّمُوا عَلَيْهِ يَرْحَمْكُمُ اللَّهُ‌</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7" w:name="__RefHeading___Toc607356_1934241801"/>
      <w:bookmarkStart w:id="2648" w:name="_Toc1222"/>
      <w:bookmarkEnd w:id="2647"/>
      <w:r>
        <w:rPr>
          <w:rtl w:val="true"/>
        </w:rPr>
        <w:t>«</w:t>
      </w:r>
      <w:r>
        <w:rPr/>
        <w:t>13</w:t>
      </w:r>
      <w:r>
        <w:rPr>
          <w:rtl w:val="true"/>
        </w:rPr>
        <w:t>»</w:t>
      </w:r>
      <w:bookmarkEnd w:id="2648"/>
    </w:p>
    <w:p>
      <w:pPr>
        <w:pStyle w:val="BookText"/>
        <w:rPr/>
      </w:pPr>
      <w:r>
        <w:rPr>
          <w:rFonts w:ascii="Amiri" w:hAnsi="Amiri" w:eastAsia="Amiri" w:cs="Amiri"/>
          <w:color w:val="111111"/>
          <w:sz w:val="28"/>
          <w:sz w:val="28"/>
          <w:szCs w:val="28"/>
          <w:rtl w:val="true"/>
          <w:lang w:bidi="ar-SA"/>
        </w:rPr>
        <w:t>وَ مِنْهُ، عَنْ أَبِيهِ عَنْ عَلِيِّ بْنِ إِبْرَاهِيمَ عَنْ أَبِيهِ عَنِ النَّوْفَلِيِّ عَنِ السَّكُونِيِّ عَنْ جَعْفَرِ بْنِ مُحَمَّدٍ عَنْ أَبِيهِ عَنْ آبَائِهِ عَنْ عَلِيٍّ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مَا أَدْرِي أَيُّهُمْ أَعْظَمُ جُرْماً الَّذِي يَمْشِي مَعَ الْجَنَازَةِ بِغَيْرِ رِدَاءٍ أَوِ الَّذِي يَقُولُ ارْفُقُوا بِهِ أَوِ الَّذِي يَقُولُ اسْتَغْفِرُوا لَهُ غَفَرَ اللَّهُ لَكُمْ‌</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9" w:name="__RefHeading___Toc607358_1934241801"/>
      <w:bookmarkStart w:id="2650" w:name="_Toc1223"/>
      <w:bookmarkEnd w:id="2649"/>
      <w:r>
        <w:rPr>
          <w:rtl w:val="true"/>
        </w:rPr>
        <w:t>بيان</w:t>
      </w:r>
      <w:bookmarkEnd w:id="2650"/>
    </w:p>
    <w:p>
      <w:pPr>
        <w:pStyle w:val="BookText"/>
        <w:rPr/>
      </w:pPr>
      <w:r>
        <w:rPr>
          <w:rFonts w:ascii="Amiri" w:hAnsi="Amiri" w:eastAsia="Amiri" w:cs="Amiri"/>
          <w:color w:val="111111"/>
          <w:sz w:val="28"/>
          <w:sz w:val="28"/>
          <w:szCs w:val="28"/>
          <w:rtl w:val="true"/>
          <w:lang w:bidi="ar-SA"/>
        </w:rPr>
        <w:t>قوله مع الجنازة أي مع عدم كونه صاحب المصيبة كما مر في الخبر الأول و هو إما مكروه أو حرام كما سيأتي و أما قوله ارفقوا به فلتضمنه تحقير الميت و إهانته و في التهذيب‌</w:t>
      </w:r>
      <w:r>
        <w:rPr>
          <w:rStyle w:val="FootnoteAnchor"/>
          <w:rtl w:val="true"/>
        </w:rPr>
        <w:footnoteReference w:id="1268"/>
      </w:r>
      <w:r>
        <w:rPr>
          <w:rFonts w:ascii="Amiri" w:hAnsi="Amiri" w:eastAsia="Amiri" w:cs="Amiri"/>
          <w:color w:val="111111"/>
          <w:sz w:val="28"/>
          <w:sz w:val="28"/>
          <w:szCs w:val="28"/>
          <w:rtl w:val="true"/>
          <w:lang w:bidi="ar-SA"/>
        </w:rPr>
        <w:t>أو الذي يقول قفوا و لعله</w:t>
      </w:r>
    </w:p>
    <w:p>
      <w:pPr>
        <w:pStyle w:val="BookText"/>
        <w:rPr/>
      </w:pPr>
      <w:r>
        <w:rPr>
          <w:rFonts w:ascii="IRNazanin" w:hAnsi="IRNazanin" w:eastAsia="IRNazanin"/>
          <w:color w:val="111111"/>
          <w:sz w:val="28"/>
          <w:sz w:val="28"/>
          <w:szCs w:val="28"/>
          <w:rtl w:val="true"/>
          <w:lang w:bidi="fa-IR"/>
        </w:rPr>
        <w:t>و در بیشتر موارد اطاعت کردن از آن ها واجب باشد، و این حدیث بر از بین رفتن کراهت ترک مراسم تشییع جنازه در صورت حصول اجازه دلالت می کند، ولی بر عدم استحباب به پایان رساندن مراسم بعد از حصول اجازه دلالت نمی کند، بلکه به پایان رساندن مراسم بعد از حصول اجازه بنا به دلایلی که در ادامه ذکر خواهد شد و همچنین بنا به حدیثی که کلینی</w:t>
      </w:r>
      <w:r>
        <w:rPr>
          <w:rStyle w:val="FootnoteAnchor"/>
          <w:rtl w:val="true"/>
        </w:rPr>
        <w:footnoteReference w:id="1269"/>
      </w:r>
      <w:r>
        <w:rPr>
          <w:rFonts w:ascii="IRNazanin" w:hAnsi="IRNazanin" w:eastAsia="IRNazanin"/>
          <w:color w:val="111111"/>
          <w:sz w:val="28"/>
          <w:sz w:val="28"/>
          <w:szCs w:val="28"/>
          <w:rtl w:val="true"/>
          <w:lang w:bidi="fa-IR"/>
        </w:rPr>
        <w:t>روایت کرده است مستحبّ می باشد، کلینی از زرارة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باقر علیه السلام در مراسم تشییع جنازه یکی از نزدیکان ایشان شرکت کردم، هنگامی  که امام بر جنازه نماز گزارد یکی از اولیای میّت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جعفر، خداوند شما را مأجور گرداند، بازگردید چرا که توان راه رفتن ندارید؛ 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اجازه بازگشت داده شد پس بازگردید، و مرا حاجتی است که می خواهم آن را از شما طلب کنم؛ امام باقر علیه السلام در پاسخ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دارای اجر و فضیلت است و کسی که در مراسم تشییع جنازه شرکت می کند به اندازه ای که همراه جنازه راه می رود مأجور می گردد، امّا در مورد اجازه ولیّ میّت باید بگویم که ما با اجازه او نیامده ایم و با اجازه او نیز باز نخواهیم گشت</w:t>
      </w:r>
      <w:r>
        <w:rPr>
          <w:rFonts w:eastAsia="IRNazanin" w:cs="IRNazanin"/>
          <w:color w:val="111111"/>
          <w:sz w:val="28"/>
          <w:szCs w:val="28"/>
          <w:rtl w:val="true"/>
          <w:lang w:bidi="fa-IR"/>
        </w:rPr>
        <w:t>.</w:t>
      </w:r>
    </w:p>
    <w:p>
      <w:pPr>
        <w:pStyle w:val="Heading5"/>
        <w:numPr>
          <w:ilvl w:val="4"/>
          <w:numId w:val="1"/>
        </w:numPr>
        <w:rPr/>
      </w:pPr>
      <w:bookmarkStart w:id="2651" w:name="__RefHeading___Toc607360_1934241801"/>
      <w:bookmarkStart w:id="2652" w:name="_Toc1224"/>
      <w:bookmarkEnd w:id="2651"/>
      <w:r>
        <w:rPr>
          <w:rtl w:val="true"/>
        </w:rPr>
        <w:t xml:space="preserve">روایت </w:t>
      </w:r>
      <w:r>
        <w:rPr/>
        <w:t>12</w:t>
      </w:r>
      <w:bookmarkEnd w:id="2652"/>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هستند که تشخیص داده نمی شود اندازه گناه کدام یک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مصیبت دیگری و بدون بالاپوش به دنبال جنازه حرکت می کند، کسی که هنگام مصیبت دستش را بر روی زانوی خویش می زند، و یا کسی که هنگام حرکت دادن جنازه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مدارا و نرمش به خرج دهید و از خدا بخواهید که او را ببخشاید باشد که خداوند شما را مورد رحمت خویش قرار دهد</w:t>
      </w:r>
      <w:r>
        <w:rPr>
          <w:rFonts w:eastAsia="IRNazanin" w:cs="IRNazanin"/>
          <w:color w:val="111111"/>
          <w:sz w:val="28"/>
          <w:szCs w:val="28"/>
          <w:rtl w:val="true"/>
          <w:lang w:bidi="fa-IR"/>
        </w:rPr>
        <w:t>.</w:t>
      </w:r>
      <w:r>
        <w:rPr>
          <w:rStyle w:val="FootnoteAnchor"/>
          <w:rtl w:val="true"/>
        </w:rPr>
        <w:footnoteReference w:id="1270"/>
      </w:r>
    </w:p>
    <w:p>
      <w:pPr>
        <w:pStyle w:val="Heading5"/>
        <w:numPr>
          <w:ilvl w:val="4"/>
          <w:numId w:val="1"/>
        </w:numPr>
        <w:rPr/>
      </w:pPr>
      <w:bookmarkStart w:id="2653" w:name="__RefHeading___Toc607362_1934241801"/>
      <w:bookmarkStart w:id="2654" w:name="_Toc1225"/>
      <w:bookmarkEnd w:id="2653"/>
      <w:r>
        <w:rPr>
          <w:rtl w:val="true"/>
        </w:rPr>
        <w:t xml:space="preserve">روایت </w:t>
      </w:r>
      <w:r>
        <w:rPr/>
        <w:t>13</w:t>
      </w:r>
      <w:bookmarkEnd w:id="2654"/>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از پدرانش علیهم السلام و ایشان نیز از امام علی علیه السلام روایت کردند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هستند که نمی دانم اندازه گناه کدام یک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بالاپوش همراه جنازه حرکت می کند، کسی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نرمش و مدارا به خرج دهید، یا کسی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طلب مغفرت کنید باشد که خداوند شما را مورد مغفرت قرار دهد</w:t>
      </w:r>
      <w:r>
        <w:rPr>
          <w:rFonts w:eastAsia="IRNazanin" w:cs="IRNazanin"/>
          <w:color w:val="111111"/>
          <w:sz w:val="28"/>
          <w:szCs w:val="28"/>
          <w:rtl w:val="true"/>
          <w:lang w:bidi="fa-IR"/>
        </w:rPr>
        <w:t>.</w:t>
      </w:r>
      <w:r>
        <w:rPr>
          <w:rStyle w:val="FootnoteAnchor"/>
          <w:rtl w:val="true"/>
        </w:rPr>
        <w:footnoteReference w:id="1271"/>
      </w:r>
    </w:p>
    <w:p>
      <w:pPr>
        <w:pStyle w:val="Heading5"/>
        <w:numPr>
          <w:ilvl w:val="4"/>
          <w:numId w:val="1"/>
        </w:numPr>
        <w:rPr/>
      </w:pPr>
      <w:bookmarkStart w:id="2655" w:name="__RefHeading___Toc607364_1934241801"/>
      <w:bookmarkStart w:id="2656" w:name="_Toc1226"/>
      <w:bookmarkEnd w:id="2655"/>
      <w:r>
        <w:rPr>
          <w:rtl w:val="true"/>
        </w:rPr>
        <w:t>توضیح</w:t>
      </w:r>
      <w:bookmarkEnd w:id="2656"/>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صاحب مصیبت نیست همراه جنازه به راه می افتد، چنان که در حدیث نخست نیز به این امر اشاره شده است، و چنین کاری آن گونه که در ادامه ذکر خواهد شد یا مکروه است یا حرام؛ امّا این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ارفقوا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مضمون تحقیر میت و اهانت به او را در بر داشته باشد و در التهذیب</w:t>
      </w:r>
      <w:r>
        <w:rPr>
          <w:rStyle w:val="FootnoteAnchor"/>
          <w:rtl w:val="true"/>
        </w:rPr>
        <w:footnoteReference w:id="1272"/>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شاید </w:t>
      </w:r>
      <w:bookmarkStart w:id="2657" w:name="pg13517_329293"/>
    </w:p>
    <w:p>
      <w:pPr>
        <w:pStyle w:val="BookText"/>
        <w:rPr/>
      </w:pPr>
      <w:bookmarkEnd w:id="2657"/>
      <w:r>
        <w:rPr>
          <w:rFonts w:ascii="Amiri" w:hAnsi="Amiri" w:eastAsia="Amiri" w:cs="Amiri"/>
          <w:color w:val="111111"/>
          <w:sz w:val="28"/>
          <w:sz w:val="28"/>
          <w:szCs w:val="28"/>
          <w:rtl w:val="true"/>
          <w:lang w:bidi="ar-SA"/>
        </w:rPr>
        <w:t>تصحيف و علي تقديره الذم لمنافاته لتعجيل التجهيز أو يكون الوقوف لإنشاد المراثي و ذكر أحوال الميت كما هو الشائع و هو مناف للتعزي و الصبر و الفقرة الثالثة أيضا لإشعارها بكونه مذنبا و ينبغي أن يذكر الموتي بخير و يمكن أن تحمل الفقرتان معا علي ما إذا كان غرض القائل التحقير و الإشعار بالذنب و يحتمل أن يكون الضميران في الأخيرتين راجعين إلي الذي يمشي بغير رداء أي هو بسبب هذا التصنع لا يستحق أن يؤمر بالرفق به و لا الاستغفار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قدس سره في المنتهي كره أن يقال قفوا و استغفروا له غفر الله لكم لأنه خلاف المنقول بل ينبغي أن يقال ما نقل من أهل البيت عليهم السلام و قال في المعتبر قال علي بن بابويه إياك أن تقول ارفقوا به و ترحموا عليه أو تضرب يدك علي فخذك فيحبط أجرك فقال المحقق و به رواية نادرة و لا بأس بمتابعته تفصيا عن المكروه انتهي</w:t>
      </w:r>
      <w:r>
        <w:rPr>
          <w:rFonts w:eastAsia="Amiri" w:cs="Amiri" w:ascii="Amiri" w:hAnsi="Amiri"/>
          <w:color w:val="111111"/>
          <w:sz w:val="28"/>
          <w:szCs w:val="28"/>
          <w:rtl w:val="true"/>
          <w:lang w:bidi="ar-SA"/>
        </w:rPr>
        <w:t>.</w:t>
      </w:r>
    </w:p>
    <w:p>
      <w:pPr>
        <w:pStyle w:val="Heading5"/>
        <w:numPr>
          <w:ilvl w:val="4"/>
          <w:numId w:val="1"/>
        </w:numPr>
        <w:rPr/>
      </w:pPr>
      <w:bookmarkStart w:id="2658" w:name="__RefHeading___Toc607366_1934241801"/>
      <w:bookmarkStart w:id="2659" w:name="_Toc1227"/>
      <w:bookmarkEnd w:id="2658"/>
      <w:r>
        <w:rPr>
          <w:rtl w:val="true"/>
        </w:rPr>
        <w:t>«</w:t>
      </w:r>
      <w:r>
        <w:rPr/>
        <w:t>14</w:t>
      </w:r>
      <w:r>
        <w:rPr>
          <w:rtl w:val="true"/>
        </w:rPr>
        <w:t>»</w:t>
      </w:r>
      <w:bookmarkEnd w:id="2659"/>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 جَنَازَةً فَامْشِ خَلْفَهَا وَ لَا تَمْشِ أَمَامَهَا وَ إِنَّمَا يُؤْجَرُ مَنْ تَبِعَهَا لَا مَنْ تَبِعَتْهُ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أَبِي عَنْ أَبِي عَبْدِ اللَّهِ عليه السلام أَنَّ الْمُؤْمِنَ إِذَا أُدْخِلَ قَبْرَهُ يُنَادِي أَلَا إِنَّ أَوَّلَ حِبَائِكَ الْجَنَّةُ وَ أَوَّلَ حِبَاءِ مَنْ تَبِعَكَ الْمَغْفِرَةُ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اتْبَعُوا الْجَنَازَةَ وَ لَا تَتْبَعْكُمْ فَإِنَّهُ مِنْ عَمَلِ الْمَجُوسِ وَ أَفْضَلُ الْمَشْيِ فِي اتِّبَاعِ الْجَنَازَةِ مَا بَيْنَ جَنْبَيِ الْجَنَازَةِ وَ هُوَ مَشْيُ الْكِرَامِ الْكَاتِبِينَ‌</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وَ قَالَ فِي مَوْضِعٍ آخَرَ ثُمَّ احْمِلْهُ عَلَي سَرِيرِهِ وَ إِيَّاكَ أَنْ تَقُولَ ارْفُقُوا بِهِ وَ تَرَحَّمُوا عَلَيْهِ‌</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الْجَنَازَةَ فَقُلِ اللَّهُ أَكْبَرُ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وَعَدَنَا اللَّهُ وَ رَسُولُهُ وَ صَدَقَ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ذائِقَةُ الْمَوْتِ هَذَا سَبِيلٌ 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تَسْلِيماً لِأَمْرِهِ وَ رِضًا بِقَضَائِهِ وَ احْتِسَاباً لِحُكْمِهِ</w:t>
      </w:r>
    </w:p>
    <w:p>
      <w:pPr>
        <w:pStyle w:val="BookText"/>
        <w:rPr/>
      </w:pPr>
      <w:r>
        <w:rPr>
          <w:rFonts w:ascii="IRNazanin" w:hAnsi="IRNazanin" w:eastAsia="IRNazanin"/>
          <w:color w:val="111111"/>
          <w:sz w:val="28"/>
          <w:sz w:val="28"/>
          <w:szCs w:val="28"/>
          <w:rtl w:val="true"/>
          <w:lang w:bidi="fa-IR"/>
        </w:rPr>
        <w:t>اشتباه و غلطی در نوشتار روی داده باشد، امّا اگر عبارت روایت شده در التهذیب را صحیح بپنداریم این سخن گناه محسوب می شود، چرا که با تعجیل در آماده سازی مراسم کفن و دفن منافات دارد، یا شاید بدین خاطر گناه باشد که این وقوف و درنگ کردن، چنان که شایع است به منظور مرثیه سرایی و ذکر احوال میّت باشد که منافی تسلّی دادن و صبر پیشه ساختن است؛ و کلام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استغفروا له غفرالله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گناه محسوب می شود چرا که خبر از گناهکار بودن میّت می دهد، در صورتی که لازم است از مردگان به خیر و نیکی یاد شود؛ همچنین ممکن است به زبان آوردن دو عبارت اخیر گناه محسوب شود اگر منظور گوینده آن ها تحقیر میّت و خبردادن از گناهکار بودن او باشد، این احتمال نیز وجود دارد که مرجع ضمیر در دو عبارت اخیر کسی باشد که بدون بالاپوش به دنبال جنازه حرکت می کند،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با انجام چنین کاری شایستگی ندارد که به رعایت نرمش و مدارا با جنازه و یا طلب مغفرت برای او امر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قدّس سّره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قفوا و استغفروا له غفر الله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کنید و برای او طلب مغفرت کنید، باشد که خداوند شما را مورد مغفرت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این کلام برخلاف احادیث منقول در این زمینه است، بلکه لازم است کلامی که از اهل بیت علیهم السلام در این زمینه روایت شده به زبان آورده شود، همچنین علّامه در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بابویه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 از اینکه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نرمش و مدارا به خرج دهید، و بر حذر باش از اینکه دستت را بر زانویت بکوبی که اگر چنین کنی اجر و پاداشت از بین خواهد رفت، پس محقّق گفته است در این زمینه روایتی نادر هست و اشکالی ندارد برای گریز از مکروه از آن پیروی شود پایان نقل قول</w:t>
      </w:r>
      <w:r>
        <w:rPr>
          <w:rFonts w:eastAsia="IRNazanin" w:cs="IRNazanin"/>
          <w:color w:val="111111"/>
          <w:sz w:val="28"/>
          <w:szCs w:val="28"/>
          <w:rtl w:val="true"/>
          <w:lang w:bidi="fa-IR"/>
        </w:rPr>
        <w:t>.</w:t>
      </w:r>
    </w:p>
    <w:p>
      <w:pPr>
        <w:pStyle w:val="Heading5"/>
        <w:numPr>
          <w:ilvl w:val="4"/>
          <w:numId w:val="1"/>
        </w:numPr>
        <w:rPr/>
      </w:pPr>
      <w:bookmarkStart w:id="2660" w:name="__RefHeading___Toc607368_1934241801"/>
      <w:bookmarkStart w:id="2661" w:name="_Toc1228"/>
      <w:bookmarkEnd w:id="2660"/>
      <w:r>
        <w:rPr>
          <w:rtl w:val="true"/>
        </w:rPr>
        <w:t xml:space="preserve">روایت </w:t>
      </w:r>
      <w:r>
        <w:rPr/>
        <w:t>14</w:t>
      </w:r>
      <w:bookmarkEnd w:id="2661"/>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جنازه ای حاضر می شود، به دنبال و نه پیشاپیش آن حرکت کن، چرا که اجر و پاداش از آنِ کسی است که به دنبال و نه پیشاپیش آن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مؤمن وارد قبرش می گردد ندا سر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بهشت نخستین پاداش تو و مغفرت نخستین پاداش کسی است که در تشییع جنازه تو شرکت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دنبال جنازه حرکت کنید نه اینکه جنازه به دنبال شما، چرا که حرکت کردن تشییع کنندگان پیش از جنازه از جمله اعمال مجوسیان است؛ و بهترین نوع حرکت کردن به دنبال جنازه، حرکت کردن از دو سوی آن است که کرام الکاتبین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نگارنده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گونه حرکت می کنند</w:t>
      </w:r>
      <w:r>
        <w:rPr>
          <w:rFonts w:eastAsia="IRNazanin" w:cs="IRNazanin"/>
          <w:color w:val="111111"/>
          <w:sz w:val="28"/>
          <w:szCs w:val="28"/>
          <w:rtl w:val="true"/>
          <w:lang w:bidi="fa-IR"/>
        </w:rPr>
        <w:t>.</w:t>
      </w:r>
      <w:r>
        <w:rPr>
          <w:rStyle w:val="FootnoteAnchor"/>
          <w:rtl w:val="true"/>
        </w:rPr>
        <w:footnoteReference w:id="1275"/>
      </w:r>
    </w:p>
    <w:p>
      <w:pPr>
        <w:pStyle w:val="BookText"/>
        <w:rPr/>
      </w:pPr>
      <w:r>
        <w:rPr>
          <w:rFonts w:ascii="IRNazanin" w:hAnsi="IRNazanin" w:eastAsia="IRNazanin"/>
          <w:color w:val="111111"/>
          <w:sz w:val="28"/>
          <w:sz w:val="28"/>
          <w:szCs w:val="28"/>
          <w:rtl w:val="true"/>
          <w:lang w:bidi="fa-IR"/>
        </w:rPr>
        <w:t>و در جایی دیگر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میّت را بر تختش حمل کنید و برحذر باشید از اینکه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نرمش و مدارا به خرج دهید و به او رحم کنید</w:t>
      </w:r>
      <w:r>
        <w:rPr>
          <w:rFonts w:eastAsia="IRNazanin" w:cs="IRNazanin"/>
          <w:color w:val="111111"/>
          <w:sz w:val="28"/>
          <w:szCs w:val="28"/>
          <w:rtl w:val="true"/>
          <w:lang w:bidi="fa-IR"/>
        </w:rPr>
        <w:t>.</w:t>
      </w:r>
      <w:r>
        <w:rPr>
          <w:rStyle w:val="FootnoteAnchor"/>
          <w:rtl w:val="true"/>
        </w:rPr>
        <w:footnoteReference w:id="1276"/>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جنازه را مشاهده کردی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اللَّهُ أَکْبَرُ هذا ما وَعَدَنَا اللَّهُ وَ رَسُولُهُ وَ صَدَقَ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نَفْسٍ ذائِقَةُ الْمَوْتِ هَذَا سَبِیلٌ لَا بُدَّ مِنْهُ إِنَّا لِلَّهِ وَ إِنَّا إِلَیْهِ راجِعُونَ تَسْلِیماً لِأَمْرِهِ وَ رِضًا بِقَضَائِهِ وَ احْتِسَاباً لِحُکْمِهِ </w:t>
      </w:r>
      <w:bookmarkStart w:id="2662" w:name="pg13517_329294"/>
    </w:p>
    <w:p>
      <w:pPr>
        <w:pStyle w:val="BookText"/>
        <w:rPr/>
      </w:pPr>
      <w:bookmarkEnd w:id="2662"/>
      <w:r>
        <w:rPr>
          <w:rFonts w:ascii="Amiri" w:hAnsi="Amiri" w:eastAsia="Amiri" w:cs="Amiri"/>
          <w:color w:val="111111"/>
          <w:sz w:val="28"/>
          <w:sz w:val="28"/>
          <w:szCs w:val="28"/>
          <w:rtl w:val="true"/>
          <w:lang w:bidi="ar-SA"/>
        </w:rPr>
        <w:t>وَ صَبْراً لِمَا قَدْ جَرَي عَلَيْنَا مِنْ حُكْمِهِ اللَّهُمَّ اجْعَلْهُ لَنَا خَيْرَ غَائِبٍ نَنْتَظِرُهُ‌</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3" w:name="__RefHeading___Toc607370_1934241801"/>
      <w:bookmarkStart w:id="2664" w:name="_Toc1229"/>
      <w:bookmarkEnd w:id="2663"/>
      <w:r>
        <w:rPr>
          <w:rtl w:val="true"/>
        </w:rPr>
        <w:t>بيان</w:t>
      </w:r>
      <w:bookmarkEnd w:id="2664"/>
    </w:p>
    <w:p>
      <w:pPr>
        <w:pStyle w:val="BookText"/>
        <w:rPr/>
      </w:pPr>
      <w:r>
        <w:rPr>
          <w:rFonts w:ascii="Amiri" w:hAnsi="Amiri" w:eastAsia="Amiri" w:cs="Amiri"/>
          <w:color w:val="111111"/>
          <w:sz w:val="28"/>
          <w:sz w:val="28"/>
          <w:szCs w:val="28"/>
          <w:rtl w:val="true"/>
          <w:lang w:bidi="ar-SA"/>
        </w:rPr>
        <w:t>الحباء بكسر الحاء المهملة ممدودا العطاء بلا جزاء و لا من قوله عليه السلام ما بين جنبي الجنازة أي عن يمينها و شمالها كما رواه فِي الْكَافِي‌</w:t>
      </w:r>
      <w:r>
        <w:rPr>
          <w:rStyle w:val="FootnoteAnchor"/>
          <w:rtl w:val="true"/>
        </w:rPr>
        <w:footnoteReference w:id="1278"/>
      </w:r>
      <w:r>
        <w:rPr>
          <w:rFonts w:ascii="Amiri" w:hAnsi="Amiri" w:eastAsia="Amiri" w:cs="Amiri"/>
          <w:color w:val="111111"/>
          <w:sz w:val="28"/>
          <w:sz w:val="28"/>
          <w:szCs w:val="28"/>
          <w:rtl w:val="true"/>
          <w:lang w:bidi="ar-SA"/>
        </w:rPr>
        <w:t>عَنْ سَدِيرٍ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يَمْشِيَ مَمْشَي الْكِرَامِ الْكَاتِبِينَ فَلْيَمْشِ جَنْبَيِ السَّرِيرِ وَ الْكِرَامُ الْكَاتِبُونَ الْمَلَائِكَةُ الْكَاتِبُونَ لِلْأَعْمَالِ فَإِنَّهُمْ فِي تِلْكَ الْحَالِ أَيْضاً مُلَازِمُونَ لِجَنْبَيِ الْمَيِّتِ كَمَا كَانُوا كَذَلِكَ فِي حَيَاتِهِ كَمَا يُفْهَمُ مِنْ هَذَا الْخَبَرِ وَ يَدُلُّ عَلَي رُجْحَانِ الْمَشْيِ جَنْبَيِ السَّرِيرِ</w:t>
      </w:r>
      <w:r>
        <w:rPr>
          <w:rFonts w:eastAsia="Amiri" w:cs="Amiri" w:ascii="Amiri" w:hAnsi="Amiri"/>
          <w:color w:val="111111"/>
          <w:sz w:val="28"/>
          <w:szCs w:val="28"/>
          <w:rtl w:val="true"/>
          <w:lang w:bidi="ar-SA"/>
        </w:rPr>
        <w:t>.</w:t>
      </w:r>
    </w:p>
    <w:p>
      <w:pPr>
        <w:pStyle w:val="Heading5"/>
        <w:numPr>
          <w:ilvl w:val="4"/>
          <w:numId w:val="1"/>
        </w:numPr>
        <w:rPr/>
      </w:pPr>
      <w:bookmarkStart w:id="2665" w:name="__RefHeading___Toc607372_1934241801"/>
      <w:bookmarkStart w:id="2666" w:name="_Toc1230"/>
      <w:bookmarkEnd w:id="2665"/>
      <w:r>
        <w:rPr>
          <w:rtl w:val="true"/>
        </w:rPr>
        <w:t>«</w:t>
      </w:r>
      <w:r>
        <w:rPr/>
        <w:t>15</w:t>
      </w:r>
      <w:r>
        <w:rPr>
          <w:rtl w:val="true"/>
        </w:rPr>
        <w:t>»</w:t>
      </w:r>
      <w:bookmarkEnd w:id="2666"/>
    </w:p>
    <w:p>
      <w:pPr>
        <w:pStyle w:val="BookText"/>
        <w:rPr/>
      </w:pPr>
      <w:r>
        <w:rPr>
          <w:rFonts w:ascii="Amiri" w:hAnsi="Amiri" w:eastAsia="Amiri" w:cs="Amiri"/>
          <w:color w:val="111111"/>
          <w:sz w:val="28"/>
          <w:sz w:val="28"/>
          <w:szCs w:val="28"/>
          <w:rtl w:val="true"/>
          <w:lang w:bidi="ar-SA"/>
        </w:rPr>
        <w:t>ثَوَابُ الْأَعْمَالِ، عَنْ مُحَمَّدِ بْنِ الْحَسَنِ بْنِ الْوَلِيدِ عَنْ مُحَمَّدِ بْنِ الْحَسَنِ الصَّفَّارِ عَنِ الْعَبَّاسِ بْنِ مَعْرُوفٍ عَنْ سَعْدَانَ بْنِ مُسْلِمٍ عَنْ سُلَيْمَانَ بْنِ صَالِحٍ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بِقَائِمَةِ السَّرِيرِ غَفَرَ اللَّهُ لَهُ خَمْساً وَ عِشْرِينَ كَبِيرَةً فَإِذَا رَبَّعَ خَرَجَ مِنَ الذُّنُوبِ‌</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7" w:name="__RefHeading___Toc607374_1934241801"/>
      <w:bookmarkStart w:id="2668" w:name="_Toc1231"/>
      <w:bookmarkEnd w:id="2667"/>
      <w:r>
        <w:rPr>
          <w:rtl w:val="true"/>
        </w:rPr>
        <w:t>«</w:t>
      </w:r>
      <w:r>
        <w:rPr/>
        <w:t>16</w:t>
      </w:r>
      <w:r>
        <w:rPr>
          <w:rtl w:val="true"/>
        </w:rPr>
        <w:t>»</w:t>
      </w:r>
      <w:bookmarkEnd w:id="2668"/>
    </w:p>
    <w:p>
      <w:pPr>
        <w:pStyle w:val="BookText"/>
        <w:rPr/>
      </w:pPr>
      <w:r>
        <w:rPr>
          <w:rFonts w:ascii="Amiri" w:hAnsi="Amiri" w:eastAsia="Amiri" w:cs="Amiri"/>
          <w:color w:val="111111"/>
          <w:sz w:val="28"/>
          <w:sz w:val="28"/>
          <w:szCs w:val="28"/>
          <w:rtl w:val="true"/>
          <w:lang w:bidi="ar-SA"/>
        </w:rPr>
        <w:t>وَ مِنْهُ، عَنْ مُحَمَّدِ بْنِ الْحَسَنِ عَنِ الصَّفَّارِ عَنْ أَحْمَدَ بْنِ مُحَمَّدٍ عَنِ ابْنِ سِنَانٍ 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نَاجَي بِهِ مُوسَي رَبَّهُ أَنْ قَالَ يَا رَبِّ مَا لِمَنْ شَيَّعَ جَنَازَةً قَالَ أُوَكِّلُ بِهِ مَلَائِكَتِي مَعَهُمْ رَايَاتٌ يُشَيِّعُونَهُمْ مِنْ قُبُورِهِمْ إِلَي مَحْشَرِهِمْ‌</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9" w:name="__RefHeading___Toc607376_1934241801"/>
      <w:bookmarkStart w:id="2670" w:name="_Toc1232"/>
      <w:bookmarkEnd w:id="2669"/>
      <w:r>
        <w:rPr>
          <w:rtl w:val="true"/>
        </w:rPr>
        <w:t>«</w:t>
      </w:r>
      <w:r>
        <w:rPr/>
        <w:t>17</w:t>
      </w:r>
      <w:r>
        <w:rPr>
          <w:rtl w:val="true"/>
        </w:rPr>
        <w:t>»</w:t>
      </w:r>
      <w:bookmarkEnd w:id="2670"/>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 جَنَازَةً فَامْشِ خَلْفَهَا وَ لَا تَمْشِ أَمَامَهَا فَإِنَّمَا يُؤْجَرُ مَنْ يَتْبَعُهَا لَا مَنْ تَبِعَتْهُ فَإِنَّهُ رُوِيَ اتْبَعُوا الْجَنَازَةَ وَ لَا تَتْبَعْكُمْ فَإِنَّهُ مِنْ عَمَلِ الْمَجُوسِ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الْمَيِّتُ مُؤْمِناً فَلَا بَأْسَ أَنْ يَمْشِيَ قُدَّامَ جَنَازَتِهِ فَإِنَّ الرَّحْمَةَ تَسْتَقْبِلُهُ وَ الْكَافِرُ لَا يَتَقَدَّمُ جَنَازَتَهُ فَإِنَّ اللَّعْنَةَ تَسْتَقْبِلُهُ‌</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صَبْراً لِمَا قَدْ جَرَی عَلَیْنَا مِنْ حُکْمِهِ اللَّهُمَّ اجْعَلْهُ لَنَا خَیْرَ غَائِبٍ نَنْتَظِرُهُ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 این وعده ای است که خدا و رسولش به ما داده اند، و خدا و رسولش در گفتارشان صادق هستند، هر نفسی مرگ را می چشد، این راهی است که ناگزیر باید در آن گام نهاد، همه ما از آنِ خداییم و به سوی او باز می گردیم، همه ما تسلیم اوامر خداوند، راضی به قضا و قدر وضع شده و احکام صادره از سوی او هستیم، و در مقابل احکامی که از سوی خداوند بر ما جاری می گردد صبر پیشه می  سازیم، خداوندا، این شخص را برای ما بهترین غائبی قرار ده که در انتظار او هستیم</w:t>
      </w:r>
      <w:r>
        <w:rPr>
          <w:rFonts w:eastAsia="IRNazanin" w:cs="IRNazanin"/>
          <w:color w:val="111111"/>
          <w:sz w:val="28"/>
          <w:szCs w:val="28"/>
          <w:rtl w:val="true"/>
          <w:lang w:bidi="fa-IR"/>
        </w:rPr>
        <w:t>.}</w:t>
      </w:r>
      <w:r>
        <w:rPr>
          <w:rStyle w:val="FootnoteAnchor"/>
          <w:rtl w:val="true"/>
        </w:rPr>
        <w:footnoteReference w:id="1282"/>
      </w:r>
    </w:p>
    <w:p>
      <w:pPr>
        <w:pStyle w:val="Heading5"/>
        <w:numPr>
          <w:ilvl w:val="4"/>
          <w:numId w:val="1"/>
        </w:numPr>
        <w:rPr/>
      </w:pPr>
      <w:bookmarkStart w:id="2671" w:name="__RefHeading___Toc607378_1934241801"/>
      <w:bookmarkStart w:id="2672" w:name="_Toc1233"/>
      <w:bookmarkEnd w:id="2671"/>
      <w:r>
        <w:rPr>
          <w:rtl w:val="true"/>
        </w:rPr>
        <w:t>توضیح</w:t>
      </w:r>
      <w:bookmarkEnd w:id="26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پاداشی که بلاعوض و بدون منّت است، این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جنبَی الجنازة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راست و چپ آن، آن گونه که در الکافی</w:t>
      </w:r>
      <w:r>
        <w:rPr>
          <w:rStyle w:val="FootnoteAnchor"/>
          <w:rtl w:val="true"/>
        </w:rPr>
        <w:footnoteReference w:id="1283"/>
      </w:r>
      <w:r>
        <w:rPr>
          <w:rFonts w:ascii="IRNazanin" w:hAnsi="IRNazanin" w:eastAsia="IRNazanin"/>
          <w:color w:val="111111"/>
          <w:sz w:val="28"/>
          <w:sz w:val="28"/>
          <w:szCs w:val="28"/>
          <w:rtl w:val="true"/>
          <w:lang w:bidi="fa-IR"/>
        </w:rPr>
        <w:t>از سدیر روایت شده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دوست دارد مانند کرام الکاتبین راه برود، در دو سوی تخت جنازه حرکت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 الکاتبون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نگارنده اعمال، هنگام تشییع جنازه در دو سوی میّت حرکت می کنند چنان که در زمان حیات نیز همیشه در دو سوی او حضور داشتند، و این چیزی است که از این حدیث فهمیده می شود، و بر برتری داشتن حرکت در دو سوی تخت مخصوص حمل جنازه دلالت می کند</w:t>
      </w:r>
      <w:r>
        <w:rPr>
          <w:rFonts w:eastAsia="IRNazanin" w:cs="IRNazanin"/>
          <w:color w:val="111111"/>
          <w:sz w:val="28"/>
          <w:szCs w:val="28"/>
          <w:rtl w:val="true"/>
          <w:lang w:bidi="fa-IR"/>
        </w:rPr>
        <w:t>.</w:t>
      </w:r>
    </w:p>
    <w:p>
      <w:pPr>
        <w:pStyle w:val="Heading5"/>
        <w:numPr>
          <w:ilvl w:val="4"/>
          <w:numId w:val="1"/>
        </w:numPr>
        <w:rPr/>
      </w:pPr>
      <w:bookmarkStart w:id="2673" w:name="__RefHeading___Toc607380_1934241801"/>
      <w:bookmarkStart w:id="2674" w:name="_Toc1234"/>
      <w:bookmarkEnd w:id="2673"/>
      <w:r>
        <w:rPr>
          <w:rtl w:val="true"/>
        </w:rPr>
        <w:t xml:space="preserve">روایت </w:t>
      </w:r>
      <w:r>
        <w:rPr/>
        <w:t>15</w:t>
      </w:r>
      <w:bookmarkEnd w:id="2674"/>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یک پایه تابوت را بگیرد، خداوند بیست و پنج گناه کبیره او را می بخشاید، پس اگر چهار طرف آن را بگیرد تمام گناهانش زدوده می شود</w:t>
      </w:r>
      <w:r>
        <w:rPr>
          <w:rFonts w:eastAsia="IRNazanin" w:cs="IRNazanin"/>
          <w:color w:val="111111"/>
          <w:sz w:val="28"/>
          <w:szCs w:val="28"/>
          <w:rtl w:val="true"/>
          <w:lang w:bidi="fa-IR"/>
        </w:rPr>
        <w:t>.</w:t>
      </w:r>
    </w:p>
    <w:p>
      <w:pPr>
        <w:pStyle w:val="Heading5"/>
        <w:numPr>
          <w:ilvl w:val="4"/>
          <w:numId w:val="1"/>
        </w:numPr>
        <w:rPr/>
      </w:pPr>
      <w:bookmarkStart w:id="2675" w:name="__RefHeading___Toc607382_1934241801"/>
      <w:bookmarkStart w:id="2676" w:name="_Toc1235"/>
      <w:bookmarkEnd w:id="2675"/>
      <w:r>
        <w:rPr>
          <w:rtl w:val="true"/>
        </w:rPr>
        <w:t xml:space="preserve">روایت </w:t>
      </w:r>
      <w:r>
        <w:rPr/>
        <w:t>16</w:t>
      </w:r>
      <w:bookmarkEnd w:id="2676"/>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سخنانی که موسی علیه السلام با خداوند نجوا کرد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برای کسی که جنازه ای را تشییع می کند چه ثوابی در نظر گرفته ای؟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فرشتگانم را بر او می گمارم که همراه آنان پرچم هایی وجود دارد و شخص تشییع کننده را از قبر تا صحنه محشر همراهی می کنند</w:t>
      </w:r>
      <w:r>
        <w:rPr>
          <w:rFonts w:eastAsia="IRNazanin" w:cs="IRNazanin"/>
          <w:color w:val="111111"/>
          <w:sz w:val="28"/>
          <w:szCs w:val="28"/>
          <w:rtl w:val="true"/>
          <w:lang w:bidi="fa-IR"/>
        </w:rPr>
        <w:t>.</w:t>
      </w:r>
      <w:r>
        <w:rPr>
          <w:rStyle w:val="FootnoteAnchor"/>
          <w:rtl w:val="true"/>
        </w:rPr>
        <w:footnoteReference w:id="1284"/>
      </w:r>
    </w:p>
    <w:p>
      <w:pPr>
        <w:pStyle w:val="Heading5"/>
        <w:numPr>
          <w:ilvl w:val="4"/>
          <w:numId w:val="1"/>
        </w:numPr>
        <w:rPr/>
      </w:pPr>
      <w:bookmarkStart w:id="2677" w:name="__RefHeading___Toc607384_1934241801"/>
      <w:bookmarkStart w:id="2678" w:name="_Toc1236"/>
      <w:bookmarkEnd w:id="2677"/>
      <w:r>
        <w:rPr>
          <w:rtl w:val="true"/>
        </w:rPr>
        <w:t xml:space="preserve">روایت </w:t>
      </w:r>
      <w:r>
        <w:rPr/>
        <w:t>17</w:t>
      </w:r>
      <w:bookmarkEnd w:id="2678"/>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جنازه ای حاضر گشت به دنبال و نه پیشاپیش آن حرکت کنید، به راستی فقط کسی که به دنبال و نه پیشاپیش جنازه حرکت می کند مأجور می گردد، چرا که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دنبال جنازه حرکت کنید نه اینکه جنازه به دنبال شما حرکت داده شود که این از جمله اعمال مجوسیان است، همچنین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از مؤمنان باشد ایرادی ندارد که پیشاپیش جنازه او حرکت کرد، چرا که رحمت به استقبال او می آید، ولی پیشاپیش جنازه کافر نباید حرکت کرد چرا که لعنت و نفرین به استقبال او می آید</w:t>
      </w:r>
      <w:r>
        <w:rPr>
          <w:rFonts w:eastAsia="IRNazanin" w:cs="IRNazanin"/>
          <w:color w:val="111111"/>
          <w:sz w:val="28"/>
          <w:szCs w:val="28"/>
          <w:rtl w:val="true"/>
          <w:lang w:bidi="fa-IR"/>
        </w:rPr>
        <w:t>.</w:t>
      </w:r>
      <w:r>
        <w:rPr>
          <w:rStyle w:val="FootnoteAnchor"/>
          <w:rtl w:val="true"/>
        </w:rPr>
        <w:footnoteReference w:id="1285"/>
      </w:r>
      <w:bookmarkStart w:id="2679" w:name="pg13517_329295"/>
    </w:p>
    <w:p>
      <w:pPr>
        <w:pStyle w:val="Heading5"/>
        <w:numPr>
          <w:ilvl w:val="4"/>
          <w:numId w:val="1"/>
        </w:numPr>
        <w:rPr/>
      </w:pPr>
      <w:bookmarkStart w:id="2680" w:name="__RefHeading___Toc607386_1934241801"/>
      <w:bookmarkStart w:id="2681" w:name="_Toc1237"/>
      <w:bookmarkEnd w:id="2679"/>
      <w:bookmarkEnd w:id="2680"/>
      <w:r>
        <w:rPr>
          <w:rtl w:val="true"/>
        </w:rPr>
        <w:t>«</w:t>
      </w:r>
      <w:r>
        <w:rPr/>
        <w:t>18</w:t>
      </w:r>
      <w:r>
        <w:rPr>
          <w:rtl w:val="true"/>
        </w:rPr>
        <w:t>»</w:t>
      </w:r>
      <w:bookmarkEnd w:id="2681"/>
    </w:p>
    <w:p>
      <w:pPr>
        <w:pStyle w:val="BookText"/>
        <w:rPr/>
      </w:pPr>
      <w:r>
        <w:rPr>
          <w:rFonts w:ascii="Amiri" w:hAnsi="Amiri" w:eastAsia="Amiri" w:cs="Amiri"/>
          <w:color w:val="111111"/>
          <w:sz w:val="28"/>
          <w:sz w:val="28"/>
          <w:szCs w:val="28"/>
          <w:rtl w:val="true"/>
          <w:lang w:bidi="ar-SA"/>
        </w:rPr>
        <w:t>تَنْبِيهُ الْخَاطِرِ، لِلْوَرَّامِ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ضَحِكَ عَلَي جِنَازَةٍ أَهَانَهُ اللَّهُ يَوْمَ الْقِيَامَةِ عَلَي رُءُوسِ الْأَشْهَادِ وَ لَا يُسْتَجَابُ دُعَاؤُهُ وَ مَنْ ضَحِكَ فِي الْمَقْبَرَةِ رَجَعَ وَ عَلَيْهِ مِنَ الْوِزْرِ مِثْلُ جَبَلِ أُحُدٍ وَ مَنْ تَرَحَّمَ عَلَيْهِمْ نَجَا مِنَ النَّارِ</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2" w:name="__RefHeading___Toc607388_1934241801"/>
      <w:bookmarkStart w:id="2683" w:name="_Toc1238"/>
      <w:bookmarkEnd w:id="2682"/>
      <w:r>
        <w:rPr>
          <w:rtl w:val="true"/>
        </w:rPr>
        <w:t>«</w:t>
      </w:r>
      <w:r>
        <w:rPr/>
        <w:t>19</w:t>
      </w:r>
      <w:r>
        <w:rPr>
          <w:rtl w:val="true"/>
        </w:rPr>
        <w:t>»</w:t>
      </w:r>
      <w:bookmarkEnd w:id="2683"/>
    </w:p>
    <w:p>
      <w:pPr>
        <w:pStyle w:val="BookText"/>
        <w:rPr/>
      </w:pPr>
      <w:r>
        <w:rPr>
          <w:rFonts w:ascii="Amiri" w:hAnsi="Amiri" w:eastAsia="Amiri" w:cs="Amiri"/>
          <w:color w:val="111111"/>
          <w:sz w:val="28"/>
          <w:sz w:val="28"/>
          <w:szCs w:val="28"/>
          <w:rtl w:val="true"/>
          <w:lang w:bidi="ar-SA"/>
        </w:rPr>
        <w:t>مَجَالِسُ ابْنِ الشَّيْخِ، عَنْ أَبِيهِ عَنْ مُحَمَّدِ بْنِ مُحَمَّدِ بْنِ مَخْلَدٍ عَنْ عُمَرَ بْنِ الْحُسَيْنِ بْنِ عَلِيِّ بْنِ مَالِكٍ عَنْ إِسْمَاعِيلَ بْنِ عُلَيَّةَ عَنْ لَيْثِ بْنِ أَبِي بُرْدَةَ عَنْ أَبِي مُوسَي عَنْ أَبِيهِ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بِالسَّكِينَةِ عَلَيْكُمْ بِالْقَصْدِ فِي الْمَشْيِ بِجَنَازَتِكُمْ‌</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4" w:name="__RefHeading___Toc607390_1934241801"/>
      <w:bookmarkStart w:id="2685" w:name="_Toc1239"/>
      <w:bookmarkEnd w:id="2684"/>
      <w:r>
        <w:rPr>
          <w:rtl w:val="true"/>
        </w:rPr>
        <w:t>«</w:t>
      </w:r>
      <w:r>
        <w:rPr/>
        <w:t>20</w:t>
      </w:r>
      <w:r>
        <w:rPr>
          <w:rtl w:val="true"/>
        </w:rPr>
        <w:t>»</w:t>
      </w:r>
      <w:bookmarkEnd w:id="2685"/>
    </w:p>
    <w:p>
      <w:pPr>
        <w:pStyle w:val="BookText"/>
        <w:rPr/>
      </w:pPr>
      <w:r>
        <w:rPr>
          <w:rFonts w:ascii="Amiri" w:hAnsi="Amiri" w:eastAsia="Amiri" w:cs="Amiri"/>
          <w:color w:val="111111"/>
          <w:sz w:val="28"/>
          <w:sz w:val="28"/>
          <w:szCs w:val="28"/>
          <w:rtl w:val="true"/>
          <w:lang w:bidi="ar-SA"/>
        </w:rPr>
        <w:t>مَجَالِسُ الشَّيْخِ، عَنِ الْحُسَيْنِ بْنِ عُبَيْدِ اللَّهِ عَنْ هَارُونَ بْنِ مُوسَي عَنِ الْحُكَيْمِيِّ عَنْ سُفْيَانَ بْنِ زِيَادٍ عَنْ عَبَّادِ بْنِ صُهَيْبٍ عَنِ الصَّادِقِ عَنْ أَبِيهِ عليهما السلام عَنِ ابْنِ الْحَنَفِيَّةِ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خَرَجَ فَرَأَي نِسْوَةً قُعُوداً فَقَالَ مَا أَقْعَدَكُنَّ هَاهُنَا قُلْنَ لِجَنَازَةٍ قَالَ أَ فَتَحْمِلْنَ مَعَ مَنْ يَحْمِلُ قُلْنَ لَا قَالَ أَ تُغَسِّلْنَ مَعَ مَنْ يُغَسِّلُ قُلْنَ لَا قَالَ أَ فَتُدْلِينَ فِيمَنْ يُدْلِي قُلْنَ لَا قَالَ فَارْجِعْنَ مَأْزُورَاتٍ غَيْرَ مَأْجُورَاتٍ‌</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غرر الدرر، للسيد حيدر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Heading5"/>
        <w:numPr>
          <w:ilvl w:val="4"/>
          <w:numId w:val="1"/>
        </w:numPr>
        <w:rPr/>
      </w:pPr>
      <w:bookmarkStart w:id="2686" w:name="__RefHeading___Toc607392_1934241801"/>
      <w:bookmarkStart w:id="2687" w:name="_Toc1240"/>
      <w:bookmarkEnd w:id="2686"/>
      <w:r>
        <w:rPr>
          <w:rtl w:val="true"/>
        </w:rPr>
        <w:t>توضيح</w:t>
      </w:r>
      <w:bookmarkEnd w:id="2687"/>
    </w:p>
    <w:p>
      <w:pPr>
        <w:pStyle w:val="BookText"/>
        <w:rPr/>
      </w:pPr>
      <w:r>
        <w:rPr>
          <w:rFonts w:ascii="Amiri" w:hAnsi="Amiri" w:eastAsia="Amiri" w:cs="Amiri"/>
          <w:color w:val="111111"/>
          <w:sz w:val="28"/>
          <w:sz w:val="28"/>
          <w:szCs w:val="28"/>
          <w:rtl w:val="true"/>
          <w:lang w:bidi="ar-SA"/>
        </w:rPr>
        <w:t>قال الجزري ارجعن مأجورات غير مأزورات أي غير آثمات و قياسه موزورات يقال وزر فهو موزور و إنما قال مأزورات للازدواج بمأجورات</w:t>
      </w:r>
      <w:r>
        <w:rPr>
          <w:rFonts w:eastAsia="Amiri" w:cs="Amiri" w:ascii="Amiri" w:hAnsi="Amiri"/>
          <w:color w:val="111111"/>
          <w:sz w:val="28"/>
          <w:szCs w:val="28"/>
          <w:rtl w:val="true"/>
          <w:lang w:bidi="ar-SA"/>
        </w:rPr>
        <w:t>.</w:t>
      </w:r>
    </w:p>
    <w:p>
      <w:pPr>
        <w:pStyle w:val="Heading5"/>
        <w:numPr>
          <w:ilvl w:val="4"/>
          <w:numId w:val="1"/>
        </w:numPr>
        <w:rPr/>
      </w:pPr>
      <w:bookmarkStart w:id="2688" w:name="__RefHeading___Toc607394_1934241801"/>
      <w:bookmarkStart w:id="2689" w:name="_Toc1241"/>
      <w:bookmarkEnd w:id="2688"/>
      <w:r>
        <w:rPr>
          <w:rtl w:val="true"/>
        </w:rPr>
        <w:t>«</w:t>
      </w:r>
      <w:r>
        <w:rPr/>
        <w:t>21</w:t>
      </w:r>
      <w:r>
        <w:rPr>
          <w:rtl w:val="true"/>
        </w:rPr>
        <w:t>»</w:t>
      </w:r>
      <w:bookmarkEnd w:id="2689"/>
    </w:p>
    <w:p>
      <w:pPr>
        <w:pStyle w:val="BookText"/>
        <w:rPr/>
      </w:pPr>
      <w:r>
        <w:rPr>
          <w:rFonts w:ascii="Amiri" w:hAnsi="Amiri" w:eastAsia="Amiri" w:cs="Amiri"/>
          <w:color w:val="111111"/>
          <w:sz w:val="28"/>
          <w:sz w:val="28"/>
          <w:szCs w:val="28"/>
          <w:rtl w:val="true"/>
          <w:lang w:bidi="ar-SA"/>
        </w:rPr>
        <w:t>مَجَالِسُ الْمُفِيدِ، عَنْ أَحْمَدَ بْنِ مُحَمَّدٍ عَنْ أَبِيهِ مُحَمَّدِ بْنِ الْحَسَنِ بْنِ الْوَلِيدِ عَنْ مُحَمَّدِ بْنِ الْحَسَنِ الصَّفَّارِ عَنِ الْعَبَّاسِ بْنِ مَعْرُوفٍ عَنْ عَلِيِّ بْنِ مَهْزِيَارَ عَنْ عَلِيِّ بْنِ حَدِيدٍ عَنْ مُرَازِمٍ قَالَ قَالَ أَبُو عَبْدِ اللَّهِ جَعْفَرُ بْنُ مُحَمَّدٍ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w:t>
      </w:r>
    </w:p>
    <w:p>
      <w:pPr>
        <w:pStyle w:val="Heading5"/>
        <w:numPr>
          <w:ilvl w:val="4"/>
          <w:numId w:val="1"/>
        </w:numPr>
        <w:rPr/>
      </w:pPr>
      <w:bookmarkStart w:id="2690" w:name="__RefHeading___Toc607396_1934241801"/>
      <w:bookmarkStart w:id="2691" w:name="_Toc1242"/>
      <w:bookmarkEnd w:id="2690"/>
      <w:r>
        <w:rPr>
          <w:rtl w:val="true"/>
        </w:rPr>
        <w:t xml:space="preserve">روایت </w:t>
      </w:r>
      <w:r>
        <w:rPr/>
        <w:t>18</w:t>
      </w:r>
      <w:bookmarkEnd w:id="2691"/>
    </w:p>
    <w:p>
      <w:pPr>
        <w:pStyle w:val="BookText"/>
        <w:rPr/>
      </w:pP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بر سر جنازه ای بخندد، خداوند در روز قیامت به صورت آشکار او را خوار و بی ارزش می گرداند، و دعایش مستجاب نمی گردد، و هر کسی که در مقبره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بخندد هنگام بازگشت باری به سنگینی کوه احد بر دوش احساس می کند، و هر کسی که از خداوند برای مردگان طلب مرحمت کند از آتش جهنم نجات می یابد</w:t>
      </w:r>
      <w:r>
        <w:rPr>
          <w:rFonts w:eastAsia="IRNazanin" w:cs="IRNazanin"/>
          <w:color w:val="111111"/>
          <w:sz w:val="28"/>
          <w:szCs w:val="28"/>
          <w:rtl w:val="true"/>
          <w:lang w:bidi="fa-IR"/>
        </w:rPr>
        <w:t>.</w:t>
      </w:r>
      <w:r>
        <w:rPr>
          <w:rStyle w:val="FootnoteAnchor"/>
          <w:rtl w:val="true"/>
        </w:rPr>
        <w:footnoteReference w:id="1289"/>
      </w:r>
    </w:p>
    <w:p>
      <w:pPr>
        <w:pStyle w:val="Heading5"/>
        <w:numPr>
          <w:ilvl w:val="4"/>
          <w:numId w:val="1"/>
        </w:numPr>
        <w:rPr/>
      </w:pPr>
      <w:bookmarkStart w:id="2692" w:name="__RefHeading___Toc607398_1934241801"/>
      <w:bookmarkStart w:id="2693" w:name="_Toc1243"/>
      <w:bookmarkEnd w:id="2692"/>
      <w:r>
        <w:rPr>
          <w:rtl w:val="true"/>
        </w:rPr>
        <w:t xml:space="preserve">روایت </w:t>
      </w:r>
      <w:r>
        <w:rPr/>
        <w:t>19</w:t>
      </w:r>
      <w:bookmarkEnd w:id="2693"/>
    </w:p>
    <w:p>
      <w:p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شماست که آرامش داشته باشید، بر شماست که جنازه مردگان خویش را به صورت متعادل حرکت دهید</w:t>
      </w:r>
      <w:r>
        <w:rPr>
          <w:rFonts w:eastAsia="IRNazanin" w:cs="IRNazanin"/>
          <w:color w:val="111111"/>
          <w:sz w:val="28"/>
          <w:szCs w:val="28"/>
          <w:rtl w:val="true"/>
          <w:lang w:bidi="fa-IR"/>
        </w:rPr>
        <w:t>.</w:t>
      </w:r>
      <w:r>
        <w:rPr>
          <w:rStyle w:val="FootnoteAnchor"/>
          <w:rtl w:val="true"/>
        </w:rPr>
        <w:footnoteReference w:id="1290"/>
      </w:r>
    </w:p>
    <w:p>
      <w:pPr>
        <w:pStyle w:val="Heading5"/>
        <w:numPr>
          <w:ilvl w:val="4"/>
          <w:numId w:val="1"/>
        </w:numPr>
        <w:rPr/>
      </w:pPr>
      <w:bookmarkStart w:id="2694" w:name="__RefHeading___Toc607400_1934241801"/>
      <w:bookmarkStart w:id="2695" w:name="_Toc1244"/>
      <w:bookmarkEnd w:id="2694"/>
      <w:r>
        <w:rPr>
          <w:rtl w:val="true"/>
        </w:rPr>
        <w:t xml:space="preserve">روایت </w:t>
      </w:r>
      <w:r>
        <w:rPr/>
        <w:t>20</w:t>
      </w:r>
      <w:bookmarkEnd w:id="2695"/>
    </w:p>
    <w:p>
      <w:p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و ایشان از ابن الحنفیّة روایت کرده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خانه خارج شد و زنانی را مشاهده فرمود که نشسته بودند،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شده است که اینجا بنشینید،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جنازه ای نشسته ایم،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همراه کسی که او را حمل می کند او را حمل می کنید؟ گفتند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همراه کسانی که جنازه را غسل می دهند، او را غسل می 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آنان که ادلاء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برای اثبات نسبت خویشاوندی با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ادلاء می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درحالی که گناهکار هستید و هیچ اجر و پاداشی ندارید بازگردید</w:t>
      </w:r>
      <w:r>
        <w:rPr>
          <w:rFonts w:eastAsia="IRNazanin" w:cs="IRNazanin"/>
          <w:color w:val="111111"/>
          <w:sz w:val="28"/>
          <w:szCs w:val="28"/>
          <w:rtl w:val="true"/>
          <w:lang w:bidi="fa-IR"/>
        </w:rPr>
        <w:t>.</w:t>
      </w:r>
      <w:r>
        <w:rPr>
          <w:rStyle w:val="FootnoteAnchor"/>
          <w:rtl w:val="true"/>
        </w:rPr>
        <w:footnoteReference w:id="1291"/>
      </w:r>
    </w:p>
    <w:p>
      <w:pPr>
        <w:pStyle w:val="BookText"/>
        <w:rPr/>
      </w:pPr>
      <w:r>
        <w:rPr>
          <w:rFonts w:ascii="IRNazanin" w:hAnsi="IRNazanin" w:eastAsia="IRNazanin"/>
          <w:color w:val="111111"/>
          <w:sz w:val="28"/>
          <w:sz w:val="28"/>
          <w:szCs w:val="28"/>
          <w:rtl w:val="true"/>
          <w:lang w:bidi="fa-IR"/>
        </w:rPr>
        <w:t>غرر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به صورت مرسل روایت شده است</w:t>
      </w:r>
      <w:r>
        <w:rPr>
          <w:rFonts w:eastAsia="IRNazanin" w:cs="IRNazanin"/>
          <w:color w:val="111111"/>
          <w:sz w:val="28"/>
          <w:szCs w:val="28"/>
          <w:rtl w:val="true"/>
          <w:lang w:bidi="fa-IR"/>
        </w:rPr>
        <w:t>.</w:t>
      </w:r>
    </w:p>
    <w:p>
      <w:pPr>
        <w:pStyle w:val="Heading5"/>
        <w:numPr>
          <w:ilvl w:val="4"/>
          <w:numId w:val="1"/>
        </w:numPr>
        <w:rPr/>
      </w:pPr>
      <w:bookmarkStart w:id="2696" w:name="__RefHeading___Toc607402_1934241801"/>
      <w:bookmarkStart w:id="2697" w:name="_Toc1245"/>
      <w:bookmarkEnd w:id="2696"/>
      <w:r>
        <w:rPr>
          <w:rtl w:val="true"/>
        </w:rPr>
        <w:t>توضیح</w:t>
      </w:r>
      <w:bookmarkEnd w:id="2697"/>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ارجعنَ مأجورات غیر مأزورات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مأجور هستید و مرتکب گناه نشده اید بازگردید،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مأزورات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قیاس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وَزِرَ فهو مَوزُور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گناه شد پس او گناهکار است، و در این حدیث به خاطر هماهنگی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مأجورات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مأزورات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Heading5"/>
        <w:numPr>
          <w:ilvl w:val="4"/>
          <w:numId w:val="1"/>
        </w:numPr>
        <w:rPr/>
      </w:pPr>
      <w:bookmarkStart w:id="2698" w:name="__RefHeading___Toc607404_1934241801"/>
      <w:bookmarkStart w:id="2699" w:name="_Toc1246"/>
      <w:bookmarkEnd w:id="2698"/>
      <w:r>
        <w:rPr>
          <w:rtl w:val="true"/>
        </w:rPr>
        <w:t xml:space="preserve">روایت </w:t>
      </w:r>
      <w:r>
        <w:rPr/>
        <w:t>21</w:t>
      </w:r>
      <w:bookmarkEnd w:id="269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شماست که </w:t>
      </w:r>
      <w:bookmarkStart w:id="2700" w:name="pg13517_329296"/>
    </w:p>
    <w:p>
      <w:pPr>
        <w:pStyle w:val="BookText"/>
        <w:rPr/>
      </w:pPr>
      <w:bookmarkEnd w:id="2700"/>
      <w:r>
        <w:rPr>
          <w:rFonts w:ascii="Amiri" w:hAnsi="Amiri" w:eastAsia="Amiri" w:cs="Amiri"/>
          <w:color w:val="111111"/>
          <w:sz w:val="28"/>
          <w:sz w:val="28"/>
          <w:szCs w:val="28"/>
          <w:rtl w:val="true"/>
          <w:lang w:bidi="ar-SA"/>
        </w:rPr>
        <w:t>بِالصَّلَاةِ فِي الْمَسَاجِدِ وَ حُسْنِ الْجِوَارِ لِلنَّاسِ وَ إِقَامَةِ الشَّهَادَةِ وَ حُضُورِ الْجَنَائِزِ إِنَّهُ لَا بُدَّ لَكُمْ مِنَ النَّاسِ إِنَّ أَحَداً لَا يَسْتَغْنِي عَنِ النَّاسِ بِجَنَازَتِهِ فَأَمَّا نَحْنُ نَأْتِي جَنَائِزَهُمْ وَ إِنَّمَا يَنْبَغِي لَكُمْ أَنْ تَصْنَعُوا مِثْلَ مَا يَصْنَعُ مَنْ تَأْتَمُّونَ بِهِ وَ النَّاسُ لَا بُدَّ لِبَعْضِهِمْ مِنْ بَعْضٍ مَا دَامُوا عَلَي هَذِهِ الْحَالِ حَتَّي يَكُونَ ذَلِكَ ثُمَّ يَنْقَطِعُ كُلُّ قَوْمٍ إِلَي أَهْلِ أَهْوَائِهِمْ ثُمَّ قَالَ عَلَيْكُمْ بِحُسْنِ الصَّلَاةِ وَ اعْمَلُوا لِآخِرَتِكُمْ وَ اخْتَارُوا لِأَنْفُسِكُمْ فَإِنَّ الرَّجُلَ قَدْ يَكُونُ كَيِّساً فِي أَمْرِ الدُّنْيَا فَيُقَالُ مَا أَكْيَسَ فُلَاناً إِنَّمَا الْكَيِّسُ كَيِّسُ الْآخِرَةِ</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1" w:name="__RefHeading___Toc607406_1934241801"/>
      <w:bookmarkStart w:id="2702" w:name="_Toc1247"/>
      <w:bookmarkEnd w:id="2701"/>
      <w:r>
        <w:rPr>
          <w:rtl w:val="true"/>
        </w:rPr>
        <w:t>بيان</w:t>
      </w:r>
      <w:bookmarkEnd w:id="2702"/>
    </w:p>
    <w:p>
      <w:pPr>
        <w:pStyle w:val="BookText"/>
        <w:rPr/>
      </w:pPr>
      <w:r>
        <w:rPr>
          <w:rFonts w:ascii="Amiri" w:hAnsi="Amiri" w:eastAsia="Amiri" w:cs="Amiri"/>
          <w:color w:val="111111"/>
          <w:sz w:val="28"/>
          <w:sz w:val="28"/>
          <w:szCs w:val="28"/>
          <w:rtl w:val="true"/>
          <w:lang w:bidi="ar-SA"/>
        </w:rPr>
        <w:t>حتي يكون ذلك أي ظهور دولة الحق و قيام القائم عليه السلام</w:t>
      </w:r>
      <w:r>
        <w:rPr>
          <w:rFonts w:eastAsia="Amiri" w:cs="Amiri" w:ascii="Amiri" w:hAnsi="Amiri"/>
          <w:color w:val="111111"/>
          <w:sz w:val="28"/>
          <w:szCs w:val="28"/>
          <w:rtl w:val="true"/>
          <w:lang w:bidi="ar-SA"/>
        </w:rPr>
        <w:t>.</w:t>
      </w:r>
    </w:p>
    <w:p>
      <w:pPr>
        <w:pStyle w:val="Heading5"/>
        <w:numPr>
          <w:ilvl w:val="4"/>
          <w:numId w:val="1"/>
        </w:numPr>
        <w:rPr/>
      </w:pPr>
      <w:bookmarkStart w:id="2703" w:name="__RefHeading___Toc607408_1934241801"/>
      <w:bookmarkStart w:id="2704" w:name="_Toc1248"/>
      <w:bookmarkEnd w:id="2703"/>
      <w:r>
        <w:rPr>
          <w:rtl w:val="true"/>
        </w:rPr>
        <w:t>«</w:t>
      </w:r>
      <w:r>
        <w:rPr/>
        <w:t>22</w:t>
      </w:r>
      <w:r>
        <w:rPr>
          <w:rtl w:val="true"/>
        </w:rPr>
        <w:t>»</w:t>
      </w:r>
      <w:bookmarkEnd w:id="2704"/>
    </w:p>
    <w:p>
      <w:pPr>
        <w:pStyle w:val="BookText"/>
        <w:rPr/>
      </w:pPr>
      <w:r>
        <w:rPr>
          <w:rFonts w:ascii="Amiri" w:hAnsi="Amiri" w:eastAsia="Amiri" w:cs="Amiri"/>
          <w:color w:val="111111"/>
          <w:sz w:val="28"/>
          <w:sz w:val="28"/>
          <w:szCs w:val="28"/>
          <w:rtl w:val="true"/>
          <w:lang w:bidi="ar-SA"/>
        </w:rPr>
        <w:t>نَوَادِرُ الرَّاوَنْدِيِّ، عَنْ عَبْدِ الْوَاحِدِ بْنِ إِسْمَاعِيلَ عَنْ مُحَمَّدِ بْنِ الْحَسَنِ الْبَكْرِيِّ عَنْ سَهْلِ بْنِ أَحْمَدَ الدِّيبَاجِيِّ عَنْ مُحَمَّدِ بْنِ مُحَمَّدِ بْنِ الْأَشْعَثِ عَنْ مُوسَي بْنِ إِسْمَاعِيلَ عَنْ أَبِيهِ عَنْ جَدِّهِ مُوسَي بْنِ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سَنَتَيْنِ بَرِّ وَالِدَيْكَ سِرْ سَنَةً صِلْ رَحِمَكَ سِرْ مِيلًا عُدْ مَرِيضاً سِرْ مِيلَيْنِ شَيِّعْ جَنَازَةً الْخَبَرَ</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5" w:name="__RefHeading___Toc607410_1934241801"/>
      <w:bookmarkStart w:id="2706" w:name="_Toc1249"/>
      <w:bookmarkEnd w:id="2705"/>
      <w:r>
        <w:rPr>
          <w:rtl w:val="true"/>
        </w:rPr>
        <w:t>«</w:t>
      </w:r>
      <w:r>
        <w:rPr/>
        <w:t>23</w:t>
      </w:r>
      <w:r>
        <w:rPr>
          <w:rtl w:val="true"/>
        </w:rPr>
        <w:t>»</w:t>
      </w:r>
      <w:bookmarkEnd w:id="2706"/>
    </w:p>
    <w:p>
      <w:pPr>
        <w:pStyle w:val="BookText"/>
        <w:rPr/>
      </w:pPr>
      <w:r>
        <w:rPr>
          <w:rFonts w:ascii="Amiri" w:hAnsi="Amiri" w:eastAsia="Amiri" w:cs="Amiri"/>
          <w:color w:val="111111"/>
          <w:sz w:val="28"/>
          <w:sz w:val="28"/>
          <w:szCs w:val="28"/>
          <w:rtl w:val="true"/>
          <w:lang w:bidi="ar-SA"/>
        </w:rPr>
        <w:t>دَعَوَاتُ الرَّاوَنْدِيِّ،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 سِتٌّ مَا مِنْ مُسْلِمٍ يَمُوتُ فِي وَاحِدَةٍ مِنْهُنَّ إِلَّا كَانَ ضَامِناً عَلَي اللَّهِ أَنْ يُدْخِلَهُ الْجَنَّةَ رَجُلٌ خَرَجَ مُجَاهِداً فَإِنْ مَاتَ فِي وَجْهِهِ ذَلِكَ كَانَ ضَامِناً عَلَي اللَّهِ عَزَّ وَ جَلَّ رَجُلٌ تَبِعَ جَنَازَةً فَإِنْ مَاتَ فِي وَجْهِهِ كَانَ ضَامِناً عَلَي اللَّهِ وَ رَجُلٌ تَوَضَّأَ فَأَحْسَنَ الْوُضُوءَ ثُمَّ خَرَجَ إِلَي مَسْجِدٍ لِلصَّلَاةِ فَإِنْ مَاتَ فِي وَجْهِهِ كَانَ ضَامِناً عَلَي اللَّهِ وَ رَجُلٌ نِيَّتُهُ أَنْ لَا يَغْتَابَ مُسْلِماً فَإِنْ مَاتَ عَلَي ذَلِكَ كَانَ ضَامِناً عَلَي اللَّهِ</w:t>
      </w:r>
      <w:r>
        <w:rPr>
          <w:rFonts w:eastAsia="Amiri" w:cs="Amiri" w:ascii="Amiri" w:hAnsi="Amiri"/>
          <w:color w:val="111111"/>
          <w:sz w:val="28"/>
          <w:szCs w:val="28"/>
          <w:rtl w:val="true"/>
          <w:lang w:bidi="ar-SA"/>
        </w:rPr>
        <w:t>.</w:t>
      </w:r>
    </w:p>
    <w:p>
      <w:pPr>
        <w:pStyle w:val="Heading5"/>
        <w:numPr>
          <w:ilvl w:val="4"/>
          <w:numId w:val="1"/>
        </w:numPr>
        <w:rPr/>
      </w:pPr>
      <w:bookmarkStart w:id="2707" w:name="__RefHeading___Toc607412_1934241801"/>
      <w:bookmarkStart w:id="2708" w:name="_Toc1250"/>
      <w:bookmarkEnd w:id="2707"/>
      <w:r>
        <w:rPr>
          <w:rtl w:val="true"/>
        </w:rPr>
        <w:t>بيان</w:t>
      </w:r>
      <w:bookmarkEnd w:id="2708"/>
    </w:p>
    <w:p>
      <w:pPr>
        <w:pStyle w:val="BookText"/>
        <w:rPr/>
      </w:pPr>
      <w:r>
        <w:rPr>
          <w:rFonts w:ascii="Amiri" w:hAnsi="Amiri" w:eastAsia="Amiri" w:cs="Amiri"/>
          <w:color w:val="111111"/>
          <w:sz w:val="28"/>
          <w:sz w:val="28"/>
          <w:szCs w:val="28"/>
          <w:rtl w:val="true"/>
          <w:lang w:bidi="ar-SA"/>
        </w:rPr>
        <w:t>سقط من الخبر اثنان و لعل أحدهما من عاد مريضا لأنه أورده في سياق أخباره و الضمير في كان راجع إلي النبي صلي الله عليه و آله و لعله صلي الله عليه و آله قال كنت فغير الراوندي أو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مساجد نماز بگزارید، حسن همجواری با مردم را رعایت کنید، گواهی و شهادت دادن حقّ را به پا دارید، و در تشییع جنازه حضور یابید، به راستی که شما را از نیاز به مردم گریزی نیست، و هیچ کسی برای حمل شدن جنازه اش بر دوش مردم از آنان بی نیاز نیست، پس ما در مراسم تشییع جنازه مردم حضور می یابیم، و لازم است شما نیز مثل کسانی که آنان را امام خویش می پندارید عمل کنید، و به ناچار گروهی از مردم به گروهی دیگر نیازمندند و پیوسته بر این حال و وضعیت هستند تا زمانی که دولت حق ظهور کند، پس از آن هر قومی با کسانی که شرایط یکسانی دارند هم نشینی و هم صحبتی می کند،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شماست که به صورتی نیکو نماز را به پا دارید و برای آخرت خویش تلاش کنید، و برای خود را انتخاب کنید، اگر انسان در امور دنیایی با ذکاوت و زیرک باشد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چه با ذکاوت و زیرک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انسان با ذکاوت و زیرک تنها انسانی است که در مورد آخرت خویش با ذکاوت و زیرک باشد</w:t>
      </w:r>
      <w:r>
        <w:rPr>
          <w:rFonts w:eastAsia="IRNazanin" w:cs="IRNazanin"/>
          <w:color w:val="111111"/>
          <w:sz w:val="28"/>
          <w:szCs w:val="28"/>
          <w:rtl w:val="true"/>
          <w:lang w:bidi="fa-IR"/>
        </w:rPr>
        <w:t>.</w:t>
      </w:r>
      <w:r>
        <w:rPr>
          <w:rStyle w:val="FootnoteAnchor"/>
          <w:rtl w:val="true"/>
        </w:rPr>
        <w:footnoteReference w:id="1294"/>
      </w:r>
    </w:p>
    <w:p>
      <w:pPr>
        <w:pStyle w:val="Heading5"/>
        <w:numPr>
          <w:ilvl w:val="4"/>
          <w:numId w:val="1"/>
        </w:numPr>
        <w:rPr/>
      </w:pPr>
      <w:bookmarkStart w:id="2709" w:name="__RefHeading___Toc607414_1934241801"/>
      <w:bookmarkStart w:id="2710" w:name="_Toc1251"/>
      <w:bookmarkEnd w:id="2709"/>
      <w:r>
        <w:rPr>
          <w:rtl w:val="true"/>
        </w:rPr>
        <w:t>توضیح</w:t>
      </w:r>
      <w:bookmarkEnd w:id="27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دولت حقّ ظهور و مهدی علیه السلام قیام می کند</w:t>
      </w:r>
      <w:r>
        <w:rPr>
          <w:rFonts w:eastAsia="IRNazanin" w:cs="IRNazanin"/>
          <w:color w:val="111111"/>
          <w:sz w:val="28"/>
          <w:szCs w:val="28"/>
          <w:rtl w:val="true"/>
          <w:lang w:bidi="fa-IR"/>
        </w:rPr>
        <w:t>.</w:t>
      </w:r>
    </w:p>
    <w:p>
      <w:pPr>
        <w:pStyle w:val="Heading5"/>
        <w:numPr>
          <w:ilvl w:val="4"/>
          <w:numId w:val="1"/>
        </w:numPr>
        <w:rPr/>
      </w:pPr>
      <w:bookmarkStart w:id="2711" w:name="__RefHeading___Toc607416_1934241801"/>
      <w:bookmarkStart w:id="2712" w:name="_Toc1252"/>
      <w:bookmarkEnd w:id="2711"/>
      <w:r>
        <w:rPr>
          <w:rtl w:val="true"/>
        </w:rPr>
        <w:t xml:space="preserve">روایت </w:t>
      </w:r>
      <w:r>
        <w:rPr/>
        <w:t>22</w:t>
      </w:r>
      <w:bookmarkEnd w:id="2712"/>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راه برو به والدینت نیکی کن یک سال سیر کن صله رحم به جا آور و یک میل برو از مریضی عیادت کن و دو میل راه برو تا جنازه ای را تشییع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خبر</w:t>
      </w:r>
      <w:r>
        <w:rPr>
          <w:rStyle w:val="FootnoteAnchor"/>
          <w:rtl w:val="true"/>
        </w:rPr>
        <w:footnoteReference w:id="1295"/>
      </w:r>
    </w:p>
    <w:p>
      <w:pPr>
        <w:pStyle w:val="Heading5"/>
        <w:numPr>
          <w:ilvl w:val="4"/>
          <w:numId w:val="1"/>
        </w:numPr>
        <w:rPr/>
      </w:pPr>
      <w:bookmarkStart w:id="2713" w:name="__RefHeading___Toc607418_1934241801"/>
      <w:bookmarkStart w:id="2714" w:name="_Toc1253"/>
      <w:bookmarkEnd w:id="2713"/>
      <w:r>
        <w:rPr>
          <w:rtl w:val="true"/>
        </w:rPr>
        <w:t xml:space="preserve">روایت </w:t>
      </w:r>
      <w:r>
        <w:rPr/>
        <w:t>23</w:t>
      </w:r>
      <w:bookmarkEnd w:id="2714"/>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خصلت وجود دارد که اگر انسان مسلمان بر یکی از آن ها وفات نماید، در ضمانت خداوند است که حتماً او را وارد بهشت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به قصد جهاد در راه خدا از خانه و سرزمین خویش خارج شده است، چنین شخصی اگر بر این حال خویش وفات نماید در ضمانت خداوند عزّ و جلّ است؛ مردی که به دنبال جنازه ای در حرکت است، اگر بر این حال خویش وفات نماید در ضمانت خداوند عزّ و جلّ است؛ مردی که به بهترین شیوه وضو می گیرد سپس برای ادای نماز به سوی مسجد خارج می شود، اگر بر این حال خویش وفات نماید در ضمانت خداوند عزّ و جلّ است، و مردی که قصد دارد به غیبت کردن هیچ مسلمانی آلوده نشود، اگر بر این حال خویش وفات نماید در ضمانت خداوند عزّ و جلّ است،</w:t>
      </w:r>
    </w:p>
    <w:p>
      <w:pPr>
        <w:pStyle w:val="Heading5"/>
        <w:numPr>
          <w:ilvl w:val="4"/>
          <w:numId w:val="1"/>
        </w:numPr>
        <w:rPr/>
      </w:pPr>
      <w:bookmarkStart w:id="2715" w:name="__RefHeading___Toc607420_1934241801"/>
      <w:bookmarkStart w:id="2716" w:name="_Toc1254"/>
      <w:bookmarkEnd w:id="2715"/>
      <w:r>
        <w:rPr>
          <w:rtl w:val="true"/>
        </w:rPr>
        <w:t>توضیح</w:t>
      </w:r>
      <w:bookmarkEnd w:id="271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خصلت از مجموع شش خصلت از این حدیث حذف شده است، شاید یکی از آن دو کسی باشد که به عیادت بیمار می رود، چراکه در سیاق احادیث این مورد نیز ذکر شده است؛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باز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ضامن اویم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شاید پیامبر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راوندی و دیگران این لفظ را تغییر داده اند</w:t>
      </w:r>
      <w:r>
        <w:rPr>
          <w:rFonts w:eastAsia="IRNazanin" w:cs="IRNazanin"/>
          <w:color w:val="111111"/>
          <w:sz w:val="28"/>
          <w:szCs w:val="28"/>
          <w:rtl w:val="true"/>
          <w:lang w:bidi="fa-IR"/>
        </w:rPr>
        <w:t xml:space="preserve">. </w:t>
      </w:r>
      <w:bookmarkStart w:id="2717" w:name="pg13517_329297"/>
    </w:p>
    <w:p>
      <w:pPr>
        <w:pStyle w:val="Heading5"/>
        <w:numPr>
          <w:ilvl w:val="4"/>
          <w:numId w:val="1"/>
        </w:numPr>
        <w:rPr/>
      </w:pPr>
      <w:bookmarkStart w:id="2718" w:name="__RefHeading___Toc607422_1934241801"/>
      <w:bookmarkStart w:id="2719" w:name="_Toc1255"/>
      <w:bookmarkEnd w:id="2717"/>
      <w:bookmarkEnd w:id="2718"/>
      <w:r>
        <w:rPr>
          <w:rtl w:val="true"/>
        </w:rPr>
        <w:t>«</w:t>
      </w:r>
      <w:r>
        <w:rPr/>
        <w:t>24</w:t>
      </w:r>
      <w:r>
        <w:rPr>
          <w:rtl w:val="true"/>
        </w:rPr>
        <w:t>»</w:t>
      </w:r>
      <w:bookmarkEnd w:id="2719"/>
    </w:p>
    <w:p>
      <w:pPr>
        <w:pStyle w:val="BookText"/>
        <w:rPr/>
      </w:pPr>
      <w:r>
        <w:rPr>
          <w:rFonts w:ascii="Amiri" w:hAnsi="Amiri" w:eastAsia="Amiri" w:cs="Amiri"/>
          <w:color w:val="111111"/>
          <w:sz w:val="28"/>
          <w:sz w:val="28"/>
          <w:szCs w:val="28"/>
          <w:rtl w:val="true"/>
          <w:lang w:bidi="ar-SA"/>
        </w:rPr>
        <w:t>الدَّعَوَاتُ، قَالَ الصَّادِقُ عليه السلام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عُودُوا الْمَرْضَي وَ اتَّبِعُوا الْجَنَائِزَ يُذَكِّرْكُمُ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النَّبِيُّ صلي الله عليه و آله إِذَا تَبِعَ جَنَازَةً غَلَبَتْهُ كَآبَةٌ وَ أَكْثَرَ حَدِيثَ النَّفْسِ وَ أَقَلَّ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اسْتَقْبَلَ جَنَازَةً أَوْ رَآهَا فَقَالَ اللَّهُ أَكْبَرُ هَذَا مَا وَعَدَنَا اللَّهُ وَ رَسُولُهُ وَ صَدَقَ اللَّهُ وَ رَسُولُهُ اللَّهُمَّ زِدْنَا إِيمَاناً وَ تَسْلِيماً الْحَمْدُ لِلَّهِ الَّذِي تَعَزَّزَ بِالْقُدْرَةِ وَ قَهَرَ الْعِبَادَ بِالْمَوْتِ لَمْ يَبْقَ فِي السَّمَاءِ مَلَكٌ إِلَّا بَكَي رَحْمَةً لِصَوْتِهِ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زَيْنُ الْعَابِدِينَ عليه السلام إِذَا رَأَي جَنَازَةً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يَجْعَلْنِي مِنَ السَّوَادِ الْمُخْتَرَمِ</w:t>
      </w:r>
      <w:r>
        <w:rPr>
          <w:rFonts w:eastAsia="Amiri" w:cs="Amiri" w:ascii="Amiri" w:hAnsi="Amiri"/>
          <w:color w:val="111111"/>
          <w:sz w:val="28"/>
          <w:szCs w:val="28"/>
          <w:rtl w:val="true"/>
          <w:lang w:bidi="ar-SA"/>
        </w:rPr>
        <w:t>.</w:t>
      </w:r>
    </w:p>
    <w:p>
      <w:pPr>
        <w:pStyle w:val="Heading5"/>
        <w:numPr>
          <w:ilvl w:val="4"/>
          <w:numId w:val="1"/>
        </w:numPr>
        <w:rPr/>
      </w:pPr>
      <w:bookmarkStart w:id="2720" w:name="__RefHeading___Toc607424_1934241801"/>
      <w:bookmarkStart w:id="2721" w:name="_Toc1256"/>
      <w:bookmarkEnd w:id="2720"/>
      <w:r>
        <w:rPr>
          <w:rtl w:val="true"/>
        </w:rPr>
        <w:t>بيان</w:t>
      </w:r>
      <w:bookmarkEnd w:id="2721"/>
    </w:p>
    <w:p>
      <w:pPr>
        <w:pStyle w:val="BookText"/>
        <w:rPr/>
      </w:pPr>
      <w:r>
        <w:rPr>
          <w:rFonts w:ascii="Amiri" w:hAnsi="Amiri" w:eastAsia="Amiri" w:cs="Amiri"/>
          <w:color w:val="111111"/>
          <w:sz w:val="28"/>
          <w:sz w:val="28"/>
          <w:szCs w:val="28"/>
          <w:rtl w:val="true"/>
          <w:lang w:bidi="ar-SA"/>
        </w:rPr>
        <w:t>تعزز أي صار عزيزا غالبا بالقدرة الكاملة أو أظهر عزته بقدرته الجليلة بإيجاده الأشياء و إفنائها و إحياء الناس و إماتتهم و السواد يطلق علي الشخص و علي القرية و المخترم الهالك و المستأصل و الظاهر أن المراد هنا الجنس أي لم يجعلني من الجماعة الهالكين فيكون شكرا لنعمة الحياة و لا ينافي حب لقاء الله فإن معناه حب الموت و عدم الامتناع منه علي تقدير رضا الله به فلا ينافي لزوم شكر نعمة الحياة و الرضا بقضاء الله في ذلك و قيل حب لقاء الله إنما يكون عند معاينة منزلته في الجنة كما ورد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 بالمخترم الهالك بالهلاك المعنوي إما لأن غالب أهل زمانه عليه السلام كانوا منافقين فلما رأي جنازتهم و علم ما أصابهم من العذاب شكر الله علي نعمة الهداية أو لأن عند معاينة الموتي ينبغي تذكر أحوال الآخرة فينبغي الشكر علي ما هو العمدة في تحصيل السعادات الأخروية أعني الإيمان و علي الأخير لا يختص بمشاهدة جنازة المنافق و إن كان المراد بالسواد القرية كان المراد بها القرية الهالكة أهلها بالهلاك المعنوي أي جعلني في بلاد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يراد بالسواد عامة الناس كما هو أحد معانيه اللغوية فالمعني</w:t>
      </w:r>
    </w:p>
    <w:p>
      <w:pPr>
        <w:pStyle w:val="Heading5"/>
        <w:numPr>
          <w:ilvl w:val="4"/>
          <w:numId w:val="1"/>
        </w:numPr>
        <w:rPr/>
      </w:pPr>
      <w:bookmarkStart w:id="2722" w:name="__RefHeading___Toc607426_1934241801"/>
      <w:bookmarkStart w:id="2723" w:name="_Toc1257"/>
      <w:bookmarkEnd w:id="2722"/>
      <w:r>
        <w:rPr>
          <w:rtl w:val="true"/>
        </w:rPr>
        <w:t xml:space="preserve">روایت </w:t>
      </w:r>
      <w:r>
        <w:rPr/>
        <w:t>24</w:t>
      </w:r>
      <w:bookmarkEnd w:id="2723"/>
    </w:p>
    <w:p>
      <w:pPr>
        <w:pStyle w:val="BookText"/>
        <w:rPr/>
      </w:pP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بیماران عیادت کنید، و در تشییع جنازه شرکت کنید که شما را به یاد آخرت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هنگامی  که در مراسم تشییع جنازه شرکت می فرمود، بسیار اندوهناک می شد و با خود سخن می گفت و کمتر سخن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استقبال جنازه ای می رود یا آن را مشاهده می 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هَذَا مَا وَعَدَنَا اللَّهُ وَ رَسُولُهُ وَ صَدَقَ اللَّهُ وَ رَسُولُهُ اللَّهُمَّ زِدْنَا إِیمَاناً وَ تَسْلِیماً الْحَمْدُ لِلَّهِ الَّذِی تَعَزَّزَ بِالْقُدْرَةِ وَ قَهَرَ الْعِبَادَ بِالْمَوْتِ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این وعده ای است که خدا و رسولش به ما داده اند، و خدا و رسولش در وعده های خویش صادق هستند؛ خداوندا، بر ایمان و تسلیم شدن ما در برابر اوامر خود بیفزا، سپاس مخصوص خداوندی است که به واسطه قدرت مطلق خویش عزیز و ارجمند گشته و بندگان را به وسیله مرگ مقهور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گفتن این سخنان هیچ فرشته ای در آسمان باقی نمی ماند مگر اینکه به خاطر احساس رحم و شفقت نسبت به صدای او شروع به گریستن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هنگامی  که جنازه ای را مشاهده می کرد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لَمْ یَجْعَلْنِی مِنَ السَّوَادِ الْمُخْتَرَمِ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مخصوص خداوندی است که مرا از جمله مردمانی که هلاک می شوند قرار نداد</w:t>
      </w:r>
      <w:r>
        <w:rPr>
          <w:rFonts w:eastAsia="IRNazanin" w:cs="IRNazanin"/>
          <w:color w:val="111111"/>
          <w:sz w:val="28"/>
          <w:szCs w:val="28"/>
          <w:rtl w:val="true"/>
          <w:lang w:bidi="fa-IR"/>
        </w:rPr>
        <w:t>.</w:t>
      </w:r>
    </w:p>
    <w:p>
      <w:pPr>
        <w:pStyle w:val="Heading5"/>
        <w:numPr>
          <w:ilvl w:val="4"/>
          <w:numId w:val="1"/>
        </w:numPr>
        <w:rPr/>
      </w:pPr>
      <w:bookmarkStart w:id="2724" w:name="__RefHeading___Toc607428_1934241801"/>
      <w:bookmarkStart w:id="2725" w:name="_Toc1258"/>
      <w:bookmarkEnd w:id="2724"/>
      <w:r>
        <w:rPr>
          <w:rtl w:val="true"/>
        </w:rPr>
        <w:t>توضیح</w:t>
      </w:r>
      <w:bookmarkEnd w:id="27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قدرت مطلق خویش، عزیز و ارجمند گشت، یا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قدرت با شکوه خویش و آفریدن و نابود کردن موجودات و زنده گرداندن و میراندن مردمان، عزّت و ارجمندی اش را آشکارساخت،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شخص و همچنین شهر استعمال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شونده و ریشه کن شده، و ظاهراً معنای مقصود در این حدیث، جنس و نوع می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جمله نابودشدگان قرار نداد، پس این سخن در مقام شکرگزاری نعمت حیات می باشد و دوست داشتن دیدار خداوند را نفی نمی کند، بنابراین به معنای حبّ مرگ و عدم روی گردانی از آن بر پایه رضایت خداوند است پس منافی لزوم شکرگزاری نعمت حیات و رضایت از قضا و قدر الهی نیست،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دیدارِ خداوند، هنگام مشاهده جایگاه خود در بهشت است آن گونه که در حدیث ذکر شده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مراد از نابودی و هلاکت، هلاکت معنوی باشد به دلیل اینکه اغلب کسانی که در زمان امام زین العابدین علیه السلام می زیسته اند منافق بوده اند، پس هنگامی که امام جنازه آن ها را مشاهده فرموده و از عذابی که به آن دچار می شوند آگاهی یافت، خداوند را به خاطر نعمت هدایت شکر می فرمود؛ یا به دلیل اینکه شایسته است هنگام مشاهده مردگان به ذکر و یادآوری احوال آخر مشغول شد، پس لازم است که شکر خداوند به خاطر عامل اصلی کسب سعادت های اخروی یعنی ایمان به جا آورده شود، البته براساس معنای اخیر شکرگزای اختصاص به مشاهده جنازه منافق ندارد، و 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 باشد منظور شهری است که ساکنان آن از نظر معنوی نابود و هلاک شده 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سرزمین مسلمانان ساکن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ممکن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مردم باشد، چنان که یکی از معانی لغوی آن نیز همین است، پس کلام امام بدین </w:t>
      </w:r>
      <w:bookmarkStart w:id="2726" w:name="pg13517_329298"/>
    </w:p>
    <w:p>
      <w:pPr>
        <w:pStyle w:val="BookText"/>
        <w:rPr/>
      </w:pPr>
      <w:bookmarkEnd w:id="2726"/>
      <w:r>
        <w:rPr>
          <w:rFonts w:ascii="Amiri" w:hAnsi="Amiri" w:eastAsia="Amiri" w:cs="Amiri"/>
          <w:color w:val="111111"/>
          <w:sz w:val="28"/>
          <w:sz w:val="28"/>
          <w:szCs w:val="28"/>
          <w:rtl w:val="true"/>
          <w:lang w:bidi="ar-SA"/>
        </w:rPr>
        <w:t>لم يجعلني من عامة الناس الذين يموتون علي غير بصيرة و لا استعداد للموت قال في الذكري السواد الشخص و المخترم الهالك أو المستأصل و المراد هنا الجنس و منه قولهم السواد الأعظم أي لم يجعلني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هذا حب لقاء الله لأنه غير مقيد بوقت فيحمل علي حال الاحتضار و معاينة ما يحب كَمَا رُوِّينَا عَنِ الصَّادِقِ عليه السلام وَ رَوَوْهُ فِي الصِّحَاحِ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لِقَاءَ اللَّهِ أَحَبَّ اللَّهُ لِقَاءَهُ وَ مَنْ كَرِهَ لِقَاءَ اللَّهِ كَرِهَ اللَّهُ لِقَاءَهُ فَقِيلَ لَهُ صلي الله عليه و آله إِنَّا لَنَكْرَهُ الْمَوْتَ فَقَالَ لَيْسَ ذَلِكَ وَ لَكِنَّ الْمُؤْمِنَ إِذَا حَضَرَهُ الْمَوْتُ بُشِّرَ بِرِضْوَانِ اللَّهِ وَ كَرَامَتِهِ فَلَيْسَ شَيْ‌ءٌ أَحَبَّ إِلَيْهِ مِمَّا أَمَامَهُ فَأَحَبَّ لِقَاءَ اللَّهِ وَ أَحَبَّ اللَّهُ لِقَاءَهُ وَ إِنَّ الْكَافِرَ إِذَا حَضَرَهُ الْمَوْتُ بُشِّرَ بِعَذَابِ اللَّهِ فَلَيْسَ شَيْ‌ءٌ أَكْرَهُ إِلَيْهِ مِمَّا أَمَامَهُ كَرِهَ لِقَاءَ اللَّهِ فَكَرِهَ اللَّهُ لِقَاءَهُ وَ بَقِيَّةُ عُمُرِ الْمُؤْمِنِ نَفِيسَةٌ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يكني بالمخترم عن الكافر لأنه الهالك علي الإطلاق بخلاف المؤمن أو يراد بالمخترم من مات دون أربعين سنة و إذا أريد به المستأصل فالجمع أظهر</w:t>
      </w:r>
      <w:r>
        <w:rPr>
          <w:rFonts w:eastAsia="Amiri" w:cs="Amiri" w:ascii="Amiri" w:hAnsi="Amiri"/>
          <w:color w:val="111111"/>
          <w:sz w:val="28"/>
          <w:szCs w:val="28"/>
          <w:rtl w:val="true"/>
          <w:lang w:bidi="ar-SA"/>
        </w:rPr>
        <w:t>.</w:t>
      </w:r>
    </w:p>
    <w:p>
      <w:pPr>
        <w:pStyle w:val="Heading5"/>
        <w:numPr>
          <w:ilvl w:val="4"/>
          <w:numId w:val="1"/>
        </w:numPr>
        <w:rPr/>
      </w:pPr>
      <w:bookmarkStart w:id="2727" w:name="__RefHeading___Toc607430_1934241801"/>
      <w:bookmarkStart w:id="2728" w:name="_Toc1259"/>
      <w:bookmarkEnd w:id="2727"/>
      <w:r>
        <w:rPr>
          <w:rtl w:val="true"/>
        </w:rPr>
        <w:t>«</w:t>
      </w:r>
      <w:r>
        <w:rPr/>
        <w:t>25</w:t>
      </w:r>
      <w:r>
        <w:rPr>
          <w:rtl w:val="true"/>
        </w:rPr>
        <w:t>»</w:t>
      </w:r>
      <w:bookmarkEnd w:id="2728"/>
    </w:p>
    <w:p>
      <w:pPr>
        <w:pStyle w:val="BookText"/>
        <w:rPr/>
      </w:pPr>
      <w:r>
        <w:rPr>
          <w:rFonts w:ascii="Amiri" w:hAnsi="Amiri" w:eastAsia="Amiri" w:cs="Amiri"/>
          <w:color w:val="111111"/>
          <w:sz w:val="28"/>
          <w:sz w:val="28"/>
          <w:szCs w:val="28"/>
          <w:rtl w:val="true"/>
          <w:lang w:bidi="ar-SA"/>
        </w:rPr>
        <w:t>الدَّعَوَاتُ،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يَحْمِلُ الْجَنَازَةَ بِسْمِ اللَّهِ صَلَّي اللَّهُ عَلَي مُحَمَّدٍ وَ آلِ مُحَمَّدٍ اللَّهُمَّ اغْفِرْ لِي وَ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الْخَمْرِ إِنْ مَرِضَ فَلَا تَعُودُوهُ وَ إِنْ شَهِدَ فَلَا تَقْبَلُوهُ وَ إِنْ ذُكِرَ فَلَا تُزَكُّوهُ وَ إِنْ خَطَبَ فَلَا تُزَوِّجُوهُ وَ إِنْ حَدَّثَ فَلَا تُصَدِّقُوهُ وَ إِنْ مَاتَ فَلَا تَشْهَدُوهُ</w:t>
      </w:r>
      <w:r>
        <w:rPr>
          <w:rFonts w:eastAsia="Amiri" w:cs="Amiri" w:ascii="Amiri" w:hAnsi="Amiri"/>
          <w:color w:val="111111"/>
          <w:sz w:val="28"/>
          <w:szCs w:val="28"/>
          <w:rtl w:val="true"/>
          <w:lang w:bidi="ar-SA"/>
        </w:rPr>
        <w:t>.</w:t>
      </w:r>
    </w:p>
    <w:p>
      <w:pPr>
        <w:pStyle w:val="Heading5"/>
        <w:numPr>
          <w:ilvl w:val="4"/>
          <w:numId w:val="1"/>
        </w:numPr>
        <w:rPr/>
      </w:pPr>
      <w:bookmarkStart w:id="2729" w:name="__RefHeading___Toc607432_1934241801"/>
      <w:bookmarkStart w:id="2730" w:name="_Toc1260"/>
      <w:bookmarkEnd w:id="2729"/>
      <w:r>
        <w:rPr>
          <w:rtl w:val="true"/>
        </w:rPr>
        <w:t>بيان</w:t>
      </w:r>
      <w:bookmarkEnd w:id="2730"/>
    </w:p>
    <w:p>
      <w:pPr>
        <w:pStyle w:val="BookText"/>
        <w:rPr/>
      </w:pPr>
      <w:r>
        <w:rPr>
          <w:rFonts w:ascii="Amiri" w:hAnsi="Amiri" w:eastAsia="Amiri" w:cs="Amiri"/>
          <w:color w:val="111111"/>
          <w:sz w:val="28"/>
          <w:sz w:val="28"/>
          <w:szCs w:val="28"/>
          <w:rtl w:val="true"/>
          <w:lang w:bidi="ar-SA"/>
        </w:rPr>
        <w:t>لعل كراهة الشهود مختص بما إذا شهد جماعة و سقط عنه الوجوب إذ يجب الصلاة علي المسلم و إن كان فاسقا</w:t>
      </w:r>
      <w:r>
        <w:rPr>
          <w:rFonts w:eastAsia="Amiri" w:cs="Amiri" w:ascii="Amiri" w:hAnsi="Amiri"/>
          <w:color w:val="111111"/>
          <w:sz w:val="28"/>
          <w:szCs w:val="28"/>
          <w:rtl w:val="true"/>
          <w:lang w:bidi="ar-SA"/>
        </w:rPr>
        <w:t>.</w:t>
      </w:r>
    </w:p>
    <w:p>
      <w:pPr>
        <w:pStyle w:val="Heading5"/>
        <w:numPr>
          <w:ilvl w:val="4"/>
          <w:numId w:val="1"/>
        </w:numPr>
        <w:rPr/>
      </w:pPr>
      <w:bookmarkStart w:id="2731" w:name="__RefHeading___Toc607434_1934241801"/>
      <w:bookmarkStart w:id="2732" w:name="_Toc1261"/>
      <w:bookmarkEnd w:id="2731"/>
      <w:r>
        <w:rPr>
          <w:rtl w:val="true"/>
        </w:rPr>
        <w:t>«</w:t>
      </w:r>
      <w:r>
        <w:rPr/>
        <w:t>26</w:t>
      </w:r>
      <w:r>
        <w:rPr>
          <w:rtl w:val="true"/>
        </w:rPr>
        <w:t>»</w:t>
      </w:r>
      <w:bookmarkEnd w:id="2732"/>
    </w:p>
    <w:p>
      <w:pPr>
        <w:pStyle w:val="BookText"/>
        <w:rPr/>
      </w:pP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النَّبِيُّ صلي الله عليه و آله عَنْ رَجُلٍ يُدْعَي إِلَي وَلِيمَةٍ وَ إِلَي جَنَازَةٍ فَأَيُّهُمَا أَفْضَلُ وَ أَيُّهُمَا يُجِيبُ قَالَ يُجِيبُ الْجَنَازَةَ فَإِنَّهَا تُذَكِّرُ الْآخِرَةَ وَ لْيَدَعِ الْوَلِيمَةَ فَإِنَّهَا تُذَكِّرُ الدُّنْيَا الْفَانِيَةَ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معناست که مرا از جمله عامّه مردم که بدون بصیرت و آمادگی داشتن برای مرگ از دنیا می روند،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الذکری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و ریشه کن شده، ولی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جنس و نوع است، این گفته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السوادالأعظم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برگرفته از همین معناست، بنابراین فرموده امام بدین معناست که مرا از جمله این نوع انسان ها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حبّ دیدار خداوند را نفی نمی کند، چرا که این حبّ مقیّد به زمان خاصّی نیست، پس بر حال احتضار و زمان مشاهده آنچه که دوست می دارد حمل می شود، چنان که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و مخالفان در صحاح از پیامبر صلّی الله علیه و آله روایت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دیدار خداوند را دوست بدارد، خداوند نیز دیدار او را دوست می دارد، و هر کسی که دیدار خداوند را زشت بشمارد خداوند نیز دیدار او را زشت می شمارد، به پیامبر صلّی الله علیه و آله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مرگ کراهت داریم؛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فهمیدی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هنگامی  که مؤمن در حال احتضار به رضوان و اکرام خداوند بشارت داده می شود، برای او چیزی دوست داشتنی تر از آنچه در مقابلش مشاهده می کند وجود ندارد، پس دیدار خداوند را دوست می دارد و خداوند نیز دیدار او را دوست می دارد؛ امّا هنگامی که کافر در حال احتضار به عذاب خداوند بشارت داده می شود، برای او چیزی زشت تر از آنچه در قابلش مشاهده می کند وجود ندارد، پس دیدار خداوند را زشت می شمارد و خداوند نیز دیدار او را زشت می شمارد، و بقیّه عمر مؤمن، گرانبهاست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جایز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شخص کافر باشد، چرا که کافر بر خلاف مؤمن مطلقاً نابود و هلاک شده است، یا شاید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باشد که در سنّ کمتر از چهل سال از دنیا می رود؛ و اگر معنای ریشه  کن شده در نظر گرفته شود جمع بین روایات صحیح تر می باشد</w:t>
      </w:r>
      <w:r>
        <w:rPr>
          <w:rFonts w:eastAsia="IRNazanin" w:cs="IRNazanin"/>
          <w:color w:val="111111"/>
          <w:sz w:val="28"/>
          <w:szCs w:val="28"/>
          <w:rtl w:val="true"/>
          <w:lang w:bidi="fa-IR"/>
        </w:rPr>
        <w:t>.</w:t>
      </w:r>
    </w:p>
    <w:p>
      <w:pPr>
        <w:pStyle w:val="Heading5"/>
        <w:numPr>
          <w:ilvl w:val="4"/>
          <w:numId w:val="1"/>
        </w:numPr>
        <w:rPr/>
      </w:pPr>
      <w:bookmarkStart w:id="2733" w:name="__RefHeading___Toc607436_1934241801"/>
      <w:bookmarkStart w:id="2734" w:name="_Toc1262"/>
      <w:bookmarkEnd w:id="2733"/>
      <w:r>
        <w:rPr>
          <w:rtl w:val="true"/>
        </w:rPr>
        <w:t xml:space="preserve">روایت </w:t>
      </w:r>
      <w:r>
        <w:rPr/>
        <w:t>25</w:t>
      </w:r>
      <w:bookmarkEnd w:id="2734"/>
    </w:p>
    <w:p>
      <w:pPr>
        <w:pStyle w:val="BookText"/>
        <w:rPr/>
      </w:pP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جنازه را حمل می 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صَلَّی اللَّهُ عَلَی مُحَمَّدٍ وَ آلِ مُحَمَّدٍ اللَّهُمَّ اغْفِرْ لِی وَ 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خداوندا بر محمّد و آل او درود بفرست، خداوندا از گناه من و مؤمنان درگذر و ما را ببخش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شارب خمر بیمار گشت به عیادت او نروید، اگر بر مسأله ای گواهی و شهادت داد از او نپذیرید؛ اگر نام او آورده شد او را تزکیه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خوبی او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خواستگاری کرد کسی را به ازدواج او درنیاورید، اگر سخن گفت او را تصدیق نکنید، و اگر وفات نمود در مراسم تشییع جنازه او حضور نیابید</w:t>
      </w:r>
      <w:r>
        <w:rPr>
          <w:rFonts w:eastAsia="IRNazanin" w:cs="IRNazanin"/>
          <w:color w:val="111111"/>
          <w:sz w:val="28"/>
          <w:szCs w:val="28"/>
          <w:rtl w:val="true"/>
          <w:lang w:bidi="fa-IR"/>
        </w:rPr>
        <w:t>.</w:t>
      </w:r>
    </w:p>
    <w:p>
      <w:pPr>
        <w:pStyle w:val="Heading5"/>
        <w:numPr>
          <w:ilvl w:val="4"/>
          <w:numId w:val="1"/>
        </w:numPr>
        <w:rPr/>
      </w:pPr>
      <w:bookmarkStart w:id="2735" w:name="__RefHeading___Toc607438_1934241801"/>
      <w:bookmarkStart w:id="2736" w:name="_Toc1263"/>
      <w:bookmarkEnd w:id="2735"/>
      <w:r>
        <w:rPr>
          <w:rtl w:val="true"/>
        </w:rPr>
        <w:t>توضیح</w:t>
      </w:r>
      <w:bookmarkEnd w:id="2736"/>
    </w:p>
    <w:p>
      <w:pPr>
        <w:pStyle w:val="BookText"/>
        <w:rPr/>
      </w:pPr>
      <w:r>
        <w:rPr>
          <w:rFonts w:ascii="IRNazanin" w:hAnsi="IRNazanin" w:eastAsia="IRNazanin"/>
          <w:color w:val="111111"/>
          <w:sz w:val="28"/>
          <w:sz w:val="28"/>
          <w:szCs w:val="28"/>
          <w:rtl w:val="true"/>
          <w:lang w:bidi="fa-IR"/>
        </w:rPr>
        <w:t>شاید کراهت حاضر شدن در مراسم تشییع جنازه و نمازگزاردن بر شارب خمر مختصّ به زمانی باشد که گروهی دیگر در آن مراسم شرکت کرده باشند وجوب آن از گردن او افتاده باشد، چرا که نمازگزاردن بر مسلمان واجب است هرچند فاسق باشد</w:t>
      </w:r>
      <w:r>
        <w:rPr>
          <w:rFonts w:eastAsia="IRNazanin" w:cs="IRNazanin"/>
          <w:color w:val="111111"/>
          <w:sz w:val="28"/>
          <w:szCs w:val="28"/>
          <w:rtl w:val="true"/>
          <w:lang w:bidi="fa-IR"/>
        </w:rPr>
        <w:t>.</w:t>
      </w:r>
    </w:p>
    <w:p>
      <w:pPr>
        <w:pStyle w:val="Heading5"/>
        <w:numPr>
          <w:ilvl w:val="4"/>
          <w:numId w:val="1"/>
        </w:numPr>
        <w:rPr/>
      </w:pPr>
      <w:bookmarkStart w:id="2737" w:name="__RefHeading___Toc607440_1934241801"/>
      <w:bookmarkStart w:id="2738" w:name="_Toc1264"/>
      <w:bookmarkEnd w:id="2737"/>
      <w:r>
        <w:rPr>
          <w:rtl w:val="true"/>
        </w:rPr>
        <w:t xml:space="preserve">روایت </w:t>
      </w:r>
      <w:r>
        <w:rPr/>
        <w:t>26</w:t>
      </w:r>
      <w:bookmarkEnd w:id="273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 الله علیه و آله درباره مردی پرسیدند که به صورت همزمان به شرکت در مراسم ولیمه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مراسم تشییع جنازه دعوت می شود، حضور در کدام یک از این دو مراسم برتر است و به کدام یک پاسخ گوید؟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در مراسم تشییع جنازه پاسخ گوید، چرا که او را به یاد آخرت می اندازد، و شایسته است که مراسم عروسی را رها سازد چرا که او را به یاد دنیای فانی می اندازد</w:t>
      </w:r>
      <w:r>
        <w:rPr>
          <w:rFonts w:eastAsia="IRNazanin" w:cs="IRNazanin"/>
          <w:color w:val="111111"/>
          <w:sz w:val="28"/>
          <w:szCs w:val="28"/>
          <w:rtl w:val="true"/>
          <w:lang w:bidi="fa-IR"/>
        </w:rPr>
        <w:t xml:space="preserve">. </w:t>
      </w:r>
      <w:bookmarkStart w:id="2739" w:name="pg13517_329299"/>
    </w:p>
    <w:p>
      <w:pPr>
        <w:pStyle w:val="BookText"/>
        <w:rPr/>
      </w:pPr>
      <w:bookmarkEnd w:id="2739"/>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تَبِعَ جَنَازَةً كُتِبَ لَهُ أَرْبَعُ قَرَارِيطَ قِيرَاطٌ بِاتِّبَاعِهِ إِيَّاهَا وَ قِيرَاطٌ بِالصَّلَاةِ عَلَيْهَا وَ قِيرَاطٌ بِالانْتِظَارِ حَتَّي يَفْرُغَ مِنْ دَفْنِهَا وَ قِيرَاطٌ لِلتَّعْزِيَةِ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الْقِيرَاطُ مِثْلُ جَبَلِ أُحُدٍ</w:t>
      </w:r>
      <w:r>
        <w:rPr>
          <w:rFonts w:eastAsia="Amiri" w:cs="Amiri" w:ascii="Amiri" w:hAnsi="Amiri"/>
          <w:color w:val="111111"/>
          <w:sz w:val="28"/>
          <w:szCs w:val="28"/>
          <w:rtl w:val="true"/>
          <w:lang w:bidi="ar-SA"/>
        </w:rPr>
        <w:t>.</w:t>
      </w:r>
    </w:p>
    <w:p>
      <w:pPr>
        <w:pStyle w:val="Heading5"/>
        <w:numPr>
          <w:ilvl w:val="4"/>
          <w:numId w:val="1"/>
        </w:numPr>
        <w:rPr/>
      </w:pPr>
      <w:bookmarkStart w:id="2740" w:name="__RefHeading___Toc607442_1934241801"/>
      <w:bookmarkStart w:id="2741" w:name="_Toc1265"/>
      <w:bookmarkEnd w:id="2740"/>
      <w:r>
        <w:rPr>
          <w:rtl w:val="true"/>
        </w:rPr>
        <w:t>«</w:t>
      </w:r>
      <w:r>
        <w:rPr/>
        <w:t>27</w:t>
      </w:r>
      <w:r>
        <w:rPr>
          <w:rtl w:val="true"/>
        </w:rPr>
        <w:t>»</w:t>
      </w:r>
      <w:bookmarkEnd w:id="2741"/>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تَبِعَ جَنَازَةً فَسَمِعَ رَجُلًا يَضْحَكُ فَقَالَ عليه السلام كَأَنَّ الْمَوْتَ فِيهَا عَلَي غَيْرِنَا كُتِبَ وَ كَأَنَّ الْحَقَّ فِيهَا عَلَي غَيْرِنَا وَجَبَ وَ كَأَنَّ الَّذِي نَرَي مِنَ الْأَمْوَاتِ سَفْرٌ عَمَّا قَلِيلٍ إِلَيْنَا رَاجِعُونَ نُبَوِّئُهُمْ أَجْدَاثَهُمْ وَ نَأْكُلُ تُرَاثَهُمْ كَأَنَّا مُخَلَّدُونَ بَعْدَهُمْ قَدْ نَسِينَا كُلَّ وَاعِظٍ وَ وَاعِظَةٍ وَ رُمِينَا بِكُلِّ جَائِحَةٍ</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طُوبَي لِمَنْ ذَلَّ فِي نَفْسِهِ وَ طَابَ كَسْبُهُ وَ صَلَحَتْ سَرِيرَتُهُ وَ حَسُنَتْ خَلِيقَتُهُ وَ أَنْفَقَ الْفَضْلَ مِنْ مَالِهِ وَ أَمْسَكَ الْفَضْلَ مِنْ لِسَانِهِ وَ عَزَلَ عَنِ النَّاسِ شَرَّهُ وَ وَسِعَتْهُ السُّنَّةُ وَ لَمْ يُنْسَبْ إِلَي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و من الناس من ينسب هذا الكلام إلي رسول الله صلي الله عليه و آله‌</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أَقُولُ وَ رَوَاهُ الْكَرَاجُكِيُّ فِي كَنْزِ الْفَوَائِدِ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بَعْدَ قَوْلِهِ كُلِّ جَائِحَةٍ طُوبَي لِمَنْ شَغَلَهُ عَيْبُهُ عَنْ عُيُوبِ غَيْرِهِ وَ أَنْفَقَ مَا اكْتَسَبَ فِي غَيْرِ مَعْصِيَةٍ وَ رَحِمَ أَهْلَ الضَّعْفِ وَ الْمَسْكَنَةِ وَ خَالَطَ أَهْلَ الْعِفَّةِ وَ الْحِكْمَةِ</w:t>
      </w:r>
      <w:r>
        <w:rPr>
          <w:rFonts w:eastAsia="Amiri" w:cs="Amiri" w:ascii="Amiri" w:hAnsi="Amiri"/>
          <w:color w:val="111111"/>
          <w:sz w:val="28"/>
          <w:szCs w:val="28"/>
          <w:rtl w:val="true"/>
          <w:lang w:bidi="ar-SA"/>
        </w:rPr>
        <w:t>.</w:t>
      </w:r>
    </w:p>
    <w:p>
      <w:pPr>
        <w:pStyle w:val="Heading5"/>
        <w:numPr>
          <w:ilvl w:val="4"/>
          <w:numId w:val="1"/>
        </w:numPr>
        <w:rPr/>
      </w:pPr>
      <w:bookmarkStart w:id="2742" w:name="__RefHeading___Toc607444_1934241801"/>
      <w:bookmarkStart w:id="2743" w:name="_Toc1266"/>
      <w:bookmarkEnd w:id="2742"/>
      <w:r>
        <w:rPr>
          <w:rtl w:val="true"/>
        </w:rPr>
        <w:t>بيان</w:t>
      </w:r>
      <w:bookmarkEnd w:id="2743"/>
    </w:p>
    <w:p>
      <w:pPr>
        <w:pStyle w:val="BookText"/>
        <w:rPr/>
      </w:pPr>
      <w:r>
        <w:rPr>
          <w:rFonts w:ascii="Amiri" w:hAnsi="Amiri" w:eastAsia="Amiri" w:cs="Amiri"/>
          <w:color w:val="111111"/>
          <w:sz w:val="28"/>
          <w:sz w:val="28"/>
          <w:szCs w:val="28"/>
          <w:rtl w:val="true"/>
          <w:lang w:bidi="ar-SA"/>
        </w:rPr>
        <w:t>قوله عليه السلام كأن الموت فيها أي في الدنيا و الحق أوامر الله و نواهيه أو الموت و السفر بالفتح جمع مسافر و الأجداث القبور و التراث ما يخلفه الرجل لورثته كل واعظ و واعظة أي كل أمر و خصلة يوجب العبرة و الاتعاظ و قوله و رمينا يحتمل الحالية و قال في النهاية الجائحة هي الآفة التي تهلك الثمار و الأموال و تستأصلها و كل مصيبة عظيمة و فتنة مبيرة جائحة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مراسم تشییع جنازه شرکت کند، به اندازه چهار قیراط پاداش برای او ثبت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قیراط به خاطر راه رفتن به دنبال جنازه، یک قیراط به خاطر نماز خواندن بر او، یک قیراط به خاطر انتظار کشیدن تا زمان به پایان</w:t>
      </w:r>
    </w:p>
    <w:p>
      <w:pPr>
        <w:pStyle w:val="BookText"/>
        <w:rPr/>
      </w:pPr>
      <w:r>
        <w:rPr>
          <w:rFonts w:ascii="IRNazanin" w:hAnsi="IRNazanin" w:eastAsia="IRNazanin"/>
          <w:color w:val="111111"/>
          <w:sz w:val="28"/>
          <w:sz w:val="28"/>
          <w:szCs w:val="28"/>
          <w:rtl w:val="true"/>
          <w:lang w:bidi="fa-IR"/>
        </w:rPr>
        <w:t>رسیدن دفن او، و یک قیراط به خاطر تسلی دادن اولیای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قیراط به اندازه کوه احد است</w:t>
      </w:r>
      <w:r>
        <w:rPr>
          <w:rFonts w:eastAsia="IRNazanin" w:cs="IRNazanin"/>
          <w:color w:val="111111"/>
          <w:sz w:val="28"/>
          <w:szCs w:val="28"/>
          <w:rtl w:val="true"/>
          <w:lang w:bidi="fa-IR"/>
        </w:rPr>
        <w:t>.</w:t>
      </w:r>
    </w:p>
    <w:p>
      <w:pPr>
        <w:pStyle w:val="Heading5"/>
        <w:numPr>
          <w:ilvl w:val="4"/>
          <w:numId w:val="1"/>
        </w:numPr>
        <w:rPr/>
      </w:pPr>
      <w:bookmarkStart w:id="2744" w:name="__RefHeading___Toc607446_1934241801"/>
      <w:bookmarkStart w:id="2745" w:name="_Toc1267"/>
      <w:bookmarkEnd w:id="2744"/>
      <w:r>
        <w:rPr>
          <w:rtl w:val="true"/>
        </w:rPr>
        <w:t xml:space="preserve">روایت </w:t>
      </w:r>
      <w:r>
        <w:rPr/>
        <w:t>27</w:t>
      </w:r>
      <w:bookmarkEnd w:id="2745"/>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پی جنازه ای می رفت و شنید که مردی می خندد،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مرگ بر غیر ما نوشته شده و آنچه در مورد او حق است بر غیر ما واجب گردیده است، و گویا این مردگان مسافرانی هستند که به زودی باز می گردند، در حالی که بدن هایشان را به گور می سپاریم و میراث شان را می خوریم، گویا ما پس از مرگ آنان جاوادنه ایم، آیا چنین است که اندرز هر پند دهنده ای از زن و مرد را فراموش می کنیم و خود را نشانه تیرهای بلا و آفات قرار می دهیم</w:t>
      </w:r>
      <w:r>
        <w:rPr>
          <w:rFonts w:eastAsia="IRNazanin" w:cs="IRNazanin"/>
          <w:color w:val="111111"/>
          <w:sz w:val="28"/>
          <w:szCs w:val="28"/>
          <w:rtl w:val="true"/>
          <w:lang w:bidi="fa-IR"/>
        </w:rPr>
        <w:t>.</w:t>
      </w:r>
      <w:r>
        <w:rPr>
          <w:rStyle w:val="FootnoteAnchor"/>
          <w:rtl w:val="true"/>
        </w:rPr>
        <w:footnoteReference w:id="1298"/>
      </w:r>
      <w:r>
        <w:rPr>
          <w:rFonts w:ascii="IRNazanin" w:hAnsi="IRNazanin" w:eastAsia="IRNazanin"/>
          <w:color w:val="111111"/>
          <w:sz w:val="28"/>
          <w:sz w:val="28"/>
          <w:szCs w:val="28"/>
          <w:rtl w:val="true"/>
          <w:lang w:bidi="fa-IR"/>
        </w:rPr>
        <w:t>خوشا</w:t>
      </w:r>
    </w:p>
    <w:p>
      <w:pPr>
        <w:pStyle w:val="BookText"/>
        <w:rPr/>
      </w:pPr>
      <w:r>
        <w:rPr>
          <w:rFonts w:ascii="IRNazanin" w:hAnsi="IRNazanin" w:eastAsia="IRNazanin"/>
          <w:color w:val="111111"/>
          <w:sz w:val="28"/>
          <w:sz w:val="28"/>
          <w:szCs w:val="28"/>
          <w:rtl w:val="true"/>
          <w:lang w:bidi="fa-IR"/>
        </w:rPr>
        <w:t>به حال آن کس که خود را کوچک می شمارد و کسب کار او پاکیزه است، و جانش پاک و اخلاقش نیکوست و مازاد بر مصرف زندگی را در راه خدا بخشش می کند، و زبان را از زیاده گویی باز می دارد و آزار او به مردم نمی رسد، و سنّت پیامبر او را کفایت کرده و بدعتی در دین خدا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کلام را به پیامبر صلّی الله علیه وآله نسبت داده اند</w:t>
      </w:r>
      <w:r>
        <w:rPr>
          <w:rFonts w:eastAsia="IRNazanin" w:cs="IRNazanin"/>
          <w:color w:val="111111"/>
          <w:sz w:val="28"/>
          <w:szCs w:val="28"/>
          <w:rtl w:val="true"/>
          <w:lang w:bidi="fa-IR"/>
        </w:rPr>
        <w:t>.</w:t>
      </w:r>
      <w:r>
        <w:rPr>
          <w:rStyle w:val="FootnoteAnchor"/>
          <w:rtl w:val="true"/>
        </w:rPr>
        <w:footnoteReference w:id="1299"/>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الکراجکیّ این کلام را در الفوائد به نقل از پیامبر صلّی الله علیه و آله روایت کرده و در پایانِ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 معرض تیر های بلا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چنین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مشغول بودن به عیب خویشتن او را از پرداختن به عیب دیگران باز می دارد، و آنچه را کسب کرده است در غیر راه معصیت خرج می کند و به ضعیفان و بینوایان رحم و شفقت روا می دارد و با اهل عفّت و حکمت هم نشینی می کند</w:t>
      </w:r>
      <w:r>
        <w:rPr>
          <w:rFonts w:eastAsia="IRNazanin" w:cs="IRNazanin"/>
          <w:color w:val="111111"/>
          <w:sz w:val="28"/>
          <w:szCs w:val="28"/>
          <w:rtl w:val="true"/>
          <w:lang w:bidi="fa-IR"/>
        </w:rPr>
        <w:t>.</w:t>
      </w:r>
    </w:p>
    <w:p>
      <w:pPr>
        <w:pStyle w:val="Heading5"/>
        <w:numPr>
          <w:ilvl w:val="4"/>
          <w:numId w:val="1"/>
        </w:numPr>
        <w:rPr/>
      </w:pPr>
      <w:bookmarkStart w:id="2746" w:name="__RefHeading___Toc607448_1934241801"/>
      <w:bookmarkStart w:id="2747" w:name="_Toc1268"/>
      <w:bookmarkEnd w:id="2746"/>
      <w:r>
        <w:rPr>
          <w:rtl w:val="true"/>
        </w:rPr>
        <w:t>توضیح</w:t>
      </w:r>
      <w:bookmarkEnd w:id="2747"/>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 الموت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مرگ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اوامر و نواهی خداوند و یا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انسان برای وارثان خویش بر جای می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واعظ و واعظة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مسأله و خصلتی که باعث عبرت و پند پذیرفتن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جمله حالیه باشد، شیخ در النهایة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آفتی است که محصولات و اموال را از بین می برد و آن ها را از ریشه در می آورد، و هر مصیبت بزرگ و فتنه نابود کننده بنیان برافکن می باشد</w:t>
      </w:r>
      <w:r>
        <w:rPr>
          <w:rFonts w:eastAsia="IRNazanin" w:cs="IRNazanin"/>
          <w:color w:val="111111"/>
          <w:sz w:val="28"/>
          <w:szCs w:val="28"/>
          <w:rtl w:val="true"/>
          <w:lang w:bidi="fa-IR"/>
        </w:rPr>
        <w:t xml:space="preserve">. </w:t>
      </w:r>
      <w:bookmarkStart w:id="2748" w:name="pg13517_329300"/>
    </w:p>
    <w:p>
      <w:pPr>
        <w:pStyle w:val="Heading5"/>
        <w:numPr>
          <w:ilvl w:val="4"/>
          <w:numId w:val="1"/>
        </w:numPr>
        <w:rPr/>
      </w:pPr>
      <w:bookmarkStart w:id="2749" w:name="__RefHeading___Toc607450_1934241801"/>
      <w:bookmarkStart w:id="2750" w:name="_Toc1269"/>
      <w:bookmarkEnd w:id="2748"/>
      <w:bookmarkEnd w:id="2749"/>
      <w:r>
        <w:rPr>
          <w:rtl w:val="true"/>
        </w:rPr>
        <w:t>«</w:t>
      </w:r>
      <w:r>
        <w:rPr/>
        <w:t>28</w:t>
      </w:r>
      <w:r>
        <w:rPr>
          <w:rtl w:val="true"/>
        </w:rPr>
        <w:t>»</w:t>
      </w:r>
      <w:bookmarkEnd w:id="2750"/>
    </w:p>
    <w:p>
      <w:pPr>
        <w:pStyle w:val="BookText"/>
        <w:rPr/>
      </w:pPr>
      <w:r>
        <w:rPr>
          <w:rFonts w:ascii="Amiri" w:hAnsi="Amiri" w:eastAsia="Amiri" w:cs="Amiri"/>
          <w:color w:val="111111"/>
          <w:sz w:val="28"/>
          <w:sz w:val="28"/>
          <w:szCs w:val="28"/>
          <w:rtl w:val="true"/>
          <w:lang w:bidi="ar-SA"/>
        </w:rPr>
        <w:t>الْمَحَاسِنُ، عَنْ أَبِيهِ عَنْ مُحَسِّنِ بْنِ أَحْمَدَ عَنْ إِسْحَاقَ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رَسُولُ اللَّهِ صلي الله عليه و آله رِدَاءَهُ فِي جَنَازَةِ سَعْدِ بْنِ مُعَاذٍ رَحِمَهُ اللَّهُ فَسُئِلَ عَنْ ذَلِكَ فَقَالَ إِنِّي رَأَيْتُ الْمَلَائِكَةَ قَدْ وَضَعَتْ أَرْدِيَتَهَا فَوَضَعْتُ رِدَائِي‌</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1" w:name="__RefHeading___Toc607452_1934241801"/>
      <w:bookmarkStart w:id="2752" w:name="_Toc1270"/>
      <w:bookmarkEnd w:id="2751"/>
      <w:r>
        <w:rPr>
          <w:rtl w:val="true"/>
        </w:rPr>
        <w:t>«</w:t>
      </w:r>
      <w:r>
        <w:rPr/>
        <w:t>29</w:t>
      </w:r>
      <w:r>
        <w:rPr>
          <w:rtl w:val="true"/>
        </w:rPr>
        <w:t>»</w:t>
      </w:r>
      <w:bookmarkEnd w:id="2752"/>
    </w:p>
    <w:p>
      <w:pPr>
        <w:pStyle w:val="BookText"/>
        <w:rPr/>
      </w:pPr>
      <w:r>
        <w:rPr>
          <w:rFonts w:ascii="Amiri" w:hAnsi="Amiri" w:eastAsia="Amiri" w:cs="Amiri"/>
          <w:color w:val="111111"/>
          <w:sz w:val="28"/>
          <w:sz w:val="28"/>
          <w:szCs w:val="28"/>
          <w:rtl w:val="true"/>
          <w:lang w:bidi="ar-SA"/>
        </w:rPr>
        <w:t>مَجَالِسُ الصَّدُوقِ، عَنِ الْحَسَنِ بْنِ عَلِيِّ بْنِ شُقَيْرٍ عَنْ يَعْقُوبَ بْنِ الْحَارِثِ عَنْ إِبْرَاهِيمَ الْهَمَدَانِيِّ عَنْ جَعْفَرِ بْنِ مُحَمَّدِ بْنِ يُونُسَ عَنْ عَلِيِّ بْنِ بُزُرْجَ عَنْ عَمْرِو بْنِ الْيَسَعِ عَنْ عَبْدِ اللَّهِ بْنِ الْيَسَعِ عَنْ عَبْدِ اللَّهِ بْنِ سِنَانٍ عَنْ أَبِي عَبْدِ اللَّهِ عليه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أَمَرَ بِغُسْلِ سَعْدِ بْنِ مُعَاذٍ حِينَ مَاتَ ثُمَّ تَبِعَهُ بِلَا حِذَاءٍ وَ لَا رِدَاءٍ فَسُئِلَ عَنْ ذَلِكَ فَقَالَ إِنَّ الْمَلَائِكَةَ كَانَتْ بِلَا حِذَاءٍ وَ لَا رِدَاءٍ فَتَأَسَّيْتُ بِهَا</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3" w:name="__RefHeading___Toc607454_1934241801"/>
      <w:bookmarkStart w:id="2754" w:name="_Toc1271"/>
      <w:bookmarkEnd w:id="2753"/>
      <w:r>
        <w:rPr>
          <w:rtl w:val="true"/>
        </w:rPr>
        <w:t>«</w:t>
      </w:r>
      <w:r>
        <w:rPr/>
        <w:t>30</w:t>
      </w:r>
      <w:r>
        <w:rPr>
          <w:rtl w:val="true"/>
        </w:rPr>
        <w:t>»</w:t>
      </w:r>
      <w:bookmarkEnd w:id="2754"/>
    </w:p>
    <w:p>
      <w:pPr>
        <w:pStyle w:val="BookText"/>
        <w:rPr/>
      </w:pPr>
      <w:r>
        <w:rPr>
          <w:rFonts w:ascii="Amiri" w:hAnsi="Amiri" w:eastAsia="Amiri" w:cs="Amiri"/>
          <w:color w:val="111111"/>
          <w:sz w:val="28"/>
          <w:sz w:val="28"/>
          <w:szCs w:val="28"/>
          <w:rtl w:val="true"/>
          <w:lang w:bidi="ar-SA"/>
        </w:rPr>
        <w:t>إِكْمَالُ الدِّينِ، عَنْ مُحَمَّدِ بْنِ الْحَسَنِ عَنِ الْحُسَيْنِ بْنِ الْحَسَنِ بْنِ أَبَانٍ عَنِ الْحُسَيْنِ بْنِ سَعِيدٍ عَنِ الْقَاسِمِ بْنِ مُحَمَّدٍ عَنِ الْحُسَيْنِ بْنِ عُمَرَ عَنْ رَجُلٍ مِنْ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إِسْمَاعِيلُ بْنُ أَبِي عَبْدِ اللَّهِ عليه السلام خَرَجَ أَبُو عَبْدِ اللَّهِ عليه السلام بِلَا حِذَاءٍ وَ لَا رِدَاءٍ</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5" w:name="__RefHeading___Toc607456_1934241801"/>
      <w:bookmarkStart w:id="2756" w:name="_Toc1272"/>
      <w:bookmarkEnd w:id="2755"/>
      <w:r>
        <w:rPr>
          <w:rtl w:val="true"/>
        </w:rPr>
        <w:t>«</w:t>
      </w:r>
      <w:r>
        <w:rPr/>
        <w:t>31</w:t>
      </w:r>
      <w:r>
        <w:rPr>
          <w:rtl w:val="true"/>
        </w:rPr>
        <w:t>»</w:t>
      </w:r>
      <w:bookmarkEnd w:id="2756"/>
    </w:p>
    <w:p>
      <w:pPr>
        <w:pStyle w:val="BookText"/>
        <w:rPr/>
      </w:pPr>
      <w:r>
        <w:rPr>
          <w:rFonts w:ascii="Amiri" w:hAnsi="Amiri" w:eastAsia="Amiri" w:cs="Amiri"/>
          <w:color w:val="111111"/>
          <w:sz w:val="28"/>
          <w:sz w:val="28"/>
          <w:szCs w:val="28"/>
          <w:rtl w:val="true"/>
          <w:lang w:bidi="ar-SA"/>
        </w:rPr>
        <w:t>الْمَحَاسِنُ، عَنْ أَبِيهِ عَنْ سَعْدَانَ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لِصَاحِبِ الْجَنَازَةِ أَنْ يُلْقِيَ رِدَاءَهُ حَتَّي يُعْرَفَ وَ يَنْبَغِي لِجِيرَانِهِ أَنْ يُطْعِمُوا عَنْهُ ثَلَاثَةَ أَيَّامٍ‌</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7" w:name="__RefHeading___Toc607458_1934241801"/>
      <w:bookmarkStart w:id="2758" w:name="_Toc1273"/>
      <w:bookmarkEnd w:id="2757"/>
      <w:r>
        <w:rPr>
          <w:rtl w:val="true"/>
        </w:rPr>
        <w:t>بيان</w:t>
      </w:r>
      <w:bookmarkEnd w:id="2758"/>
    </w:p>
    <w:p>
      <w:pPr>
        <w:pStyle w:val="BookText"/>
        <w:rPr/>
      </w:pPr>
      <w:r>
        <w:rPr>
          <w:rFonts w:ascii="Amiri" w:hAnsi="Amiri" w:eastAsia="Amiri" w:cs="Amiri"/>
          <w:color w:val="111111"/>
          <w:sz w:val="28"/>
          <w:sz w:val="28"/>
          <w:szCs w:val="28"/>
          <w:rtl w:val="true"/>
          <w:lang w:bidi="ar-SA"/>
        </w:rPr>
        <w:t>تدل هذه الأخبار علي أنه يستحب لصاحب المصيبة أن يكون بلا رداء بل بلا حذاء ليعرف‌</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أما الازار، فكانوا لا يضعونه في بيوتهم سترا للعورة، و أمّا الرداء، فأكثر ما كانوا يلبسونه للحشمة خارج الدار و في الاندية، و أمّا داخل البيوت فقد يضعونه و قد لا يضعونه و هذا الرداء هو الذي وضعه رسول اللّه صلّي اللّه عليه و آله عند تشييعه جنازة سعد بن معاذ فصار سنة من بعده، لا الكساء الذي يلبسه الناس في أيامنا هذه فوق الاقبية و السترة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الناس ملتزمون بالارتداء خارج البيوت الامن أعوزه من المساكين، كان وضعه في تشييع الجنازة علامة لكونه صاحب المصيبة، لدلالته علي ذهاب حشمته، و مثله وضع الحذاء و الخروج حافيا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الناس في زمان الصادق عليه السلام علي تلك السنة و السيرة في لبس الرداء و الازار غالبا، و لذلك صنع الصادق عليه السلام في وفاة إسماعيل ابنه كما صنع رسول اللّه في فوت سعد بن معاذ، و أمّا بعد ذلك، فالمصرح به في رواياتنا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الوري 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الإرشاد للمفيد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محمّد العسكريّ قد شق جيبه في فوت أخيه محمّد بن علي، و هكذا في وفاة أبيه أبي الحسن صاحب العسكر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رجال الكشّيّ 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نقل عن ابن الجنيد بأنّه يطرح بعض زيه بارسال طرف العمامة أو أخذ مئزر فوقها علي الأب و الأخ، فلعل الاختصاص بالاب و الأخ لاجل ما ورد عن أبي محمّد عليه السلام في أبيه و أخيه، و أمّا أخذ مئزر فوق العمامة فالظاهر من زمانه و هو القرن الرابع للهجرة ترك الازار و الرداء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لبس السراويل و الاقمصة و الاقبية كما في زماننا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اختصاصهما بلباس الاحرام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لبس العمائم في الحضر و السفر بعد ما كان في صدر الإسلام مختصا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 السفر و في الغزوات شعارا للابطال الباسلين، و منه قول سحيم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جلا و طلاع الثنايا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أضع العمامة تعرفوني</w:t>
      </w:r>
    </w:p>
    <w:p>
      <w:pPr>
        <w:pStyle w:val="BookText"/>
        <w:rPr/>
      </w:pPr>
      <w:r>
        <w:rPr>
          <w:rFonts w:ascii="Amiri" w:hAnsi="Amiri" w:eastAsia="Amiri" w:cs="Amiri"/>
          <w:color w:val="111111"/>
          <w:sz w:val="28"/>
          <w:sz w:val="28"/>
          <w:szCs w:val="28"/>
          <w:rtl w:val="true"/>
          <w:lang w:bidi="ar-SA"/>
        </w:rPr>
        <w:t>ففي مثل ذاك الزمان و يشبهه زماننا هذا من حيث ترك الرداء و الازار، لا بأس بالامتياز بأي وجه تداوله أبناء العصر و عقلاء القوم و الملّة، و ذلك لان من ترك الرداء و الازار رأسا و لبس القباء و الكساء و العمامة، قد خرج عن مورد السنة خروجا موضوعيا و لا معني للحكم عليه بوضع الرداء علامة لذهاب الحشمة، و هذا هو الوجه في قول سائر الاصحاب بمطلق الامتياز، و لو كان بلبس الرداء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مع غيره رداء كما سيأتي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ترك الرداء لغير صاحب الجنازة فالمشهور الكراهة</w:t>
      </w:r>
    </w:p>
    <w:p>
      <w:pPr>
        <w:pStyle w:val="Heading5"/>
        <w:numPr>
          <w:ilvl w:val="4"/>
          <w:numId w:val="1"/>
        </w:numPr>
        <w:rPr/>
      </w:pPr>
      <w:bookmarkStart w:id="2759" w:name="__RefHeading___Toc607460_1934241801"/>
      <w:bookmarkStart w:id="2760" w:name="_Toc1274"/>
      <w:bookmarkEnd w:id="2759"/>
      <w:r>
        <w:rPr>
          <w:rtl w:val="true"/>
        </w:rPr>
        <w:t xml:space="preserve">روایت </w:t>
      </w:r>
      <w:r>
        <w:rPr/>
        <w:t>28</w:t>
      </w:r>
      <w:bookmarkEnd w:id="2760"/>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رسول خدا صلّی اله علیه و آله در تشییع جنازه معاذ رحمه الله عبای خویش را برداشت، از ایشان درباره دلیل این کار سؤال شد،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را مشاهده کردم که عباهای شان را برداشتند و من نیز آن را برداشتم</w:t>
      </w:r>
      <w:r>
        <w:rPr>
          <w:rFonts w:eastAsia="IRNazanin" w:cs="IRNazanin"/>
          <w:color w:val="111111"/>
          <w:sz w:val="28"/>
          <w:szCs w:val="28"/>
          <w:rtl w:val="true"/>
          <w:lang w:bidi="fa-IR"/>
        </w:rPr>
        <w:t>.</w:t>
      </w:r>
      <w:r>
        <w:rPr>
          <w:rStyle w:val="FootnoteAnchor"/>
          <w:rtl w:val="true"/>
        </w:rPr>
        <w:footnoteReference w:id="1305"/>
      </w:r>
    </w:p>
    <w:p>
      <w:pPr>
        <w:pStyle w:val="Heading5"/>
        <w:numPr>
          <w:ilvl w:val="4"/>
          <w:numId w:val="1"/>
        </w:numPr>
        <w:rPr/>
      </w:pPr>
      <w:bookmarkStart w:id="2761" w:name="__RefHeading___Toc607462_1934241801"/>
      <w:bookmarkStart w:id="2762" w:name="_Toc1275"/>
      <w:bookmarkEnd w:id="2761"/>
      <w:r>
        <w:rPr>
          <w:rtl w:val="true"/>
        </w:rPr>
        <w:t xml:space="preserve">روایت </w:t>
      </w:r>
      <w:r>
        <w:rPr/>
        <w:t>29</w:t>
      </w:r>
      <w:bookmarkEnd w:id="2762"/>
    </w:p>
    <w:p>
      <w:p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از امام صادق روایت شده که رسول خدا صلّی الله علیه و آله هنگام وفات معاذ امر فرمود که او را غسل دهند، سپس بدون پوشیدن کفش و به تن داشتن عبا در تشییع جنازه او شرکت کرد، درباره دلیل این کار از پیامبر سؤال شد و ایشان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ملائکه در تشییع جنازه معاذ بدون کفش و عبا حضور داشتند و من نیز از آن ها پیروی کردم</w:t>
      </w:r>
      <w:r>
        <w:rPr>
          <w:rFonts w:eastAsia="IRNazanin" w:cs="IRNazanin"/>
          <w:color w:val="111111"/>
          <w:sz w:val="28"/>
          <w:szCs w:val="28"/>
          <w:rtl w:val="true"/>
          <w:lang w:bidi="fa-IR"/>
        </w:rPr>
        <w:t>.</w:t>
      </w:r>
      <w:r>
        <w:rPr>
          <w:rStyle w:val="FootnoteAnchor"/>
          <w:rtl w:val="true"/>
        </w:rPr>
        <w:footnoteReference w:id="1306"/>
      </w:r>
    </w:p>
    <w:p>
      <w:pPr>
        <w:pStyle w:val="Heading5"/>
        <w:numPr>
          <w:ilvl w:val="4"/>
          <w:numId w:val="1"/>
        </w:numPr>
        <w:rPr/>
      </w:pPr>
      <w:bookmarkStart w:id="2763" w:name="__RefHeading___Toc607464_1934241801"/>
      <w:bookmarkStart w:id="2764" w:name="_Toc1276"/>
      <w:bookmarkEnd w:id="2763"/>
      <w:r>
        <w:rPr>
          <w:rtl w:val="true"/>
        </w:rPr>
        <w:t xml:space="preserve">روایت </w:t>
      </w:r>
      <w:r>
        <w:rPr/>
        <w:t>30</w:t>
      </w:r>
      <w:bookmarkEnd w:id="2764"/>
    </w:p>
    <w:p>
      <w:pPr>
        <w:pStyle w:val="BookText"/>
        <w:rPr/>
      </w:pP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از بنی هاشم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اسماعیل پسر امام صادق علیه السلام وفات نمود، امام بدون کفش و عبا جنازه او را تشییع فرمود</w:t>
      </w:r>
      <w:r>
        <w:rPr>
          <w:rFonts w:eastAsia="IRNazanin" w:cs="IRNazanin"/>
          <w:color w:val="111111"/>
          <w:sz w:val="28"/>
          <w:szCs w:val="28"/>
          <w:rtl w:val="true"/>
          <w:lang w:bidi="fa-IR"/>
        </w:rPr>
        <w:t>.</w:t>
      </w:r>
      <w:r>
        <w:rPr>
          <w:rStyle w:val="FootnoteAnchor"/>
          <w:rtl w:val="true"/>
        </w:rPr>
        <w:footnoteReference w:id="1307"/>
      </w:r>
    </w:p>
    <w:p>
      <w:pPr>
        <w:pStyle w:val="Heading5"/>
        <w:numPr>
          <w:ilvl w:val="4"/>
          <w:numId w:val="1"/>
        </w:numPr>
        <w:rPr/>
      </w:pPr>
      <w:bookmarkStart w:id="2765" w:name="__RefHeading___Toc607466_1934241801"/>
      <w:bookmarkStart w:id="2766" w:name="_Toc1277"/>
      <w:bookmarkEnd w:id="2765"/>
      <w:r>
        <w:rPr>
          <w:rtl w:val="true"/>
        </w:rPr>
        <w:t xml:space="preserve">روایت </w:t>
      </w:r>
      <w:r>
        <w:rPr/>
        <w:t>31</w:t>
      </w:r>
      <w:bookmarkEnd w:id="2766"/>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که صاحب جنازه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 خویش را بیندازد تا شناخته شود، و همسایه هایش باید تا سه روز به جای او دیگران را طعام دهند</w:t>
      </w:r>
      <w:r>
        <w:rPr>
          <w:rFonts w:eastAsia="IRNazanin" w:cs="IRNazanin"/>
          <w:color w:val="111111"/>
          <w:sz w:val="28"/>
          <w:szCs w:val="28"/>
          <w:rtl w:val="true"/>
          <w:lang w:bidi="fa-IR"/>
        </w:rPr>
        <w:t>.</w:t>
      </w:r>
      <w:r>
        <w:rPr>
          <w:rStyle w:val="FootnoteAnchor"/>
          <w:rtl w:val="true"/>
        </w:rPr>
        <w:footnoteReference w:id="1308"/>
      </w:r>
    </w:p>
    <w:p>
      <w:pPr>
        <w:pStyle w:val="Heading5"/>
        <w:numPr>
          <w:ilvl w:val="4"/>
          <w:numId w:val="1"/>
        </w:numPr>
        <w:rPr/>
      </w:pPr>
      <w:bookmarkStart w:id="2767" w:name="__RefHeading___Toc607468_1934241801"/>
      <w:bookmarkStart w:id="2768" w:name="_Toc1278"/>
      <w:bookmarkEnd w:id="2767"/>
      <w:r>
        <w:rPr>
          <w:rtl w:val="true"/>
        </w:rPr>
        <w:t>توضیح</w:t>
      </w:r>
      <w:bookmarkEnd w:id="2768"/>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مذکور بر این نکته دلالت می کنند که مستحبّ است صاحب مصیبت بدون کفش و عبا باشد تا شناخته شود، امّا نظر مشهور این است که ترک پوشیدن عبا برای غیر صاحب جنازه مکروه می باشد،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يظهر من ابن حمزة تحريمه كما نسب إليه في الذكري و قال أما صاحب الجنازة فيخلعه ليتميز عن غيره ذكره الجعفي و ابن حمزة و الفاضلان و ذكر ابن الجنيد أيضا التمييز بطرح بعض زيه بإرسال طرف العمامة أو أخذ مئزر من فوقها علي الأب و الأخ و لا يجوز علي غيرهما و ابن حمزة منع هنا مع تجويزه الامتياز فكأنه يخص التمييز في غير الأب و الأخ بهذا النوع من الامتياز و أنكر ابن إدريس الامتياز بهذين لعدم الدليل عليهما و زعم أنه من خصوصيات الشيخ‌</w:t>
      </w:r>
      <w:r>
        <w:rPr>
          <w:rStyle w:val="FootnoteAnchor"/>
          <w:rtl w:val="true"/>
        </w:rPr>
        <w:footnoteReference w:id="1309"/>
      </w:r>
      <w:r>
        <w:rPr>
          <w:rFonts w:ascii="Amiri" w:hAnsi="Amiri" w:eastAsia="Amiri" w:cs="Amiri"/>
          <w:color w:val="111111"/>
          <w:sz w:val="28"/>
          <w:sz w:val="28"/>
          <w:szCs w:val="28"/>
          <w:rtl w:val="true"/>
          <w:lang w:bidi="ar-SA"/>
        </w:rPr>
        <w:t>و رده الفاضلان بأحاديث الامتياز و ظاهر أن الأخبار لا تتناوله ثم لم نقف علي دليل الشيخ عليه و لا علي اختصاص الأب و الأخ‌</w:t>
      </w:r>
      <w:r>
        <w:rPr>
          <w:rStyle w:val="FootnoteAnchor"/>
          <w:rtl w:val="true"/>
        </w:rPr>
        <w:footnoteReference w:id="1310"/>
      </w:r>
      <w:r>
        <w:rPr>
          <w:rFonts w:ascii="Amiri" w:hAnsi="Amiri" w:eastAsia="Amiri" w:cs="Amiri"/>
          <w:color w:val="111111"/>
          <w:sz w:val="28"/>
          <w:sz w:val="28"/>
          <w:szCs w:val="28"/>
          <w:rtl w:val="true"/>
          <w:lang w:bidi="ar-SA"/>
        </w:rPr>
        <w:t>و قال أبو الصلاح يتحفي و يحل أزراره في جنازة أبيه و جده خاصة و يرده ما تقدم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فعله النبي صلي الله عليه و آله من خصائص تلك الواقعة و الخصوصية ظاهرة فيها فلا يتأسي فيه و ما ذكره الأصحاب من الامتياز بالرداء إذا لم يكن مع غيره</w:t>
      </w:r>
    </w:p>
    <w:p>
      <w:pPr>
        <w:pStyle w:val="BookText"/>
        <w:rPr/>
      </w:pPr>
      <w:r>
        <w:rPr>
          <w:rFonts w:ascii="IRNazanin" w:hAnsi="IRNazanin" w:eastAsia="IRNazanin"/>
          <w:color w:val="111111"/>
          <w:sz w:val="28"/>
          <w:sz w:val="28"/>
          <w:szCs w:val="28"/>
          <w:rtl w:val="true"/>
          <w:lang w:bidi="fa-IR"/>
        </w:rPr>
        <w:t>و چنان که در الذکری بیان شده است ابن حمزه این امر را حرام دانسته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جنازه عبای خویش را از تن به در می آور تا از دیگران تشخیص داده شود، این نظر را جعفّی، ابن حمزه و فاضلان ذکر کرده اند، و ابن جنید نیز ذکر کرده است که پدر و برادر میّت، و نه غیرآن دو، برای اینکه از دیگران تشخیص داده شوند قسمتی از لباس خود مانند یک گوشه از عمّامه را پایین می آورند و یا تکّه پارچه ای را بر روی عمّامه خویش قرار می دهند؛ امّا ابن حمزه با وجود اینکه جایز دانسته است صاحب میّت با دیگران فرق داشته باشد، ولی گویا وی این نوع اختلاف در ظاهر را مخصوص کسانی غیر از پدر و برادر میّت دانسته است، ابن ادریس نیز دو روش مذکور برای تشخیص اولیای میّت از دیگران را انکار کرده است، چرا که معتقد است دلیلی بر انجام چنین کارهایی وجود ندارد، و چنین پنداشته که این نظر مخصوص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فاضلان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 و 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احادیثی که بر وجود اختلاف اولیای میّت با دیگران دلالت می کنند این نظر را مردود دانسته اند، و آشکار است که احادیث به ذکر این نظر نپرداخته اند، سپس بر دلیل شیخ برای اثبات این نظر و اینکه چنین اختلافی مخصوص پدر و برادر میّت است واقف نگشتیم؛ ابو صلاح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جنازه به صورت اختصاصی در مراسم تشییع جنازه پدر و جدش کفش را از پا به درمی آورد و آستینش را پایین می کشد، ولی بنا به دلایلی که ذکر شد این نظر مردود است، پایان نقل قول</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پیامبر صلّی الله علیه و آله در مراسم تشییع جنازه معاذ انجام داده مخصوص آن حادثه بوده و اختصاصی بودنش آشکار است، پس به آن اقتدا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فقها در مورد وجود </w:t>
      </w:r>
      <w:bookmarkStart w:id="2769" w:name="pg13517_329303"/>
    </w:p>
    <w:p>
      <w:pPr>
        <w:pStyle w:val="BookText"/>
        <w:rPr/>
      </w:pPr>
      <w:bookmarkEnd w:id="2769"/>
      <w:r>
        <w:rPr>
          <w:rFonts w:ascii="IRNazanin" w:hAnsi="IRNazanin" w:eastAsia="IRNazanin"/>
          <w:color w:val="111111"/>
          <w:sz w:val="28"/>
          <w:sz w:val="28"/>
          <w:szCs w:val="28"/>
          <w:rtl w:val="true"/>
          <w:lang w:bidi="fa-IR"/>
        </w:rPr>
        <w:t>رداء</w:t>
      </w:r>
      <w:r>
        <w:rPr>
          <w:rStyle w:val="FootnoteAnchor"/>
          <w:rtl w:val="true"/>
        </w:rPr>
        <w:footnoteReference w:id="1311"/>
      </w:r>
      <w:r>
        <w:rPr>
          <w:rFonts w:ascii="Amiri" w:hAnsi="Amiri" w:eastAsia="Amiri" w:cs="Amiri"/>
          <w:color w:val="111111"/>
          <w:sz w:val="28"/>
          <w:sz w:val="28"/>
          <w:szCs w:val="28"/>
          <w:rtl w:val="true"/>
          <w:lang w:bidi="ar-SA"/>
        </w:rPr>
        <w:t>أو بعلامات أخر كما مر فللتعليل الوارد في خبر ابن أبي عمير</w:t>
      </w:r>
      <w:r>
        <w:rPr>
          <w:rStyle w:val="FootnoteAnchor"/>
          <w:rtl w:val="true"/>
        </w:rPr>
        <w:footnoteReference w:id="1312"/>
      </w:r>
      <w:r>
        <w:rPr>
          <w:rFonts w:ascii="Amiri" w:hAnsi="Amiri" w:eastAsia="Amiri" w:cs="Amiri"/>
          <w:color w:val="111111"/>
          <w:sz w:val="28"/>
          <w:sz w:val="28"/>
          <w:szCs w:val="28"/>
          <w:rtl w:val="true"/>
          <w:lang w:bidi="ar-SA"/>
        </w:rPr>
        <w:t>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لصاحب المصيبة أن يضع رداءه حتي يعلم الناس أنه صاحب 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رواه أبو بصير</w:t>
      </w:r>
      <w:r>
        <w:rPr>
          <w:rStyle w:val="FootnoteAnchor"/>
          <w:rtl w:val="true"/>
        </w:rPr>
        <w:footnoteReference w:id="1313"/>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لصاحب المصيبة أن لا يلبس رداءه و أن يكون في قميص حتي يعرف</w:t>
      </w:r>
      <w:r>
        <w:rPr>
          <w:rFonts w:eastAsia="Amiri" w:cs="Amiri" w:ascii="Amiri" w:hAnsi="Amiri"/>
          <w:color w:val="111111"/>
          <w:sz w:val="28"/>
          <w:szCs w:val="28"/>
          <w:rtl w:val="true"/>
          <w:lang w:bidi="ar-SA"/>
        </w:rPr>
        <w:t>.</w:t>
      </w:r>
    </w:p>
    <w:p>
      <w:pPr>
        <w:pStyle w:val="Heading5"/>
        <w:numPr>
          <w:ilvl w:val="4"/>
          <w:numId w:val="1"/>
        </w:numPr>
        <w:rPr/>
      </w:pPr>
      <w:bookmarkStart w:id="2770" w:name="__RefHeading___Toc607470_1934241801"/>
      <w:bookmarkStart w:id="2771" w:name="_Toc1279"/>
      <w:bookmarkEnd w:id="2770"/>
      <w:r>
        <w:rPr>
          <w:rtl w:val="true"/>
        </w:rPr>
        <w:t>«</w:t>
      </w:r>
      <w:r>
        <w:rPr/>
        <w:t>32</w:t>
      </w:r>
      <w:r>
        <w:rPr>
          <w:rtl w:val="true"/>
        </w:rPr>
        <w:t>»</w:t>
      </w:r>
      <w:bookmarkEnd w:id="2771"/>
    </w:p>
    <w:p>
      <w:pPr>
        <w:pStyle w:val="BookText"/>
        <w:rPr/>
      </w:pPr>
      <w:r>
        <w:rPr>
          <w:rFonts w:ascii="Amiri" w:hAnsi="Amiri" w:eastAsia="Amiri" w:cs="Amiri"/>
          <w:color w:val="111111"/>
          <w:sz w:val="28"/>
          <w:sz w:val="28"/>
          <w:szCs w:val="28"/>
          <w:rtl w:val="true"/>
          <w:lang w:bidi="ar-SA"/>
        </w:rPr>
        <w:t>قُرْبُ الْإِسْنَادِ، عَنِ الْحَسَنِ بْنِ ظَرِيفٍ عَنِ الْحُسَيْنِ بْنِ عُلْوَانَ عَنْ جَعْفَرٍ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عَلِيٍّ عليهما السلام كَانَ جَالِساً وَ مَعَهُ أَصْحَابٌ لَهُ فَمُرَّ بِجَنَازَةٍ فَقَامَ بَعْضُ الْقَوْمِ وَ لَمْ يَقُمِ الْحَسَنُ فَلَمَّا مَضَوْا بِهَا قَالَ بَعْضُهُمْ أَ لَا قُمْتَ عَافَاكَ اللَّهُ فَقَدْ كَانَ رَسُولُ اللَّهِ صلي الله عليه و آله يَقُومُ لِلْجَنَازَةِ إِذَا مَرُّوا بِهَا فَقَالَ الْحَسَنُ إِنَّمَا قَامَ رَسُولُ اللَّهِ صلي الله عليه و آله مَرَّةً وَاحِدَةً وَ ذَاكَ أَنَّهُ مُرَّ بِجَنَازَةِ يَهُودِيٍّ وَ كَانَ الْمَكَانُ ضَيِّقاً فَقَامَ رَسُولُ اللَّهِ صلي الله عليه و آله وَ كَرِهَ أَنْ تَعْلُوَ رَأْسَهُ‌</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2" w:name="__RefHeading___Toc607472_1934241801"/>
      <w:bookmarkStart w:id="2773" w:name="_Toc1280"/>
      <w:bookmarkEnd w:id="2772"/>
      <w:r>
        <w:rPr>
          <w:rtl w:val="true"/>
        </w:rPr>
        <w:t>بيان</w:t>
      </w:r>
      <w:bookmarkEnd w:id="2773"/>
    </w:p>
    <w:p>
      <w:pPr>
        <w:pStyle w:val="BookText"/>
        <w:rPr/>
      </w:pPr>
      <w:r>
        <w:rPr>
          <w:rFonts w:ascii="Amiri" w:hAnsi="Amiri" w:eastAsia="Amiri" w:cs="Amiri"/>
          <w:color w:val="111111"/>
          <w:sz w:val="28"/>
          <w:sz w:val="28"/>
          <w:szCs w:val="28"/>
          <w:rtl w:val="true"/>
          <w:lang w:bidi="ar-SA"/>
        </w:rPr>
        <w:t>رواه في الكافي بسند فيه ضعف بسهل‌</w:t>
      </w:r>
      <w:r>
        <w:rPr>
          <w:rStyle w:val="FootnoteAnchor"/>
          <w:rtl w:val="true"/>
        </w:rPr>
        <w:footnoteReference w:id="1315"/>
      </w:r>
      <w:r>
        <w:rPr>
          <w:rFonts w:ascii="Amiri" w:hAnsi="Amiri" w:eastAsia="Amiri" w:cs="Amiri"/>
          <w:color w:val="111111"/>
          <w:sz w:val="28"/>
          <w:sz w:val="28"/>
          <w:szCs w:val="28"/>
          <w:rtl w:val="true"/>
          <w:lang w:bidi="ar-SA"/>
        </w:rPr>
        <w:t>بن زياد عن مثني الحناط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الحسين مكان الحسن و روي في الصحيح‌</w:t>
      </w:r>
      <w:r>
        <w:rPr>
          <w:rStyle w:val="FootnoteAnchor"/>
          <w:rtl w:val="true"/>
        </w:rPr>
        <w:footnoteReference w:id="1316"/>
      </w: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 عليه السلام لم يقم للجنازة و قال لا قام لها أحد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الصحيح علي عدم استحباب القيام عند مرور الجنازة مطلقا و هذا الخبر علي عدم استحبابه عند مرور جنازة المسلم و استحبابه عند مرور جنازة اليهودي أو مطلق الكافر</w:t>
      </w:r>
    </w:p>
    <w:p>
      <w:pPr>
        <w:pStyle w:val="BookText"/>
        <w:rPr/>
      </w:pPr>
      <w:r>
        <w:rPr>
          <w:rFonts w:ascii="IRNazanin" w:hAnsi="IRNazanin" w:eastAsia="IRNazanin"/>
          <w:color w:val="111111"/>
          <w:sz w:val="28"/>
          <w:sz w:val="28"/>
          <w:szCs w:val="28"/>
          <w:rtl w:val="true"/>
          <w:lang w:bidi="fa-IR"/>
        </w:rPr>
        <w:t>اختلاف ظاهری اولیای میّت به واسطه پوشیدن عبا ذکر کرده اند مربوط به زمانی است که دیگران عبا به تن نداشته باشند، یا با نشانه های دیگر، چنان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تعلیل این سخن از امام صادق علیه السام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صاحب مصیبت  عبای خویش را بیفکند تا مردم آگاه گردند که وی صاحب مصیبت است</w:t>
      </w:r>
      <w:r>
        <w:rPr>
          <w:rStyle w:val="FootnoteAnchor"/>
          <w:rtl w:val="true"/>
        </w:rPr>
        <w:footnoteReference w:id="1317"/>
      </w:r>
    </w:p>
    <w:p>
      <w:pPr>
        <w:pStyle w:val="BookText"/>
        <w:rPr/>
      </w:pPr>
      <w:r>
        <w:rPr>
          <w:rFonts w:ascii="IRNazanin" w:hAnsi="IRNazanin" w:eastAsia="IRNazanin"/>
          <w:color w:val="111111"/>
          <w:sz w:val="28"/>
          <w:sz w:val="28"/>
          <w:szCs w:val="28"/>
          <w:rtl w:val="true"/>
          <w:lang w:bidi="fa-IR"/>
        </w:rPr>
        <w:t>همچنین ابو بصیر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صاحب مصیبت  عبای خویش را به تن نکند و پیراهنی بپوشد تا شناخته شود</w:t>
      </w:r>
      <w:r>
        <w:rPr>
          <w:rFonts w:eastAsia="IRNazanin" w:cs="IRNazanin"/>
          <w:color w:val="111111"/>
          <w:sz w:val="28"/>
          <w:szCs w:val="28"/>
          <w:rtl w:val="true"/>
          <w:lang w:bidi="fa-IR"/>
        </w:rPr>
        <w:t>.</w:t>
      </w:r>
      <w:r>
        <w:rPr>
          <w:rStyle w:val="FootnoteAnchor"/>
          <w:rtl w:val="true"/>
        </w:rPr>
        <w:footnoteReference w:id="1318"/>
      </w:r>
    </w:p>
    <w:p>
      <w:pPr>
        <w:pStyle w:val="Heading5"/>
        <w:numPr>
          <w:ilvl w:val="4"/>
          <w:numId w:val="1"/>
        </w:numPr>
        <w:rPr/>
      </w:pPr>
      <w:bookmarkStart w:id="2774" w:name="__RefHeading___Toc607474_1934241801"/>
      <w:bookmarkStart w:id="2775" w:name="_Toc1281"/>
      <w:bookmarkEnd w:id="2774"/>
      <w:r>
        <w:rPr>
          <w:rtl w:val="true"/>
        </w:rPr>
        <w:t xml:space="preserve">روایت </w:t>
      </w:r>
      <w:r>
        <w:rPr/>
        <w:t>32</w:t>
      </w:r>
      <w:bookmarkEnd w:id="2775"/>
    </w:p>
    <w:p>
      <w:pPr>
        <w:pStyle w:val="BookText"/>
        <w:rPr/>
      </w:pP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از پدرش علیهما السلام روایت کرده که حسن بن علی علیهما السلام همراه عدّه ای از یاران خویش نشسته بود، پس جنازه ای از مقابل آن ها عبور داده شد و گروهی از مردم برخاستند ولی امام حسن برنخاست، بعد از اینکه جنازه از مقابل شان عبور کرد 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ببخشاید، آیا بر نخاستی حال آنکه رسول خدا صلّی الله علیه و آله هنگام عبور جنازه از جای خویش بر می خاست؟ 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فقط یک بار برخاست و آن زمانی بود که جنازه شخصی یهودی را عبور دادند و جا و مکان تنگ بود، پس رسول خدا به ناچار برخاست و ناپسند می شمرد که سرش را بالا بگیرد</w:t>
      </w:r>
      <w:r>
        <w:rPr>
          <w:rFonts w:eastAsia="IRNazanin" w:cs="IRNazanin"/>
          <w:color w:val="111111"/>
          <w:sz w:val="28"/>
          <w:szCs w:val="28"/>
          <w:rtl w:val="true"/>
          <w:lang w:bidi="fa-IR"/>
        </w:rPr>
        <w:t>.</w:t>
      </w:r>
      <w:r>
        <w:rPr>
          <w:rStyle w:val="FootnoteAnchor"/>
          <w:rtl w:val="true"/>
        </w:rPr>
        <w:footnoteReference w:id="1319"/>
      </w:r>
    </w:p>
    <w:p>
      <w:pPr>
        <w:pStyle w:val="Heading5"/>
        <w:numPr>
          <w:ilvl w:val="4"/>
          <w:numId w:val="1"/>
        </w:numPr>
        <w:rPr/>
      </w:pPr>
      <w:bookmarkStart w:id="2776" w:name="__RefHeading___Toc607476_1934241801"/>
      <w:bookmarkStart w:id="2777" w:name="_Toc1282"/>
      <w:bookmarkEnd w:id="2776"/>
      <w:r>
        <w:rPr>
          <w:rtl w:val="true"/>
        </w:rPr>
        <w:t>توضیح</w:t>
      </w:r>
      <w:bookmarkEnd w:id="2777"/>
    </w:p>
    <w:p>
      <w:pPr>
        <w:pStyle w:val="BookText"/>
        <w:rPr/>
      </w:pPr>
      <w:r>
        <w:rPr>
          <w:rFonts w:ascii="IRNazanin" w:hAnsi="IRNazanin" w:eastAsia="IRNazanin"/>
          <w:color w:val="111111"/>
          <w:sz w:val="28"/>
          <w:sz w:val="28"/>
          <w:szCs w:val="28"/>
          <w:rtl w:val="true"/>
          <w:lang w:bidi="fa-IR"/>
        </w:rPr>
        <w:t>این حدیث در الکافی</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با سندی ضعیف از امام صادق علیه السلام روایت شده و به جای حسن، حسین ذکر شده است؛ همچنین در الکافی</w:t>
      </w:r>
      <w:r>
        <w:rPr>
          <w:rStyle w:val="FootnoteAnchor"/>
          <w:rtl w:val="true"/>
        </w:rPr>
        <w:footnoteReference w:id="1321"/>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ضمن حدیثی صحیح از زرارة روایت شده که امام باقر علیه السلام هنگام عبور جنازه ای از مقابل ایشان از جای خویش بر نخاست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ما به خاطر عبور جنازه از جای خویش برنمی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صحیح بر عدم استحباب برخاستن هنگام عبور جنازه به صورت مطلق دلالت می کند، و این حدیث بر عدم استحباب برخاستن هنگام عبور جنازه مسلمان و استحباب برخاستن هنگام عبور جنازه یهودی یا مطلق کافران دلالت می کند، و این امر به خاطر </w:t>
      </w:r>
    </w:p>
    <w:p>
      <w:pPr>
        <w:pStyle w:val="BookText"/>
        <w:rPr/>
      </w:pPr>
      <w:r>
        <w:rPr>
          <w:rFonts w:ascii="Amiri" w:hAnsi="Amiri" w:eastAsia="Amiri" w:cs="Amiri"/>
          <w:color w:val="111111"/>
          <w:sz w:val="28"/>
          <w:sz w:val="28"/>
          <w:szCs w:val="28"/>
          <w:rtl w:val="true"/>
          <w:lang w:bidi="ar-SA"/>
        </w:rPr>
        <w:t>لاشتراك العلة مع إشرافها و ضيق الطريق و المشهور بين أصحابنا عدم استحباب القيام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المشهور بين المخالفين أيضا و ذهب بعضهم إلي الوجوب و بعضهم إلي الاستحباب و اختلفت أخبارهم في ذلك قَالَ الْآبِيُّ فِي شَرْحِ صَحِيحِ مُسْلِمٍ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الْجَنَازَةَ فَقُومُوا حَتَّي تَخَلَّفَكُمْ أَوْ تُوضَعَ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 أحدكم الجنازة فليقم حين يراها حتي تخلفه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تبعتم جنازة فلا تجلسوا حتي توضع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الجنازة فقوموا فمن تبعها فلا يجلس حتي توضع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صلي الله عليه و آله و أصحابه قاموا لجنازة فقالوا يا رسول الله صلي الله عليه و آله إنها يهودية فقال إن الموت فزع إذا رأيتم الجنازة فقوموا و في رواية قام النبي صلي الله عليه و آله و أصحابه لجنازة يهودي حتي توارت و في رواية قيل إنه يهودي فقال أ ليست نفسا و في رواية علي عليه السلام قام رسول الله صلي الله عليه و آله ثم قعد و في رواية رأينا رسول الله صلي الله عليه و آله قام فقمنا و قعد فقعدنا</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القاضي اختلف الناس في هذه المسألة فقال مالك و أبو حنيفة و الشافعي القيام منسوخ و قال أحمد و إسحاق و ابن حبيب و ابن الماجشون المالكيان هو مخير ثم قال و المشهور من مذهبنا أن القيام ليس مستحبا و قالوا هو منسوخ بحديث علي و اختار المتولي من أصحابنا أنه مستحب و هذا هو المختار فيكون الأمر به للندب و القعود بيان للجواز و لا يصح دعوي النسخ في مثل هذا لأن النسخ إنما يكون إذا تعذر الجمع بين الأحاديث و لم يتعذر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رحمه الله في المنتهي إذا مرت به جنازة لم يستحب تشييعها و به قال الفقهاء و ذهب جماعة من أصحابهم كأبي مسعود السدري و غيره إلي وجوب القيام لها و عن أحمد رواية بالاستحباب لنا ما رواه الجمهور عن النبي صلي الله عليه و آله أنه كان آخر الأمرين من رسول الله صلي الله عليه و آله ترك القيام لها و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يهوديا</w:t>
      </w:r>
    </w:p>
    <w:p>
      <w:pPr>
        <w:pStyle w:val="BookText"/>
        <w:rPr/>
      </w:pPr>
      <w:r>
        <w:rPr>
          <w:rFonts w:ascii="IRNazanin" w:hAnsi="IRNazanin" w:eastAsia="IRNazanin"/>
          <w:color w:val="111111"/>
          <w:sz w:val="28"/>
          <w:sz w:val="28"/>
          <w:szCs w:val="28"/>
          <w:rtl w:val="true"/>
          <w:lang w:bidi="fa-IR"/>
        </w:rPr>
        <w:t>اشتراک علّت است که إشراف جنازه همراه با تنگ بودن مسیر عبور آن باشد، ولی نظر مشهور در میان فقهای ما عدم استحباب برخاستن به صورت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 در بین مخالفان نیز مشهور است، ولی عدّه ای از آنان به وجوب و عدّه ای نیز به استحباب برخاستن در مقابل جنازه اعتقاد دارند، و احادیث روایت شده آنان در این زمینه متفاوت است، الآبی در شرح صحیح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جنازه ای را مشاهده کردید از جای خود برخیزید تا زمانی که از مقابل شما عبور داده شده و یا بر زمین نهاده می شود، 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شما جنازه ای را مشاهده کرد، شایسته است تا زمانی که از مقابل او عبور داده می شود برخیزد؛ 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پی جنازه ای رفتید، تا زمانی که بر زمین نهاده می شود ننشیند، پس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جنازه شخصی یهودی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مرگ هولناک است، هرگاه جنازه ای را مشاهده کردید برخیزید؛ 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همراه با اصحاب خویش به خاطر عبور جنازه شخصی یهودی برخاستند تا زمانی که از دیده پنهان گشت؛ 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این جنازه شخصی یهودی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جنازه یک انسان نیست؟ در روایت علی علیه السلام نقل شده که رسول خدا برخاست و سپس نشست و در روایتی دیگر نقل شده است که مشاهده کردیم پیامبر صلّی الله علیه و آله برخاست و ما نیز برخاستیم، و پیامبر نشست پس ما نیز نشستیم</w:t>
      </w:r>
      <w:r>
        <w:rPr>
          <w:rFonts w:eastAsia="IRNazanin" w:cs="IRNazanin"/>
          <w:color w:val="111111"/>
          <w:sz w:val="28"/>
          <w:szCs w:val="28"/>
          <w:rtl w:val="true"/>
          <w:lang w:bidi="fa-IR"/>
        </w:rPr>
        <w:t>.</w:t>
      </w:r>
      <w:r>
        <w:rPr>
          <w:rStyle w:val="FootnoteAnchor"/>
          <w:rtl w:val="true"/>
        </w:rPr>
        <w:footnoteReference w:id="1323"/>
      </w:r>
    </w:p>
    <w:p>
      <w:pPr>
        <w:pStyle w:val="BookText"/>
        <w:rPr/>
      </w:pPr>
      <w:r>
        <w:rPr>
          <w:rFonts w:ascii="IRNazanin" w:hAnsi="IRNazanin" w:eastAsia="IRNazanin"/>
          <w:color w:val="111111"/>
          <w:sz w:val="28"/>
          <w:sz w:val="28"/>
          <w:szCs w:val="28"/>
          <w:rtl w:val="true"/>
          <w:lang w:bidi="fa-IR"/>
        </w:rPr>
        <w:t>قاضی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سر این مسأله دچار اختلاف شده اند، مالک و ابوحنیفه و شافعی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 در مقابل عبور جنازه منسوخ است؛ احمد، اسحاق، ابن حبیب و ابن الماجشون، که دو نفر اخیر مالکی هستند،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اختیاری است، سپس قاضی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در مذهب ما این است که برخاستن مستحبّ نمی باشد،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استناد به حدیث علی علیه السلام منسوخ است، و در میان یاران ما متوّلی بر این باور است که چنین عملی مستحبّ است، و این نظری برگزیده می باشد، پس امر به برخاستن هنگام عبور جنازه به منظور فراخواندن و تشویق کردن به انجام این کار است و نشستن پس از آن بیانگر جواز نشستن است، و سخن گفتن از نسخ چنین مسأله ای صحیح نمی باشد، چرا که نسخ مربوط به زمانی است که جمع بین احادیث امکان پذیر نباشد و در مورد این مسأله  چنین نیست، پایان نقل قول</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رحمه الله 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جنازه ای در مقابل انسان عبور داده می شود تشییع آن مستحبّ نیست، فقها نیز چنین گفته اند؛ امّا عدّه ای از فقهای مخالفین مانند ابو مسعود سدریّ و دیگران به وجوب برخاستن در مقابل جنازه اعتقاد دارند، و از احمد نیز روایتی دالّ بر استحباب این مسأله نقل شده است، امّا از جمهور فقهای ما روایت شده است که آخرین عملی که از پیامبر صلّی الله علیه و آله در این باره روایت شده عدم برخاستن ایشان هنگام عبور جنازه بوده است؛ و در حدیثی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یهودی </w:t>
      </w:r>
      <w:bookmarkStart w:id="2778" w:name="pg13517_329305"/>
    </w:p>
    <w:p>
      <w:pPr>
        <w:pStyle w:val="BookText"/>
        <w:rPr/>
      </w:pPr>
      <w:bookmarkEnd w:id="2778"/>
      <w:r>
        <w:rPr>
          <w:rFonts w:ascii="Amiri" w:hAnsi="Amiri" w:eastAsia="Amiri" w:cs="Amiri"/>
          <w:color w:val="111111"/>
          <w:sz w:val="28"/>
          <w:sz w:val="28"/>
          <w:szCs w:val="28"/>
          <w:rtl w:val="true"/>
          <w:lang w:bidi="ar-SA"/>
        </w:rPr>
        <w:t>رأي النبي صلي الله عليه و آله قام للجنازة فقال يا محمد هكذا نصنع فترك النبي صلي الله عليه و آله القيام لها و من طريق الخاصة رواه زرارة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الذكري لا يستحب القيام لمن مرت عليه الجنازة لقول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صلي الله عليه و آله ثم 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لخبر زرارة نعم لو كان الميت كافرا جاز القيام لخبر المثني و قول النبي 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الجنازة فقوموا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منسوخ انتهي</w:t>
      </w:r>
      <w:r>
        <w:rPr>
          <w:rFonts w:eastAsia="Amiri" w:cs="Amiri" w:ascii="Amiri" w:hAnsi="Amiri"/>
          <w:color w:val="111111"/>
          <w:sz w:val="28"/>
          <w:szCs w:val="28"/>
          <w:rtl w:val="true"/>
          <w:lang w:bidi="ar-SA"/>
        </w:rPr>
        <w:t>.</w:t>
      </w:r>
    </w:p>
    <w:p>
      <w:pPr>
        <w:pStyle w:val="Heading5"/>
        <w:numPr>
          <w:ilvl w:val="4"/>
          <w:numId w:val="1"/>
        </w:numPr>
        <w:rPr/>
      </w:pPr>
      <w:bookmarkStart w:id="2779" w:name="__RefHeading___Toc607478_1934241801"/>
      <w:bookmarkStart w:id="2780" w:name="_Toc1283"/>
      <w:bookmarkEnd w:id="2779"/>
      <w:r>
        <w:rPr>
          <w:rtl w:val="true"/>
        </w:rPr>
        <w:t>أقول</w:t>
      </w:r>
      <w:bookmarkEnd w:id="2780"/>
    </w:p>
    <w:p>
      <w:pPr>
        <w:pStyle w:val="BookText"/>
        <w:rPr/>
      </w:pPr>
      <w:r>
        <w:rPr>
          <w:rFonts w:ascii="Amiri" w:hAnsi="Amiri" w:eastAsia="Amiri" w:cs="Amiri"/>
          <w:color w:val="111111"/>
          <w:sz w:val="28"/>
          <w:sz w:val="28"/>
          <w:szCs w:val="28"/>
          <w:rtl w:val="true"/>
          <w:lang w:bidi="ar-SA"/>
        </w:rPr>
        <w:t>لا يخفي ما في القول بالجواز مستدلا بهذا الخبر إلا أن يكون مراده الشرعية 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يظهر من هذا الخبر منشأ توهم العامة فيما رووه عن النبي صلي الله عليه و آله في ذلك و أكثر أخبارهم كذلك و لذا قالوا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أدري بما في البيت و إنما أطنبت الكلام في ذلك لتعلم حقيقة أخبارهم و أحكامهم</w:t>
      </w:r>
      <w:r>
        <w:rPr>
          <w:rFonts w:eastAsia="Amiri" w:cs="Amiri" w:ascii="Amiri" w:hAnsi="Amiri"/>
          <w:color w:val="111111"/>
          <w:sz w:val="28"/>
          <w:szCs w:val="28"/>
          <w:rtl w:val="true"/>
          <w:lang w:bidi="ar-SA"/>
        </w:rPr>
        <w:t>.</w:t>
      </w:r>
    </w:p>
    <w:p>
      <w:pPr>
        <w:pStyle w:val="Heading5"/>
        <w:numPr>
          <w:ilvl w:val="4"/>
          <w:numId w:val="1"/>
        </w:numPr>
        <w:rPr/>
      </w:pPr>
      <w:bookmarkStart w:id="2781" w:name="__RefHeading___Toc607480_1934241801"/>
      <w:bookmarkStart w:id="2782" w:name="_Toc1284"/>
      <w:bookmarkEnd w:id="2781"/>
      <w:r>
        <w:rPr>
          <w:rtl w:val="true"/>
        </w:rPr>
        <w:t>«</w:t>
      </w:r>
      <w:r>
        <w:rPr/>
        <w:t>33</w:t>
      </w:r>
      <w:r>
        <w:rPr>
          <w:rtl w:val="true"/>
        </w:rPr>
        <w:t>»</w:t>
      </w:r>
      <w:bookmarkEnd w:id="2782"/>
    </w:p>
    <w:p>
      <w:pPr>
        <w:pStyle w:val="BookText"/>
        <w:rPr/>
      </w:pPr>
      <w:r>
        <w:rPr>
          <w:rFonts w:ascii="Amiri" w:hAnsi="Amiri" w:eastAsia="Amiri" w:cs="Amiri"/>
          <w:color w:val="111111"/>
          <w:sz w:val="28"/>
          <w:sz w:val="28"/>
          <w:szCs w:val="28"/>
          <w:rtl w:val="true"/>
          <w:lang w:bidi="ar-SA"/>
        </w:rPr>
        <w:t>الْعِلَلُ، عَنْ مُحَمَّدِ بْنِ عَلِيٍّ مَاجِيلَوَيْهِ عَنْ عَمِّهِ مُحَمَّدِ بْنِ أَبِي الْقَاسِمِ عَنْ أَحْمَدَ بْنِ أَبِي عَبْدِ اللَّهِ عَنْ وُهَيْبٍ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كَيْفَ أَصْنَعُ إِذَا خَرَجْتُ مَعَ الْجَنَازَةِ أَمْشِي أَمَامَهَا أَوْ خَلْفَهَا أَوْ عَنْ يَمِينِهَا أَوْ عَنْ شِمَالِهَا قَالَ إِنْ كَانَ مُخَالِفاً فَلَا تَمْشِ أَمَامَهُ فَإِنَّ مَلَائِكَةَ الْعَذَابِ يَسْتَقْبِلُونَهُ بِأَلْوَانِ الْعَذَابِ‌</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وهيب بن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25"/>
      </w:r>
    </w:p>
    <w:p>
      <w:pPr>
        <w:pStyle w:val="Heading5"/>
        <w:numPr>
          <w:ilvl w:val="4"/>
          <w:numId w:val="1"/>
        </w:numPr>
        <w:rPr/>
      </w:pPr>
      <w:bookmarkStart w:id="2783" w:name="__RefHeading___Toc607482_1934241801"/>
      <w:bookmarkStart w:id="2784" w:name="_Toc1285"/>
      <w:bookmarkEnd w:id="2783"/>
      <w:r>
        <w:rPr>
          <w:rtl w:val="true"/>
        </w:rPr>
        <w:t>تبيين</w:t>
      </w:r>
      <w:bookmarkEnd w:id="2784"/>
    </w:p>
    <w:p>
      <w:pPr>
        <w:pStyle w:val="BookText"/>
        <w:rPr/>
      </w:pPr>
      <w:r>
        <w:rPr>
          <w:rFonts w:ascii="Amiri" w:hAnsi="Amiri" w:eastAsia="Amiri" w:cs="Amiri"/>
          <w:color w:val="111111"/>
          <w:sz w:val="28"/>
          <w:sz w:val="28"/>
          <w:szCs w:val="28"/>
          <w:rtl w:val="true"/>
          <w:lang w:bidi="ar-SA"/>
        </w:rPr>
        <w:t>اعلم أن المعروف من مذهب الأصحاب أن مشي المشيع وراء الجنازة أو أحد جانبيها أفضل من المشي أمامها قال في المنتهي يكره المشي أمام الجنائز للماشي و الراكب بل المستحب أن يمشي خلفها أو من أحد جانبيها و هو مذهب علمائنا أجمع و به قال الأوزاعي و أصحاب الرأي و إسحاق و قال الثوري الراكب خلفها و الماشي حيث شاء و قال أصحاب الظاهر الراكب خلفها أو بين</w:t>
      </w:r>
    </w:p>
    <w:p>
      <w:pPr>
        <w:pStyle w:val="BookText"/>
        <w:rPr/>
      </w:pPr>
      <w:r>
        <w:rPr>
          <w:rFonts w:ascii="IRNazanin" w:hAnsi="IRNazanin" w:eastAsia="IRNazanin"/>
          <w:color w:val="111111"/>
          <w:sz w:val="28"/>
          <w:sz w:val="28"/>
          <w:szCs w:val="28"/>
          <w:rtl w:val="true"/>
          <w:lang w:bidi="fa-IR"/>
        </w:rPr>
        <w:t>مشاهده کرد که پیامبر صلّی الله علیه و آله هنگام عبور جنازه ای برخاست، پس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ما نیز چنین می کنیم، و پیامبر صلّی الله علیه وآله برخاستن هنگام عبور جنازه را ترک فرمود، زرارة نیز این حدیث را از طریق خواصّ روایت کرده است، 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 برای کسی که جنازه ای از مقابل او عبور داده می شود مستحبّ نیست، با استناد به این فرموده علی علیه السلام که رسول خدا صلّی الله علیه و آله هنگام عبور جنازه ابتدا برخاست و سپس نشست، همچنین با استناد به حدیث زرارة، آری اگر میّت کافر باشد با استناد به حدیث مثنّی می توان گفت که برخاستن جایز است، و این فرموده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جنازه ای را مشاهده کردید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است، پایان نقل قول</w:t>
      </w:r>
      <w:r>
        <w:rPr>
          <w:rFonts w:eastAsia="IRNazanin" w:cs="IRNazanin"/>
          <w:color w:val="111111"/>
          <w:sz w:val="28"/>
          <w:szCs w:val="28"/>
          <w:rtl w:val="true"/>
          <w:lang w:bidi="fa-IR"/>
        </w:rPr>
        <w:t>.</w:t>
      </w:r>
    </w:p>
    <w:p>
      <w:pPr>
        <w:pStyle w:val="Heading5"/>
        <w:numPr>
          <w:ilvl w:val="4"/>
          <w:numId w:val="1"/>
        </w:numPr>
        <w:rPr/>
      </w:pPr>
      <w:bookmarkStart w:id="2785" w:name="__RefHeading___Toc607484_1934241801"/>
      <w:bookmarkStart w:id="2786" w:name="_Toc1286"/>
      <w:bookmarkEnd w:id="2785"/>
      <w:r>
        <w:rPr>
          <w:rtl w:val="true"/>
        </w:rPr>
        <w:t>می گویم</w:t>
      </w:r>
      <w:bookmarkEnd w:id="2786"/>
    </w:p>
    <w:p>
      <w:pPr>
        <w:pStyle w:val="BookText"/>
        <w:rPr/>
      </w:pPr>
      <w:r>
        <w:rPr>
          <w:rFonts w:ascii="IRNazanin" w:hAnsi="IRNazanin" w:eastAsia="IRNazanin"/>
          <w:color w:val="111111"/>
          <w:sz w:val="28"/>
          <w:sz w:val="28"/>
          <w:szCs w:val="28"/>
          <w:rtl w:val="true"/>
          <w:lang w:bidi="fa-IR"/>
        </w:rPr>
        <w:t>ایرادی که در قائل بودن به جواز برخاستن در مقابل جنازه با استناد به این حدیث وجود دارد پوشیده نیست، مگر آن که مقصود آن شرعیّت و استحباب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آگاه باش که با دقت در این حدیث، منشأ توهّم عامّه در احادیثی که از پیامبر صلّی الله علیه و آله در این زمینه روایت کرده اند آشکار می گردد و بیشتر احادیث آنان چنین است، بنابراین اهل بیت علیهم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خانه نسبت به آنچه در خانه وجود دارد آگاه 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 نسبت به مسأئل دینی از دیگران آگاه 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سخن را در این زمینه به درازا کشاندم تا از حقیقت احادیث و احکام آنان آگاه گردی</w:t>
      </w:r>
      <w:r>
        <w:rPr>
          <w:rFonts w:eastAsia="IRNazanin" w:cs="IRNazanin"/>
          <w:color w:val="111111"/>
          <w:sz w:val="28"/>
          <w:szCs w:val="28"/>
          <w:rtl w:val="true"/>
          <w:lang w:bidi="fa-IR"/>
        </w:rPr>
        <w:t>.</w:t>
      </w:r>
    </w:p>
    <w:p>
      <w:pPr>
        <w:pStyle w:val="Heading5"/>
        <w:numPr>
          <w:ilvl w:val="4"/>
          <w:numId w:val="1"/>
        </w:numPr>
        <w:rPr/>
      </w:pPr>
      <w:bookmarkStart w:id="2787" w:name="__RefHeading___Toc607486_1934241801"/>
      <w:bookmarkStart w:id="2788" w:name="_Toc1287"/>
      <w:bookmarkEnd w:id="2787"/>
      <w:r>
        <w:rPr>
          <w:rtl w:val="true"/>
        </w:rPr>
        <w:t xml:space="preserve">روایت </w:t>
      </w:r>
      <w:r>
        <w:rPr/>
        <w:t>33</w:t>
      </w:r>
      <w:bookmarkEnd w:id="2788"/>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أبی حمزه روایت شده که از امام صادق علیه السلام پرسیدم، هنگامی  که در مراسم تشییع جنازه شرکت می کنم چگونه رفتار کنم، آیا پیشاپیش یا پشت سر جنازه یا در سمت راست و یا چپ آن حرکت کنم؟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جنازه متعلّق به مخالفان باشد پیشاپیش آن حرکت نکن، چرا که فرشتگان مخصوص عذاب با انواع و اشکال عذاب به پیشواز او می آیند</w:t>
      </w:r>
      <w:r>
        <w:rPr>
          <w:rFonts w:eastAsia="IRNazanin" w:cs="IRNazanin"/>
          <w:color w:val="111111"/>
          <w:sz w:val="28"/>
          <w:szCs w:val="28"/>
          <w:rtl w:val="true"/>
          <w:lang w:bidi="fa-IR"/>
        </w:rPr>
        <w:t>.</w:t>
      </w:r>
      <w:r>
        <w:rPr>
          <w:rStyle w:val="FootnoteAnchor"/>
          <w:rtl w:val="true"/>
        </w:rPr>
        <w:footnoteReference w:id="1326"/>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از وهیب بن حفص روایت شده است</w:t>
      </w:r>
      <w:r>
        <w:rPr>
          <w:rFonts w:eastAsia="IRNazanin" w:cs="IRNazanin"/>
          <w:color w:val="111111"/>
          <w:sz w:val="28"/>
          <w:szCs w:val="28"/>
          <w:rtl w:val="true"/>
          <w:lang w:bidi="fa-IR"/>
        </w:rPr>
        <w:t>.</w:t>
      </w:r>
      <w:r>
        <w:rPr>
          <w:rStyle w:val="FootnoteAnchor"/>
          <w:rtl w:val="true"/>
        </w:rPr>
        <w:footnoteReference w:id="1327"/>
      </w:r>
    </w:p>
    <w:p>
      <w:pPr>
        <w:pStyle w:val="Heading5"/>
        <w:numPr>
          <w:ilvl w:val="4"/>
          <w:numId w:val="1"/>
        </w:numPr>
        <w:rPr/>
      </w:pPr>
      <w:bookmarkStart w:id="2789" w:name="__RefHeading___Toc607488_1934241801"/>
      <w:bookmarkStart w:id="2790" w:name="_Toc1288"/>
      <w:bookmarkEnd w:id="2789"/>
      <w:r>
        <w:rPr>
          <w:rtl w:val="true"/>
        </w:rPr>
        <w:t>توضیح</w:t>
      </w:r>
      <w:bookmarkEnd w:id="2790"/>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مذهب فقها بر این است که حرکت کردن پشت سر جنازه یا در یکی از دو سوی راست و چپ بهتر از حرکت کردن پیشاپیش آن است، علّامه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به صورت پیاده و یا سواره در مراسم تشییع جنازه شرکت می کنند کراهت دارد که پیشاپیش جنازه حرکت کنند، بلکه مستحبّ است که پشت سر و یا یکی از دو سوی راست و چپ آن حرکت کنند، این نظر متعلّق به جمیع علمای ما است و اوزاعی و اصحاب رأی و اسحاق نیز قائل به  آن هستند، ثوریّ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پشت سر جنازه حرکت می کند و پیاده در هر سویی که اراده کرد؛ اصحاب ظاهر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سواره پشت سر یا </w:t>
      </w:r>
      <w:bookmarkStart w:id="2791" w:name="pg13517_329306"/>
    </w:p>
    <w:p>
      <w:pPr>
        <w:pStyle w:val="BookText"/>
        <w:rPr/>
      </w:pPr>
      <w:bookmarkEnd w:id="2791"/>
      <w:r>
        <w:rPr>
          <w:rFonts w:ascii="Amiri" w:hAnsi="Amiri" w:eastAsia="Amiri" w:cs="Amiri"/>
          <w:color w:val="111111"/>
          <w:sz w:val="28"/>
          <w:sz w:val="28"/>
          <w:szCs w:val="28"/>
          <w:rtl w:val="true"/>
          <w:lang w:bidi="ar-SA"/>
        </w:rPr>
        <w:t>جنبيها و الماشي أمامها و قال الشافعي و ابن أبي ليلي و مالك المشي أمامها أفضل للراكب و الراجل و به قال عمر و عثمان و أبو هريرة و القاسم بن محمد و ابن الزبير و أبو قتادة و شريح و سالم و الزهري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 في المعتبر علي أن تقدمها ليس بمكروه بل هو مباح و حكي الشهيد في الذكري عن كثير من الأصحاب أنه يري كراهة المشي أمامها و قال ابن أبي عقيل يجب التأخر خلف جنازة المعادي لذي القربي لما ورد من استقبال ملائكة العذاب إياه و قال ابن الجنيد يمشي صاحب الجنازة بين يديها و الباقون وراءها لما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الصادق عليه السلام تقدم سرير ابنه إسماعيل بلا حذاء و لا رداء</w:t>
      </w:r>
      <w:r>
        <w:rPr>
          <w:rFonts w:eastAsia="Amiri" w:cs="Amiri" w:ascii="Amiri" w:hAnsi="Amiri"/>
          <w:color w:val="111111"/>
          <w:sz w:val="28"/>
          <w:szCs w:val="28"/>
          <w:rtl w:val="true"/>
          <w:lang w:bidi="ar-SA"/>
        </w:rPr>
        <w:t>.</w:t>
      </w:r>
    </w:p>
    <w:p>
      <w:pPr>
        <w:pStyle w:val="Heading5"/>
        <w:numPr>
          <w:ilvl w:val="4"/>
          <w:numId w:val="1"/>
        </w:numPr>
        <w:rPr/>
      </w:pPr>
      <w:bookmarkStart w:id="2792" w:name="__RefHeading___Toc607490_1934241801"/>
      <w:bookmarkStart w:id="2793" w:name="_Toc1289"/>
      <w:bookmarkEnd w:id="2792"/>
      <w:r>
        <w:rPr>
          <w:rtl w:val="true"/>
        </w:rPr>
        <w:t>أقول</w:t>
      </w:r>
      <w:bookmarkEnd w:id="2793"/>
    </w:p>
    <w:p>
      <w:pPr>
        <w:pStyle w:val="BookText"/>
        <w:rPr/>
      </w:pPr>
      <w:r>
        <w:rPr>
          <w:rFonts w:ascii="Amiri" w:hAnsi="Amiri" w:eastAsia="Amiri" w:cs="Amiri"/>
          <w:color w:val="111111"/>
          <w:sz w:val="28"/>
          <w:sz w:val="28"/>
          <w:szCs w:val="28"/>
          <w:rtl w:val="true"/>
          <w:lang w:bidi="ar-SA"/>
        </w:rPr>
        <w:t>مقتضي الجمع بين الأخبار حمل أخبار النهي و المرجوحية علي جنازة المخالف كما يدل عليه هذا الخبر و غيره لكن الأولي عدم المشي أمامها مطلقا لدعوي الإجماع و شهرة خلافه بين العامة حتي أنهم نسبوا القول بذلك إلي أهل البيت عليهم السلام قال بعض شراح مسلم كون المشي وراء الجنازة أفضل من أمامها قول علي بن أبي طالب عليه السلام و مذهب الأوزاعي و أبي حنيفة و قال جمهور الصحابة و التابعين و مالك و الشافعي و جماهير العلماء المشي قدامها أفضل و قال الثوري و طائفة هما سواء</w:t>
      </w:r>
      <w:r>
        <w:rPr>
          <w:rFonts w:eastAsia="Amiri" w:cs="Amiri" w:ascii="Amiri" w:hAnsi="Amiri"/>
          <w:color w:val="111111"/>
          <w:sz w:val="28"/>
          <w:szCs w:val="28"/>
          <w:rtl w:val="true"/>
          <w:lang w:bidi="ar-SA"/>
        </w:rPr>
        <w:t>.</w:t>
      </w:r>
    </w:p>
    <w:p>
      <w:pPr>
        <w:pStyle w:val="Heading5"/>
        <w:numPr>
          <w:ilvl w:val="4"/>
          <w:numId w:val="1"/>
        </w:numPr>
        <w:rPr/>
      </w:pPr>
      <w:bookmarkStart w:id="2794" w:name="__RefHeading___Toc607492_1934241801"/>
      <w:bookmarkStart w:id="2795" w:name="_Toc1290"/>
      <w:bookmarkEnd w:id="2794"/>
      <w:r>
        <w:rPr>
          <w:rtl w:val="true"/>
        </w:rPr>
        <w:t>«</w:t>
      </w:r>
      <w:r>
        <w:rPr/>
        <w:t>34</w:t>
      </w:r>
      <w:r>
        <w:rPr>
          <w:rtl w:val="true"/>
        </w:rPr>
        <w:t>»</w:t>
      </w:r>
      <w:bookmarkEnd w:id="2795"/>
    </w:p>
    <w:p>
      <w:pPr>
        <w:pStyle w:val="BookText"/>
        <w:rPr/>
      </w:pPr>
      <w:r>
        <w:rPr>
          <w:rFonts w:ascii="Amiri" w:hAnsi="Amiri" w:eastAsia="Amiri" w:cs="Amiri"/>
          <w:color w:val="111111"/>
          <w:sz w:val="28"/>
          <w:sz w:val="28"/>
          <w:szCs w:val="28"/>
          <w:rtl w:val="true"/>
          <w:lang w:bidi="ar-SA"/>
        </w:rPr>
        <w:t>أَرْبَعِينُ الشَّهِيدِ، بِإِسْنَادِهِ عَنِ الشَّيْخِ عَنِ ابْنِ أَبِي جِيدٍ عَنْ مُحَمَّدِ بْنِ الْحَسَنِ بْنِ الْوَلِيدِ عَنْ عَبْدِ اللَّهِ بْنِ جَعْفَرٍ الْحِمْيَرِيِّ عَنْ هَارُونَ بْنِ مُسْلِمٍ عَنْ مَسْعَدَةَ بْنِ صَدَقَةَ عَنِ الصَّادِقِ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أَمَرَهُمْ بِسَبْعٍ بِعِيَادَةِ الْمَرْضَي وَ اتِّبَاعِ الْجَنَائِزِ وَ إِبْرَارِ الْقَسَمِ وَ تَسْمِيتِ الْعَاطِسِ وَ نُصْرَةِ الْمَظْلُومِ وَ إِفْشَاءِ السَّلَامِ وَ إِجَابَةِ الدَّاعِي الْخَبَرَ</w:t>
      </w:r>
      <w:r>
        <w:rPr>
          <w:rFonts w:eastAsia="Amiri" w:cs="Amiri" w:ascii="Amiri" w:hAnsi="Amiri"/>
          <w:color w:val="111111"/>
          <w:sz w:val="28"/>
          <w:szCs w:val="28"/>
          <w:rtl w:val="true"/>
          <w:lang w:bidi="ar-SA"/>
        </w:rPr>
        <w:t>.</w:t>
      </w:r>
    </w:p>
    <w:p>
      <w:pPr>
        <w:pStyle w:val="Heading5"/>
        <w:numPr>
          <w:ilvl w:val="4"/>
          <w:numId w:val="1"/>
        </w:numPr>
        <w:rPr/>
      </w:pPr>
      <w:bookmarkStart w:id="2796" w:name="__RefHeading___Toc607494_1934241801"/>
      <w:bookmarkStart w:id="2797" w:name="_Toc1291"/>
      <w:bookmarkEnd w:id="2796"/>
      <w:r>
        <w:rPr>
          <w:rtl w:val="true"/>
        </w:rPr>
        <w:t>«</w:t>
      </w:r>
      <w:r>
        <w:rPr/>
        <w:t>35</w:t>
      </w:r>
      <w:r>
        <w:rPr>
          <w:rtl w:val="true"/>
        </w:rPr>
        <w:t>»</w:t>
      </w:r>
      <w:bookmarkEnd w:id="2797"/>
    </w:p>
    <w:p>
      <w:pPr>
        <w:pStyle w:val="BookText"/>
        <w:rPr/>
      </w:pPr>
      <w:r>
        <w:rPr>
          <w:rFonts w:ascii="Amiri" w:hAnsi="Amiri" w:eastAsia="Amiri" w:cs="Amiri"/>
          <w:color w:val="111111"/>
          <w:sz w:val="28"/>
          <w:sz w:val="28"/>
          <w:szCs w:val="28"/>
          <w:rtl w:val="true"/>
          <w:lang w:bidi="ar-SA"/>
        </w:rPr>
        <w:t>السَّرَائِرُ، نَقْلًا مِنْ جَامِعِ الْبَزَنْطِيِّ عَنِ ابْنِ أَبِي يَعْفُورٍ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أَنْ تَسْتَقْبِلَ الْجَنَازَةَ مِنْ جَانِبِهَا الْأَيْمَنِ وَ هُوَ مِمَّا يَلِي يَسَارَكَ ثُمَّ تَصِيرَ إِلَي مُؤَخَّرِهِ وَ تَدُورَ عَلَيْهِ حَتَّي تَرْجِعَ إِلَي مُقَدَّمِهِ‌</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سوی جنازه حرکت می کند و پیاده پیشاپیش آن؛ شافعی، ابن أبی لیلی و مالک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 پیشاپیش جنازه برای سواره و پیاده بهتر است؛ عمر، عثمان، ابوهریره، قاسم بن محمد، ابن زبیر، ابوقتاده، شریح، سالم و الزهریّ نیز قائل به این نظر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المعتبر بیان کرده که حرکت کردن پیشاپیش جنازه مکروه نیست بلکه مباح می باشد، همچنین شهید در الذکری از اغلب فقها نقل کرده که به کراهت حرکت کردن پیشاپیش جنازه اعتقاد دارند، ابن أبی عقیل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پشت سر جنازه شخصی که با اهل بیت دشمن است حرکت کرد، چرا که ملائکه با عذاب به استقبالش می آیند؛ و ابن جنید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جنازه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و دیگران پشت سر آن حرکت می کنند، با استناد به این روایت که امام صادق علیه السلام بدون پوشیدن کفش و عبا پیشاپیش تابوت پسرش اسماعیل حرکت می کرد</w:t>
      </w:r>
      <w:r>
        <w:rPr>
          <w:rFonts w:eastAsia="IRNazanin" w:cs="IRNazanin"/>
          <w:color w:val="111111"/>
          <w:sz w:val="28"/>
          <w:szCs w:val="28"/>
          <w:rtl w:val="true"/>
          <w:lang w:bidi="fa-IR"/>
        </w:rPr>
        <w:t>.</w:t>
      </w:r>
    </w:p>
    <w:p>
      <w:pPr>
        <w:pStyle w:val="Heading5"/>
        <w:numPr>
          <w:ilvl w:val="4"/>
          <w:numId w:val="1"/>
        </w:numPr>
        <w:rPr/>
      </w:pPr>
      <w:bookmarkStart w:id="2798" w:name="__RefHeading___Toc607496_1934241801"/>
      <w:bookmarkStart w:id="2799" w:name="_Toc1292"/>
      <w:bookmarkEnd w:id="2798"/>
      <w:r>
        <w:rPr>
          <w:rtl w:val="true"/>
        </w:rPr>
        <w:t>می گویم</w:t>
      </w:r>
      <w:bookmarkEnd w:id="2799"/>
    </w:p>
    <w:p>
      <w:pPr>
        <w:pStyle w:val="BookText"/>
        <w:rPr/>
      </w:pPr>
      <w:r>
        <w:rPr>
          <w:rFonts w:ascii="IRNazanin" w:hAnsi="IRNazanin" w:eastAsia="IRNazanin"/>
          <w:color w:val="111111"/>
          <w:sz w:val="28"/>
          <w:sz w:val="28"/>
          <w:szCs w:val="28"/>
          <w:rtl w:val="true"/>
          <w:lang w:bidi="fa-IR"/>
        </w:rPr>
        <w:t>جمع بین احادیث چنین اقتضا می کند که احادیثی که بر نهی حرکت کردن پیشاپیش جنازه یا مرجوح بودن این امر دلالت می کنند، بر این نکته حمل شوند که مقصود چنین احادیثی جنازه مخالف می باشد، چنان که این حدیث و احادیث دیگر نیز برآن دلالت می کنند، امّا نظر اُولی عدم حرکت کردن پیشاپیش جنازه به صورت مطلق است، و این به دلیل اجماع نظر فقهای ما و شهرت مخالفتی است که در میان عامّه نسبت به این نظر وجود دارد، تا جایی که عامّه این نظر را به اهل بیت علیهم السلام نسبت داده اند، یکی از شارحان صحیح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که حرکت کردن پشت سر جنازه برتر از حرکت کردن پیشاپیش آن است، متعلّق به علی بن ابی طالب علیه السلام است؛ و نظر اوزاعیّ، ابوحنیفه، جمهور صحابه و تابعین، مالک، شافعی و جمهور علما بر این است که حرکت کردن پیاپیش جنازه بهتر و برتر است، از سوی دیگر ثوری و عدّه ای نیز قائل به یکسان بودن حرکت کردن پیاپیش و یا پشت سرجنازه هستند</w:t>
      </w:r>
      <w:r>
        <w:rPr>
          <w:rFonts w:eastAsia="IRNazanin" w:cs="IRNazanin"/>
          <w:color w:val="111111"/>
          <w:sz w:val="28"/>
          <w:szCs w:val="28"/>
          <w:rtl w:val="true"/>
          <w:lang w:bidi="fa-IR"/>
        </w:rPr>
        <w:t>.</w:t>
      </w:r>
    </w:p>
    <w:p>
      <w:pPr>
        <w:pStyle w:val="Heading5"/>
        <w:numPr>
          <w:ilvl w:val="4"/>
          <w:numId w:val="1"/>
        </w:numPr>
        <w:rPr/>
      </w:pPr>
      <w:bookmarkStart w:id="2800" w:name="__RefHeading___Toc607498_1934241801"/>
      <w:bookmarkStart w:id="2801" w:name="_Toc1293"/>
      <w:bookmarkEnd w:id="2800"/>
      <w:r>
        <w:rPr>
          <w:rtl w:val="true"/>
        </w:rPr>
        <w:t xml:space="preserve">روایت </w:t>
      </w:r>
      <w:r>
        <w:rPr/>
        <w:t>34</w:t>
      </w:r>
      <w:bookmarkEnd w:id="2801"/>
    </w:p>
    <w:p>
      <w:pPr>
        <w:pStyle w:val="BookText"/>
        <w:rPr/>
      </w:pPr>
      <w:r>
        <w:rPr>
          <w:rFonts w:ascii="IRNazanin" w:hAnsi="IRNazanin" w:eastAsia="IRNazanin"/>
          <w:color w:val="111111"/>
          <w:sz w:val="28"/>
          <w:sz w:val="28"/>
          <w:szCs w:val="28"/>
          <w:rtl w:val="true"/>
          <w:lang w:bidi="fa-IR"/>
        </w:rPr>
        <w:t>أربعین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علیهماالسلام روایت کرده که رسول خدا صلّی الله علیه و آله آنان را به انجام هفت کار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بیماران، تشییع جنازه مردگان، عمل نمودن به سوگند، طلب رحمت برای عطسه کننده، یاری ستمدیده، بلند گفتن سلام و پاسخ گفتن به دعوت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Heading5"/>
        <w:numPr>
          <w:ilvl w:val="4"/>
          <w:numId w:val="1"/>
        </w:numPr>
        <w:rPr/>
      </w:pPr>
      <w:bookmarkStart w:id="2802" w:name="__RefHeading___Toc607500_1934241801"/>
      <w:bookmarkStart w:id="2803" w:name="_Toc1294"/>
      <w:bookmarkEnd w:id="2802"/>
      <w:r>
        <w:rPr>
          <w:rtl w:val="true"/>
        </w:rPr>
        <w:t xml:space="preserve">روایت </w:t>
      </w:r>
      <w:r>
        <w:rPr/>
        <w:t>35</w:t>
      </w:r>
      <w:bookmarkEnd w:id="280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آن است که از جانب راست جنازه به استقبال آن بروی، و جنازه در طرف چپ تو قرار گیرد، سپس به پشت سر آن رسیده و به دورش بگردی تا اینکه به پیشاپیش آن بازمی گردی</w:t>
      </w:r>
      <w:r>
        <w:rPr>
          <w:rFonts w:eastAsia="IRNazanin" w:cs="IRNazanin"/>
          <w:color w:val="111111"/>
          <w:sz w:val="28"/>
          <w:szCs w:val="28"/>
          <w:rtl w:val="true"/>
          <w:lang w:bidi="fa-IR"/>
        </w:rPr>
        <w:t>.</w:t>
      </w:r>
      <w:r>
        <w:rPr>
          <w:rStyle w:val="FootnoteAnchor"/>
          <w:rtl w:val="true"/>
        </w:rPr>
        <w:footnoteReference w:id="1329"/>
      </w:r>
      <w:bookmarkStart w:id="2804" w:name="pg13517_329307"/>
    </w:p>
    <w:p>
      <w:pPr>
        <w:pStyle w:val="Heading5"/>
        <w:numPr>
          <w:ilvl w:val="4"/>
          <w:numId w:val="1"/>
        </w:numPr>
        <w:rPr/>
      </w:pPr>
      <w:bookmarkStart w:id="2805" w:name="__RefHeading___Toc607502_1934241801"/>
      <w:bookmarkStart w:id="2806" w:name="_Toc1295"/>
      <w:bookmarkEnd w:id="2804"/>
      <w:bookmarkEnd w:id="2805"/>
      <w:r>
        <w:rPr>
          <w:rtl w:val="true"/>
        </w:rPr>
        <w:t>«</w:t>
      </w:r>
      <w:r>
        <w:rPr/>
        <w:t>36</w:t>
      </w:r>
      <w:r>
        <w:rPr>
          <w:rtl w:val="true"/>
        </w:rPr>
        <w:t>»</w:t>
      </w:r>
      <w:bookmarkEnd w:id="2806"/>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 تَشْيِيعَ جَنَازَةِ الْمُؤْمِنِ فَإِنَّ فِيهِ فَضْلًا كَثِيراً وَ رَبِّعِ الْجَنَازَةَ فَإِنَّ مَنْ رَبَّعَ جَنَازَةَ مُؤْمِنٍ حُطَّ عَنْهُ خَمْسٌ وَ عِشْرُونَ كَبِيرَةً فَإِذَا أَرَدْتَ أَنْ تُرَبِّعَهَا فَابْدَأْ بِالشِّقِّ الْأَيْمَنِ فَخُذْهُ بِيَمِينِكَ ثُمَّ تَدُورُ إِلَي الْمُؤَخَّرِ فَتَأْخُذُهُ بِيَمِينِكَ ثُمَّ تَدُورُ إِلَي الْمُؤَخَّرِ الثَّانِي فَتَأْخُذُهُ بِيَسَارِكَ ثُمَّ تَدُورُ إِلَي الْمُقَدَّمِ الْأَيْسَرِ فَتَأْخُذُهُ بِيَسَارِكَ ثُمَّ تَدُورُ عَلَي الْجَنَازَةِ كَدَوْرِ كَفَّيِ الرَّحَي‌</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إيضاح كدور كفي الرحي أي الكفين الآخذتين بخشبة الرحي</w:t>
      </w:r>
      <w:r>
        <w:rPr>
          <w:rFonts w:eastAsia="Amiri" w:cs="Amiri" w:ascii="Amiri" w:hAnsi="Amiri"/>
          <w:color w:val="111111"/>
          <w:sz w:val="28"/>
          <w:szCs w:val="28"/>
          <w:rtl w:val="true"/>
          <w:lang w:bidi="ar-SA"/>
        </w:rPr>
        <w:t>.</w:t>
      </w:r>
    </w:p>
    <w:p>
      <w:pPr>
        <w:pStyle w:val="Heading5"/>
        <w:numPr>
          <w:ilvl w:val="4"/>
          <w:numId w:val="1"/>
        </w:numPr>
        <w:rPr/>
      </w:pPr>
      <w:bookmarkStart w:id="2807" w:name="__RefHeading___Toc607504_1934241801"/>
      <w:bookmarkStart w:id="2808" w:name="_Toc1296"/>
      <w:bookmarkEnd w:id="2807"/>
      <w:r>
        <w:rPr>
          <w:rtl w:val="true"/>
        </w:rPr>
        <w:t>أقول</w:t>
      </w:r>
      <w:bookmarkEnd w:id="2808"/>
    </w:p>
    <w:p>
      <w:pPr>
        <w:pStyle w:val="BookText"/>
        <w:rPr/>
      </w:pPr>
      <w:r>
        <w:rPr>
          <w:rFonts w:ascii="Amiri" w:hAnsi="Amiri" w:eastAsia="Amiri" w:cs="Amiri"/>
          <w:color w:val="111111"/>
          <w:sz w:val="28"/>
          <w:sz w:val="28"/>
          <w:szCs w:val="28"/>
          <w:rtl w:val="true"/>
          <w:lang w:bidi="ar-SA"/>
        </w:rPr>
        <w:t>تحقيق هذه المسألة يتوقف علي إيراد الأخبار الواردة في كيفية التربيع و نقل الأقوال ثم بيان ما ترجح عندي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الأخبار فقد رَوَي الْكُلَيْنِيُّ ره بِسَنَدٍ مُرْسَلٍ لَا يَقْصُرُ عَنِ الْحَسَنِ‌</w:t>
      </w:r>
      <w:r>
        <w:rPr>
          <w:rStyle w:val="FootnoteAnchor"/>
          <w:rtl w:val="true"/>
        </w:rPr>
        <w:footnoteReference w:id="1331"/>
      </w:r>
      <w:r>
        <w:rPr>
          <w:rFonts w:ascii="Amiri" w:hAnsi="Amiri" w:eastAsia="Amiri" w:cs="Amiri"/>
          <w:color w:val="111111"/>
          <w:sz w:val="28"/>
          <w:sz w:val="28"/>
          <w:szCs w:val="28"/>
          <w:rtl w:val="true"/>
          <w:lang w:bidi="ar-SA"/>
        </w:rPr>
        <w:t>عَنْ مُوسَي بْنِ جَعْفَرٍ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فِي حَمْلِ الْجَنَازَةِ أَنْ تَسْتَقْبِلَ جَانِبَ السَّرِيرِ بِشِقِّكَ الْأَيْمَنِ فَتَلْزَمَ الْأَيْسَرَ بِكَتِفِكَ الْأَيْمَنِ ثُمَّ تَمُرَّ عَلَيْهِ إِلَي الْجَانِبِ الْآخَرِ وَ تَدُورَ مِنْ خَلْفِهِ إِلَي الْجَانِبِ الثَّالِثِ مِنَ السَّرِيرِ ثُمَّ تَمُرَّ عَلَيْهِ إِلَي الْجَانِبِ الرَّابِعِ مِمَّا يَلِي يَسَارَكَ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بسند فيه ضعف‌</w:t>
      </w:r>
      <w:r>
        <w:rPr>
          <w:rStyle w:val="FootnoteAnchor"/>
          <w:rtl w:val="true"/>
        </w:rPr>
        <w:footnoteReference w:id="1332"/>
      </w:r>
      <w:r>
        <w:rPr>
          <w:rFonts w:ascii="Amiri" w:hAnsi="Amiri" w:eastAsia="Amiri" w:cs="Amiri"/>
          <w:color w:val="111111"/>
          <w:sz w:val="28"/>
          <w:sz w:val="28"/>
          <w:szCs w:val="28"/>
          <w:rtl w:val="true"/>
          <w:lang w:bidi="ar-SA"/>
        </w:rPr>
        <w:t>علي المشهور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أن تحمل السرير من جوانبه الأربع و ما كان بعد ذلك من حمل فهو 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بسند فيه إرسال‌</w:t>
      </w:r>
      <w:r>
        <w:rPr>
          <w:rStyle w:val="FootnoteAnchor"/>
          <w:rtl w:val="true"/>
        </w:rPr>
        <w:footnoteReference w:id="1333"/>
      </w:r>
      <w:r>
        <w:rPr>
          <w:rFonts w:ascii="Amiri" w:hAnsi="Amiri" w:eastAsia="Amiri" w:cs="Amiri"/>
          <w:color w:val="111111"/>
          <w:sz w:val="28"/>
          <w:sz w:val="28"/>
          <w:szCs w:val="28"/>
          <w:rtl w:val="true"/>
          <w:lang w:bidi="ar-SA"/>
        </w:rPr>
        <w:t>عَنِ الْفَضْلِ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إِبْرَاهِيمَ عليه السلام عَنْ تَرْبِيعِ الْجَنَازَةِ قَالَ إِذَا كُنْتَ فِي مَوْضِعِ تَقِيَّةٍ فَابْدَأْ بِالْيَدِ الْيُمْنَي ثُمَّ بِالرِّجْلِ الْيُمْنَي ثُمَّ ارْجِعْ إِلَي مَكَانِكَ إِلَي مَيَامِنِ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تَمُرَّ خَلْفَ رِجْلَيْهِ الْبَتَّةَ حَتَّي تَسْتَقْبِلَ فَتَأْخُذَ يَدَهُ الْيُسْرَي ثُمَّ رِجْلَهُ الْيُسْرَي ثُمَّ ارْجِعْ مِنْ مَكَانِكَ لَا تَمُرَّ خَلْفَ الْجَنَازَةِ الْبَتَّةَ حَتَّي تَسْتَقْبِلَهَا تَفْعَلُ كَمَا فَعَلْتَ أَوَّلًا فَإِنْ لَمْ تَكُنْ تَتَّقِي فِيهِ فَإِنَّ تَرْبِيعَ الْجَنَازَةِ الَّتِي جَرَتْ بِهِ السُّنَّةُ أَنْ تَبْدَأَ بِالْيَدِ الْيُمْنَي ثُمَّ بِالرِّجْلِ الْيُمْنَي ثُمَّ بِالرِّجْلِ الْيُسْرَي ثُمَّ بِالْيَدِ الْيُسْرَي حَتَّي تَدُورَ حَوْلَهَا</w:t>
      </w:r>
      <w:r>
        <w:rPr>
          <w:rFonts w:eastAsia="Amiri" w:cs="Amiri" w:ascii="Amiri" w:hAnsi="Amiri"/>
          <w:color w:val="111111"/>
          <w:sz w:val="28"/>
          <w:szCs w:val="28"/>
          <w:rtl w:val="true"/>
          <w:lang w:bidi="ar-SA"/>
        </w:rPr>
        <w:t>.</w:t>
      </w:r>
    </w:p>
    <w:p>
      <w:pPr>
        <w:pStyle w:val="Heading5"/>
        <w:numPr>
          <w:ilvl w:val="4"/>
          <w:numId w:val="1"/>
        </w:numPr>
        <w:rPr/>
      </w:pPr>
      <w:bookmarkStart w:id="2809" w:name="__RefHeading___Toc607506_1934241801"/>
      <w:bookmarkStart w:id="2810" w:name="_Toc1297"/>
      <w:bookmarkEnd w:id="2809"/>
      <w:r>
        <w:rPr>
          <w:rtl w:val="true"/>
        </w:rPr>
        <w:t xml:space="preserve">روایت </w:t>
      </w:r>
      <w:r>
        <w:rPr/>
        <w:t>36</w:t>
      </w:r>
      <w:bookmarkEnd w:id="2810"/>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تشییع جنازه انسان مؤمن را ترک نکن که در آن فضیلت بسیاری نهفته است، و به دور جنازه مؤمن بچرخ چرا که هر کسی به دور جنازه مؤمنی بچرخد، بیست و پنج گناه کبیره او بخشیده می شود، آن گاه که خواستی جنازه ای را بلند کنی، ابتدا از قسمت راست تابوت آغاز کن و آن را با دست راستت بگیر، سپس به سوی گوشه انتهای تابوت رفته و آن را با دست راستت می گیری، آن گاه به گوشه دوم رسیده و آن را با دست چپ می گیری و پس از آن به سوی گوشه چپ ابتدای تابوت چرخیده و آن را با دست چپ می گیری، سپس مانند چرخیدن دو کفّه آسیاب به دور جنازه می چرخی</w:t>
      </w:r>
      <w:r>
        <w:rPr>
          <w:rFonts w:eastAsia="IRNazanin" w:cs="IRNazanin"/>
          <w:color w:val="111111"/>
          <w:sz w:val="28"/>
          <w:szCs w:val="28"/>
          <w:rtl w:val="true"/>
          <w:lang w:bidi="fa-IR"/>
        </w:rPr>
        <w:t>.</w:t>
      </w:r>
      <w:r>
        <w:rPr>
          <w:rStyle w:val="FootnoteAnchor"/>
          <w:rtl w:val="true"/>
        </w:rPr>
        <w:footnoteReference w:id="1334"/>
      </w:r>
    </w:p>
    <w:p>
      <w:pPr>
        <w:pStyle w:val="Heading5"/>
        <w:numPr>
          <w:ilvl w:val="4"/>
          <w:numId w:val="1"/>
        </w:numPr>
        <w:rPr/>
      </w:pPr>
      <w:bookmarkStart w:id="2811" w:name="__RefHeading___Toc607508_1934241801"/>
      <w:bookmarkStart w:id="2812" w:name="_Toc1298"/>
      <w:bookmarkEnd w:id="2811"/>
      <w:r>
        <w:rPr>
          <w:rtl w:val="true"/>
        </w:rPr>
        <w:t>توضیح</w:t>
      </w:r>
      <w:bookmarkEnd w:id="28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کدَور کفّی الرَّحی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دو کفّه ای که به چوب آسیاب متصل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در مورد این مسأله منوط به نقل احادیث روایت شده و اقوال ایراد شده در چگونگی تربیع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چرخیدن دور جنازه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بیان احادیثی است که نزد من ارجحیّت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رحمه الله با سندی مرسل که قوّت آن از سند حسن کمتر نیست از امام موسی بن جعفر علیهما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در حمل کردن جنازه آن است که با قسمت راست بدنت به استقبال تابوت بروی، پس شانه راست خود را در زیر قسمت چپ تابوت قرار دهی، آن گاه حرکت کرده و به سوی دیگر برسی و از پشت تابوت دور زده و به طرف سوّم آن نزدیک شوی، سپس به سوی طرف چهارم تابوت حرکت کنی و با شانه چپ قسمت راست تابوت را حمل نمایی</w:t>
      </w:r>
      <w:r>
        <w:rPr>
          <w:rFonts w:eastAsia="IRNazanin" w:cs="IRNazanin"/>
          <w:color w:val="111111"/>
          <w:sz w:val="28"/>
          <w:szCs w:val="28"/>
          <w:rtl w:val="true"/>
          <w:lang w:bidi="fa-IR"/>
        </w:rPr>
        <w:t>.</w:t>
      </w:r>
      <w:r>
        <w:rPr>
          <w:rStyle w:val="FootnoteAnchor"/>
          <w:rtl w:val="true"/>
        </w:rPr>
        <w:footnoteReference w:id="1335"/>
      </w:r>
    </w:p>
    <w:p>
      <w:pPr>
        <w:pStyle w:val="BookText"/>
        <w:rPr/>
      </w:pPr>
      <w:r>
        <w:rPr>
          <w:rFonts w:ascii="IRNazanin" w:hAnsi="IRNazanin" w:eastAsia="IRNazanin"/>
          <w:color w:val="111111"/>
          <w:sz w:val="28"/>
          <w:sz w:val="28"/>
          <w:szCs w:val="28"/>
          <w:rtl w:val="true"/>
          <w:lang w:bidi="fa-IR"/>
        </w:rPr>
        <w:t>همچنین با سندی که در آن ضعف وجود دارد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آن است که تابوت را از هر چهار سوی آن حمل نمایی، و پس از آن به هر اندازه و از هر سویی که به حمل تابوت بپردازی مستحب و به منظور کسب خیر است</w:t>
      </w:r>
      <w:r>
        <w:rPr>
          <w:rFonts w:eastAsia="IRNazanin" w:cs="IRNazanin"/>
          <w:color w:val="111111"/>
          <w:sz w:val="28"/>
          <w:szCs w:val="28"/>
          <w:rtl w:val="true"/>
          <w:lang w:bidi="fa-IR"/>
        </w:rPr>
        <w:t>.</w:t>
      </w:r>
      <w:r>
        <w:rPr>
          <w:rStyle w:val="FootnoteAnchor"/>
          <w:rtl w:val="true"/>
        </w:rPr>
        <w:footnoteReference w:id="1336"/>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سندی که در آن ارسال و جود دارد از فضل بن یونس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موسی کاظم علیه السلام درباره چگونگی تربیع جنازه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چرخیدن به چهار سوی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امام در پاسخ فرود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حالت تقیّه قرار داشتی ابتدا از دست راست و سپس پای راست آغاز کن، آن گاه به جای قبلی خود و سمت راست میّت باز گرد، البته از پشت پاهای میّت عبور نمی کنی مگر اینکه به قسمت جلویی تابوت آمده و دست چپ و بعد از آن پای چپ میّت را می گیری، سپس از جای کنونی خود باز گرد، و البته از پشت جنازه عبور نمی کنی مگر اینکه مانند بار نخست به قسمت جلویی تابوت آمده و کارهای قبلی را تکرار می نمایی، امّا اگر در حالت تقیّه قرار نداشتی، شیوه تربیع به این شیوه است که از دست راست میّت آغاز کرده و به پای راست برسی، سپس پای چپ و آن گاه دست چپ تا اینکه به گِرد آن دور می زنی</w:t>
      </w:r>
      <w:r>
        <w:rPr>
          <w:rFonts w:eastAsia="IRNazanin" w:cs="IRNazanin"/>
          <w:color w:val="111111"/>
          <w:sz w:val="28"/>
          <w:szCs w:val="28"/>
          <w:rtl w:val="true"/>
          <w:lang w:bidi="fa-IR"/>
        </w:rPr>
        <w:t>.</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وَ بِسَنَدٍ فِيهِ جَهَالَةٌ</w:t>
      </w:r>
      <w:r>
        <w:rPr>
          <w:rStyle w:val="FootnoteAnchor"/>
          <w:rtl w:val="true"/>
        </w:rPr>
        <w:footnoteReference w:id="1338"/>
      </w:r>
      <w:r>
        <w:rPr>
          <w:rFonts w:ascii="Amiri" w:hAnsi="Amiri" w:eastAsia="Amiri" w:cs="Amiri"/>
          <w:color w:val="111111"/>
          <w:sz w:val="28"/>
          <w:sz w:val="28"/>
          <w:szCs w:val="28"/>
          <w:rtl w:val="true"/>
          <w:lang w:bidi="ar-SA"/>
        </w:rPr>
        <w:t>عَنِ الْعَلَاءِ بْنِ سَيَابَةَ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فِي حَمْلِ السَّرِيرِ مِنَ الْجَانِبِ الْأَيْمَنِ ثُمَّ تَمُرُّ عَلَيْهِ مِنْ خَلْفِهِ إِلَي الْجَانِبِ الْآخَرِ ثُمَّ تَمُرُّ حَتَّي تَرْجِعَ إِلَي الْمُقَدَّمِ كَذَلِكَ دَوَرَانُ الرَّحَي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الأقوال فاعلم أن الأصحاب ذكروا أن حمل الميت واجب علي الكفاية و أجمعوا علي استحباب التربيع قال في الذكري و أفضله أن يبدأ بمقدم السرير الأيمن ثم يمر عليه إلي مؤخره ثم بمؤخر السرير الأيسر و يمر عليه إلي مقدمه دور الرحي و كذلك ذكر الشيخ في المبسوط و النهاية و هو المشهور بين المتأخرين و قال في الخلاف يحمل بميامنه مقدم السرير الأيسر ثم يدور حوله حتي يرجع إلي المقدم و ادعي عليه الإجماع و هذا أقوي عندي إذ التيامن مطلوب في الأمور و رعاية يمين الميت أولي من رعاية يمين السرير مع أن أخذ يمين السرير باليمين لا يتيسر في أكثر الجنائز إلا بمشقة و المشي بالقهقري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لنرجع إلي الكلام في الأخبار أما خبر السرائر فلم يرد في هذا الباب خبر صحيح غيره و عندي أنه صحيح لأنه أخذه ابن إدريس من الجامع و كان الكتاب مشهورا متواترا و صاحبه ثقة و روي عن ابن أبي يعفور الثقة و أظن أنه لا ينافي ما اخترناه إذ كما أنه يحتمل أن يكون مما يلي يسارك بالنظر إلي الماشي في جانب السرير يحتمل أن يكون بالنظر إلي الماشي خلف السرير و إن حمل علي حالة استقباله السرير فحينئذ و إن كان يمين الميت يحاذي يمينه إذا قابله لكن إذا جاوزه مائلا إلي يمين الميت ليأخذ السرير فيمين الميت يلي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الشق الأيمن في الفقه يحتمل أيمن الميت و أيمن السرير بل لو كان صريحا في أيمن السرير يمكن أن يقال كما يمكن أن يعتبر السرير رجلا ماشيا و يعتبر يمينه و يساره بحسب ذلك التوهم كذلك يمكن أن يطلق اليمين و اليسار علي جانبيه بحسب ما جاور من جانبي الميت بل يمكن أن يعتبر شخصا مستلقي علي قفاه كالميت و الخبر الأول من أخبار الكافي كالصريح فيما اخترناه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 تابوت از جانب راست آغاز می کنی، سپس از پشت جنازه حرکت کرده و به سمت دیگر آن می رسی، آن گاه حرکت کرده و به قسمت پیشانی جنازه باز می گردی و به شیوه چرخش آسیاب بر گِرد آن می چرخی</w:t>
      </w:r>
      <w:r>
        <w:rPr>
          <w:rFonts w:eastAsia="IRNazanin" w:cs="IRNazanin"/>
          <w:color w:val="111111"/>
          <w:sz w:val="28"/>
          <w:szCs w:val="28"/>
          <w:rtl w:val="true"/>
          <w:lang w:bidi="fa-IR"/>
        </w:rPr>
        <w:t>.</w:t>
      </w:r>
      <w:r>
        <w:rPr>
          <w:rStyle w:val="FootnoteAnchor"/>
          <w:rtl w:val="true"/>
        </w:rPr>
        <w:footnoteReference w:id="1339"/>
      </w:r>
    </w:p>
    <w:p>
      <w:pPr>
        <w:pStyle w:val="BookText"/>
        <w:rPr/>
      </w:pPr>
      <w:r>
        <w:rPr>
          <w:rFonts w:ascii="IRNazanin" w:hAnsi="IRNazanin" w:eastAsia="IRNazanin"/>
          <w:color w:val="111111"/>
          <w:sz w:val="28"/>
          <w:sz w:val="28"/>
          <w:szCs w:val="28"/>
          <w:rtl w:val="true"/>
          <w:lang w:bidi="fa-IR"/>
        </w:rPr>
        <w:t>امّا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فقها ذکر کرده اند که حمل کردن میّت واجب کفایی است و بر این نظر اجماع دارند که تربیع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چرخیدن به چهار سوی جنازه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می باشد، شهید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برتر و بهتر در تربیع آن است که شخص حمل کننده از قسمت ابتدایی و گوشه راست تابوت آغاز کند، سپس حرکت کرده و به قسمت انتهایی آن نزدیک شود، آن گاه به قسمت انتهایی و گوشه چپ برسد و مانند چرخش آسیاب چرخیده و به قسمت ابتدایی تابوت بازگردد، شیخ نیز در المبسوط و النهایة به ذکر این نظر پرداخته و در بین متأخرین نیز شهرت دارد، همچنین شیخ در الخلاف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کننده با کتف راست خویش قسمت ابتدایی و گوشه چپ تابوت را حمل می کند، سپس به دور تابوت می چرخد تا دوباره به قسمت ابتدایی آن بازگردد، شیخ مدّعی شده است که اجماع فقها بر این نظر متفق هستند؛ این نظر نزد من از قوّت بیشتری برخودار است، چرا که برتری دادن سمت راست و آغاز نمودن امور از سمت راست، عملی مطلوب است و توجه نمودن به سمت راست میّت برای آغاز تربیع بر توجه نمودن به سمت چپ تابوت برتری دارد، هر چند حمل نمودن سمت راست تابوت با کتف راست در بیشتر مراسم های تشییع جنازه میّسر نمی گردد جز با مشقّت و حرکت کردن به سمت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سخن درباره احادیث باز می گردیم، امّا در این باب حدیث صحیحی غیر از حدیثی که در السرائر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ذکر نگردیده است، و به رأی من این حدیث صحیح است، چرا که ابن ادریس آن را از کتاب جامع بزنطیّ که کتابی مشهور، متواتر است و نویسنده آن قابل اعتماد است برگرفته است، و این کتاب نیز حدیث را از ابن أبی یعفور که از جمله راویان قابل اعتماد است نقل کرده است، و گمان می کنم که این حدیث با نظری که ما برگزیده ایم منافاتی ندارد، چرا که همان گونه که احتمال دارد امام صادق علیه السلام این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یلی یسارک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توجه به شخص پیاده ای که در کنار تابوت حرکت می کند به زبان آورده باشد، به همان صورت احتمال دارد که این فرموده را با توجه به پیاده ای که پشت سر تابوت حرکت می کند در نظر گرفت، و اگر این فرموده بر حالتی حمل شود که شخص به استقبال تابوت می آید، اگر چه هنگام رویارویی با جنازه سمت راست بدن او در مقابل سمت راست میّت قرار می گیرد، امّا هنگامی  که شخص از جنازه عبور می کند و به سمت راست میّت متمایل می شود تا تابوت را بردارد، سمت راست میّت در کنار سمت چپ او قرار می گیرد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 الأیمن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نظر مفهوم در فقه دارای چنین حالتی است، ممکن است منظور از این عبارت، جانب راست میّت و یا جانب راست تابوت باشد، امّا اگر بر معنای سمت راست تابوت تصریح کرده باشد ممکن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ممکن است، تابوت به عنوان مردی پیاده در نظر گرفته شود و سمت راست و چپ آن به حسب همان پندار در نظر گرفته شود، به  همان صورت ممکن است که سمت راست و چپ بر حسب قرار گرفتن در مجاورت دو سوی میّت بر دو سوی تابوت اطلاق شود، بلکه ممکن است تابوت به عنوان شخصی درنظر گرفته شود که مانند میّت به پشت افتاده است؛ و حدیث نخست در میان احادیث الکافی، در حکم صریح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 برگزیده ایم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الخبر الثاني يدل علي الاكتفاء بالأخذ بالجوانب الأربعة كيفما اتفق و لا ينافي كون الهيئة المخصوصة أفضل و الخبر يحتمل وجوها الأول أن السنة النبوية جرت بحمل الجنازة من أربعة جوانبها كيف اتفق و الزائد علي الأربعة تطوع الثاني أن رعاية الهيئات المخصوصة في حملها تطوع الثالث أن يقال المعني أن ما بعد ذلك كما و كيفا فهو تطوع الرابع أن يكون المراد بالحمل من جوانبه الأربعة الهيئة المخصوصة المسنونة و بقوله ما بعد ذلك الزائد عنه أو الأعم منه و من النقص و مخالفة الكيفية المسنونة الخامس أن يراد به أن السنة الأخذ بإحدي القوائم الأربع كيف اتفق و ما كان بعد ذلك من الزيادة في الكمية أو الرعاية في الكيفية فهو تطوع و لعل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الجمهور عن ابن مسعود أنه قال إذا تبع أحدكم الجنازة فليأخذ بجوانب السرير الأربعة ثم ليتطوع بعد أو ليذر فإنه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السنة ما واظب عليه النبي صلي الله عليه و آله و التطوع ما صدر عنه و عن أوصيائه عليه السلام علي جهة الاستحباب و لم يواظب صلي الله عليه و آله عليه رحمة للأمة و ليتميز ما هو المؤكد من المستحبات و ما ليس كذلك منها ليختار المكلف مع عدم القدرة علي الإتيان بالجميع ما هو أفضل و آكد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المشهور استحباب التربيع علي الهيئة المخصوصة كما عرفت بل ظاهر بعضهم تحقق الإجماع علي ذلك و قال ابن الجنيد يرفع الجنازة من أي جوانبها قدر عليه و استدل له بهذا الخبر و قد عرفت أنه لا يدل علي نفي استحباب التربيع و وصف الجوانب بالأربع في الحديث لعله بتأويل الناحية و 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 الثالث صريح فيما اخترناه إذ اليد اليمني المراد بها يد الميت اليمني الكائنة علي أيسر السرير و قوله عليه السلام ثم ارجع من مكانك أي من موضع الرجل اليمني إلي ميامن الميت أي الجانب الذي فرغت منه و عبر عنه بميامن الميت فهذا صريح في أن المراد يمين الميت لا يمين السرير و هذا الخبر يدل علي أن الفرق بيننا و بين المخالفين إنما هو في الترتيب لا في الابتداء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حدیث دوّم بر گرفتن چهار سوی تابوت به هر صورتی که امکان داشته باشد اکتفا کرده، ولی این امر با برتری داشتن و رعایت کردن آن حالت مخصوص تربیع منافاتی ندارد، این حدیث در بردارنده چند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سنّت نبوی بر این است که جنازه از چهار سوی آن و به هر صورت که امکان داشته باشد حمل شود، و اضافه بر چهار جانب تابوت از هر قسمت دیگر که حمل شود مستحب و اختیاری است؛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روش مخصوص در تربیع جنازه مستحب است؛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پس از حمل کردن جنازه از چهار جانب، به هر اندازه و از هر سویی و به هر شکلی به حمل جنازه پرداخته شود مستحب است،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حمل کردن جنازه از چهار جانب، روش مخصوص و سنّتِ نهاده شده برای تربیع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آن یا اعم از اضافه و نقص بر آن و مخالفت با سنّت معمول است،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براین است که یکی از گوشه های چهارگانه تابوت به هر صورتی که امکان داشته باشد گرفته شود، و پس از آن هر زیادتی که در کمیّت یا رعایتی که در کیفیّت صورت پذیرد مستحب است، و شاید وجه نخست صحیح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 فقها از ابن مسعود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شما به دنبال جنازه ای راه می افتد، شایسته است که چهار جانب تابوت را بگیرد، بعد از آن می تواند داوطلبانه به حمل جنازه ادامه دهد یا آن را رها سازد، که این امر سنّت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اعمالی است که پیامبر صلّی الله علیه و آله آن ها را به صورت پیوسته انجام داده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است که از پیامبر یا اوصیای ایشان علیهم السلام بر وجه استحباب صادر شده است، و پیامبر صلّی الله علیه و آله به خاطر روا داشتن رحم و شفقت بر امّت خویش همچنین به خاطر اینکه اعمال مؤکَّد از اعمال مستحبّ تشخیص داده شود به صورت پیوسته به انجام این اعمال نپرداخته است، تا بدین وسیله انسان مکلّف با توجه به اینکه توانایی انجام همه اعمال را ندارد، به صورت اختیاری اعمال با فضیلت تر و مؤکَّدتر را انتخاب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آگاه باش که نظر مشهور، استحباب تربیع در صورت انجام گرفتن به شیوه مخصوص آن است، بلکه برخی از فقها اجماع نظر دیگران بر این امر را نقل کرده اند، ابن جنید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از هر سو که امکان و توانایی حمل آن فراهم باشد حمل می شود، و برای تأیید نظر خود به این حدیث استدلال کرده است؛ و پیش تر دریافتی که این سخن، استحباب تربیع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جنازه از چهارسو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نمی  کند و شاید توصیف کردن جوانب تابوت به چهارگانه بودن در حدیث بنا به تأویل آن به سمت و سو و شبه آن باشد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سوّم در میان احادیثی که ما برگزیده ایم صریح است، چرا که منظور از دست راست، دست راست میّت است که بر جانب چپ تابوت قرار گرفته است، این فرموده امام کاظم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ارجع من مکانک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موضع پای راست خویش بازگرد،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میامن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جانبی که از حمل آن فارغ گشته ای،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میامن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راست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 بنابراین حدیث مذکور به صورت صریح بیان کرده است که مقصود، سمت راست میّت و نه سمت راست تابوت می باشد، همچنین این حدیث بر این نکته دلالت می کند که فرق میان ما و مخالفان فقط در ترتیب تربیع و نه در نقطه آغازین آن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في شرح السنة من تأليفات العامة حمل الجنازة من الجوانب الأربع فيبدأ بياسرة السرير المتقدمة فيضعها علي عاتقه الأيمن ثم بياسرته المؤخرة ثم بيامنته المتقدمة فيضعها علي عاتقه الأيسر ثم بيامنته المؤخرة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الخلاف صفة التربيع أن يبدأ بيسرة الجنازة و يأخذها بيمينه و يتركها علي عاتقه و يربع الجنازة و يمشي إلي رجليها و يدور دور الرحي إلي أن يرجع إلي يمنة الجنازة فيأخذ ميامن الميت بمياسره و به قال سعيد بن جبير و الثوري و إسحاق و قال الشافعي و أبو حنيفة يبدأ بمياسر مقدم السرير فيضعها علي عاتقه الأيمن ثم يتأخر فيأخذ مياسر مؤخره فيضعها علي عاتقه الأيمن ثم يعود إلي مقدمه فيأخذ ميامن مقدمه فيضعها علي عاتقه الأيسر ثم يتأخر فيأخذ ميسرة مؤخره فيضعها علي عاتقه الأيسر و أما الرابع فتوجيهه قريب مما ذكرنا في خبر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بما قررنا أن ما اختاره الشيخ و ادعي عليه الإجماع هو أقوي و أظهر من الأخبار إذ الأخبار الدالة عليه صريحة و ما دل علي خلافه علي تقدير تسليم الظهور فيه قابلة لتأويل غير بعيد فينبغي حملها عليه لرفع التنافي بين الأخبار و ما استدل به الشهيد ره في الذكري بقوله عليه السلام في الخبر الأخير دوران الرحي و أنه لا يتصور إلا علي البدء بمقدم السرير الأيمن و الختم بمقدمه الأيسر فلا يخفي وهنه إذ ظاهر أن التشبيه لمجرد الدوران و عدم الرجوع كما تفعله العامة و قد أشار الشيخ في الخلاف إلي ذلك و يمكن حمل كلام الشيخ في الكتابين علي ما ذكره في الخلاف لئلا يكون فيهما مخالفا لإجماع ادعاه و إن كان ذلك منه قدس سره غير عزيز لأنه ذكر في الكتابين عبارة هذا الخبر و يمكن تأويله علي نحو ما ذكرنا في تأويل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العلامة في المنتهي أنه أول الخبر و كلام الشيخ بما ذكرنا لأنه لم يتعرض فيه لخلاف بل قال المستحب عندنا أن يبدأ الحامل بمقدم السرير ثم يمر معه و يدور من خلفه إلي الجانب الأيسر فيأخذ رجله اليسري و يمر معه إلي أن يرجع إلي المقدم كذلك دور الرحي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کتاب شرح السنّة که از جمله تألیفات عامّه می باشد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جنازه از چهار جانب آن صورت می پذیرد، پس شخص حمل کننده از قسمت پیشانی جانب چپ تابوت آغاز می کند و آن را بر روی کتف راست خویش می گذارد و به قسمت انتهایی جانب چپ می رسد، آن گاه قسمت پیشانی جانب راست را بر کتف چپ خویش می گذارد و به قسمت انتهایی جانب راست می رسد، 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الخلاف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تربیع بر این است که شخص حمل کننده از جانب چپ جنازه آغاز کند و آن را با کتف راست خود بگیرد، سپس در حالی که جنازه را بر روی دوش خود دارد به چهار سوی آن منتقل شود و به سوی پاهای میّت حرکت کند و مانند آسیاب به دور جنازه بچرخد تا به جانب راست آن برسد و سمت راست میّت را با کتف چپ خود حمل نماید؛ سعید بن جبیر، الثوریّ و اسحاق نیز قائل به این نظر هستند، و شافعی و ابوحنیفه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حمل کننده از جانب چپ قسمت ابتدایی تابوت آغاز می کند و آن را بر روی کتف راست خویش می گذارد، سپس به قسمت انتهایی جانب چپ تابوت نقل مکان می کند و آن را با کتف راستش حمل می کند، آن گاه به قسمت ابتدایی تابوت باز می گردد و جانب راست آن را با کتف چپ خود حمل می کند و پس از آن به سوی قسمت انتهایی جانب راست نقل مکان می کند و آن را با کتف چپ خود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حدیث چهارم نیز به توضیحاتی که در مورد حدیث در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عنایت به مطالبی که ذکر کردیم آشکار گشت که نظری که شیخ برگزیده و مدّعی وجود اجماع فقها برآن شده است از احادیث نقل شده قوی تر و صحیح تر می باشد، چرا که احادیث دالّ بر این نظر صریح می باشند، و آنچه بر خلاف آن دلالت می کند بعید نیست بر فرض این که بپذیریم در آن ظهور دارد، قابل تأویل است، پس سزاوار است بر آن حمل شود تا منافات بین روایات و آنچه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استدلال کرده است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قول حضرت علیه السلام در روایت آخری یعنی دور زدن آسیاب استدلال کرده است، و این متصور نیست مگر با آغاز کردن از قسمت ابتدایی جانب راست تابوت و پایان دادن به قسمت ابتدایی چپ آن، و ایراد این قول پوشیده نیست، زیرا ظاهر است که تشبیه فقط برای دوران و عدم بازگشت است چنان که عامه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الخلاف به این اشاره می کند و می توان کلام شیخ در دو کتاب را بر آنچه که در الخلاف ذکر کرده است حمل کرد تا قول وی در آن دو کتاب، مخالف اجماعی که ادعا کرده است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این قول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نیست، چون در آن دو کتاب، عبارت این روایت را آورده و می توان آن را بر آنچه که در تأویل روایت گفتیم تأویل کرد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 علامه در المنتهی ظاهر می شود که که وی روایت و کلام شیخ را آنگونه که ما گفتیم تأویل کرده است، زیرا در آن متعرض خلافی نشده، بلکه گفته است مستحب در نزد ما آن است که حمل کننده با قسمت ابتدایی تابوت آغاز کند سپس با آن برود و از پشت آن دور بزند تا به طرف چپ، سپس پای چپ آن را بگیرد و با آن برود تا به قسمت ابتدایی بازگردد که دور زدن آسیاب چنین است</w:t>
      </w:r>
      <w:r>
        <w:rPr>
          <w:rFonts w:eastAsia="IRNazanin" w:cs="IRNazanin"/>
          <w:color w:val="111111"/>
          <w:sz w:val="28"/>
          <w:szCs w:val="28"/>
          <w:rtl w:val="true"/>
          <w:lang w:bidi="fa-IR"/>
        </w:rPr>
        <w:t xml:space="preserve">. </w:t>
      </w:r>
      <w:bookmarkStart w:id="2813" w:name="pg13517_329311"/>
    </w:p>
    <w:p>
      <w:pPr>
        <w:pStyle w:val="BookText"/>
        <w:rPr/>
      </w:pPr>
      <w:bookmarkEnd w:id="2813"/>
      <w:r>
        <w:rPr>
          <w:rFonts w:ascii="Amiri" w:hAnsi="Amiri" w:eastAsia="Amiri" w:cs="Amiri"/>
          <w:color w:val="111111"/>
          <w:sz w:val="28"/>
          <w:sz w:val="28"/>
          <w:szCs w:val="28"/>
          <w:rtl w:val="true"/>
          <w:lang w:bidi="ar-SA"/>
        </w:rPr>
        <w:t>و حاصل ما ذكرناه أن يبدأ فيضع قائمة السرير التي تلي اليد اليمني للميت فيضعها علي كتفه الأيسر ثم ينتقل فيضع القائمة التي تلي رجله اليمني علي كتفه الأيسر ثم ينتقل فيضع القائمة التي تلي رجله اليسري علي كتفه الأيمن ثم ينتقل فيضع القائمة التي تلي يده اليسري علي كتفه الأيمن و هكذا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أحسن في التعبير لكن كان الأحسن أن يقول كتفه الأيمن مكان كتفه الأيسر و بالعكس كما عرفت و كذا يدل علي ما ذكرنا ما نقله الشهيد ره عن الراوندي أنه حكي كلام النهاية و الخلاف و قال معناهما لا يتغير و إن جعله الشهيد مؤيدا لما اختاره و مع ذلك كله لا يبعد القول بالتخيير بين الوجهين لظهور بعض الأخبار في الجملة فيما اختاره المتأخرون و الله يعلم و حججه الكرام عليهم السلام حقائق الأحكام</w:t>
      </w:r>
      <w:r>
        <w:rPr>
          <w:rFonts w:eastAsia="Amiri" w:cs="Amiri" w:ascii="Amiri" w:hAnsi="Amiri"/>
          <w:color w:val="111111"/>
          <w:sz w:val="28"/>
          <w:szCs w:val="28"/>
          <w:rtl w:val="true"/>
          <w:lang w:bidi="ar-SA"/>
        </w:rPr>
        <w:t>.</w:t>
      </w:r>
    </w:p>
    <w:p>
      <w:pPr>
        <w:pStyle w:val="Heading5"/>
        <w:numPr>
          <w:ilvl w:val="4"/>
          <w:numId w:val="1"/>
        </w:numPr>
        <w:rPr/>
      </w:pPr>
      <w:bookmarkStart w:id="2814" w:name="__RefHeading___Toc607510_1934241801"/>
      <w:bookmarkStart w:id="2815" w:name="_Toc1299"/>
      <w:bookmarkEnd w:id="2814"/>
      <w:r>
        <w:rPr>
          <w:rtl w:val="true"/>
        </w:rPr>
        <w:t>«</w:t>
      </w:r>
      <w:r>
        <w:rPr/>
        <w:t>37</w:t>
      </w:r>
      <w:r>
        <w:rPr>
          <w:rtl w:val="true"/>
        </w:rPr>
        <w:t>»</w:t>
      </w:r>
      <w:bookmarkEnd w:id="2815"/>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صلي الله عليه و آله فِي جَنَازَةٍ مَاشِياً قِيلَ أَ لَا تَرْكَبُ يَا رَسُولَ اللَّهِ فَقَالَ إِنِّي أَكْرَهُ أَنْ أَرْكَبَ وَ الْمَلَائِكَةُ يَمْشُونَ فَأَبَي أَنْ يَرْكَبَ</w:t>
      </w:r>
      <w:r>
        <w:rPr>
          <w:rFonts w:eastAsia="Amiri" w:cs="Amiri" w:ascii="Amiri" w:hAnsi="Amiri"/>
          <w:color w:val="111111"/>
          <w:sz w:val="28"/>
          <w:szCs w:val="28"/>
          <w:rtl w:val="true"/>
          <w:lang w:bidi="ar-SA"/>
        </w:rPr>
        <w:t>.</w:t>
      </w:r>
    </w:p>
    <w:p>
      <w:pPr>
        <w:pStyle w:val="Heading5"/>
        <w:numPr>
          <w:ilvl w:val="4"/>
          <w:numId w:val="1"/>
        </w:numPr>
        <w:rPr/>
      </w:pPr>
      <w:bookmarkStart w:id="2816" w:name="__RefHeading___Toc607512_1934241801"/>
      <w:bookmarkStart w:id="2817" w:name="_Toc1300"/>
      <w:bookmarkEnd w:id="2816"/>
      <w:r>
        <w:rPr>
          <w:rtl w:val="true"/>
        </w:rPr>
        <w:t>توضيح</w:t>
      </w:r>
      <w:bookmarkEnd w:id="2817"/>
    </w:p>
    <w:p>
      <w:pPr>
        <w:pStyle w:val="BookText"/>
        <w:rPr/>
      </w:pPr>
      <w:r>
        <w:rPr>
          <w:rFonts w:ascii="Amiri" w:hAnsi="Amiri" w:eastAsia="Amiri" w:cs="Amiri"/>
          <w:color w:val="111111"/>
          <w:sz w:val="28"/>
          <w:sz w:val="28"/>
          <w:szCs w:val="28"/>
          <w:rtl w:val="true"/>
          <w:lang w:bidi="ar-SA"/>
        </w:rPr>
        <w:t>رواه الشيخ في الصحيح‌</w:t>
      </w:r>
      <w:r>
        <w:rPr>
          <w:rStyle w:val="FootnoteAnchor"/>
          <w:rtl w:val="true"/>
        </w:rPr>
        <w:footnoteReference w:id="1340"/>
      </w:r>
      <w:r>
        <w:rPr>
          <w:rFonts w:ascii="Amiri" w:hAnsi="Amiri" w:eastAsia="Amiri" w:cs="Amiri"/>
          <w:color w:val="111111"/>
          <w:sz w:val="28"/>
          <w:sz w:val="28"/>
          <w:szCs w:val="28"/>
          <w:rtl w:val="true"/>
          <w:lang w:bidi="ar-SA"/>
        </w:rPr>
        <w:t>علي الظاهر عن أبي عبد الله عليه السلام و ظاهره عدم اختصاص الحكم به صلي الله عليه و آله و لا بالجنازة المخصوصة بل يعم التعليل و يؤيده مَا رَوَاهُ الْعَامَّةُ</w:t>
      </w:r>
      <w:r>
        <w:rPr>
          <w:rStyle w:val="FootnoteAnchor"/>
          <w:rtl w:val="true"/>
        </w:rPr>
        <w:footnoteReference w:id="1341"/>
      </w:r>
      <w:r>
        <w:rPr>
          <w:rFonts w:ascii="Amiri" w:hAnsi="Amiri" w:eastAsia="Amiri" w:cs="Amiri"/>
          <w:color w:val="111111"/>
          <w:sz w:val="28"/>
          <w:sz w:val="28"/>
          <w:szCs w:val="28"/>
          <w:rtl w:val="true"/>
          <w:lang w:bidi="ar-SA"/>
        </w:rPr>
        <w:t>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النَّبِيِّ صلي الله عليه و آله فِي جَنَازَةٍ فَرَأَي نَاساً رُكْبَاناً فَقَالَ أَ لَا تَسْتَحْيُونَ إِنَّ مَلَائِكَةَ اللَّهِ عَلَي أَقْدَامِهِمْ وَ أَنْتُمْ عَلَي ظُهُورِ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المنتهي يستحب المشي مع الجنازة و يكره الركوب و هو قول العلماء كافة</w:t>
      </w:r>
      <w:r>
        <w:rPr>
          <w:rFonts w:eastAsia="Amiri" w:cs="Amiri" w:ascii="Amiri" w:hAnsi="Amiri"/>
          <w:color w:val="111111"/>
          <w:sz w:val="28"/>
          <w:szCs w:val="28"/>
          <w:rtl w:val="true"/>
          <w:lang w:bidi="ar-SA"/>
        </w:rPr>
        <w:t>.</w:t>
      </w:r>
    </w:p>
    <w:p>
      <w:pPr>
        <w:pStyle w:val="Heading5"/>
        <w:numPr>
          <w:ilvl w:val="4"/>
          <w:numId w:val="1"/>
        </w:numPr>
        <w:rPr/>
      </w:pPr>
      <w:bookmarkStart w:id="2818" w:name="__RefHeading___Toc607514_1934241801"/>
      <w:bookmarkStart w:id="2819" w:name="_Toc1301"/>
      <w:bookmarkEnd w:id="2818"/>
      <w:r>
        <w:rPr>
          <w:rtl w:val="true"/>
        </w:rPr>
        <w:t>«</w:t>
      </w:r>
      <w:r>
        <w:rPr/>
        <w:t>38</w:t>
      </w:r>
      <w:r>
        <w:rPr>
          <w:rtl w:val="true"/>
        </w:rPr>
        <w:t>»</w:t>
      </w:r>
      <w:bookmarkEnd w:id="2819"/>
    </w:p>
    <w:p>
      <w:pPr>
        <w:pStyle w:val="BookText"/>
        <w:rPr/>
      </w:pPr>
      <w:r>
        <w:rPr>
          <w:rFonts w:ascii="Amiri" w:hAnsi="Amiri" w:eastAsia="Amiri" w:cs="Amiri"/>
          <w:color w:val="111111"/>
          <w:sz w:val="28"/>
          <w:sz w:val="28"/>
          <w:szCs w:val="28"/>
          <w:rtl w:val="true"/>
          <w:lang w:bidi="ar-SA"/>
        </w:rPr>
        <w:t>دَعَوَاتُ الرَّاوَنْدِيِّ،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أَبُو جَعْفَرٍ عليه السلام جَنَازَةَ رَجُلٍ مِنْ قُرَيْشٍ وَ أَنَا مَعَهُ وَ كَانَ عَطَا فِيهَا فَصَرَخَتْ صَارِخَةٌ فَقَالَ عَطَا لَتَسْكُتَنَّ أَوْ لَنَرْجِعَنَّ قَالَ فَلَمْ تَسْكُتْ فَرَجَعَ عَطَا قَالَ قُلْتُ لِأَبِي جَعْفَرٍ</w:t>
      </w:r>
    </w:p>
    <w:p>
      <w:pPr>
        <w:pStyle w:val="BookText"/>
        <w:rPr/>
      </w:pPr>
      <w:r>
        <w:rPr>
          <w:rFonts w:ascii="IRNazanin" w:hAnsi="IRNazanin" w:eastAsia="IRNazanin"/>
          <w:color w:val="111111"/>
          <w:sz w:val="28"/>
          <w:sz w:val="28"/>
          <w:szCs w:val="28"/>
          <w:rtl w:val="true"/>
          <w:lang w:bidi="fa-IR"/>
        </w:rPr>
        <w:t>حاصل آنچه ذکر کردیم این است که از آن پایه تابوت که زیر دست راست میت است آغاز می کند و آن را بر روی کتف چپ خویش می گذارد و سپس منتقل می شود و پایه ای که زیر پای چپ میت است را روی کتف چپ خود می گذارد و سپس منتقل می شود و پایه ای که زیر پای چپ میت است را روی کتف راست خود می گذارد و سپس منتقل می شود و پایه ای که زیر دست چپ اوست را روی کتف راست خود می گذارد و به همین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وی خوب است، اما بهتر آن بود که به جای کتف چپ می گفت کتف راست و برعکس، چنان که دانستی؛ و نیز آنچه شهید از راوندی نقل کرده است بر آنچه ما ذکر کردیم دلالت دارد که وی کلام النهایه و الخلاف را نقل کرده و گفته است معنای آن دو تغییر نمی کند هرچند آن را مؤید قول مختار خود قرا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اینها، قول به تخییر بین این دو وجه، بعید نیست چون برخی از اخبار فی الجمله در آنچه متأخرین برگزیده اند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خداوند و حجت های گرامی او علیهم السلام از حقایق احکام آگاه هستند</w:t>
      </w:r>
      <w:r>
        <w:rPr>
          <w:rFonts w:eastAsia="IRNazanin" w:cs="IRNazanin"/>
          <w:color w:val="111111"/>
          <w:sz w:val="28"/>
          <w:szCs w:val="28"/>
          <w:rtl w:val="true"/>
          <w:lang w:bidi="fa-IR"/>
        </w:rPr>
        <w:t>.</w:t>
      </w:r>
    </w:p>
    <w:p>
      <w:pPr>
        <w:pStyle w:val="Heading5"/>
        <w:numPr>
          <w:ilvl w:val="4"/>
          <w:numId w:val="1"/>
        </w:numPr>
        <w:rPr/>
      </w:pPr>
      <w:bookmarkStart w:id="2820" w:name="__RefHeading___Toc607516_1934241801"/>
      <w:bookmarkStart w:id="2821" w:name="_Toc1302"/>
      <w:bookmarkEnd w:id="2820"/>
      <w:r>
        <w:rPr>
          <w:rtl w:val="true"/>
        </w:rPr>
        <w:t xml:space="preserve">روایت </w:t>
      </w:r>
      <w:r>
        <w:rPr/>
        <w:t>37</w:t>
      </w:r>
      <w:bookmarkEnd w:id="2821"/>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صورت پیاده در مراسم تشییع جنازه ای شرکت فرمود، از ایشان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بر مرکب سوار نمی شوی؟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ناپسند می شمارم که بر مرکب سوار شوم درحالی که ملائکه پیاده حرکت می کنند؛ پس از سوار شدن امتناع ورزید</w:t>
      </w:r>
      <w:r>
        <w:rPr>
          <w:rFonts w:eastAsia="IRNazanin" w:cs="IRNazanin"/>
          <w:color w:val="111111"/>
          <w:sz w:val="28"/>
          <w:szCs w:val="28"/>
          <w:rtl w:val="true"/>
          <w:lang w:bidi="fa-IR"/>
        </w:rPr>
        <w:t>.</w:t>
      </w:r>
    </w:p>
    <w:p>
      <w:pPr>
        <w:pStyle w:val="Heading5"/>
        <w:numPr>
          <w:ilvl w:val="4"/>
          <w:numId w:val="1"/>
        </w:numPr>
        <w:rPr/>
      </w:pPr>
      <w:bookmarkStart w:id="2822" w:name="__RefHeading___Toc607518_1934241801"/>
      <w:bookmarkStart w:id="2823" w:name="_Toc1303"/>
      <w:bookmarkEnd w:id="2822"/>
      <w:r>
        <w:rPr>
          <w:rtl w:val="true"/>
        </w:rPr>
        <w:t>توضیح</w:t>
      </w:r>
      <w:bookmarkEnd w:id="2823"/>
    </w:p>
    <w:p>
      <w:pPr>
        <w:pStyle w:val="BookText"/>
        <w:rPr/>
      </w:pPr>
      <w:r>
        <w:rPr>
          <w:rFonts w:ascii="IRNazanin" w:hAnsi="IRNazanin" w:eastAsia="IRNazanin"/>
          <w:color w:val="111111"/>
          <w:sz w:val="28"/>
          <w:sz w:val="28"/>
          <w:szCs w:val="28"/>
          <w:rtl w:val="true"/>
          <w:lang w:bidi="fa-IR"/>
        </w:rPr>
        <w:t>شیخ نظیر این حدیث را در حدیثی ظاهراً صحیح از امام صادق علیه السلام روایت کرده است</w:t>
      </w:r>
      <w:r>
        <w:rPr>
          <w:rStyle w:val="FootnoteAnchor"/>
          <w:rtl w:val="true"/>
        </w:rPr>
        <w:footnoteReference w:id="1342"/>
      </w:r>
    </w:p>
    <w:p>
      <w:pPr>
        <w:pStyle w:val="BookText"/>
        <w:rPr/>
      </w:pPr>
      <w:r>
        <w:rPr>
          <w:rFonts w:ascii="IRNazanin" w:hAnsi="IRNazanin" w:eastAsia="IRNazanin"/>
          <w:color w:val="111111"/>
          <w:sz w:val="28"/>
          <w:sz w:val="28"/>
          <w:szCs w:val="28"/>
          <w:rtl w:val="true"/>
          <w:lang w:bidi="fa-IR"/>
        </w:rPr>
        <w:t>و حکم مذکور در این حدیث، به پیامبر صلّی الله علیه و آله و یا جنازه مشخصی اختصاص ندارد، بلکه دلیل عمومی است و این سخن را حدیثی که عامّه از ثوبان روایت کرده اند تأیید می کند، از ثوبان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پیامبر صلّی الله علیه و آله در مراسم تشییع جنازه ای شرکت کردیم، پیامبر مردمانی را مشاهده کرد که سواره بودند پس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شرم نمی کنید که فرشتگان خداوند بر روی پاهای شان راه می روند و شما بر پشت چهارپایان سوار شده اید؟</w:t>
      </w:r>
      <w:r>
        <w:rPr>
          <w:rStyle w:val="FootnoteAnchor"/>
          <w:rtl w:val="true"/>
        </w:rPr>
        <w:footnoteReference w:id="1343"/>
      </w:r>
    </w:p>
    <w:p>
      <w:pPr>
        <w:pStyle w:val="BookText"/>
        <w:rPr/>
      </w:pPr>
      <w:r>
        <w:rPr>
          <w:rFonts w:ascii="IRNazanin" w:hAnsi="IRNazanin" w:eastAsia="IRNazanin"/>
          <w:color w:val="111111"/>
          <w:sz w:val="28"/>
          <w:sz w:val="28"/>
          <w:szCs w:val="28"/>
          <w:rtl w:val="true"/>
          <w:lang w:bidi="fa-IR"/>
        </w:rPr>
        <w:t>و در المنتهی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راه رفتن در مراسم تشییع جنازه مستحبّ و سوار شدن بر مرکب مکروه است؛ این نظر متعلّق به جمهور علما است</w:t>
      </w:r>
      <w:r>
        <w:rPr>
          <w:rFonts w:eastAsia="IRNazanin" w:cs="IRNazanin"/>
          <w:color w:val="111111"/>
          <w:sz w:val="28"/>
          <w:szCs w:val="28"/>
          <w:rtl w:val="true"/>
          <w:lang w:bidi="fa-IR"/>
        </w:rPr>
        <w:t>.</w:t>
      </w:r>
    </w:p>
    <w:p>
      <w:pPr>
        <w:pStyle w:val="Heading5"/>
        <w:numPr>
          <w:ilvl w:val="4"/>
          <w:numId w:val="1"/>
        </w:numPr>
        <w:rPr/>
      </w:pPr>
      <w:bookmarkStart w:id="2824" w:name="__RefHeading___Toc607520_1934241801"/>
      <w:bookmarkStart w:id="2825" w:name="_Toc1304"/>
      <w:bookmarkEnd w:id="2824"/>
      <w:r>
        <w:rPr>
          <w:rtl w:val="true"/>
        </w:rPr>
        <w:t xml:space="preserve">روایت </w:t>
      </w:r>
      <w:r>
        <w:rPr/>
        <w:t>38</w:t>
      </w:r>
      <w:bookmarkEnd w:id="2825"/>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زرارة روایت شده که امام باقر علیه السلام در مراسم تشییع جنازه مردی قریشی شرکت فرمود و من نیز همراه ایشان بودم، عطاء نیز در آن مراسم حضور داشت، پس زنی فریاد برآورد، عطاء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می شوی یا ما باز می گردیم، آن زن ساکت نشد و عطاء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bookmarkStart w:id="2826" w:name="pg13517_329312"/>
    </w:p>
    <w:p>
      <w:pPr>
        <w:pStyle w:val="BookText"/>
        <w:rPr/>
      </w:pPr>
      <w:bookmarkEnd w:id="2826"/>
      <w:r>
        <w:rPr>
          <w:rFonts w:ascii="Amiri" w:hAnsi="Amiri" w:eastAsia="Amiri" w:cs="Amiri"/>
          <w:color w:val="111111"/>
          <w:sz w:val="28"/>
          <w:sz w:val="28"/>
          <w:szCs w:val="28"/>
          <w:rtl w:val="true"/>
          <w:lang w:bidi="ar-SA"/>
        </w:rPr>
        <w:t xml:space="preserve">عليه السلام إِنَّ عَطَا قَدْ رَجَعَ قَالَ وَ لِمَ قُلْتُ كَانَ كَذَا وَ كَذَا قَالَ امْضِ بِنَا فَلَوْ أَنَّا إِذَا رَأَيْنَا شَيْئاً مِنَ الْبَاطِلِ تَرَكْنَا الْحَقَّ لَمْ نَقْضِ حَقَّ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صَلَّي عَلَي الْجِنَازَةِ قَالَ وَلِيُّهَا لِأَبِي جَعْفَرٍ عليه السلام انْصَرِفْ مَأْجُوراً رَحِمَكَ اللَّهُ فَإِنَّكَ لَا تَقْدِرُ عَلَي الْمَشْيِ فَأَبَي أَنْ يَرْجِعَ قَالَ فَقُلْتُ قَدْ أَذِنَ لَكَ فِي الرُّجُوعِ وَ لِي حَاجَةٌ أُرِيدُ أَنْ أَسْأَلَكَ عَنْهَا فَقَالَ امْضِهْ فَلَيْسَ بِإِذْنِهِ جِئْنَا وَ لَا بِإِذْنِهِ نَرْجِعُ إِنَّمَا هُوَ فَضْلٌ طَلَبْنَاهُ فَبِقَدْرِ مَا يَتْبَعُ الرَّجُلُ يُؤْجَرُ عَلَي ذَلِكَ</w:t>
      </w:r>
      <w:r>
        <w:rPr>
          <w:rFonts w:eastAsia="Amiri" w:cs="Amiri" w:ascii="Amiri" w:hAnsi="Amiri"/>
          <w:color w:val="111111"/>
          <w:sz w:val="28"/>
          <w:szCs w:val="28"/>
          <w:rtl w:val="true"/>
          <w:lang w:bidi="ar-SA"/>
        </w:rPr>
        <w:t>.</w:t>
      </w:r>
    </w:p>
    <w:p>
      <w:pPr>
        <w:pStyle w:val="Heading5"/>
        <w:numPr>
          <w:ilvl w:val="4"/>
          <w:numId w:val="1"/>
        </w:numPr>
        <w:rPr/>
      </w:pPr>
      <w:bookmarkStart w:id="2827" w:name="__RefHeading___Toc607522_1934241801"/>
      <w:bookmarkStart w:id="2828" w:name="_Toc1305"/>
      <w:bookmarkEnd w:id="2827"/>
      <w:r>
        <w:rPr>
          <w:rtl w:val="true"/>
        </w:rPr>
        <w:t>إيضاح</w:t>
      </w:r>
      <w:bookmarkEnd w:id="2828"/>
    </w:p>
    <w:p>
      <w:pPr>
        <w:pStyle w:val="BookText"/>
        <w:rPr/>
      </w:pPr>
      <w:r>
        <w:rPr>
          <w:rFonts w:ascii="Amiri" w:hAnsi="Amiri" w:eastAsia="Amiri" w:cs="Amiri"/>
          <w:color w:val="111111"/>
          <w:sz w:val="28"/>
          <w:sz w:val="28"/>
          <w:szCs w:val="28"/>
          <w:rtl w:val="true"/>
          <w:lang w:bidi="ar-SA"/>
        </w:rPr>
        <w:t>رواه في الكافي‌</w:t>
      </w:r>
      <w:r>
        <w:rPr>
          <w:rStyle w:val="FootnoteAnchor"/>
          <w:rtl w:val="true"/>
        </w:rPr>
        <w:footnoteReference w:id="1344"/>
      </w:r>
      <w:r>
        <w:rPr>
          <w:rFonts w:ascii="Amiri" w:hAnsi="Amiri" w:eastAsia="Amiri" w:cs="Amiri"/>
          <w:color w:val="111111"/>
          <w:sz w:val="28"/>
          <w:sz w:val="28"/>
          <w:szCs w:val="28"/>
          <w:rtl w:val="true"/>
          <w:lang w:bidi="ar-SA"/>
        </w:rPr>
        <w:t xml:space="preserve">بسند حسن و عطا هو ابن أبي رباح و كان بنو أمية يعظمونه جدا حتي أمروا المنادي ينادي لا يفتي الناس إلا عطا و إن لم يكن فعبد الله بن أبي نجيح و كان عطا أعور أفطس أعرج شديد السواد ذكره ابن الجوزي في تاريخه و في القاموس الصرخة الصيحة الشديدة و كغراب الصوت أو شديدة و الصارخ المغيث و المستغيث ضد انتهي أي صاحت بالنوح و الجزع امرأة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البهائي قدس الله روحه يستفاد من هذا الحديث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تأكد كراهة الصراخ علي الميت حيث جعله عليه السلام من الباطل و لعل ذلك بالنسبة إلي المرأة إذا سمع صوتها الأجانب إن لم نجعل مطلق إسماع المرأة صوتها الأجانب محرما بل مع خوف الفتنة لا بدونه كما ذكره بعض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رؤية الأمور الباطلة و سماعها لا ينهض عذرا في التقاعد عن قضاء حقوق الإخوان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موافقتهم بامتثال ما يستدعونه من الاقتصار علي اليسير من الإكرام و تأدية الحقوق ليس أفضل من مخالفتهم في ذلك بل الأمر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تعجيل قضاء حاجة المؤمن ليس أهم من تشييع الجنازة بل</w:t>
      </w:r>
    </w:p>
    <w:p>
      <w:pPr>
        <w:pStyle w:val="BookText"/>
        <w:rPr/>
      </w:pPr>
      <w:r>
        <w:rPr>
          <w:rFonts w:ascii="IRNazanin" w:hAnsi="IRNazanin" w:eastAsia="IRNazanin"/>
          <w:color w:val="111111"/>
          <w:sz w:val="28"/>
          <w:sz w:val="28"/>
          <w:szCs w:val="28"/>
          <w:rtl w:val="true"/>
          <w:lang w:bidi="fa-IR"/>
        </w:rPr>
        <w:t>عطاء بازگشت،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اتفاقی روی داد،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ما مسیر را ادامه دهید، چرا که اگر ما عمل باطلی را مشاهده نمودیم به خاطر آن حقّ مسلمانی را نقض نخواهیم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شرکت کردن در مراسم تشییع جنازه است که حقّ هر مسلمانی بر برادر مسلمانش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علیه السلام بر جنازه نماز گزارد، ولیّ میّت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مورد رحمت خویش قرار دهد، در حالی که مأجور هستید بازگردید، چرا که شما توان راه رفتن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از بازگشتن سرباز زد،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اجازه داد که بازگردید و من نیز حاجتی دارم که می خواهم آن را از شما سئوال کنم، ولی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مسیر ادامه بده، ما با اجازه او نیامده ایم و با اجازه او نیز بازنخواهیم گشت، شرکت در مراسم تشییع جنازه فضیلتی است که خود آن را طلب کرده ایم، پس به اندازه ای که شخص، جنازه را دنبال کند به همان اندازه مأجور خواهد بود</w:t>
      </w:r>
      <w:r>
        <w:rPr>
          <w:rFonts w:eastAsia="IRNazanin" w:cs="IRNazanin"/>
          <w:color w:val="111111"/>
          <w:sz w:val="28"/>
          <w:szCs w:val="28"/>
          <w:rtl w:val="true"/>
          <w:lang w:bidi="fa-IR"/>
        </w:rPr>
        <w:t>.</w:t>
      </w:r>
    </w:p>
    <w:p>
      <w:pPr>
        <w:pStyle w:val="Heading5"/>
        <w:numPr>
          <w:ilvl w:val="4"/>
          <w:numId w:val="1"/>
        </w:numPr>
        <w:rPr/>
      </w:pPr>
      <w:bookmarkStart w:id="2829" w:name="__RefHeading___Toc607524_1934241801"/>
      <w:bookmarkStart w:id="2830" w:name="_Toc1306"/>
      <w:bookmarkEnd w:id="2829"/>
      <w:r>
        <w:rPr>
          <w:rtl w:val="true"/>
        </w:rPr>
        <w:t>توضیح</w:t>
      </w:r>
      <w:bookmarkEnd w:id="2830"/>
    </w:p>
    <w:p>
      <w:pPr>
        <w:pStyle w:val="BookText"/>
        <w:rPr/>
      </w:pPr>
      <w:r>
        <w:rPr>
          <w:rFonts w:ascii="IRNazanin" w:hAnsi="IRNazanin" w:eastAsia="IRNazanin"/>
          <w:color w:val="111111"/>
          <w:sz w:val="28"/>
          <w:sz w:val="28"/>
          <w:szCs w:val="28"/>
          <w:rtl w:val="true"/>
          <w:lang w:bidi="fa-IR"/>
        </w:rPr>
        <w:t xml:space="preserve">شیخ کلینی این حدیث را در الکافی با سند حسن روایت کرده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رباح می باشد، و بنی امیّه او را بسیار گرامی می داشتند، تا جایی که به ندا دهنده ای فرمان دادند ندا سر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عطاء کسی برای مردم فتوا صادر نمی کند؛ و اگر منظور از عطاء، ابن أبی رباح نباشد پس منظور، عبدالله بن أبی نجیح است، عطاء مردی تک چشم، دارای بینی پهن، لَنگ و بسیار سیاه بوده است و ابن جوزی در کتاب تاریخ خویش به ذکر او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یا صدای شدید،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کننده و کمک طلبنده، این کلمه از جمله کلمات اضداد است، 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ضَرَخَت صارخة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با نوحه و بی تابی فریاد برکشید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بهایی قدّس الله روحه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از این حدیث استخراج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کردن بر کراهت فریاد زدن و آه و ناله سردادن هنگام حضور یافتن در کنار میّت، تا جایی که امام باقر علیه السلام این کار را از جمله امور باطل به شمار آورده است، شاید این حکم نسبت به زنان باشد آن گاه که افراد نامحرم صدای آنان را بشنوند، و این در صورتی است که رسیدن صدای زنان به گوش مردان نامحرم را به صورت مطلق حرام نپنداریم، بلکه این حکم مخصوص زمانی است که بیم وقوع فتنه وجود داشته باشد نه غیر آن، چنان که  عدّه ای از علمای ما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کردن و شنیدن امور باطل، باعث پذیرفته شدن عذر در عدم به جا آوردن حقوق برادران مسلمان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ایشان با پذیرفتن آنچه استدعا دارند به بسنده کردن به مقدار اندک از گرامی داشتن است و به جای آوردن حقوق، بهتر از مخالفت کردن با ایشان در این زمینه نیست، بلکه موضوع برعکس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تعجیل در برآورده کردن نیازهای مؤمن از تشییع جنازه مهم تر نیست، بلکه </w:t>
      </w:r>
      <w:bookmarkStart w:id="2831" w:name="pg13517_329313"/>
    </w:p>
    <w:p>
      <w:pPr>
        <w:pStyle w:val="BookText"/>
        <w:rPr/>
      </w:pPr>
      <w:bookmarkEnd w:id="2831"/>
      <w:r>
        <w:rPr>
          <w:rFonts w:ascii="Amiri" w:hAnsi="Amiri" w:eastAsia="Amiri" w:cs="Amiri"/>
          <w:color w:val="111111"/>
          <w:sz w:val="28"/>
          <w:sz w:val="28"/>
          <w:szCs w:val="28"/>
          <w:rtl w:val="true"/>
          <w:lang w:bidi="ar-SA"/>
        </w:rPr>
        <w:t>الأمر بالعكس و لعل عدم سؤال زرارة حاجته من الإمام عليه السلام في ذلك المجمع و إرادته أن يرجع ليسأله عنها لأنها كانت مسألة دينية لا يمكنه إظهارها في ذلك الوقت لحضور جماعة من المخالفين فأراد أن يرجع عليه السلام ليخلو به و يسأله عنها انتهي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في المنتهي لو رأي منكرا مع الجنازة أو سمعه فإن قدر علي إنكاره و إزالته فعل و أزاله و إن لم يقدر علي إزالته استحب له التشييع و لا يرجع لذلك خلافا لأحمد</w:t>
      </w:r>
      <w:r>
        <w:rPr>
          <w:rFonts w:eastAsia="Amiri" w:cs="Amiri" w:ascii="Amiri" w:hAnsi="Amiri"/>
          <w:color w:val="111111"/>
          <w:sz w:val="28"/>
          <w:szCs w:val="28"/>
          <w:rtl w:val="true"/>
          <w:lang w:bidi="ar-SA"/>
        </w:rPr>
        <w:t>.</w:t>
      </w:r>
    </w:p>
    <w:p>
      <w:pPr>
        <w:pStyle w:val="Heading5"/>
        <w:numPr>
          <w:ilvl w:val="4"/>
          <w:numId w:val="1"/>
        </w:numPr>
        <w:rPr/>
      </w:pPr>
      <w:bookmarkStart w:id="2832" w:name="__RefHeading___Toc607526_1934241801"/>
      <w:bookmarkStart w:id="2833" w:name="_Toc1307"/>
      <w:bookmarkEnd w:id="2832"/>
      <w:r>
        <w:rPr>
          <w:rtl w:val="true"/>
        </w:rPr>
        <w:t>«</w:t>
      </w:r>
      <w:r>
        <w:rPr/>
        <w:t>39</w:t>
      </w:r>
      <w:r>
        <w:rPr>
          <w:rtl w:val="true"/>
        </w:rPr>
        <w:t>»</w:t>
      </w:r>
      <w:bookmarkEnd w:id="2833"/>
    </w:p>
    <w:p>
      <w:pPr>
        <w:pStyle w:val="BookText"/>
        <w:rPr/>
      </w:pPr>
      <w:r>
        <w:rPr>
          <w:rFonts w:ascii="Amiri" w:hAnsi="Amiri" w:eastAsia="Amiri" w:cs="Amiri"/>
          <w:color w:val="111111"/>
          <w:sz w:val="28"/>
          <w:sz w:val="28"/>
          <w:szCs w:val="28"/>
          <w:rtl w:val="true"/>
          <w:lang w:bidi="ar-SA"/>
        </w:rPr>
        <w:t>الْمُسَلْسَلَاتُ، لِلشَّيْخِ جَعْفَرِ بْنِ أَحْمَدَ الْقُمِّيِّ قَالَ حَدَّثَنَا إِسْمَاعِيلُ بْنُ عَبَّادِ بْنِ الْعَبَّاسِ الْوَزِيرِ قَالَ حَدَّثَنِي سُلَيْمَانُ بْنُ أَحْمَدَ عَنْ أَحْمَدَ بْنِ أَبِي يَحْيَي الْحَضْرَمِيِّ عَنْ مُحَمَّدِ بْنِ دَاوُدَ بْنِ أَبِي نَاجِيَةَ عَنْ سُفْيَانَ بْنِ عُيَيْنَةَ قَالَ الزُّهْرِيُّ حَدَّثَنِيهِ وَ مَعْمَرٌ أَثَبَتَنِيهِ أَخَذْتُهُ مِنْ فَلْقِ فِيهِ يُعِيدُهُ وَ يُبْدِيهِ عَنْ سَالِمٍ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وَ أَبَا بَكْرٍ وَ عُمَرَ كَانُوا يَمْشُونَ أَمَامَ السَّرِيرِ</w:t>
      </w:r>
      <w:r>
        <w:rPr>
          <w:rFonts w:eastAsia="Amiri" w:cs="Amiri" w:ascii="Amiri" w:hAnsi="Amiri"/>
          <w:color w:val="111111"/>
          <w:sz w:val="28"/>
          <w:szCs w:val="28"/>
          <w:rtl w:val="true"/>
          <w:lang w:bidi="ar-SA"/>
        </w:rPr>
        <w:t>.</w:t>
      </w:r>
    </w:p>
    <w:p>
      <w:pPr>
        <w:pStyle w:val="Heading5"/>
        <w:numPr>
          <w:ilvl w:val="4"/>
          <w:numId w:val="1"/>
        </w:numPr>
        <w:rPr/>
      </w:pPr>
      <w:bookmarkStart w:id="2834" w:name="__RefHeading___Toc607528_1934241801"/>
      <w:bookmarkStart w:id="2835" w:name="_Toc1308"/>
      <w:bookmarkEnd w:id="2834"/>
      <w:r>
        <w:rPr>
          <w:rtl w:val="true"/>
        </w:rPr>
        <w:t>«</w:t>
      </w:r>
      <w:r>
        <w:rPr/>
        <w:t>40</w:t>
      </w:r>
      <w:r>
        <w:rPr>
          <w:rtl w:val="true"/>
        </w:rPr>
        <w:t>»</w:t>
      </w:r>
      <w:bookmarkEnd w:id="2835"/>
    </w:p>
    <w:p>
      <w:pPr>
        <w:pStyle w:val="BookText"/>
        <w:rPr/>
      </w:pPr>
      <w:r>
        <w:rPr>
          <w:rFonts w:ascii="Amiri" w:hAnsi="Amiri" w:eastAsia="Amiri" w:cs="Amiri"/>
          <w:color w:val="111111"/>
          <w:sz w:val="28"/>
          <w:sz w:val="28"/>
          <w:szCs w:val="28"/>
          <w:rtl w:val="true"/>
          <w:lang w:bidi="ar-SA"/>
        </w:rPr>
        <w:t>دَعَائِمُ الْإِسْلَامِ، رُوِّينَا عَنْ جَعْفَرِ بْنِ مُحَمَّدٍ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أَسَرَّ إِلَي فَاطِمَةَ عليها السلام أَنَّهَا أُولَي مَنْ يَلْحَقُ بِهِ مِنْ أَهْلِ بَيْتِهِ فَلَمَّا قُبِضَ وَ نَالَهَا مِنَ الْقَوْمِ مَا نَالَهَا لَزِمَتِ الْفِرَاشَ وَ نَحَلَ جِسْمُهَا وَ ذَابَ لَحْمُهَا وَ صَارَتْ كَالْخَيَالِ وَ عَاشَتْ بَعْدَ رَسُولِ اللَّهِ صَلَوَاتُ اللَّهِ عَلَيْهِمَا سَبْعِينَ يَوْماً فَلَمَّا احْتُضِرَتْ قَالَتْ لِأَسْمَاءَ بِنْتِ عُمَيْسٍ كَيْفَ أُحْمَلُ عَلَي رِقَابِ الرِّجَالِ مَكْشُوفَةً وَ قَدْ صِرْتُ‌</w:t>
      </w:r>
      <w:r>
        <w:rPr>
          <w:rStyle w:val="FootnoteAnchor"/>
          <w:rtl w:val="true"/>
        </w:rPr>
        <w:footnoteReference w:id="1345"/>
      </w:r>
      <w:r>
        <w:rPr>
          <w:rFonts w:ascii="Amiri" w:hAnsi="Amiri" w:eastAsia="Amiri" w:cs="Amiri"/>
          <w:color w:val="111111"/>
          <w:sz w:val="28"/>
          <w:sz w:val="28"/>
          <w:szCs w:val="28"/>
          <w:rtl w:val="true"/>
          <w:lang w:bidi="ar-SA"/>
        </w:rPr>
        <w:t>كَالْخَيَالِ وَ جَفَّ جِلْدِي عَلَي عَظْمِي قَالَتْ أَسْمَاءُ يَا بِنْتَ رَسُولِ اللَّهِ إِنْ قَضَي اللَّهُ عَلَيْكِ بِأَمْرٍ فَسَوْفَ أَصْنَعُ لَكِ شَيْئاً رَأَيْتُهُ فِي بَلَدِ الْحَبَشَةِ قَالَتْ وَ مَا هُوَ قَالَتِ النَّعْشُ يَجْعَلُونَهُ مِنْ فَوْقِ السَّرِيرِ عَلَي الْمَيِّتِ يَسْتُرُهُ قَالَتْ لَهَا افْعَلِي فَلَمَّا قُبِضَتْ صَلَوَاتُ اللَّهِ عَلَيْهَا صَنَعَتْهُ لَهَا أَسْمَاءُ فَكَانَ أَوَّلَ نَعْشٍ عُمِلَ لِلنِّسَاءِ فِي الْإِسْلَامِ‌</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برعکس است، شاید عدم درخواست زرارة از امام باقر علیه السلام برای برآورده کردن حاجتش در آن جمع و موکول کردن آن به زمان بازگشت، به این سبب باشد که آن درخواست مسأله ای دینی بوده است که اظهار کردنش در آن زمان و با حضور عدّه ای از مخالفان برای زرارة امکان پذیر نبوده است، پس خواسته که امام علیه السلام از مراسم تشییع باز گردد تا در خلوت درخواست خود را مطرح نماید، پایان کلام شیخ بهایی، خداوند مقام او را بلند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هنگام تشییع جنازه، منکری را مشاهده کند یا بشنود و قدرت انکار و از بین بردن آن را داشته باشد باید چنین کند و آن منکر را از میان بردارد، امّا اگر قدرت از بین بردن منکر را نداشته باشد مستحبّ است که به تشییع جنازه</w:t>
      </w:r>
    </w:p>
    <w:p>
      <w:pPr>
        <w:pStyle w:val="BookText"/>
        <w:rPr/>
      </w:pPr>
      <w:r>
        <w:rPr>
          <w:rFonts w:ascii="IRNazanin" w:hAnsi="IRNazanin" w:eastAsia="IRNazanin"/>
          <w:color w:val="111111"/>
          <w:sz w:val="28"/>
          <w:sz w:val="28"/>
          <w:szCs w:val="28"/>
          <w:rtl w:val="true"/>
          <w:lang w:bidi="fa-IR"/>
        </w:rPr>
        <w:t>ادامه دهد، و نباید بازگردد برخلاف نظر احمد</w:t>
      </w:r>
      <w:r>
        <w:rPr>
          <w:rFonts w:eastAsia="IRNazanin" w:cs="IRNazanin"/>
          <w:color w:val="111111"/>
          <w:sz w:val="28"/>
          <w:szCs w:val="28"/>
          <w:rtl w:val="true"/>
          <w:lang w:bidi="fa-IR"/>
        </w:rPr>
        <w:t>.</w:t>
      </w:r>
    </w:p>
    <w:p>
      <w:pPr>
        <w:pStyle w:val="Heading5"/>
        <w:numPr>
          <w:ilvl w:val="4"/>
          <w:numId w:val="1"/>
        </w:numPr>
        <w:rPr/>
      </w:pPr>
      <w:bookmarkStart w:id="2836" w:name="__RefHeading___Toc607530_1934241801"/>
      <w:bookmarkStart w:id="2837" w:name="_Toc1309"/>
      <w:bookmarkEnd w:id="2836"/>
      <w:r>
        <w:rPr>
          <w:rtl w:val="true"/>
        </w:rPr>
        <w:t xml:space="preserve">روایت </w:t>
      </w:r>
      <w:r>
        <w:rPr/>
        <w:t>39</w:t>
      </w:r>
      <w:bookmarkEnd w:id="2837"/>
    </w:p>
    <w:p>
      <w:pPr>
        <w:pStyle w:val="BookText"/>
        <w:rPr/>
      </w:pPr>
      <w:r>
        <w:rPr>
          <w:rFonts w:ascii="IRNazanin" w:hAnsi="IRNazanin" w:eastAsia="IRNazanin"/>
          <w:color w:val="111111"/>
          <w:sz w:val="28"/>
          <w:sz w:val="28"/>
          <w:szCs w:val="28"/>
          <w:rtl w:val="true"/>
          <w:lang w:bidi="fa-IR"/>
        </w:rPr>
        <w:t>المسلسلات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بن احمد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از پدرش روایت کرده که پیامبر صلّی الله علیه و آله، ابوبکر و عمر پیشاپیش تابوت حرکت می کردند </w:t>
      </w:r>
      <w:r>
        <w:rPr>
          <w:rFonts w:eastAsia="IRNazanin" w:cs="IRNazanin"/>
          <w:color w:val="111111"/>
          <w:sz w:val="28"/>
          <w:szCs w:val="28"/>
          <w:rtl w:val="true"/>
          <w:lang w:bidi="fa-IR"/>
        </w:rPr>
        <w:t>.</w:t>
      </w:r>
    </w:p>
    <w:p>
      <w:pPr>
        <w:pStyle w:val="Heading5"/>
        <w:numPr>
          <w:ilvl w:val="4"/>
          <w:numId w:val="1"/>
        </w:numPr>
        <w:rPr/>
      </w:pPr>
      <w:bookmarkStart w:id="2838" w:name="__RefHeading___Toc607532_1934241801"/>
      <w:bookmarkStart w:id="2839" w:name="_Toc1310"/>
      <w:bookmarkEnd w:id="2838"/>
      <w:r>
        <w:rPr>
          <w:rtl w:val="true"/>
        </w:rPr>
        <w:t xml:space="preserve">روایت </w:t>
      </w:r>
      <w:r>
        <w:rPr/>
        <w:t>40</w:t>
      </w:r>
      <w:bookmarkEnd w:id="2839"/>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از پدرش علیهما السلام روایت کرده که رسول خدا صلّی الله علیه و آله به صورت مخفیانه به فاطمه علیها السلام خبر داد که نخستین کسی خواهد بود که از میان اهل بیتش به او خواهد پیوست، پس آن گاه که رسول خدا وفات یافت و آنچه را که در تاریخ ذکر شده به وسیله قوم بر فاطمه روا داشته شد، در بستر قرار گرفت و جسمش نحیف و گوشت بدنش آب شد و از فرط ضعف و لاغری به سانِ خیال گشت، فاطمه علیها السلام هفتاد روز پس از رسول خدا صلّی الله علیه و آله زندگی کرد، و هنگامی  که در حال احتضار قرار گرفت به اسماء دختر عُمَیس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صورت آشکار بر دوش مردان حمل شوم حال آنکه به سانِ شبَه گشته ام و پوست بر استخوانم خشک شده است؟</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اگر قضا و قدر الهی در مورد شما به اجرا درآمد و وفات نمودید، چیزی برای حمل جنازه شما خواهم ساخت که در سرزمین حبشه مشاهده کرده ام،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چیست؟ 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آن را بر روی تخت مخصوص حمل جنازه قرار می دهند و میّت را می پوشاند، فاطمه به اسماء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کن که می گویی؛ پس هنگامی  که فاطمه علیها السلام وفات نمود، اسماء برای حمل جنازه او تابوت ساخت و این اولین تابوتی بود که در اسلام برای زنان ساخته شد</w:t>
      </w:r>
      <w:r>
        <w:rPr>
          <w:rFonts w:eastAsia="IRNazanin" w:cs="IRNazanin"/>
          <w:color w:val="111111"/>
          <w:sz w:val="28"/>
          <w:szCs w:val="28"/>
          <w:rtl w:val="true"/>
          <w:lang w:bidi="fa-IR"/>
        </w:rPr>
        <w:t>.</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نَهَي أَنْ يُوضَعَ الْحَنُوطُ عَلَي النَّعْشِ‌</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إِلَي نَعْشٍ رُبِطَتْ عَلَيْهِ حُلَّتَانِ حَمْرَاءُ وَ صَفْرَاءُ زُيِّنَ بِهِمَا فَأَمَرَ عليه السلام بِهِمَا فَنُزِعَتَا وَ قَالَ سَمِعْتُ رَسُولَ اللَّهِ صلي الله عليه و آله يَقُولُ أَوَّلُ عَدْلِ الْآخِرَةِ الْقُبُورُ لَا يُعْرَفُ فِيهَا غَنِيٌّ مِنْ فَقِيرٍ</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إِلَي قَوْمٍ مَرَّتْ بِهِمْ جَنَازَةٌ فَقَامُوا قِيَاماً عَلَي أَقْدَامِهِمْ فَأَشَارَ إِلَيْهِمْ أَنِ اجْلِسُوا</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مَشَي مَعَ جَنَازَةٍ فَمَرَّ عَلَي قَوْمٍ فَذَهَبُوا لِيَقُومُوا فَنَهَاهُمْ فَلَمَّا انْتَهَي إِلَي الْقَبْرِ وَقَفَ يَتَحَدَّثُ مَعَ أَبِي هُرَيْرَةَ وَ ابْنِ الزُّبَيْرِ حَتَّي وُضِعَتِ الْجَنَازَةُ فَلَمَّا وُضِعَتْ جَلَسَ وَ جَلَسُوا</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رَسُولَ اللَّهِ صلي الله عليه و آله يَقُولُ فِي جَنَازَةٍ مَا أَدْرِي أَيُّهُمْ أَعْظَمُ ذَنْباً الَّذِي يَمْشِي مَعَ الْجَنَازَةِ بِغَيْرِ رِدَاءٍ أَمِ الَّذِي يَقُولُ ارْفُقُوا رَفَقَ اللَّهُ بِكُمْ أَمِ الَّذِي يَقُولُ اسْتَغْفِرُوا لَهُ غَفَرَ اللَّهُ لَكُمْ‌</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أَسْرِعُوا بِالْجَنَائِزِ وَ لَا تَدِبُّوا بِهَا</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حَمْلِ الْجَنَازَةِ أَ وَاجِبٌ هُوَ عَلَي مَنْ شَهِدَهَا قَالَ لَا وَ لَكِنَّهُ خَيْرٌ مَنْ شَاءَ أَخَذَ وَ مَنْ شَاءَ تَرَكَ‌</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رَخَّصَ فِي حَمْلِ الْجَنَازَةِ عَلَي الدَّابَّةِ هَذَا إِذَا لَمْ يُوجَدْ مَنْ يَحْمِلُهَا أَوْ مِنْ عُذْرٍ فَأَمَّا السُّنَّةُ أَنْ يَحْمِلَهَا الرِّجَالُ‌</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يَسْتَحِبُّ لِمَنْ بَدَا لَهُ أَنْ يُعِينَ فِي حَمْلِ الْجَنَازَةِ أَنْ يَبْدَأَ بِيَاسِرَةِ السَّرِيرِ فَيَأْخُذَهَا مِمَّنْ هِيَ فِي يَدَيْهِ بِيَمِينِهِ ثُمَّ يَدُورُ بِالْجَوَانِبِ الْأَرْبَعَةِ</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علی علیه السلام روایت شده که رسول خدا صلّی الله علیه و آله از قرار دادن هر چیز خوشبو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تابوت نهی می فرمود</w:t>
      </w:r>
      <w:r>
        <w:rPr>
          <w:rFonts w:eastAsia="IRNazanin" w:cs="IRNazanin"/>
          <w:color w:val="111111"/>
          <w:sz w:val="28"/>
          <w:szCs w:val="28"/>
          <w:rtl w:val="true"/>
          <w:lang w:bidi="fa-IR"/>
        </w:rPr>
        <w:t>.</w:t>
      </w:r>
      <w:r>
        <w:rPr>
          <w:rStyle w:val="FootnoteAnchor"/>
          <w:rtl w:val="true"/>
        </w:rPr>
        <w:footnoteReference w:id="1357"/>
      </w:r>
    </w:p>
    <w:p>
      <w:pPr>
        <w:pStyle w:val="BookText"/>
        <w:rPr/>
      </w:pPr>
      <w:r>
        <w:rPr>
          <w:rFonts w:ascii="IRNazanin" w:hAnsi="IRNazanin" w:eastAsia="IRNazanin"/>
          <w:color w:val="111111"/>
          <w:sz w:val="28"/>
          <w:sz w:val="28"/>
          <w:szCs w:val="28"/>
          <w:rtl w:val="true"/>
          <w:lang w:bidi="fa-IR"/>
        </w:rPr>
        <w:t>همچنین روایت شده که امام علی علیه السلام به تابوتی نگاه انداخت که دو پارچه قرمز و زرد به آن وصل و با آن ها تزئین شده بود، پس فرمان داد که برداشته شوند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نشانه های عدالت در آخرت، قبور هستند که غنی و فقیر در آنها از هم تشخیص داده نمی شود</w:t>
      </w:r>
      <w:r>
        <w:rPr>
          <w:rFonts w:eastAsia="IRNazanin" w:cs="IRNazanin"/>
          <w:color w:val="111111"/>
          <w:sz w:val="28"/>
          <w:szCs w:val="28"/>
          <w:rtl w:val="true"/>
          <w:lang w:bidi="fa-IR"/>
        </w:rPr>
        <w:t>.</w:t>
      </w:r>
      <w:r>
        <w:rPr>
          <w:rStyle w:val="FootnoteAnchor"/>
          <w:rtl w:val="true"/>
        </w:rPr>
        <w:footnoteReference w:id="1358"/>
      </w:r>
    </w:p>
    <w:p>
      <w:pPr>
        <w:pStyle w:val="BookText"/>
        <w:rPr/>
      </w:pPr>
      <w:r>
        <w:rPr>
          <w:rFonts w:ascii="IRNazanin" w:hAnsi="IRNazanin" w:eastAsia="IRNazanin"/>
          <w:color w:val="111111"/>
          <w:sz w:val="28"/>
          <w:sz w:val="28"/>
          <w:szCs w:val="28"/>
          <w:rtl w:val="true"/>
          <w:lang w:bidi="fa-IR"/>
        </w:rPr>
        <w:t>روایت شده است که امام علی علیه السلام به گروهی از مردمان که جنازه ای از مقابل آنان عبور داده می شد نظر انداخت، پس برخاستند و بر روی پاهای خویش ایستادند، ولی امام علیه السلام به آنان اشاره فرمود که بنشینند</w:t>
      </w:r>
      <w:r>
        <w:rPr>
          <w:rFonts w:eastAsia="IRNazanin" w:cs="IRNazanin"/>
          <w:color w:val="111111"/>
          <w:sz w:val="28"/>
          <w:szCs w:val="28"/>
          <w:rtl w:val="true"/>
          <w:lang w:bidi="fa-IR"/>
        </w:rPr>
        <w:t>.</w:t>
      </w:r>
      <w:r>
        <w:rPr>
          <w:rStyle w:val="FootnoteAnchor"/>
          <w:rtl w:val="true"/>
        </w:rPr>
        <w:footnoteReference w:id="1359"/>
      </w:r>
    </w:p>
    <w:p>
      <w:pPr>
        <w:pStyle w:val="BookText"/>
        <w:rPr/>
      </w:pPr>
      <w:r>
        <w:rPr>
          <w:rFonts w:ascii="IRNazanin" w:hAnsi="IRNazanin" w:eastAsia="IRNazanin"/>
          <w:color w:val="111111"/>
          <w:sz w:val="28"/>
          <w:sz w:val="28"/>
          <w:szCs w:val="28"/>
          <w:rtl w:val="true"/>
          <w:lang w:bidi="fa-IR"/>
        </w:rPr>
        <w:t>روایت شده است که امام حسن بن علی علیهماالسلام در پی جنازه ای به راه افتاد، پس عدّه ای از مردم گذر کرد و آنان خواستند برخیزند، ولی امام از برخاستن منع شان فرمود، امام هنگامی  که به سر مزار رسید ایستاد و با ابوهریره و ابن زبیر مشغول صحبت کردن شد تا اینکه جنازه در قبر نهاده شد، و پس از گذاشته شدن جنازه در قبر نشست و دیگران نیز با او نشستند</w:t>
      </w:r>
      <w:r>
        <w:rPr>
          <w:rFonts w:eastAsia="IRNazanin" w:cs="IRNazanin"/>
          <w:color w:val="111111"/>
          <w:sz w:val="28"/>
          <w:szCs w:val="28"/>
          <w:rtl w:val="true"/>
          <w:lang w:bidi="fa-IR"/>
        </w:rPr>
        <w:t>.</w:t>
      </w:r>
      <w:r>
        <w:rPr>
          <w:rStyle w:val="FootnoteAnchor"/>
          <w:rtl w:val="true"/>
        </w:rPr>
        <w:footnoteReference w:id="1360"/>
      </w:r>
    </w:p>
    <w:p>
      <w:pPr>
        <w:pStyle w:val="BookText"/>
        <w:rPr/>
      </w:pPr>
      <w:r>
        <w:rPr>
          <w:rFonts w:ascii="IRNazanin" w:hAnsi="IRNazanin" w:eastAsia="IRNazanin"/>
          <w:color w:val="111111"/>
          <w:sz w:val="28"/>
          <w:sz w:val="28"/>
          <w:szCs w:val="28"/>
          <w:rtl w:val="true"/>
          <w:lang w:bidi="fa-IR"/>
        </w:rPr>
        <w:t>از امام علی علیه السلام روایت شده که از رسول خدا صلّی الله علیه و آله شنیدم که در مراسم تشییع جنازه ای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کدام یک از اینان گناهکارترند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بدون به تن داشتن بالا 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جنازه راه می افتد؟ یا کسی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نرمش و مدارا به خرج دهید، خداوند با شما نرمش و مدارا به خرج دهد؟ و یا کسی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طلب بخشش کنید، خداوند شما را ببخشاید؟</w:t>
      </w:r>
      <w:r>
        <w:rPr>
          <w:rStyle w:val="FootnoteAnchor"/>
          <w:rtl w:val="true"/>
        </w:rPr>
        <w:footnoteReference w:id="1361"/>
      </w:r>
    </w:p>
    <w:p>
      <w:pPr>
        <w:pStyle w:val="BookText"/>
        <w:rPr/>
      </w:pPr>
      <w:r>
        <w:rPr>
          <w:rFonts w:ascii="IRNazanin" w:hAnsi="IRNazanin" w:eastAsia="IRNazanin"/>
          <w:color w:val="111111"/>
          <w:sz w:val="28"/>
          <w:sz w:val="28"/>
          <w:szCs w:val="28"/>
          <w:rtl w:val="true"/>
          <w:lang w:bidi="fa-IR"/>
        </w:rPr>
        <w:t>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ها را سریع حرکت دهید و آن ها را به حالت خزیدن راه مبرید</w:t>
      </w:r>
      <w:r>
        <w:rPr>
          <w:rFonts w:eastAsia="IRNazanin" w:cs="IRNazanin"/>
          <w:color w:val="111111"/>
          <w:sz w:val="28"/>
          <w:szCs w:val="28"/>
          <w:rtl w:val="true"/>
          <w:lang w:bidi="fa-IR"/>
        </w:rPr>
        <w:t>.</w:t>
      </w:r>
      <w:r>
        <w:rPr>
          <w:rStyle w:val="FootnoteAnchor"/>
          <w:rtl w:val="true"/>
        </w:rPr>
        <w:footnoteReference w:id="1362"/>
      </w:r>
    </w:p>
    <w:p>
      <w:pPr>
        <w:pStyle w:val="BookText"/>
        <w:rPr/>
      </w:pPr>
      <w:r>
        <w:rPr>
          <w:rFonts w:ascii="IRNazanin" w:hAnsi="IRNazanin" w:eastAsia="IRNazanin"/>
          <w:color w:val="111111"/>
          <w:sz w:val="28"/>
          <w:sz w:val="28"/>
          <w:szCs w:val="28"/>
          <w:rtl w:val="true"/>
          <w:lang w:bidi="fa-IR"/>
        </w:rPr>
        <w:t>از امام علی علیه السلام درباره حمل جنازه سؤال شد و اینکه آیا حمل جنازه بر هر کسی که آن را مشاهده کند واجب است ؟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ولی حمل جنازه عمل نیکویی است، هرکسی بخواهد آن را انجام می دهد و هرکسی نخواهد می تواند آن را ترک نماید</w:t>
      </w:r>
      <w:r>
        <w:rPr>
          <w:rFonts w:eastAsia="IRNazanin" w:cs="IRNazanin"/>
          <w:color w:val="111111"/>
          <w:sz w:val="28"/>
          <w:szCs w:val="28"/>
          <w:rtl w:val="true"/>
          <w:lang w:bidi="fa-IR"/>
        </w:rPr>
        <w:t xml:space="preserve">. </w:t>
      </w:r>
      <w:r>
        <w:rPr>
          <w:rStyle w:val="FootnoteAnchor"/>
          <w:rtl w:val="true"/>
        </w:rPr>
        <w:footnoteReference w:id="1363"/>
      </w:r>
    </w:p>
    <w:p>
      <w:pPr>
        <w:pStyle w:val="BookText"/>
        <w:rPr/>
      </w:pPr>
      <w:r>
        <w:rPr>
          <w:rFonts w:ascii="IRNazanin" w:hAnsi="IRNazanin" w:eastAsia="IRNazanin"/>
          <w:color w:val="111111"/>
          <w:sz w:val="28"/>
          <w:sz w:val="28"/>
          <w:szCs w:val="28"/>
          <w:rtl w:val="true"/>
          <w:lang w:bidi="fa-IR"/>
        </w:rPr>
        <w:t>روایت شده که امام علی علیه السلام اجازه داد ند اگر کسی برای حمل جنازه حضور نداشته باشد و یا عذر و دلیلی وجود داشته باشد جنازه بر چهارپایان حمل می شود، اما سنّت بر این است که مردان جنازه را حمل کنند</w:t>
      </w:r>
      <w:r>
        <w:rPr>
          <w:rFonts w:eastAsia="IRNazanin" w:cs="IRNazanin"/>
          <w:color w:val="111111"/>
          <w:sz w:val="28"/>
          <w:szCs w:val="28"/>
          <w:rtl w:val="true"/>
          <w:lang w:bidi="fa-IR"/>
        </w:rPr>
        <w:t>.</w:t>
      </w:r>
      <w:r>
        <w:rPr>
          <w:rStyle w:val="FootnoteAnchor"/>
          <w:rtl w:val="true"/>
        </w:rPr>
        <w:footnoteReference w:id="1364"/>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روایت شده است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امکانات فراهم می باشد مستحبّ است در حمل جنازه کمک کند، به این ترتیب که از سمت چپ تابوت آغاز کند و آن قسمت را با دست راستش از دست کسانی که قبلاً به حمل جنازه پرداخته اند بگیرد، سپس به دور چهار سوی تابوت بچرخد</w:t>
      </w:r>
      <w:r>
        <w:rPr>
          <w:rFonts w:eastAsia="IRNazanin" w:cs="IRNazanin"/>
          <w:color w:val="111111"/>
          <w:sz w:val="28"/>
          <w:szCs w:val="28"/>
          <w:rtl w:val="true"/>
          <w:lang w:bidi="fa-IR"/>
        </w:rPr>
        <w:t>.</w:t>
      </w:r>
      <w:r>
        <w:rPr>
          <w:rStyle w:val="FootnoteAnchor"/>
          <w:rtl w:val="true"/>
        </w:rPr>
        <w:footnoteReference w:id="1365"/>
      </w:r>
      <w:bookmarkStart w:id="2840" w:name="pg13517_329315"/>
    </w:p>
    <w:p>
      <w:pPr>
        <w:pStyle w:val="BookText"/>
        <w:rPr/>
      </w:pPr>
      <w:bookmarkEnd w:id="2840"/>
      <w:r>
        <w:rPr>
          <w:rFonts w:ascii="Amiri" w:hAnsi="Amiri" w:eastAsia="Amiri" w:cs="Amiri"/>
          <w:color w:val="111111"/>
          <w:sz w:val="28"/>
          <w:sz w:val="28"/>
          <w:szCs w:val="28"/>
          <w:rtl w:val="true"/>
          <w:lang w:bidi="ar-SA"/>
        </w:rPr>
        <w:t>وَ عَنْهُ عليه السلام أَنَّهُ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الْجَنَازَةَ وَ لَا تَتْبَعْكُمْ خَالِفُوا أَهْلَ الْكِتَابِ وَ إِنَّ رَجُلًا قَالَ لَهُ كَيْفَ أَصْبَحْتَ يَا رَسُولَ اللَّهِ قَالَ خَيْرٌ مِنْ رَجُلٍ لَمْ يَمْشِ وَرَاءَ جَنَازَةٍ وَ لَمْ يَعُدْ مَرِيضاً</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سَعِيدٍ الْخُدْرِيَّ سَأَلَهُ عَنِ الْمَشْيِ مَعَ الْجَنَازَةِ أَيُّ ذَلِكَ أَفْضَلُ أَمَامَهَا أَمْ خَلْفَهَا فَقَالَ عليه السلام لَهُ مِثْلُكَ يَسْأَلُ عَنْ هَذَا قَالَ إِي وَ اللَّهِ لَمِثْلِي يَسْأَلُ عَنْهُ قَالَ عَلِيٌّ إِنَّ فَضْلَ الْمَاشِي خَلْفَهَا عَلَي الْمَاشِي أَمَامَهَا كَفَضْلِ صَلَاةٍ الْمَكْتُوبَةِ عَلَي التَّطَوُّعِ فَقَالَ أَبُو سَعِيدٍ أَ عَنْ نَفْسِكَ تَقُولُ هَذَا أَمْ سَمِعْتَهُ مِنْ رَسُولِ اللَّهِ صلي الله عليه و آله قَالَ بَلْ سَمِعْتُ رَسُولَ اللَّهِ صلي الله عليه و آله يَقُولُهُ‌</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يَمْشِي خَلْفَ الْجَنَازَةِ حَافِياً يَبْتَغِي بِذَلِكَ الْفَضْلَ‌</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مَشَي مَعَ جَنَازَةٍ فَنَظَرَ إِلَي امْرَأَةٍ تَتْبَعُهَا فَوَقَفَ وَ قَالَ رُدُّوا الْمَرْأَةَ فَرُدَّتْ وَ وَقَفَ حَتَّي قِيلَ قَدْ تَوَارَتْ بِجُدُرِ الْمَدِينَةِ يَا رَسُولَ اللَّهِ فَمَضَي صلي الله عليه و آله‌</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عَنْ آبَائِهِ عليهم السلام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دُعِيتُمْ إِلَي الْجَنَائِزِ فَأَسْرِعُوا فَإِنَّهَا تُذَكِّرُكُمُ الْآخِرَةَ</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يُدْعَي إِلَي جِنَازَةٍ وَ وَلِيمَةٍ أَيُّهُمَا يُجِيبُ قَالَ يُجِيبُ الْجِنَازَةَ فَإِنَّ حُضُورَ الْجِنَازَةِ يُذَكِّرُ الْمَوْتَ وَ الْآخِرَةَ وَ حُضُورَ الْوَلَائِمِ يُلْهِي عَنْ ذَلِكَ‌</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1" w:name="__RefHeading___Toc607534_1934241801"/>
      <w:bookmarkStart w:id="2842" w:name="_Toc1311"/>
      <w:bookmarkEnd w:id="2841"/>
      <w:r>
        <w:rPr>
          <w:rtl w:val="true"/>
        </w:rPr>
        <w:t>بيان</w:t>
      </w:r>
      <w:bookmarkEnd w:id="2842"/>
    </w:p>
    <w:p>
      <w:pPr>
        <w:pStyle w:val="BookText"/>
        <w:rPr/>
      </w:pPr>
      <w:r>
        <w:rPr>
          <w:rFonts w:ascii="Amiri" w:hAnsi="Amiri" w:eastAsia="Amiri" w:cs="Amiri"/>
          <w:color w:val="111111"/>
          <w:sz w:val="28"/>
          <w:sz w:val="28"/>
          <w:szCs w:val="28"/>
          <w:rtl w:val="true"/>
          <w:lang w:bidi="ar-SA"/>
        </w:rPr>
        <w:t>قال في القاموس الخيال و الخيالة ما تشبه لك في اليقظة و الحلم من صورة و كساء أسود ينصب علي عود يخيل به للبهائم و الطير فيظنه إنسانا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علی علیه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دنبال جنازه حرکت کنید نه جنازه به دنبال شما، با اهل کتاب مخالفت کنید؛ مردی از 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حال شما چگونه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حال مردی است که به دنبال جنازه راه نمی رود و از بیماران عیادت نمی کند</w:t>
      </w:r>
      <w:r>
        <w:rPr>
          <w:rFonts w:eastAsia="IRNazanin" w:cs="IRNazanin"/>
          <w:color w:val="111111"/>
          <w:sz w:val="28"/>
          <w:szCs w:val="28"/>
          <w:rtl w:val="true"/>
          <w:lang w:bidi="fa-IR"/>
        </w:rPr>
        <w:t>.</w:t>
      </w:r>
      <w:r>
        <w:rPr>
          <w:rStyle w:val="FootnoteAnchor"/>
          <w:rtl w:val="true"/>
        </w:rPr>
        <w:footnoteReference w:id="1372"/>
      </w:r>
    </w:p>
    <w:p>
      <w:pPr>
        <w:pStyle w:val="BookText"/>
        <w:rPr/>
      </w:pPr>
      <w:r>
        <w:rPr>
          <w:rFonts w:ascii="IRNazanin" w:hAnsi="IRNazanin" w:eastAsia="IRNazanin"/>
          <w:color w:val="111111"/>
          <w:sz w:val="28"/>
          <w:sz w:val="28"/>
          <w:szCs w:val="28"/>
          <w:rtl w:val="true"/>
          <w:lang w:bidi="fa-IR"/>
        </w:rPr>
        <w:t>روایت شده است که ابو سعید خُدری از امام 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 پیشاپیش جنازه بهتر است یا پشت سر آن؟ امام علیه السلام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چون تو چنین سؤالی می پرسد؟ ابوسعید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که کسی چون من چنین سؤالی می پرسد،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برتری کسی که پشت سر جنازه حرکت می کند نسبت به کسی  که پیشاپیش آن حرکت می کند، مانند فضل و برتری نمازهای واجب نسبت به نمازهای نافله است، ابوسعید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از خود شماست یا آن را از پیامبر صلّی الله علیه وآله شنیده اید؟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از پیامبر صلّی الله علیه وآله شنیدم که می فرمود</w:t>
      </w:r>
      <w:r>
        <w:rPr>
          <w:rFonts w:eastAsia="IRNazanin" w:cs="IRNazanin"/>
          <w:color w:val="111111"/>
          <w:sz w:val="28"/>
          <w:szCs w:val="28"/>
          <w:rtl w:val="true"/>
          <w:lang w:bidi="fa-IR"/>
        </w:rPr>
        <w:t>.</w:t>
      </w:r>
      <w:r>
        <w:rPr>
          <w:rStyle w:val="FootnoteAnchor"/>
          <w:rtl w:val="true"/>
        </w:rPr>
        <w:footnoteReference w:id="1373"/>
      </w:r>
    </w:p>
    <w:p>
      <w:pPr>
        <w:pStyle w:val="BookText"/>
        <w:rPr/>
      </w:pPr>
      <w:r>
        <w:rPr>
          <w:rFonts w:ascii="IRNazanin" w:hAnsi="IRNazanin" w:eastAsia="IRNazanin"/>
          <w:color w:val="111111"/>
          <w:sz w:val="28"/>
          <w:sz w:val="28"/>
          <w:szCs w:val="28"/>
          <w:rtl w:val="true"/>
          <w:lang w:bidi="fa-IR"/>
        </w:rPr>
        <w:t>روایت شده است که امام علی علیه السلام به خاطر کسب خیر و فضیلت به صورت پیاده در پشت سر جنازه حرکت می کرد</w:t>
      </w:r>
      <w:r>
        <w:rPr>
          <w:rFonts w:eastAsia="IRNazanin" w:cs="IRNazanin"/>
          <w:color w:val="111111"/>
          <w:sz w:val="28"/>
          <w:szCs w:val="28"/>
          <w:rtl w:val="true"/>
          <w:lang w:bidi="fa-IR"/>
        </w:rPr>
        <w:t>.</w:t>
      </w:r>
      <w:r>
        <w:rPr>
          <w:rStyle w:val="FootnoteAnchor"/>
          <w:rtl w:val="true"/>
        </w:rPr>
        <w:footnoteReference w:id="1374"/>
      </w:r>
    </w:p>
    <w:p>
      <w:pPr>
        <w:pStyle w:val="BookText"/>
        <w:rPr/>
      </w:pPr>
      <w:r>
        <w:rPr>
          <w:rFonts w:ascii="IRNazanin" w:hAnsi="IRNazanin" w:eastAsia="IRNazanin"/>
          <w:color w:val="111111"/>
          <w:sz w:val="28"/>
          <w:sz w:val="28"/>
          <w:szCs w:val="28"/>
          <w:rtl w:val="true"/>
          <w:lang w:bidi="fa-IR"/>
        </w:rPr>
        <w:t>همچنین از امام علی علیه السلام روایت شده که رسول خدا صلّی الله علیه و آله در مراسم تشییع جنازه ای راه می رفت، پس دیده اش بر زنی افتاد که پشت سر جنازه حرکت می کند، بنابراین توقّف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 باز گردانید، پس باز گردانده شد، پیامبر به ایستادن خویش ادامه داد تا زمانی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واسطه دیوارهای مدینه از دیده پنهان شد، آن گاه پیامبر صلّی الله علیه و آله به مسیر خویش ادامه داد</w:t>
      </w:r>
      <w:r>
        <w:rPr>
          <w:rFonts w:eastAsia="IRNazanin" w:cs="IRNazanin"/>
          <w:color w:val="111111"/>
          <w:sz w:val="28"/>
          <w:szCs w:val="28"/>
          <w:rtl w:val="true"/>
          <w:lang w:bidi="fa-IR"/>
        </w:rPr>
        <w:t xml:space="preserve">. </w:t>
      </w:r>
      <w:r>
        <w:rPr>
          <w:rStyle w:val="FootnoteAnchor"/>
          <w:rtl w:val="true"/>
        </w:rPr>
        <w:footnoteReference w:id="1375"/>
      </w:r>
    </w:p>
    <w:p>
      <w:pPr>
        <w:pStyle w:val="BookText"/>
        <w:rPr/>
      </w:pPr>
      <w:r>
        <w:rPr>
          <w:rFonts w:ascii="IRNazanin" w:hAnsi="IRNazanin" w:eastAsia="IRNazanin"/>
          <w:color w:val="111111"/>
          <w:sz w:val="28"/>
          <w:sz w:val="28"/>
          <w:szCs w:val="28"/>
          <w:rtl w:val="true"/>
          <w:lang w:bidi="fa-IR"/>
        </w:rPr>
        <w:t>امام جعفر صادق از پدرانش علیهم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شرکت در مراسم تشییع جنازه دعوت می شوید سرعت به خرج دهید، چرا که آخرت را به شما یادآوری می کند</w:t>
      </w:r>
      <w:r>
        <w:rPr>
          <w:rFonts w:eastAsia="IRNazanin" w:cs="IRNazanin"/>
          <w:color w:val="111111"/>
          <w:sz w:val="28"/>
          <w:szCs w:val="28"/>
          <w:rtl w:val="true"/>
          <w:lang w:bidi="fa-IR"/>
        </w:rPr>
        <w:t>.</w:t>
      </w:r>
      <w:r>
        <w:rPr>
          <w:rStyle w:val="FootnoteAnchor"/>
          <w:rtl w:val="true"/>
        </w:rPr>
        <w:footnoteReference w:id="1376"/>
      </w:r>
    </w:p>
    <w:p>
      <w:pPr>
        <w:pStyle w:val="BookText"/>
        <w:rPr/>
      </w:pPr>
      <w:r>
        <w:rPr>
          <w:rFonts w:ascii="IRNazanin" w:hAnsi="IRNazanin" w:eastAsia="IRNazanin"/>
          <w:color w:val="111111"/>
          <w:sz w:val="28"/>
          <w:sz w:val="28"/>
          <w:szCs w:val="28"/>
          <w:rtl w:val="true"/>
          <w:lang w:bidi="fa-IR"/>
        </w:rPr>
        <w:t>از امام باقر علیه السلام درباره مردی سؤال شد که همزمان به مراسم تشییع جنازه یا عروسی دعوت می شود، به کدام یک پاسخ گوید؟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مراسم تشییع جنازه را پاسخ گوید، چرا که حضور در مراسم تشییع جنازه مرگ و آخرت را به او یادآوری می کند، ولی حضور در عروسی انسان را از یاد مرگ و آخرت غافل می کند</w:t>
      </w:r>
      <w:r>
        <w:rPr>
          <w:rFonts w:eastAsia="IRNazanin" w:cs="IRNazanin"/>
          <w:color w:val="111111"/>
          <w:sz w:val="28"/>
          <w:szCs w:val="28"/>
          <w:rtl w:val="true"/>
          <w:lang w:bidi="fa-IR"/>
        </w:rPr>
        <w:t>.</w:t>
      </w:r>
      <w:r>
        <w:rPr>
          <w:rStyle w:val="FootnoteAnchor"/>
          <w:rtl w:val="true"/>
        </w:rPr>
        <w:footnoteReference w:id="1377"/>
      </w:r>
    </w:p>
    <w:p>
      <w:pPr>
        <w:pStyle w:val="Heading5"/>
        <w:numPr>
          <w:ilvl w:val="4"/>
          <w:numId w:val="1"/>
        </w:numPr>
        <w:rPr/>
      </w:pPr>
      <w:bookmarkStart w:id="2843" w:name="__RefHeading___Toc607536_1934241801"/>
      <w:bookmarkStart w:id="2844" w:name="_Toc1312"/>
      <w:bookmarkEnd w:id="2843"/>
      <w:r>
        <w:rPr>
          <w:rtl w:val="true"/>
        </w:rPr>
        <w:t>توضیح</w:t>
      </w:r>
      <w:bookmarkEnd w:id="2844"/>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صورتی که بر تو مشتبه می شود آن  را در حالت خواب دیده ای یا بیداری، همچنین به معنای پارچه سیاهی است که بر چوبی نصب می گردد تا حیوانات و پرندگان در مزرعه ها و اماکن دیگر آن را انسان فرض کنند و بترسند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مترسک</w:t>
      </w:r>
      <w:r>
        <w:rPr>
          <w:rFonts w:eastAsia="IRNazanin" w:cs="IRNazanin"/>
          <w:color w:val="111111"/>
          <w:sz w:val="28"/>
          <w:szCs w:val="28"/>
          <w:rtl w:val="true"/>
          <w:lang w:bidi="fa-IR"/>
        </w:rPr>
        <w:t xml:space="preserve">) . </w:t>
      </w:r>
      <w:bookmarkStart w:id="2845" w:name="pg13517_329316"/>
    </w:p>
    <w:p>
      <w:pPr>
        <w:pStyle w:val="Heading3"/>
        <w:numPr>
          <w:ilvl w:val="2"/>
          <w:numId w:val="1"/>
        </w:numPr>
        <w:rPr/>
      </w:pPr>
      <w:bookmarkStart w:id="2846" w:name="__RefHeading___Toc607538_1934241801"/>
      <w:bookmarkStart w:id="2847" w:name="_Toc1313"/>
      <w:bookmarkEnd w:id="2845"/>
      <w:bookmarkEnd w:id="2846"/>
      <w:r>
        <w:rPr>
          <w:rtl w:val="true"/>
        </w:rPr>
        <w:t xml:space="preserve">باب </w:t>
      </w:r>
      <w:r>
        <w:rPr/>
        <w:t>8</w:t>
      </w:r>
      <w:r>
        <w:rPr>
          <w:rtl w:val="true"/>
        </w:rPr>
        <w:t xml:space="preserve"> </w:t>
      </w:r>
      <w:r>
        <w:rPr>
          <w:rtl w:val="true"/>
        </w:rPr>
        <w:t>وجوب غسل الميت و علله و آدابه و أحكامه</w:t>
      </w:r>
      <w:bookmarkEnd w:id="2847"/>
    </w:p>
    <w:p>
      <w:pPr>
        <w:pStyle w:val="Heading4"/>
        <w:numPr>
          <w:ilvl w:val="3"/>
          <w:numId w:val="1"/>
        </w:numPr>
        <w:rPr/>
      </w:pPr>
      <w:bookmarkStart w:id="2848" w:name="__RefHeading___Toc607540_1934241801"/>
      <w:bookmarkStart w:id="2849" w:name="_Toc1314"/>
      <w:bookmarkEnd w:id="2848"/>
      <w:r>
        <w:rPr>
          <w:rtl w:val="true"/>
        </w:rPr>
        <w:t>روايات</w:t>
      </w:r>
      <w:bookmarkEnd w:id="2849"/>
    </w:p>
    <w:p>
      <w:pPr>
        <w:pStyle w:val="Heading5"/>
        <w:numPr>
          <w:ilvl w:val="4"/>
          <w:numId w:val="1"/>
        </w:numPr>
        <w:rPr/>
      </w:pPr>
      <w:bookmarkStart w:id="2850" w:name="__RefHeading___Toc607542_1934241801"/>
      <w:bookmarkStart w:id="2851" w:name="_Toc1315"/>
      <w:bookmarkEnd w:id="2850"/>
      <w:r>
        <w:rPr>
          <w:rtl w:val="true"/>
        </w:rPr>
        <w:t>«</w:t>
      </w:r>
      <w:r>
        <w:rPr/>
        <w:t>1</w:t>
      </w:r>
      <w:r>
        <w:rPr>
          <w:rtl w:val="true"/>
        </w:rPr>
        <w:t>»</w:t>
      </w:r>
      <w:bookmarkEnd w:id="2851"/>
    </w:p>
    <w:p>
      <w:pPr>
        <w:pStyle w:val="BookText"/>
        <w:rPr/>
      </w:pPr>
      <w:r>
        <w:rPr>
          <w:rFonts w:ascii="Amiri" w:hAnsi="Amiri" w:eastAsia="Amiri" w:cs="Amiri"/>
          <w:color w:val="111111"/>
          <w:sz w:val="28"/>
          <w:sz w:val="28"/>
          <w:szCs w:val="28"/>
          <w:rtl w:val="true"/>
          <w:lang w:bidi="ar-SA"/>
        </w:rPr>
        <w:t>الْعِلَلُ، عَنْ أَبِيهِ عَنْ أَحْمَدَ بْنِ إِدْرِيسَ عَنْ مُحَمَّدِ بْنِ أَحْمَدَ بْنِ يَحْيَي الْأَشْعَرِيِّ عَنْ حَمْدَانَ بْنِ سُلَيْمَانَ قَالَ وَ حَدَّثَنَا عَبْدُ الْوَاحِدِ بْنُ مُحَمَّدِ بْنِ عُبْدُوسٍ النَّيْسَابُورِيُّ عَنْ عَلِيِّ بْنِ مُحَمَّدِ بْنِ قُتَيْبَةَ عَنْ حَمْدَانَ بْنِ سُلَيْمَانَ عَنِ الْحَسَنِ بْنِ عَلِيِّ بْنِ فَضَّالٍ عَنْ هَارُونَ بْنِ حَمْزَةَ عَنْ بَعْضِ أَصْحَابِنَا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الْمَخْلُوقَ لَا يَمُوتُ حَتَّي تَخْرُجَ مِنْهُ النُّطْفَةُ الَّتِي خَلَقَهُ اللَّهُ عَزَّ وَ جَلَّ مِنْهَا مِنْ فِيهِ أَوْ مِنْ غَيْرِهِ‌</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2" w:name="__RefHeading___Toc607544_1934241801"/>
      <w:bookmarkStart w:id="2853" w:name="_Toc1316"/>
      <w:bookmarkEnd w:id="2852"/>
      <w:r>
        <w:rPr>
          <w:rtl w:val="true"/>
        </w:rPr>
        <w:t>«</w:t>
      </w:r>
      <w:r>
        <w:rPr/>
        <w:t>2</w:t>
      </w:r>
      <w:r>
        <w:rPr>
          <w:rtl w:val="true"/>
        </w:rPr>
        <w:t>»</w:t>
      </w:r>
      <w:bookmarkEnd w:id="2853"/>
    </w:p>
    <w:p>
      <w:pPr>
        <w:pStyle w:val="BookText"/>
        <w:rPr/>
      </w:pPr>
      <w:r>
        <w:rPr>
          <w:rFonts w:ascii="Amiri" w:hAnsi="Amiri" w:eastAsia="Amiri" w:cs="Amiri"/>
          <w:color w:val="111111"/>
          <w:sz w:val="28"/>
          <w:sz w:val="28"/>
          <w:szCs w:val="28"/>
          <w:rtl w:val="true"/>
          <w:lang w:bidi="ar-SA"/>
        </w:rPr>
        <w:t>وَ مِنْهُ، عَنْ عَلِيِّ بْنِ حَاتِمٍ عَنِ الْقَاسِمِ بْنِ مُحَمَّدٍ عَنْ إِبْرَاهِيمَ بْنِ مَخْلَدٍ عَنْ إِبْرَاهِيمَ بْنِ مُحَمَّدِ بْنِ بَشِيرٍ عَنْ مُحَمَّدِ بْنِ سِنَانٍ عَنْ أَبِي عَبْدِ اللَّهِ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عَلِيٍّ عليهما السلام عَنْ غُسْلِ الْمَيِّتِ لِأَيِّ عِلَّةٍ يُغَسَّلُ وَ لِأَيِّ عِلَّةٍ يَغْتَسِلُ الْغَاسِلُ قَالَ يُغَسَّلُ الْمَيِّتُ لِأَنَّهُ جُنُبٌ وَ لِتَلَاقِيهِ الْمَلَائِكَةَ وَ هُوَ طَاهِرٌ وَ كَذَلِكَ الْغَاسِلُ لِتَلَاقِيهِ الْمُؤْمِنِينَ‌</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4" w:name="__RefHeading___Toc607546_1934241801"/>
      <w:bookmarkStart w:id="2855" w:name="_Toc1317"/>
      <w:bookmarkEnd w:id="2854"/>
      <w:r>
        <w:rPr>
          <w:rtl w:val="true"/>
        </w:rPr>
        <w:t>«</w:t>
      </w:r>
      <w:r>
        <w:rPr/>
        <w:t>3</w:t>
      </w:r>
      <w:r>
        <w:rPr>
          <w:rtl w:val="true"/>
        </w:rPr>
        <w:t>»</w:t>
      </w:r>
      <w:bookmarkEnd w:id="2855"/>
    </w:p>
    <w:p>
      <w:pPr>
        <w:pStyle w:val="BookText"/>
        <w:rPr/>
      </w:pPr>
      <w:r>
        <w:rPr>
          <w:rFonts w:ascii="Amiri" w:hAnsi="Amiri" w:eastAsia="Amiri" w:cs="Amiri"/>
          <w:color w:val="111111"/>
          <w:sz w:val="28"/>
          <w:sz w:val="28"/>
          <w:szCs w:val="28"/>
          <w:rtl w:val="true"/>
          <w:lang w:bidi="ar-SA"/>
        </w:rPr>
        <w:t>وَ مِنْهُ، بِإِسْنَادِهِ عَنْ مُحَمَّدِ بْنِ عُمَرَ بْنِ أَبِي عُمَيْرٍ عَنْ مُحَمَّدِ بْنِ عَمَّارٍ الْبَصْرِيِّ عَنْ عَبَّادِ بْنِ صُهَيْبٍ عَنْ جَعْفَرِ بْنِ مُحَمَّدٍ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مَا بَالُ الْمَيِّتِ يُغَسَّلُ قَالَ النُّطْفَةُ الَّتِي خُلِقَ مِنْهَا يَرْمِي بِهَا</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6" w:name="__RefHeading___Toc607548_1934241801"/>
      <w:bookmarkStart w:id="2857" w:name="_Toc1318"/>
      <w:bookmarkEnd w:id="2856"/>
      <w:r>
        <w:rPr>
          <w:rtl w:val="true"/>
        </w:rPr>
        <w:t>«</w:t>
      </w:r>
      <w:r>
        <w:rPr/>
        <w:t>4</w:t>
      </w:r>
      <w:r>
        <w:rPr>
          <w:rtl w:val="true"/>
        </w:rPr>
        <w:t>»</w:t>
      </w:r>
      <w:bookmarkEnd w:id="2857"/>
    </w:p>
    <w:p>
      <w:pPr>
        <w:pStyle w:val="BookText"/>
        <w:rPr/>
      </w:pPr>
      <w:r>
        <w:rPr>
          <w:rFonts w:ascii="Amiri" w:hAnsi="Amiri" w:eastAsia="Amiri" w:cs="Amiri"/>
          <w:color w:val="111111"/>
          <w:sz w:val="28"/>
          <w:sz w:val="28"/>
          <w:szCs w:val="28"/>
          <w:rtl w:val="true"/>
          <w:lang w:bidi="ar-SA"/>
        </w:rPr>
        <w:t>وَ مِنْهُ، عَنِ الْحُسَيْنِ بْنِ أَحْمَدَ عَنْ أَبِيهِ عَنْ أَحْمَدَ بْنِ مُحَمَّدِ بْنِ عِيسَي عَنْ أَحْمَدَ بْنِ مُحَمَّدِ بْنِ أَبِي نَصْرٍ عَنْ عَبْدِ الرَّحْمَنِ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إِبْرَاهِيمَ عليه السلام عَنِ الْمَيِّتِ لِمَ يُغَسَّلُ غُسْلَ الْجَنَابَةِ قَالَ إِنَّ اللَّهَ تَعَالَي أَعْلَي وَ أَخْلَصُ</w:t>
      </w:r>
    </w:p>
    <w:p>
      <w:pPr>
        <w:pStyle w:val="Heading3"/>
        <w:numPr>
          <w:ilvl w:val="2"/>
          <w:numId w:val="1"/>
        </w:numPr>
        <w:rPr/>
      </w:pPr>
      <w:bookmarkStart w:id="2858" w:name="__RefHeading___Toc607550_1934241801"/>
      <w:bookmarkStart w:id="2859" w:name="_Toc1319"/>
      <w:bookmarkEnd w:id="2858"/>
      <w:r>
        <w:rPr>
          <w:rtl w:val="true"/>
        </w:rPr>
        <w:t xml:space="preserve">باب هشتم </w:t>
      </w:r>
      <w:r>
        <w:rPr>
          <w:rtl w:val="true"/>
        </w:rPr>
        <w:t xml:space="preserve">: </w:t>
      </w:r>
      <w:r>
        <w:rPr>
          <w:rtl w:val="true"/>
        </w:rPr>
        <w:t>وجوب غسل میّت و علل، آداب و احکام آن</w:t>
      </w:r>
      <w:bookmarkEnd w:id="2859"/>
    </w:p>
    <w:p>
      <w:pPr>
        <w:pStyle w:val="Heading4"/>
        <w:numPr>
          <w:ilvl w:val="3"/>
          <w:numId w:val="1"/>
        </w:numPr>
        <w:rPr/>
      </w:pPr>
      <w:bookmarkStart w:id="2860" w:name="__RefHeading___Toc607552_1934241801"/>
      <w:bookmarkStart w:id="2861" w:name="_Toc1320"/>
      <w:bookmarkEnd w:id="2860"/>
      <w:r>
        <w:rPr>
          <w:rtl w:val="true"/>
        </w:rPr>
        <w:t>روایات</w:t>
      </w:r>
      <w:bookmarkEnd w:id="2861"/>
    </w:p>
    <w:p>
      <w:pPr>
        <w:pStyle w:val="Heading5"/>
        <w:numPr>
          <w:ilvl w:val="4"/>
          <w:numId w:val="1"/>
        </w:numPr>
        <w:rPr/>
      </w:pPr>
      <w:bookmarkStart w:id="2862" w:name="__RefHeading___Toc607554_1934241801"/>
      <w:bookmarkStart w:id="2863" w:name="_Toc1321"/>
      <w:bookmarkEnd w:id="2862"/>
      <w:r>
        <w:rPr>
          <w:rtl w:val="true"/>
        </w:rPr>
        <w:t xml:space="preserve">روایت </w:t>
      </w:r>
      <w:r>
        <w:rPr/>
        <w:t>1</w:t>
      </w:r>
      <w:bookmarkEnd w:id="2863"/>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حسین علیهما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آفریدگان نمی میرند مگر اینکه هنگام مرگ نطفه ای که خداوند عزّ و جلّ آنان را از آن آفریده است از دهان یا قسمت دیگر بدن شان خارج می شود</w:t>
      </w:r>
      <w:r>
        <w:rPr>
          <w:rFonts w:eastAsia="IRNazanin" w:cs="IRNazanin"/>
          <w:color w:val="111111"/>
          <w:sz w:val="28"/>
          <w:szCs w:val="28"/>
          <w:rtl w:val="true"/>
          <w:lang w:bidi="fa-IR"/>
        </w:rPr>
        <w:t>.</w:t>
      </w:r>
      <w:r>
        <w:rPr>
          <w:rStyle w:val="FootnoteAnchor"/>
          <w:rtl w:val="true"/>
        </w:rPr>
        <w:footnoteReference w:id="1381"/>
      </w:r>
    </w:p>
    <w:p>
      <w:pPr>
        <w:pStyle w:val="Heading5"/>
        <w:numPr>
          <w:ilvl w:val="4"/>
          <w:numId w:val="1"/>
        </w:numPr>
        <w:rPr/>
      </w:pPr>
      <w:bookmarkStart w:id="2864" w:name="__RefHeading___Toc607556_1934241801"/>
      <w:bookmarkStart w:id="2865" w:name="_Toc1322"/>
      <w:bookmarkEnd w:id="2864"/>
      <w:r>
        <w:rPr>
          <w:rtl w:val="true"/>
        </w:rPr>
        <w:t xml:space="preserve">روایت </w:t>
      </w:r>
      <w:r>
        <w:rPr/>
        <w:t>2</w:t>
      </w:r>
      <w:bookmarkEnd w:id="2865"/>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عبدالله قزوینی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غسل میّت پرسیدم و اینکه علّت آن چیست؟ و غسل دهنده به چه علّت غسل می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غسل داده می شود چرا که جُنب است و به خاطر اینکه با فرشتگان در حالت پاکی و طهارت رویاروی شود، همچنین غسل دهنده به خاطر اینکه هنگام رویارویی با مؤنان پاک و مطهّر باشد غسل می کند</w:t>
      </w:r>
      <w:r>
        <w:rPr>
          <w:rFonts w:eastAsia="IRNazanin" w:cs="IRNazanin"/>
          <w:color w:val="111111"/>
          <w:sz w:val="28"/>
          <w:szCs w:val="28"/>
          <w:rtl w:val="true"/>
          <w:lang w:bidi="fa-IR"/>
        </w:rPr>
        <w:t>.</w:t>
      </w:r>
      <w:r>
        <w:rPr>
          <w:rStyle w:val="FootnoteAnchor"/>
          <w:rtl w:val="true"/>
        </w:rPr>
        <w:footnoteReference w:id="1382"/>
      </w:r>
    </w:p>
    <w:p>
      <w:pPr>
        <w:pStyle w:val="Heading5"/>
        <w:numPr>
          <w:ilvl w:val="4"/>
          <w:numId w:val="1"/>
        </w:numPr>
        <w:rPr/>
      </w:pPr>
      <w:bookmarkStart w:id="2866" w:name="__RefHeading___Toc607558_1934241801"/>
      <w:bookmarkStart w:id="2867" w:name="_Toc1323"/>
      <w:bookmarkEnd w:id="2866"/>
      <w:r>
        <w:rPr>
          <w:rtl w:val="true"/>
        </w:rPr>
        <w:t xml:space="preserve">روایت </w:t>
      </w:r>
      <w:r>
        <w:rPr/>
        <w:t>3</w:t>
      </w:r>
      <w:bookmarkEnd w:id="2867"/>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از پدرش علیهما السلام روایت کرده که از ایشان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میّت غسل داده می شود؟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نطفه ای که از آن آفریده شده از بدن او خارج می گردد</w:t>
      </w:r>
      <w:r>
        <w:rPr>
          <w:rFonts w:eastAsia="IRNazanin" w:cs="IRNazanin"/>
          <w:color w:val="111111"/>
          <w:sz w:val="28"/>
          <w:szCs w:val="28"/>
          <w:rtl w:val="true"/>
          <w:lang w:bidi="fa-IR"/>
        </w:rPr>
        <w:t>.</w:t>
      </w:r>
      <w:r>
        <w:rPr>
          <w:rStyle w:val="FootnoteAnchor"/>
          <w:rtl w:val="true"/>
        </w:rPr>
        <w:footnoteReference w:id="1383"/>
      </w:r>
    </w:p>
    <w:p>
      <w:pPr>
        <w:pStyle w:val="Heading5"/>
        <w:numPr>
          <w:ilvl w:val="4"/>
          <w:numId w:val="1"/>
        </w:numPr>
        <w:rPr/>
      </w:pPr>
      <w:bookmarkStart w:id="2868" w:name="__RefHeading___Toc607560_1934241801"/>
      <w:bookmarkStart w:id="2869" w:name="_Toc1324"/>
      <w:bookmarkEnd w:id="2868"/>
      <w:r>
        <w:rPr>
          <w:rtl w:val="true"/>
        </w:rPr>
        <w:t xml:space="preserve">روایت </w:t>
      </w:r>
      <w:r>
        <w:rPr/>
        <w:t>4</w:t>
      </w:r>
      <w:bookmarkEnd w:id="2869"/>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عبدالرحمن  بن حمّاد روایت شده که از امام موسی کاظم علیه السلام درباره میّت پرسیدم و اینکه چرا مانند غسل جنابت غسل داده می 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والاشأن تر و پاک تر از آن است </w:t>
      </w:r>
      <w:bookmarkStart w:id="2870" w:name="pg13517_329317"/>
    </w:p>
    <w:p>
      <w:pPr>
        <w:pStyle w:val="BookText"/>
        <w:rPr/>
      </w:pPr>
      <w:bookmarkEnd w:id="2870"/>
      <w:r>
        <w:rPr>
          <w:rFonts w:ascii="Amiri" w:hAnsi="Amiri" w:eastAsia="Amiri" w:cs="Amiri"/>
          <w:color w:val="111111"/>
          <w:sz w:val="28"/>
          <w:sz w:val="28"/>
          <w:szCs w:val="28"/>
          <w:rtl w:val="true"/>
          <w:lang w:bidi="ar-SA"/>
        </w:rPr>
        <w:t>مِنْ أَنْ يَبْعَثَ الْأَشْيَاءَ بِيَدِهِ إِنَّ لِلَّهِ تَبَارَكَ وَ تَعَالَي مَلَكَيْنِ‌</w:t>
      </w:r>
      <w:r>
        <w:rPr>
          <w:rStyle w:val="FootnoteAnchor"/>
          <w:rtl w:val="true"/>
        </w:rPr>
        <w:footnoteReference w:id="1384"/>
      </w:r>
      <w:r>
        <w:rPr>
          <w:rFonts w:ascii="Amiri" w:hAnsi="Amiri" w:eastAsia="Amiri" w:cs="Amiri"/>
          <w:color w:val="111111"/>
          <w:sz w:val="28"/>
          <w:sz w:val="28"/>
          <w:szCs w:val="28"/>
          <w:rtl w:val="true"/>
          <w:lang w:bidi="ar-SA"/>
        </w:rPr>
        <w:t>خَلَّاقَيْنِ فَإِذَا أَرَادَ أَنْ يَخْلُقَ خَلْقاً أَمَرَ أُولَئِكَ الْخَلَّاقِينَ فَأَخَذُوا مِنَ التُّرْبَةِ الَّتِي قَالَ اللَّهُ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خَلَقْناكُمْ وَ فِيها نُعِيدُكُمْ وَ مِنْها نُخْرِجُكُمْ تارَةً أُخْري‌</w:t>
      </w:r>
      <w:r>
        <w:rPr>
          <w:rStyle w:val="FootnoteAnchor"/>
          <w:rtl w:val="true"/>
        </w:rPr>
        <w:footnoteReference w:id="1385"/>
      </w:r>
      <w:r>
        <w:rPr>
          <w:rFonts w:ascii="Amiri" w:hAnsi="Amiri" w:eastAsia="Amiri" w:cs="Amiri"/>
          <w:color w:val="111111"/>
          <w:sz w:val="28"/>
          <w:sz w:val="28"/>
          <w:szCs w:val="28"/>
          <w:rtl w:val="true"/>
          <w:lang w:bidi="ar-SA"/>
        </w:rPr>
        <w:t>فَعَجَنُوهَا بِالنُّطْفَةِ الْمُسَكَّنَةِ فِي الرَّحِمِ فَإِذَا عُجِنَتِ النُّطْفَةُ بِالتُّرْبَةِ قَالا يَا رَبِّ مَا تَخْلُقُ قَالَ فَيُوحِي اللَّهُ تَبَارَكَ وَ تَعَالَي مَا يُرِيدُ مِنْ ذَلِكَ ذَكَراً أَوْ أُنْثَي مُؤْمِناً أَوْ كَافِراً أَسْوَدَ أَوْ أَبْيَضَ شَقِيّاً أَوْ سَعِيداً فَإِنْ مَاتَ سَالَتْ مِنْهُ تِلْكَ النُّطْفَةُ بِعَيْنِهَا لَا غَيْرُهَا فَمِنْ ثَمَّ صَارَ الْمَيِّتُ يُغَسَّلُ غُسْلَ الْجَنَابَةِ</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1" w:name="__RefHeading___Toc607562_1934241801"/>
      <w:bookmarkStart w:id="2872" w:name="_Toc1325"/>
      <w:bookmarkEnd w:id="2871"/>
      <w:r>
        <w:rPr>
          <w:rtl w:val="true"/>
        </w:rPr>
        <w:t>بيان</w:t>
      </w:r>
      <w:bookmarkEnd w:id="2872"/>
    </w:p>
    <w:p>
      <w:pPr>
        <w:pStyle w:val="BookText"/>
        <w:rPr/>
      </w:pPr>
      <w:r>
        <w:rPr>
          <w:rFonts w:ascii="Amiri" w:hAnsi="Amiri" w:eastAsia="Amiri" w:cs="Amiri"/>
          <w:color w:val="111111"/>
          <w:sz w:val="28"/>
          <w:sz w:val="28"/>
          <w:szCs w:val="28"/>
          <w:rtl w:val="true"/>
          <w:lang w:bidi="ar-SA"/>
        </w:rPr>
        <w:t>قال الوالد قدس الله روحه لا يستبعد أن يكون النطفة أو بعضها محفوظة أو المراد بالنطفة الروح الحيواني و المراد أنه لما خرج منه صار نجسا فيجب تطهيره بالغسل أو أنه لما كان إنسانا بالروح النفيسة اللطيفة فلما فارقت البدن وجب تداركه بالغسل حتي يصير قابلا للصلاة عليه و قربه من رحمة الله</w:t>
      </w:r>
      <w:r>
        <w:rPr>
          <w:rFonts w:eastAsia="Amiri" w:cs="Amiri" w:ascii="Amiri" w:hAnsi="Amiri"/>
          <w:color w:val="111111"/>
          <w:sz w:val="28"/>
          <w:szCs w:val="28"/>
          <w:rtl w:val="true"/>
          <w:lang w:bidi="ar-SA"/>
        </w:rPr>
        <w:t>.</w:t>
      </w:r>
    </w:p>
    <w:p>
      <w:pPr>
        <w:pStyle w:val="Heading5"/>
        <w:numPr>
          <w:ilvl w:val="4"/>
          <w:numId w:val="1"/>
        </w:numPr>
        <w:rPr/>
      </w:pPr>
      <w:bookmarkStart w:id="2873" w:name="__RefHeading___Toc607564_1934241801"/>
      <w:bookmarkStart w:id="2874" w:name="_Toc1326"/>
      <w:bookmarkEnd w:id="2873"/>
      <w:r>
        <w:rPr>
          <w:rtl w:val="true"/>
        </w:rPr>
        <w:t>أقول</w:t>
      </w:r>
      <w:bookmarkEnd w:id="2874"/>
    </w:p>
    <w:p>
      <w:pPr>
        <w:pStyle w:val="BookText"/>
        <w:rPr/>
      </w:pPr>
      <w:r>
        <w:rPr>
          <w:rFonts w:ascii="Amiri" w:hAnsi="Amiri" w:eastAsia="Amiri" w:cs="Amiri"/>
          <w:color w:val="111111"/>
          <w:sz w:val="28"/>
          <w:sz w:val="28"/>
          <w:szCs w:val="28"/>
          <w:rtl w:val="true"/>
          <w:lang w:bidi="ar-SA"/>
        </w:rPr>
        <w:t>الأظهر أن المراد أن الماء الغليظ الذي يخرج من عينه لما كان شبيها بالنطفة فلذا يغسل غسل الجنابة</w:t>
      </w:r>
      <w:r>
        <w:rPr>
          <w:rStyle w:val="FootnoteAnchor"/>
          <w:rtl w:val="true"/>
        </w:rPr>
        <w:footnoteReference w:id="1387"/>
      </w:r>
    </w:p>
    <w:p>
      <w:pPr>
        <w:pStyle w:val="BookText"/>
        <w:rPr/>
      </w:pPr>
      <w:r>
        <w:rPr>
          <w:rFonts w:ascii="Amiri" w:hAnsi="Amiri" w:eastAsia="Amiri" w:cs="Amiri"/>
          <w:color w:val="111111"/>
          <w:sz w:val="28"/>
          <w:sz w:val="28"/>
          <w:szCs w:val="28"/>
          <w:rtl w:val="true"/>
          <w:lang w:bidi="ar-SA"/>
        </w:rPr>
        <w:t>فشخصية الجنين و حقيقة نفسيته من النطفة التي يدفقها الرجل و ادامة حياته ممّا في نطفة المرأة من ماء الحياة، و الي ذلك تشير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يَكُ نُطْفَةً مِنْ مَنِيٍّ يُمْني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عَلَقَةً فَخَلَقَ فَسَوَّي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مِنْهُ الزَّوْجَيْنِ الذَّكَرَ وَ الْأُنْثي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التي تسمي في الآيات و الروايات بالنفس، فإذا نام الإنسان قبضها اللّه و توفاها عارية ناقصة، ثمّ إذا مات قبضها و توفاها كاملة 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يشير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يَتَوَفَّي الْأَنْفُسَ حِينَ مَوْتِها وَ الَّتِي لَمْ تَمُتْ فِي مَنامِها فَيُمْسِكُ الَّتِي قَضي عَلَيْهَا الْمَوْتَ وَ يُرْسِلُ الْأُخْري إِلي أَجَلٍ مُسَمًّي إِنَّ فِي ذلِكَ لَآياتٍ لِقَوْمٍ يَتَفَكَّرُونَ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الجنابة تحصل بخروج واحدة من تلك الانفس الكثيرة عند الجماع و الاحتلام مثلا، كذلك تحصل بخروج نفسه عند الموت الا أن الحي يغتسل من جنابته بنفسه، و الميت يغسله وليه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مضي بعض الأخبار في باب علل</w:t>
      </w:r>
    </w:p>
    <w:p>
      <w:pPr>
        <w:pStyle w:val="BookText"/>
        <w:rPr/>
      </w:pPr>
      <w:r>
        <w:rPr>
          <w:rFonts w:ascii="IRNazanin" w:hAnsi="IRNazanin" w:eastAsia="IRNazanin"/>
          <w:color w:val="111111"/>
          <w:sz w:val="28"/>
          <w:sz w:val="28"/>
          <w:szCs w:val="28"/>
          <w:rtl w:val="true"/>
          <w:lang w:bidi="fa-IR"/>
        </w:rPr>
        <w:t>که اشیاء و مخلوقات را با دست خویش برانگیزاند، به راستی که خداوند متعال دو فرشته خلّاق دارد، و آن گاه که اراده فرماید موجودی را بیافریند به آن دو فرشته فرمان می دهد و آنان نیز مقداری از خاکی که خداوند عزّ و جلّ در مورد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خَلَقْناکُمْ وَ فِیها نُعِیدُکُمْ وَ مِنْها نُخْرِجُکُمْ تارَةً أُخْری</w:t>
      </w:r>
      <w:r>
        <w:rPr>
          <w:rFonts w:eastAsia="IRNazanin" w:cs="IRNazanin"/>
          <w:color w:val="111111"/>
          <w:sz w:val="28"/>
          <w:szCs w:val="28"/>
          <w:rtl w:val="true"/>
          <w:lang w:bidi="fa-IR"/>
        </w:rPr>
        <w:t>»</w:t>
      </w:r>
      <w:r>
        <w:rPr>
          <w:rStyle w:val="FootnoteAnchor"/>
          <w:rtl w:val="true"/>
        </w:rPr>
        <w:footnoteReference w:id="1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آفریده‌ایم در آن شما را بازمی‌گردانیم و بار دیگر شما را از آن بیرون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می گیرند و آن  را با نطفه ای که در رحم جای گرفته است عجین می سازند، هنگامی  که نطفه با خاک عجین گشت آن دو فرشته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چه می آفرینی؟ پس خداوند متعال آنچه اراده کرده از مذکر یا مؤنث، کافر یا مؤمن، سیاه یا سفید، بدبخت باشد یا خوشبخت را الهام می فرماید؛ و آن گاه که انسان می میرد، عین آن نطفه و نه غیرآن از بدنش جاری و خارج می گردد، به  همین سبب است که میّت غسل جنابت داده می شود</w:t>
      </w:r>
      <w:r>
        <w:rPr>
          <w:rFonts w:eastAsia="IRNazanin" w:cs="IRNazanin"/>
          <w:color w:val="111111"/>
          <w:sz w:val="28"/>
          <w:szCs w:val="28"/>
          <w:rtl w:val="true"/>
          <w:lang w:bidi="fa-IR"/>
        </w:rPr>
        <w:t>.</w:t>
      </w:r>
      <w:r>
        <w:rPr>
          <w:rStyle w:val="FootnoteAnchor"/>
          <w:rtl w:val="true"/>
        </w:rPr>
        <w:footnoteReference w:id="1389"/>
      </w:r>
    </w:p>
    <w:p>
      <w:pPr>
        <w:pStyle w:val="Heading5"/>
        <w:numPr>
          <w:ilvl w:val="4"/>
          <w:numId w:val="1"/>
        </w:numPr>
        <w:rPr/>
      </w:pPr>
      <w:bookmarkStart w:id="2875" w:name="__RefHeading___Toc607566_1934241801"/>
      <w:bookmarkStart w:id="2876" w:name="_Toc1327"/>
      <w:bookmarkEnd w:id="2875"/>
      <w:r>
        <w:rPr>
          <w:rtl w:val="true"/>
        </w:rPr>
        <w:t>توضیح</w:t>
      </w:r>
      <w:bookmarkEnd w:id="2876"/>
    </w:p>
    <w:p>
      <w:pPr>
        <w:pStyle w:val="BookText"/>
        <w:rPr/>
      </w:pPr>
      <w:r>
        <w:rPr>
          <w:rFonts w:ascii="IRNazanin" w:hAnsi="IRNazanin" w:eastAsia="IRNazanin"/>
          <w:color w:val="111111"/>
          <w:sz w:val="28"/>
          <w:sz w:val="28"/>
          <w:szCs w:val="28"/>
          <w:rtl w:val="true"/>
          <w:lang w:bidi="fa-IR"/>
        </w:rPr>
        <w:t>مرحوم والد، که خداوند روح او را مقدّس گرداند،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نطفه یا قسمتی از آن در بدن انسان محفوظ نگاه داشته شود، یا اینکه مراد از نطفه، روح حیوانی باشد، پس هنگامی  که از بدن خارج می شود انسان نجس می گردد و واجب می شود که با غسل دادن پاک و مطهّر گردانده شود، یا اینکه معنا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قبل از مرگ جایگاه روحِ نفیس و لطیف است، بنابراین هنگامی  که روح بدن را ترک می کند واجب است با غسل جبران گردد تا قابلیّت نماز گزاردن بر آن و نزدیکی به رحمت خداوند را کسب نماید</w:t>
      </w:r>
      <w:r>
        <w:rPr>
          <w:rFonts w:eastAsia="IRNazanin" w:cs="IRNazanin"/>
          <w:color w:val="111111"/>
          <w:sz w:val="28"/>
          <w:szCs w:val="28"/>
          <w:rtl w:val="true"/>
          <w:lang w:bidi="fa-IR"/>
        </w:rPr>
        <w:t>.</w:t>
      </w:r>
    </w:p>
    <w:p>
      <w:pPr>
        <w:pStyle w:val="Heading5"/>
        <w:numPr>
          <w:ilvl w:val="4"/>
          <w:numId w:val="1"/>
        </w:numPr>
        <w:rPr/>
      </w:pPr>
      <w:bookmarkStart w:id="2877" w:name="__RefHeading___Toc607568_1934241801"/>
      <w:bookmarkStart w:id="2878" w:name="_Toc1328"/>
      <w:bookmarkEnd w:id="2877"/>
      <w:r>
        <w:rPr>
          <w:rtl w:val="true"/>
        </w:rPr>
        <w:t>می گویم</w:t>
      </w:r>
      <w:bookmarkEnd w:id="2878"/>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تر این است که مقصود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غلیظی که هنگام مرگ از چشم انسان خارج می شود شبیه نطفه است، پس میّت مانند غسل جنابت غسل داده می شود؛ و برخی از احادیثی که در این زمینه روایت شده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الأغسال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گردید</w:t>
      </w:r>
      <w:r>
        <w:rPr>
          <w:rFonts w:eastAsia="IRNazanin" w:cs="IRNazanin"/>
          <w:color w:val="111111"/>
          <w:sz w:val="28"/>
          <w:szCs w:val="28"/>
          <w:rtl w:val="true"/>
          <w:lang w:bidi="fa-IR"/>
        </w:rPr>
        <w:t xml:space="preserve">. </w:t>
      </w:r>
      <w:bookmarkStart w:id="2879" w:name="pg13517_329318"/>
    </w:p>
    <w:p>
      <w:pPr>
        <w:pStyle w:val="BookText"/>
        <w:rPr/>
      </w:pPr>
      <w:bookmarkEnd w:id="2879"/>
      <w:r>
        <w:rPr>
          <w:rFonts w:ascii="IRNazanin" w:hAnsi="IRNazanin" w:eastAsia="IRNazanin"/>
          <w:color w:val="111111"/>
          <w:sz w:val="28"/>
          <w:sz w:val="28"/>
          <w:szCs w:val="28"/>
          <w:rtl w:val="true"/>
          <w:lang w:bidi="fa-IR"/>
        </w:rPr>
        <w:t>الأغسال</w:t>
      </w:r>
      <w:r>
        <w:rPr>
          <w:rFonts w:eastAsia="IRNazanin" w:cs="IRNazanin"/>
          <w:color w:val="111111"/>
          <w:sz w:val="28"/>
          <w:szCs w:val="28"/>
          <w:rtl w:val="true"/>
          <w:lang w:bidi="fa-IR"/>
        </w:rPr>
        <w:t>.</w:t>
      </w:r>
    </w:p>
    <w:p>
      <w:pPr>
        <w:pStyle w:val="Heading5"/>
        <w:numPr>
          <w:ilvl w:val="4"/>
          <w:numId w:val="1"/>
        </w:numPr>
        <w:rPr/>
      </w:pPr>
      <w:bookmarkStart w:id="2880" w:name="__RefHeading___Toc607570_1934241801"/>
      <w:bookmarkStart w:id="2881" w:name="_Toc1329"/>
      <w:bookmarkEnd w:id="2880"/>
      <w:r>
        <w:rPr>
          <w:rtl w:val="true"/>
        </w:rPr>
        <w:t>«</w:t>
      </w:r>
      <w:r>
        <w:rPr/>
        <w:t>5</w:t>
      </w:r>
      <w:r>
        <w:rPr>
          <w:rtl w:val="true"/>
        </w:rPr>
        <w:t>»</w:t>
      </w:r>
      <w:bookmarkEnd w:id="2881"/>
    </w:p>
    <w:p>
      <w:pPr>
        <w:pStyle w:val="BookText"/>
        <w:rPr/>
      </w:pPr>
      <w:r>
        <w:rPr>
          <w:rFonts w:ascii="Amiri" w:hAnsi="Amiri" w:eastAsia="Amiri" w:cs="Amiri"/>
          <w:color w:val="111111"/>
          <w:sz w:val="28"/>
          <w:sz w:val="28"/>
          <w:szCs w:val="28"/>
          <w:rtl w:val="true"/>
          <w:lang w:bidi="ar-SA"/>
        </w:rPr>
        <w:t>ثَوَابُ الْأَعْمَالِ‌</w:t>
      </w:r>
      <w:r>
        <w:rPr>
          <w:rStyle w:val="FootnoteAnchor"/>
          <w:rtl w:val="true"/>
        </w:rPr>
        <w:footnoteReference w:id="1390"/>
      </w:r>
      <w:r>
        <w:rPr>
          <w:rFonts w:ascii="Amiri" w:hAnsi="Amiri" w:eastAsia="Amiri" w:cs="Amiri"/>
          <w:color w:val="111111"/>
          <w:sz w:val="28"/>
          <w:sz w:val="28"/>
          <w:szCs w:val="28"/>
          <w:rtl w:val="true"/>
          <w:lang w:bidi="ar-SA"/>
        </w:rPr>
        <w:t>، وَ مَجَالِسُ الصَّدُوقِ، عَنْ أَبِيهِ عَنْ سَعْدِ بْنِ عَبْدِ اللَّهِ عَنِ الْهَيْثَمِ بْنِ أَبِي مَسْرُوقٍ النَّهْدِيِّ عَنِ الْحَسَنِ بْنِ مَحْبُوبٍ عَنْ عَبْدِ اللَّهِ بْنِ غَالِبٍ عَنْ سَعْدٍ الْإِسْكَافِ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غَسَّلَ مُؤْمِناً فَقَالَ إِذَا قَلَّبَهُ اللَّهُمَّ هَذَا بَدَنُ عَبْدِكَ الْمُؤْمِنِ وَ قَدْ أَخْرَجْتَ رُوحَهُ مِنْهُ وَ فَرَّقْتَ بَيْنَهُمَا فَعَفْوَكَ عَفْوَكَ غَفَرَ اللَّهُ لَهُ ذُنُوبَ سَنَةٍ إِلَّا الْكَبَائِرَ</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2" w:name="__RefHeading___Toc607572_1934241801"/>
      <w:bookmarkStart w:id="2883" w:name="_Toc1330"/>
      <w:bookmarkEnd w:id="2882"/>
      <w:r>
        <w:rPr>
          <w:rtl w:val="true"/>
        </w:rPr>
        <w:t>بيان</w:t>
      </w:r>
      <w:bookmarkEnd w:id="2883"/>
    </w:p>
    <w:p>
      <w:pPr>
        <w:pStyle w:val="BookText"/>
        <w:rPr/>
      </w:pPr>
      <w:r>
        <w:rPr>
          <w:rFonts w:ascii="Amiri" w:hAnsi="Amiri" w:eastAsia="Amiri" w:cs="Amiri"/>
          <w:color w:val="111111"/>
          <w:sz w:val="28"/>
          <w:sz w:val="28"/>
          <w:szCs w:val="28"/>
          <w:rtl w:val="true"/>
          <w:lang w:bidi="ar-SA"/>
        </w:rPr>
        <w:t>الضمير في له راجع إلي الغاسل و إرجاعه إلي الميت بعيد و سنة بالفتح و التخفيف و ربما يقرأ بالكسر و التشديد أي عمره و هو مخالف للظاهر و المضبوط في النسخ</w:t>
      </w:r>
      <w:r>
        <w:rPr>
          <w:rFonts w:eastAsia="Amiri" w:cs="Amiri" w:ascii="Amiri" w:hAnsi="Amiri"/>
          <w:color w:val="111111"/>
          <w:sz w:val="28"/>
          <w:szCs w:val="28"/>
          <w:rtl w:val="true"/>
          <w:lang w:bidi="ar-SA"/>
        </w:rPr>
        <w:t>.</w:t>
      </w:r>
    </w:p>
    <w:p>
      <w:pPr>
        <w:pStyle w:val="Heading5"/>
        <w:numPr>
          <w:ilvl w:val="4"/>
          <w:numId w:val="1"/>
        </w:numPr>
        <w:rPr/>
      </w:pPr>
      <w:bookmarkStart w:id="2884" w:name="__RefHeading___Toc607574_1934241801"/>
      <w:bookmarkStart w:id="2885" w:name="_Toc1331"/>
      <w:bookmarkEnd w:id="2884"/>
      <w:r>
        <w:rPr>
          <w:rtl w:val="true"/>
        </w:rPr>
        <w:t>«</w:t>
      </w:r>
      <w:r>
        <w:rPr/>
        <w:t>6</w:t>
      </w:r>
      <w:r>
        <w:rPr>
          <w:rtl w:val="true"/>
        </w:rPr>
        <w:t>»</w:t>
      </w:r>
      <w:bookmarkEnd w:id="2885"/>
    </w:p>
    <w:p>
      <w:pPr>
        <w:pStyle w:val="BookText"/>
        <w:rPr/>
      </w:pPr>
      <w:r>
        <w:rPr>
          <w:rFonts w:ascii="Amiri" w:hAnsi="Amiri" w:eastAsia="Amiri" w:cs="Amiri"/>
          <w:color w:val="111111"/>
          <w:sz w:val="28"/>
          <w:sz w:val="28"/>
          <w:szCs w:val="28"/>
          <w:rtl w:val="true"/>
          <w:lang w:bidi="ar-SA"/>
        </w:rPr>
        <w:t>مَجَالِسُ الصَّدُوقِ، عَنْ أَحْمَدَ بْنِ زِيَادِ بْنِ جَعْفَرٍ الْهَمَدَانِيِّ عَنْ عَلِيِّ بْنِ إِبْرَاهِيمَ عَنْ أَبِيهِ عَنْ إِسْمَاعِيلَ بْنِ مَرَّارٍ عَنْ يُونُسَ بْنِ عَبْدِ الرَّحْمَنِ عَنْ عَبْدِ اللَّهِ بْنِ سِنَانٍ 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 مَيِّتاً مُؤْمِناً فَأَدَّي</w:t>
      </w:r>
    </w:p>
    <w:p>
      <w:pPr>
        <w:pStyle w:val="Heading5"/>
        <w:numPr>
          <w:ilvl w:val="4"/>
          <w:numId w:val="1"/>
        </w:numPr>
        <w:rPr/>
      </w:pPr>
      <w:bookmarkStart w:id="2886" w:name="__RefHeading___Toc607576_1934241801"/>
      <w:bookmarkStart w:id="2887" w:name="_Toc1332"/>
      <w:bookmarkEnd w:id="2886"/>
      <w:r>
        <w:rPr>
          <w:rtl w:val="true"/>
        </w:rPr>
        <w:t xml:space="preserve">روایت </w:t>
      </w:r>
      <w:r>
        <w:rPr/>
        <w:t>5</w:t>
      </w:r>
      <w:bookmarkEnd w:id="2887"/>
    </w:p>
    <w:p>
      <w:pPr>
        <w:pStyle w:val="BookText"/>
        <w:rPr/>
      </w:pPr>
      <w:r>
        <w:rPr>
          <w:rFonts w:ascii="IRNazanin" w:hAnsi="IRNazanin" w:eastAsia="IRNazanin"/>
          <w:color w:val="111111"/>
          <w:sz w:val="28"/>
          <w:sz w:val="28"/>
          <w:szCs w:val="28"/>
          <w:rtl w:val="true"/>
          <w:lang w:bidi="fa-IR"/>
        </w:rPr>
        <w:t>ثواب الأعمال و 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جسد مؤمن دیگری را غسل دهد و هنگامی  که بدن او را زیر و رو می 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هَذَا بَدَنُ عَبْدِکَ الْمُؤْمِنِ وَ قَدْ أَخْرَجْتَ رُوحَهُ مِنْهُ وَ فَرَّقْتَ بَیْنَهُمَا فَعَفْوَکَ عَفْوَکَ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این جسم بنده مؤمن توست که روحش را از آن خارج ساخته ای و میان روح و جسم جدایی افکنده ای، پس او را ببخش، او را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گناهان یک سال او غیراز گناهان کبیره را می بخشاید</w:t>
      </w:r>
      <w:r>
        <w:rPr>
          <w:rFonts w:eastAsia="IRNazanin" w:cs="IRNazanin"/>
          <w:color w:val="111111"/>
          <w:sz w:val="28"/>
          <w:szCs w:val="28"/>
          <w:rtl w:val="true"/>
          <w:lang w:bidi="fa-IR"/>
        </w:rPr>
        <w:t>.</w:t>
      </w:r>
      <w:r>
        <w:rPr>
          <w:rStyle w:val="FootnoteAnchor"/>
          <w:rtl w:val="true"/>
        </w:rPr>
        <w:footnoteReference w:id="1392"/>
      </w:r>
    </w:p>
    <w:p>
      <w:pPr>
        <w:pStyle w:val="Heading5"/>
        <w:numPr>
          <w:ilvl w:val="4"/>
          <w:numId w:val="1"/>
        </w:numPr>
        <w:rPr/>
      </w:pPr>
      <w:bookmarkStart w:id="2888" w:name="__RefHeading___Toc607578_1934241801"/>
      <w:bookmarkStart w:id="2889" w:name="_Toc1333"/>
      <w:bookmarkEnd w:id="2888"/>
      <w:r>
        <w:rPr>
          <w:rtl w:val="true"/>
        </w:rPr>
        <w:t>توضیح</w:t>
      </w:r>
      <w:bookmarkEnd w:id="2889"/>
    </w:p>
    <w:p>
      <w:pPr>
        <w:pStyle w:val="BookText"/>
        <w:rPr/>
      </w:pPr>
      <w:r>
        <w:rPr>
          <w:rFonts w:ascii="IRNazanin" w:hAnsi="IRNazanin" w:eastAsia="IRNazanin"/>
          <w:color w:val="111111"/>
          <w:sz w:val="28"/>
          <w:sz w:val="28"/>
          <w:szCs w:val="28"/>
          <w:rtl w:val="true"/>
          <w:lang w:bidi="fa-IR"/>
        </w:rPr>
        <w:t xml:space="preserve">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غسل دهنده می باشد، ارجاع آن به میّت بعید به نظر می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سین و بدون تشدید قرائت می شود و چه بسا با کسر سین و تشدید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قرائت شود که با ظاهر کلمه و آنچه در نسخه های دیگر ثبت شده است مخالفت دارد</w:t>
      </w:r>
      <w:r>
        <w:rPr>
          <w:rFonts w:eastAsia="IRNazanin" w:cs="IRNazanin"/>
          <w:color w:val="111111"/>
          <w:sz w:val="28"/>
          <w:szCs w:val="28"/>
          <w:rtl w:val="true"/>
          <w:lang w:bidi="fa-IR"/>
        </w:rPr>
        <w:t>.</w:t>
      </w:r>
    </w:p>
    <w:p>
      <w:pPr>
        <w:pStyle w:val="Heading5"/>
        <w:numPr>
          <w:ilvl w:val="4"/>
          <w:numId w:val="1"/>
        </w:numPr>
        <w:rPr/>
      </w:pPr>
      <w:bookmarkStart w:id="2890" w:name="__RefHeading___Toc607580_1934241801"/>
      <w:bookmarkStart w:id="2891" w:name="_Toc1334"/>
      <w:bookmarkEnd w:id="2890"/>
      <w:r>
        <w:rPr>
          <w:rtl w:val="true"/>
        </w:rPr>
        <w:t xml:space="preserve">روایت </w:t>
      </w:r>
      <w:r>
        <w:rPr/>
        <w:t>6</w:t>
      </w:r>
      <w:bookmarkEnd w:id="2891"/>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جسد مؤمنی را غسل داده و امانت را </w:t>
      </w:r>
      <w:bookmarkStart w:id="2892" w:name="pg13517_329319"/>
    </w:p>
    <w:p>
      <w:pPr>
        <w:pStyle w:val="BookText"/>
        <w:rPr/>
      </w:pPr>
      <w:bookmarkEnd w:id="2892"/>
      <w:r>
        <w:rPr>
          <w:rFonts w:ascii="Amiri" w:hAnsi="Amiri" w:eastAsia="Amiri" w:cs="Amiri"/>
          <w:color w:val="111111"/>
          <w:sz w:val="28"/>
          <w:sz w:val="28"/>
          <w:szCs w:val="28"/>
          <w:rtl w:val="true"/>
          <w:lang w:bidi="ar-SA"/>
        </w:rPr>
        <w:t>فِيهِ الْأَمَانَةَ غُفِرَ لَهُ قِيلَ وَ كَيْفَ يُؤَدِّي فِيهِ الْأَمَانَةَ قَالَ لَا يُخْبِرُ بِمَا يَرَي‌</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عن محمد بن علي ماجيلويه عن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 و الهداية،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95"/>
      </w:r>
    </w:p>
    <w:p>
      <w:pPr>
        <w:pStyle w:val="Heading5"/>
        <w:numPr>
          <w:ilvl w:val="4"/>
          <w:numId w:val="1"/>
        </w:numPr>
        <w:rPr/>
      </w:pPr>
      <w:bookmarkStart w:id="2893" w:name="__RefHeading___Toc607582_1934241801"/>
      <w:bookmarkStart w:id="2894" w:name="_Toc1335"/>
      <w:bookmarkEnd w:id="2893"/>
      <w:r>
        <w:rPr>
          <w:rtl w:val="true"/>
        </w:rPr>
        <w:t>بيان</w:t>
      </w:r>
      <w:bookmarkEnd w:id="2894"/>
    </w:p>
    <w:p>
      <w:pPr>
        <w:pStyle w:val="BookText"/>
        <w:rPr/>
      </w:pPr>
      <w:r>
        <w:rPr>
          <w:rFonts w:ascii="Amiri" w:hAnsi="Amiri" w:eastAsia="Amiri" w:cs="Amiri"/>
          <w:color w:val="111111"/>
          <w:sz w:val="28"/>
          <w:sz w:val="28"/>
          <w:szCs w:val="28"/>
          <w:rtl w:val="true"/>
          <w:lang w:bidi="ar-SA"/>
        </w:rPr>
        <w:t>الرواية هكذا في الكافي و التهذيب‌</w:t>
      </w:r>
      <w:r>
        <w:rPr>
          <w:rStyle w:val="FootnoteAnchor"/>
          <w:rtl w:val="true"/>
        </w:rPr>
        <w:footnoteReference w:id="1396"/>
      </w:r>
      <w:r>
        <w:rPr>
          <w:rFonts w:ascii="Amiri" w:hAnsi="Amiri" w:eastAsia="Amiri" w:cs="Amiri"/>
          <w:color w:val="111111"/>
          <w:sz w:val="28"/>
          <w:sz w:val="28"/>
          <w:szCs w:val="28"/>
          <w:rtl w:val="true"/>
          <w:lang w:bidi="ar-SA"/>
        </w:rPr>
        <w:t>أيضا و زاد في الفقيه‌</w:t>
      </w:r>
      <w:r>
        <w:rPr>
          <w:rStyle w:val="FootnoteAnchor"/>
          <w:rtl w:val="true"/>
        </w:rPr>
        <w:footnoteReference w:id="1397"/>
      </w:r>
      <w:r>
        <w:rPr>
          <w:rFonts w:ascii="Amiri" w:hAnsi="Amiri" w:eastAsia="Amiri" w:cs="Amiri"/>
          <w:color w:val="111111"/>
          <w:sz w:val="28"/>
          <w:sz w:val="28"/>
          <w:szCs w:val="28"/>
          <w:rtl w:val="true"/>
          <w:lang w:bidi="ar-SA"/>
        </w:rPr>
        <w:t>و حده إلي أن يدفن الميت و كأنها من الصدوق أو أخذها من خبر آخر و علي تقديره يحتمل التشديد أي حد الإخفاء إلي الدفن أو حد الرؤية أي ينبغي أن لا يخبر بكل ما رآه منه إلي الدفن من العيوب و الأمور التي توجب شينه و يحتمل التخفيف أيضا أي كلما كان من عيوبه مستورا و رآه وحده و لم يره معه غيره سواء كان حال الغسل أو قبله بأن كان مشهورا به فأما ما كان كذلك فإن ذكره لا ينافي الأمانة</w:t>
      </w:r>
      <w:r>
        <w:rPr>
          <w:rFonts w:eastAsia="Amiri" w:cs="Amiri" w:ascii="Amiri" w:hAnsi="Amiri"/>
          <w:color w:val="111111"/>
          <w:sz w:val="28"/>
          <w:szCs w:val="28"/>
          <w:rtl w:val="true"/>
          <w:lang w:bidi="ar-SA"/>
        </w:rPr>
        <w:t>.</w:t>
      </w:r>
    </w:p>
    <w:p>
      <w:pPr>
        <w:pStyle w:val="Heading5"/>
        <w:numPr>
          <w:ilvl w:val="4"/>
          <w:numId w:val="1"/>
        </w:numPr>
        <w:rPr/>
      </w:pPr>
      <w:bookmarkStart w:id="2895" w:name="__RefHeading___Toc607584_1934241801"/>
      <w:bookmarkStart w:id="2896" w:name="_Toc1336"/>
      <w:bookmarkEnd w:id="2895"/>
      <w:r>
        <w:rPr>
          <w:rtl w:val="true"/>
        </w:rPr>
        <w:t>«</w:t>
      </w:r>
      <w:r>
        <w:rPr/>
        <w:t>7</w:t>
      </w:r>
      <w:r>
        <w:rPr>
          <w:rtl w:val="true"/>
        </w:rPr>
        <w:t>»</w:t>
      </w:r>
      <w:bookmarkEnd w:id="2896"/>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الْمَيِّتِ يُغْسَّلُ فِي الْفَضَاءِ قَالَ لَا بَأْسَ وَ إِنْ سَتَرْتَهُ فَهُوَ أَحَبُّ إِلَيَ‌</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7" w:name="__RefHeading___Toc607586_1934241801"/>
      <w:bookmarkStart w:id="2898" w:name="_Toc1337"/>
      <w:bookmarkEnd w:id="2897"/>
      <w:r>
        <w:rPr>
          <w:rtl w:val="true"/>
        </w:rPr>
        <w:t>بيان</w:t>
      </w:r>
      <w:bookmarkEnd w:id="2898"/>
    </w:p>
    <w:p>
      <w:pPr>
        <w:pStyle w:val="BookText"/>
        <w:rPr/>
      </w:pPr>
      <w:r>
        <w:rPr>
          <w:rFonts w:ascii="Amiri" w:hAnsi="Amiri" w:eastAsia="Amiri" w:cs="Amiri"/>
          <w:color w:val="111111"/>
          <w:sz w:val="28"/>
          <w:sz w:val="28"/>
          <w:szCs w:val="28"/>
          <w:rtl w:val="true"/>
          <w:lang w:bidi="ar-SA"/>
        </w:rPr>
        <w:t>و إن سترته أي من السماء بأن يكون تحت سقف أو خيمة كما فهمه الأصحاب أو سترت عورته أو جسده بثوب و الأول أظهر قال في الذكري استحباب غسله تحت سقف اتفاق علمائنا و قال المحقق في المعتبر و لعل الحكمة كراهة أن يقابل السماء بعورته</w:t>
      </w:r>
      <w:r>
        <w:rPr>
          <w:rFonts w:eastAsia="Amiri" w:cs="Amiri" w:ascii="Amiri" w:hAnsi="Amiri"/>
          <w:color w:val="111111"/>
          <w:sz w:val="28"/>
          <w:szCs w:val="28"/>
          <w:rtl w:val="true"/>
          <w:lang w:bidi="ar-SA"/>
        </w:rPr>
        <w:t>.</w:t>
      </w:r>
    </w:p>
    <w:p>
      <w:pPr>
        <w:pStyle w:val="Heading5"/>
        <w:numPr>
          <w:ilvl w:val="4"/>
          <w:numId w:val="1"/>
        </w:numPr>
        <w:rPr/>
      </w:pPr>
      <w:bookmarkStart w:id="2899" w:name="__RefHeading___Toc607588_1934241801"/>
      <w:bookmarkStart w:id="2900" w:name="_Toc1338"/>
      <w:bookmarkEnd w:id="2899"/>
      <w:r>
        <w:rPr>
          <w:rtl w:val="true"/>
        </w:rPr>
        <w:t>«</w:t>
      </w:r>
      <w:r>
        <w:rPr/>
        <w:t>8</w:t>
      </w:r>
      <w:r>
        <w:rPr>
          <w:rtl w:val="true"/>
        </w:rPr>
        <w:t>»</w:t>
      </w:r>
      <w:bookmarkEnd w:id="2900"/>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الْمَيِّتِ مِثْلُ غُسْلِ الْحَيِّ مِنَ الْجَنَابَةِ إِلَّا</w:t>
      </w:r>
    </w:p>
    <w:p>
      <w:pPr>
        <w:pStyle w:val="BookText"/>
        <w:rPr/>
      </w:pPr>
      <w:r>
        <w:rPr>
          <w:rFonts w:ascii="IRNazanin" w:hAnsi="IRNazanin" w:eastAsia="IRNazanin"/>
          <w:color w:val="111111"/>
          <w:sz w:val="28"/>
          <w:sz w:val="28"/>
          <w:szCs w:val="28"/>
          <w:rtl w:val="true"/>
          <w:lang w:bidi="fa-IR"/>
        </w:rPr>
        <w:t>در مورد آن رعایت کند، گناهانش بخشیده می شود،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امانت را در مورد آن رعایت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می بیند بازگو نکند</w:t>
      </w:r>
      <w:r>
        <w:rPr>
          <w:rFonts w:eastAsia="IRNazanin" w:cs="IRNazanin"/>
          <w:color w:val="111111"/>
          <w:sz w:val="28"/>
          <w:szCs w:val="28"/>
          <w:rtl w:val="true"/>
          <w:lang w:bidi="fa-IR"/>
        </w:rPr>
        <w:t>.</w:t>
      </w:r>
      <w:r>
        <w:rPr>
          <w:rStyle w:val="FootnoteAnchor"/>
          <w:rtl w:val="true"/>
        </w:rPr>
        <w:footnoteReference w:id="1399"/>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روایت شده است</w:t>
      </w:r>
      <w:r>
        <w:rPr>
          <w:rFonts w:eastAsia="IRNazanin" w:cs="IRNazanin"/>
          <w:color w:val="111111"/>
          <w:sz w:val="28"/>
          <w:szCs w:val="28"/>
          <w:rtl w:val="true"/>
          <w:lang w:bidi="fa-IR"/>
        </w:rPr>
        <w:t>.</w:t>
      </w:r>
      <w:r>
        <w:rPr>
          <w:rStyle w:val="FootnoteAnchor"/>
          <w:rtl w:val="true"/>
        </w:rPr>
        <w:footnoteReference w:id="1400"/>
      </w:r>
    </w:p>
    <w:p>
      <w:pPr>
        <w:pStyle w:val="BookText"/>
        <w:rPr/>
      </w:pPr>
      <w:r>
        <w:rPr>
          <w:rFonts w:ascii="IRNazanin" w:hAnsi="IRNazanin" w:eastAsia="IRNazanin"/>
          <w:color w:val="111111"/>
          <w:sz w:val="28"/>
          <w:sz w:val="28"/>
          <w:szCs w:val="28"/>
          <w:rtl w:val="true"/>
          <w:lang w:bidi="fa-IR"/>
        </w:rPr>
        <w:t>المقنع و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به صورت مرسل روایت شده است</w:t>
      </w:r>
      <w:r>
        <w:rPr>
          <w:rFonts w:eastAsia="IRNazanin" w:cs="IRNazanin"/>
          <w:color w:val="111111"/>
          <w:sz w:val="28"/>
          <w:szCs w:val="28"/>
          <w:rtl w:val="true"/>
          <w:lang w:bidi="fa-IR"/>
        </w:rPr>
        <w:t>.</w:t>
      </w:r>
      <w:r>
        <w:rPr>
          <w:rStyle w:val="FootnoteAnchor"/>
          <w:rtl w:val="true"/>
        </w:rPr>
        <w:footnoteReference w:id="1401"/>
      </w:r>
    </w:p>
    <w:p>
      <w:pPr>
        <w:pStyle w:val="Heading5"/>
        <w:numPr>
          <w:ilvl w:val="4"/>
          <w:numId w:val="1"/>
        </w:numPr>
        <w:rPr/>
      </w:pPr>
      <w:bookmarkStart w:id="2901" w:name="__RefHeading___Toc607590_1934241801"/>
      <w:bookmarkStart w:id="2902" w:name="_Toc1339"/>
      <w:bookmarkEnd w:id="2901"/>
      <w:r>
        <w:rPr>
          <w:rtl w:val="true"/>
        </w:rPr>
        <w:t>توضیح</w:t>
      </w:r>
      <w:bookmarkEnd w:id="2902"/>
    </w:p>
    <w:p>
      <w:pPr>
        <w:pStyle w:val="BookText"/>
        <w:rPr/>
      </w:pPr>
      <w:r>
        <w:rPr>
          <w:rFonts w:ascii="IRNazanin" w:hAnsi="IRNazanin" w:eastAsia="IRNazanin"/>
          <w:color w:val="111111"/>
          <w:sz w:val="28"/>
          <w:sz w:val="28"/>
          <w:szCs w:val="28"/>
          <w:rtl w:val="true"/>
          <w:lang w:bidi="fa-IR"/>
        </w:rPr>
        <w:t>حدیث مذکور در الکافی و التهذیب</w:t>
      </w:r>
      <w:r>
        <w:rPr>
          <w:rStyle w:val="FootnoteAnchor"/>
          <w:rtl w:val="true"/>
        </w:rPr>
        <w:footnoteReference w:id="1402"/>
      </w:r>
      <w:r>
        <w:rPr>
          <w:rFonts w:ascii="IRNazanin" w:hAnsi="IRNazanin" w:eastAsia="IRNazanin"/>
          <w:color w:val="111111"/>
          <w:sz w:val="28"/>
          <w:sz w:val="28"/>
          <w:szCs w:val="28"/>
          <w:rtl w:val="true"/>
          <w:lang w:bidi="fa-IR"/>
        </w:rPr>
        <w:t>نیز به همین صورت روایت شده است، امّا در الفقیه</w:t>
      </w:r>
      <w:r>
        <w:rPr>
          <w:rStyle w:val="FootnoteAnchor"/>
          <w:rtl w:val="true"/>
        </w:rPr>
        <w:footnoteReference w:id="1403"/>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پایان آن افزوده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حَدّه إلی أن یُدفَن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گویا روایت ذکر شده در الفقیه از صدوق یا حدیث دیگر گرفته شده است، امّا بر اساس روایت الفقیه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تشدید دال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دهنده اسرار میّت را تا زمان دفن پنهان نگاه دارد، یا چشم نگاه دارد، به این معنا که لازم است غسل دهنده تا زمان دفن عیب های میّت و اموری که باعث عیب جویی از او می شود را برای کسی بازگو نکند، همچنین ممکن است بدون تشدید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قرائت 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دهنده عیب های پنهان میّت که خود به تنهایی آن ها را مشاهده کرده است و هیچ کسی از وجود آن ها باخبر نیست را بازگو نکند، و فرقی نمی کند که آگاهی از عیوب در حال غسل دادن حاصل شود یا قبل از آن، امّا اگر عیوب میّت چنین ویژگیهایی نداشته باشد ذکر آن ها توسط غسل دهنده منافی رعایت امانت نیست</w:t>
      </w:r>
      <w:r>
        <w:rPr>
          <w:rFonts w:eastAsia="IRNazanin" w:cs="IRNazanin"/>
          <w:color w:val="111111"/>
          <w:sz w:val="28"/>
          <w:szCs w:val="28"/>
          <w:rtl w:val="true"/>
          <w:lang w:bidi="fa-IR"/>
        </w:rPr>
        <w:t>.</w:t>
      </w:r>
    </w:p>
    <w:p>
      <w:pPr>
        <w:pStyle w:val="Heading5"/>
        <w:numPr>
          <w:ilvl w:val="4"/>
          <w:numId w:val="1"/>
        </w:numPr>
        <w:rPr/>
      </w:pPr>
      <w:bookmarkStart w:id="2903" w:name="__RefHeading___Toc607592_1934241801"/>
      <w:bookmarkStart w:id="2904" w:name="_Toc1340"/>
      <w:bookmarkEnd w:id="2903"/>
      <w:r>
        <w:rPr>
          <w:rtl w:val="true"/>
        </w:rPr>
        <w:t xml:space="preserve">روایت </w:t>
      </w:r>
      <w:r>
        <w:rPr/>
        <w:t>7</w:t>
      </w:r>
      <w:bookmarkEnd w:id="2904"/>
    </w:p>
    <w:p>
      <w:pPr>
        <w:pStyle w:val="BookText"/>
        <w:rPr/>
      </w:pP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علی بن جعفر از برادرش امام موسی کاظم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 در فضای باز غسل داده می 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هرچند اگر میّت را بپوشانی و در فضای سر بسته او را غسل دهی نزد من پسندیده تر است</w:t>
      </w:r>
      <w:r>
        <w:rPr>
          <w:rFonts w:eastAsia="IRNazanin" w:cs="IRNazanin"/>
          <w:color w:val="111111"/>
          <w:sz w:val="28"/>
          <w:szCs w:val="28"/>
          <w:rtl w:val="true"/>
          <w:lang w:bidi="fa-IR"/>
        </w:rPr>
        <w:t>.</w:t>
      </w:r>
      <w:r>
        <w:rPr>
          <w:rStyle w:val="FootnoteAnchor"/>
          <w:rtl w:val="true"/>
        </w:rPr>
        <w:footnoteReference w:id="1404"/>
      </w:r>
    </w:p>
    <w:p>
      <w:pPr>
        <w:pStyle w:val="Heading5"/>
        <w:numPr>
          <w:ilvl w:val="4"/>
          <w:numId w:val="1"/>
        </w:numPr>
        <w:rPr/>
      </w:pPr>
      <w:bookmarkStart w:id="2905" w:name="__RefHeading___Toc607594_1934241801"/>
      <w:bookmarkStart w:id="2906" w:name="_Toc1341"/>
      <w:bookmarkEnd w:id="2905"/>
      <w:r>
        <w:rPr>
          <w:rtl w:val="true"/>
        </w:rPr>
        <w:t>توضیح</w:t>
      </w:r>
      <w:bookmarkEnd w:id="29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سترَتَه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از آسمان و ساکنان آن بپوشانی، به این ترتیب که غسل دادن در زیر سقف یا چادر انجام پذیرد چنان  که فقها برداشت کرده اند، یا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عورت و جسم او را با لباس بپوشانی، ولی معنای نخست صحیح تر به نظر می رسد، شهید 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علمای ما بر این نظر اتفّاق دارند که غسل دادن میّت در زیر سقف مستحبّ است، و محقّق در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حکمت این امر، کراهت قرار گرفتن در مقابل آسمان با عورت باز باشد</w:t>
      </w:r>
      <w:r>
        <w:rPr>
          <w:rFonts w:eastAsia="IRNazanin" w:cs="IRNazanin"/>
          <w:color w:val="111111"/>
          <w:sz w:val="28"/>
          <w:szCs w:val="28"/>
          <w:rtl w:val="true"/>
          <w:lang w:bidi="fa-IR"/>
        </w:rPr>
        <w:t>.</w:t>
      </w:r>
    </w:p>
    <w:p>
      <w:pPr>
        <w:pStyle w:val="Heading5"/>
        <w:numPr>
          <w:ilvl w:val="4"/>
          <w:numId w:val="1"/>
        </w:numPr>
        <w:rPr/>
      </w:pPr>
      <w:bookmarkStart w:id="2907" w:name="__RefHeading___Toc607596_1934241801"/>
      <w:bookmarkStart w:id="2908" w:name="_Toc1342"/>
      <w:bookmarkEnd w:id="2907"/>
      <w:r>
        <w:rPr>
          <w:rtl w:val="true"/>
        </w:rPr>
        <w:t xml:space="preserve">روایت </w:t>
      </w:r>
      <w:r>
        <w:rPr/>
        <w:t>8</w:t>
      </w:r>
      <w:bookmarkEnd w:id="2908"/>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میّت مانند غسلی است که زندگان برای پاک شدن از جنابت انجام می دهند، جز </w:t>
      </w:r>
      <w:bookmarkStart w:id="2909" w:name="pg13517_329320"/>
    </w:p>
    <w:p>
      <w:pPr>
        <w:pStyle w:val="BookText"/>
        <w:rPr/>
      </w:pPr>
      <w:bookmarkEnd w:id="2909"/>
      <w:r>
        <w:rPr>
          <w:rFonts w:ascii="Amiri" w:hAnsi="Amiri" w:eastAsia="Amiri" w:cs="Amiri"/>
          <w:color w:val="111111"/>
          <w:sz w:val="28"/>
          <w:sz w:val="28"/>
          <w:szCs w:val="28"/>
          <w:rtl w:val="true"/>
          <w:lang w:bidi="ar-SA"/>
        </w:rPr>
        <w:t xml:space="preserve">أَنَّ غُسْلَ الْحَيِّ مَرَّةٌ وَاحِدَةٌ بِتِلْكَ الصِّفَاتِ وَ غُسْلَ الْمَيِّتِ ثَلَاثُ مَرَّاتٍ عَلَي تِلْكَ الصِّفَاتِ تَبْتَدِئُ بِغَسْلِ الْيَدَيْنِ إِلَي نِصْفِ الْمِرْفَقَيْنِ ثَلَاثاً ثَلَاثاً ثُمَّ الْفَرْجِ ثَلَاثاً ثُمَّ الرَّأْسِ ثَلَاثاً ثُمَّ الْجَانِبِ الْأَيْمَنِ ثَلَاثاً ثُمَّ الْجَانِبِ الْأَيْسَرِ ثَلَاثاً بِالْمَاءِ وَ السِّدْرِ ثُمَّ تُغَسِّلُهُ مَرَّةً أُخْرَي بِالْمَاءِ وَ الْكَافُورِ عَلَي هَذِهِ الصِّفَةِ ثُمَّ بِالْمَاءِ الْقَرَاحِ مَرَّةً ثَالِثَةً فَيَكُونُ الْغُسْلُ ثَلَاثَ مَرَّاتٍ كُلُّ مَرَّةٍ خَمْسَ عَشْرَةَ صَبَّةً وَ لَا تَقْطَعِ الْمَاءَ إِذَا ابْتَدَأْتَ بِالْجَانِبَيْنِ مِنَ الرَّأْسِ إِلَي الْقَدَمَيْنِ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الْإِنَاءُ يَكْبُرُ عَنْ ذَلِكَ وَ كَانَ الْمَاءُ قَلِيلًا صَبَبْتَ فِي الْأَوَّلِ مَرَّةً وَاحِدَةً عَلَي الْيَدَيْنِ وَ مَرَّةً عَلَي الْفَرْجِ وَ مَرَّةً عَلَي الرَّأْسِ وَ مَرَّةً عَلَي الْجَنْبِ الْأَيْمَنِ وَ مَرَّةً عَلَي الْجَنْبِ الْأَيْسَرِ بِإِفَاضَةٍ لَا يُقْطَعُ الْمَاءُ مِنْ أَوَّلِ الْجَانِبَيْنِ إِلَي الْقَدَمَيْنِ ثُمَّ عَمِلْتَ ذَلِكَ فِي سَائِرِ الْغُسْلِ فَيَكُونُ غَسْلُ كُلِّ عُضْوٍ مَرَّةً وَاحِدَةً عَلَي مَا وَصَفْنَاهُ وَ يَكُونُ الْغَاسِلُ عَلَي يَدَيْهِ خِرْقَةً وَ يُغَسَّلُ الْمَيِّتُ مِنْ وَرَاءِ ثَوْبٍ أَوْ يَسْتُرُ عَوْرَتَهُ بِخِرْقَةٍ</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0" w:name="__RefHeading___Toc607598_1934241801"/>
      <w:bookmarkStart w:id="2911" w:name="_Toc1343"/>
      <w:bookmarkEnd w:id="2910"/>
      <w:r>
        <w:rPr>
          <w:rtl w:val="true"/>
        </w:rPr>
        <w:t>«</w:t>
      </w:r>
      <w:r>
        <w:rPr/>
        <w:t>9</w:t>
      </w:r>
      <w:r>
        <w:rPr>
          <w:rtl w:val="true"/>
        </w:rPr>
        <w:t>»</w:t>
      </w:r>
      <w:bookmarkEnd w:id="2911"/>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ضَعْهُ عَلَي مُغْتَسَلِهِ مِنْ قَبْلِ أَنْ تَنْزِعَ قَمِيصَهُ أَوْ تَضَعَ عَلَي فَرْجِهِ خِرْقَةً وَ لَيِّنْ مَفَاصِلَهُ ثُمَّ تُقْعِدُهُ فَتَغْمِزُ بَطْنَهُ غَمْزاً رَفِيقاً وَ تَقُولُ وَ أَنْتَ تَمْسَحُهُ اللَّهُمَّ إِنِّي سَلَكْتُ حُبَّ مُحَمَّدٍ صلي الله عليه و آله فِي بَطْنِهِ فَاسْلُكْ بِهِ سَبِيلَ رَحْمَتِكَ وَ يَكُونُ مُسْتَقْبِلَ الْقِبْلَةِ وَ يُغَسِّلُهُ أَوْلَي النَّاسِ بِهِ أَوْ مَنْ يَأْمُرُهُ الْوَلِيُّ بِذَلِكَ وَ تَجْعَلُ بَاطِنَ رِجْلَيْهِ إِلَي الْقِبْلَةِ وَ هُوَ عَلَي الْمُغْتَسَلِ وَ تَنْزِعُ قَمِيصَهُ مِنْ تَحْتِهِ أَوْ تَتْرُكُهُ عَلَيْهِ إِلَي أَنْ تَفْرُغَ مِنْ غُسْلِهِ لِتَسْتُرَ بِهِ عَوْرَتَهُ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عَلَيْهِ الْقَمِيصُ أَلْقَيْتَ عَلَي عَوْرَتِهِ شَيْئاً مِمَّا تَسْتُرُ بِهِ عَوْرَتَهُ وَ تُلَيِّنُ أَصَابِعَهُ وَ مَفَاصِلَهُ مَا قَدَرْتَ بِالرِّفْقِ وَ إِنْ كَانَ يَصْعُبُ عَلَيْكَ فَدَعْهَا وَ تَبْدَأُ بِغَسْلِ كَفَّيْهِ ثُمَّ تُطَهِّرُ مَا خَرَجَ مِنْ بَطْنِهِ وَ يَلُفُّ غَاسِلُهُ عَلَي يَدَيْهِ خِرْقَةً وَ يَصُبُّ غَيْرُهُ الْمَاءَ مِنْ فَوْقِ سُرَّتِهِ ثُمَّ تُضْجِعُهُ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غُسْلُهُ مِنْ وَرَاءِ ثَوْبِهِ إِنِ اسْتَطَعْتَ ذَلِكَ وَ تُدْخِلُ يَدَكَ تَحْتَ الثَّوْبِ وَ تَغْسِلُ</w:t>
      </w:r>
    </w:p>
    <w:p>
      <w:pPr>
        <w:pStyle w:val="BookText"/>
        <w:rPr/>
      </w:pPr>
      <w:r>
        <w:rPr>
          <w:rFonts w:ascii="IRNazanin" w:hAnsi="IRNazanin" w:eastAsia="IRNazanin"/>
          <w:color w:val="111111"/>
          <w:sz w:val="28"/>
          <w:sz w:val="28"/>
          <w:szCs w:val="28"/>
          <w:rtl w:val="true"/>
          <w:lang w:bidi="fa-IR"/>
        </w:rPr>
        <w:t xml:space="preserve">اینکه غسل جنابت یک  بار و غسل میّت سه  بار انجام می پذیرد و هر یک دارای ویژگیهای خاصّ خود هستند، غسل میّت به این ترتیب است که در ابتدا دست ها را سه  بار تا نصف دو آرنج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شویی، سپس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طرف راست و طرف چپ را سه  بار با آب و سدر می شویی، آن گاه یک بار دیگر جسد میّت را به همین ترتیب با آب و کافور می شویی، و بار سوّم نیز جسد را به شیوه دو بار قبل و با آب خالص می شویی و به این ترتیب غسل سه بار تکرار می شود، و هر بار پانزده پیمانه آب بر میّت ریخته می شود، و اگر غسل را از دو سمت راست و چپ بدن میّت و از سر به سوی پاها آغاز نمودی، آب را یک باره و بدون بریدگی بر آن ها جاری می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ظرف آب بزرگ ولی آب اندک بود، در مرحله نخست آب را یک بار بر دستها، یک بار بر فرج، یک بار بر سر، یک بار بر طرف راست و یک بار طرف چپ جاری می سازی به این ترتیب که آب بدون بریدگی و یکباره از ابتدای یک طرف بدن تا پاها جاری شود، سپس این اعمال را در سایر مراحل غسل انجام می دهی، بنابراین غسل هر عضو یک بار و به شیوه ای که شرح دادیم انجام می پذیرد، و غسل دهنده باید پوششی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داشته باشد و میّت را از پَسِ یک لباس غسل دهد و یا عورت او را با یک تکّه پارچه بپوشاند</w:t>
      </w:r>
      <w:r>
        <w:rPr>
          <w:rFonts w:eastAsia="IRNazanin" w:cs="IRNazanin"/>
          <w:color w:val="111111"/>
          <w:sz w:val="28"/>
          <w:szCs w:val="28"/>
          <w:rtl w:val="true"/>
          <w:lang w:bidi="fa-IR"/>
        </w:rPr>
        <w:t>.</w:t>
      </w:r>
      <w:r>
        <w:rPr>
          <w:rStyle w:val="FootnoteAnchor"/>
          <w:rtl w:val="true"/>
        </w:rPr>
        <w:footnoteReference w:id="1406"/>
      </w:r>
    </w:p>
    <w:p>
      <w:pPr>
        <w:pStyle w:val="Heading5"/>
        <w:numPr>
          <w:ilvl w:val="4"/>
          <w:numId w:val="1"/>
        </w:numPr>
        <w:rPr/>
      </w:pPr>
      <w:bookmarkStart w:id="2912" w:name="__RefHeading___Toc607600_1934241801"/>
      <w:bookmarkStart w:id="2913" w:name="_Toc1344"/>
      <w:bookmarkEnd w:id="2912"/>
      <w:r>
        <w:rPr>
          <w:rtl w:val="true"/>
        </w:rPr>
        <w:t xml:space="preserve">روایت </w:t>
      </w:r>
      <w:r>
        <w:rPr/>
        <w:t>9</w:t>
      </w:r>
      <w:bookmarkEnd w:id="2913"/>
    </w:p>
    <w:p>
      <w:pPr>
        <w:pStyle w:val="BookText"/>
        <w:rPr/>
      </w:pPr>
      <w:r>
        <w:rPr>
          <w:rFonts w:ascii="IRNazanin" w:hAnsi="IRNazanin" w:eastAsia="IRNazanin"/>
          <w:color w:val="111111"/>
          <w:sz w:val="28"/>
          <w:sz w:val="28"/>
          <w:szCs w:val="28"/>
          <w:rtl w:val="true"/>
          <w:lang w:bidi="fa-IR"/>
        </w:rPr>
        <w:t>امام رضا علیه السلام در مکانی دیگر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لباس میّت را درآوری او را بر جایگاه شستشو قرار داده، یا در صورت درآوردن لباس، عورت او را با تکّه پارچه ای بپوشان، سپس مفاصل او را مالش ده، و آن گاه او را به حالت نشسته قرار داده و شکمش را به آرامی فشار ده و در حالی که شکمش را می شویی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سَلَکْتُ حُبَّ مُحَمَّدٍ ص فِی بَطْنِهِ فَاسْلُکْ بِهِ سَبِیلَ رَحْمَتِکَ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من حُبّ محمّد صلّی الله علیه و آله را به درون او وارد ساختم، پس او را در طریق رحمت خویش وارد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میّت رو به قبله قرار داده می شود و نزدیک ترین شخص به او یا کسی  که ولیّ میّت مأمورش ساخته باشد میّت را غسل می دهد، هنگام غسل دادن کف پاهای میّت را در حالی که بر جایگاه شستشو خوابانده شده است به سوی قبله قرار می دهی و لباس را از تنش در می آوری و یا درآوردن لباس را تا زمانی که غسل به پایان می رسد به تأخیر می اندازی تا عورتش پوشیده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میّت لباسی به تن نداشته باشد، تکّه پارچه ای را برای پوشیده ماندن عورتش بر آن قرار می دهی و تا جایی که می توانی انگشتان و مفاصل میّت را به آرامی مالش می دهی، و اگر انجام این کار برای تو مشکل است آن را رها ساز، و غسل را از دو کف دست میّت آغاز می کنی، سپس او را از آنچه از شکمش خارج شده است پاک می گردانی؛ غسل دهنده پوششی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خود می پیچد و شخصی دیگر آب را از بالای ناف بر میّت جاری می سازد، آن گاه او را به پهلو می خوابانی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توانایی داشته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 را از پَسِ لباسش غسل دهی، به این ترتیب که دست را به زیر لباس وارد می کنی </w:t>
      </w:r>
    </w:p>
    <w:p>
      <w:pPr>
        <w:pStyle w:val="BookText"/>
        <w:rPr/>
      </w:pPr>
      <w:r>
        <w:rPr>
          <w:rFonts w:ascii="Amiri" w:hAnsi="Amiri" w:eastAsia="Amiri" w:cs="Amiri"/>
          <w:color w:val="111111"/>
          <w:sz w:val="28"/>
          <w:sz w:val="28"/>
          <w:szCs w:val="28"/>
          <w:rtl w:val="true"/>
          <w:lang w:bidi="ar-SA"/>
        </w:rPr>
        <w:t>قُبُلَهُ وَ دُبُرَهُ بِثَلَاثِ حُمَيْدِيَّاتٍ‌</w:t>
      </w:r>
      <w:r>
        <w:rPr>
          <w:rStyle w:val="FootnoteAnchor"/>
          <w:rtl w:val="true"/>
        </w:rPr>
        <w:footnoteReference w:id="1407"/>
      </w:r>
      <w:r>
        <w:rPr>
          <w:rFonts w:ascii="Amiri" w:hAnsi="Amiri" w:eastAsia="Amiri" w:cs="Amiri"/>
          <w:color w:val="111111"/>
          <w:sz w:val="28"/>
          <w:sz w:val="28"/>
          <w:szCs w:val="28"/>
          <w:rtl w:val="true"/>
          <w:lang w:bidi="ar-SA"/>
        </w:rPr>
        <w:t>وَ لَا تَقْطَعِ الْمَاءَ عَنْهُ ثُمَّ تَغْسِلُ رَأْسَهُ وَ لِحْيَتَهُ بِرَغْوَةِ السِّدْرِ وَ تُتْبِعُهُ بِثَلَاثِ حُمَيْدِيَّاتٍ وَ لَا تُقْعِدُهُ إِنْ صَعُبَ عَلَيْكَ ثُمَّ اقْلِبْهُ عَلَي جَنْبِهِ الْأَيْسَرِ لِيَبْدُوَ لَكَ الْأَيْمَنُ وَ مُدَّ يَدَهُ الْيُمْنَي عَلَي جَنْبِهِ الْأَيْمَنِ إِلَي حَيْثُ يَبْلُغُ ثُمَّ اغْسِلْهُ بِثَلَاثِ حُمَيْدِيَّاتٍ مِنْ قَرْنِهِ إِلَي قَدَمِهِ فَإِذَا بَلَغْتَ وَرِكَهُ فَأَكْثِرْ مِنْ صَبِّ الْمَاءِ وَ إِيَّاكَ أَنْ تَتْرُكَهُ ثُمَّ اقْلِبْهُ إِلَي جَنْبِهِ الْأَيْمَنِ لِيَبْدُوَ لَكَ الْأَيْسَرُ وَ ضَعْ بِيَدِكَ الْيُسْرَي‌</w:t>
      </w:r>
      <w:r>
        <w:rPr>
          <w:rStyle w:val="FootnoteAnchor"/>
          <w:rtl w:val="true"/>
        </w:rPr>
        <w:footnoteReference w:id="1408"/>
      </w:r>
      <w:r>
        <w:rPr>
          <w:rFonts w:ascii="Amiri" w:hAnsi="Amiri" w:eastAsia="Amiri" w:cs="Amiri"/>
          <w:color w:val="111111"/>
          <w:sz w:val="28"/>
          <w:sz w:val="28"/>
          <w:szCs w:val="28"/>
          <w:rtl w:val="true"/>
          <w:lang w:bidi="ar-SA"/>
        </w:rPr>
        <w:t>عَلَي جَنْبِهِ الْأَيْسَرِ وَ اغْسِلْهُ بِثَلَاثِ حُمَيْدِيَّاتٍ مِنْ قَرْنِهِ إِلَي قَدَمِهِ وَ لَا تَقْطَعِ الْمَاءَ عَنْهُ ثُمَّ اقْلِبْهُ إِلَي ظَهْرِهِ وَ امْسَحْ بَطْنَهُ مَسْحاً رَفِيقاً وَ اغْسِلْهُ مَرَّةً أُخْرَي بِمَاءٍ وَ شَيْ‌ءٍ مِنَ الْكَافُورِ وَ اطْرَحْ فِيهِ شَيْئاً مِنَ الْحَنُوطِ مِثْلَ غُسْلِهِ الْأَوَّلِ ثُمَّ خَضْخِضِ الْأَوَانِيَ الَّتِي فِيهَا الْمَاءُ وَ اغْسِلْهُ الثَّالِثَةَ بِمَاءٍ قَرَاحٍ وَ لَا تَمْسَحْ بَطْنَهُ فِي ثَالِثَةٍ وَ قُلْ وَ أَنْتَ تُغَسِّلُهُ عَفْوَكَ عَفْوَكَ فَإِنَّهُ مَنْ قَالَهَا عَفَا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عَلَيْكَ بِأَدَاءِ الْأَمَانَةِ فَإِنَّهُ رُوِيَ عَنْ أَبِي عَبْدِ اللَّهِ عليه السلام أَنَّهُ مَنْ غَسَّلَ مَيِّتاً مُؤْمِناً فَأَدَّي إِلَيْهِ الْأَمَانَةَ غُفِرَ لَهُ قِيلَ وَ كَيْفَ يُؤَدِّي الْأَمَانَةَ قَالَ لَا يُخْبِرُ بِمَا 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فَرَغْتَ مِنَ الْغَسْلَةِ الثَّالِثَةِ فَاغْسِلْ يَدَيْكَ مِنَ الْمِرْفَقَيْنِ إِلَي أَطْرَافِ أَصَابِعِكَ وَ أَلْقِ عَلَيْهِ ثَوْباً يُنْشَفُ بِهِ الْمَاءُ عَنْهُ وَ لَا يَجُوزُ أَنْ يَدْخُلَ الْمَاءُ مَا يَنْصَبُّ عَنِ الْمَيِّتِ مِنْ غُسْلِهِ فِي كَنِيفٍ وَ لَكِنْ يَجُوزُ أَنْ يَدْخُلَ فِي بَلَالِيعَ لَا يُبَالُ فِيهَا أَوْ فِي حَفِيرَةٍ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تُقَلِّمَنَّ أَظَافِيرَهُ وَ لَا تَقُصَّ شَارِبَهُ وَ لَا شَيْئاً مِنْ شَعْرِهِ فَإِنْ سَقَطَ مِنْهُ شَيْ‌ءٌ مِنْ جِلْدِهِ فَاجْعَلْهُ مَعَهُ فِي أَكْفَانِهِ وَ لَا تُسْخِنْ لَهُ مَاءً إِلَّا أَنْ يَكُونَ مَاءً بَارِداً جِدّاً فَتُوَقِّي الْمَيِّتَ مِمَّا تُوَقِّي مِنْهُ نَفْسَكَ وَ لَا يَكُونُ الْمَاءُ حَارّاً شَدِيداً وَ لْيَكُنْ فَاتِراً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لَا بَأْسَ أَنْ تُغَسِّلَهُ فِي فَضَاءٍ وَ إِنْ سَتَرْتَ بِشَيْ‌ءٍ أَحَبُّ إِلَيَّ وَ إِنْ</w:t>
      </w:r>
    </w:p>
    <w:p>
      <w:pPr>
        <w:pStyle w:val="BookText"/>
        <w:rPr/>
      </w:pPr>
      <w:r>
        <w:rPr>
          <w:rFonts w:ascii="IRNazanin" w:hAnsi="IRNazanin" w:eastAsia="IRNazanin"/>
          <w:color w:val="111111"/>
          <w:sz w:val="28"/>
          <w:sz w:val="28"/>
          <w:szCs w:val="28"/>
          <w:rtl w:val="true"/>
          <w:lang w:bidi="fa-IR"/>
        </w:rPr>
        <w:t>و شرمگاه او را از پیش و پس با سه پیمانه آب می شویی، و در حالی که آب را پیوسته بر میّت جاری می سازی سر و ریش او را با کف سدر می شویی و سه پیمانه آب را بر آن جاری می سازی، و اگر برای تو دشوار است او را به حالت نشسته قرار نده، سپس میّت را به روی سمت چپش برگردان تا سمت راست برای تو آشکار شود و دست راستش را تا جایی که می رسد بر روی پهلوی راستش دراز کن و سه پیمانه آب را از سر تا پاهایش بر او جاری ساز، و هنگامی که به کفل میّت رسیدی آب بیشتری بر او جاری ساز و برحذر باش از اینکه شستن آن را ترک نمایی، سپس میّت را به روی سمت راستش برگردان تا سمت چپ برای تو آشکار شود، آن گاه دست چپش را روی پهلوی چپ قرار ده و سه پیمانه آب را از سر تا پاهایش بر او جاری ساز، و آب را پیوسته و بدون بریدگی بر او جاری ساز، سپس میّت را به پشت برگردان و شکمش را به آرامی مسح کن و یک بار دیگر آن را با آب و مقداری کافور بشوی، و مانند مرحله نخست مقداری ماده خوشبو کننده را در آب و کافور قرار ده، آن گاه ظرفهایی که در آن ها آب قرار دارد را تکان ده و بار سوّم میّت را با آب خالص بشوی، امّا بار سوّم شکمش را مسح نکن و هنگام غسل دادن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عَفْوَکَ عَفْوَکَ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او را ببخش، او را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راستی که اگر غسل دهنده چنین بگوید خداوند از گناهانش در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توست که هنگام غسل دادن امانت را رعایت نمایی، چرا  که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میّت را غسل دهد و امانت را رعایت کند، گناهانش بخشیده می شود،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امانت را رعایت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مشاهده کرده است بازگو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از غسل سوّم فارغ گشتی، دستهایت را از دو آرنج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کناره های انگشانت بشوی و لباسی را بر روی میّت قرار ده تا به وسیله آن آب روی بدنش خشک شود، و جایز نیست آبی که پس از غسل دادن میّت بر بدن او جاری می شود وارد مستراح شود، ولی جایز است وارد کانال هایی شود که در آن ها بول نمی کنند، همچنین جایز است این آب وارد چاله یا گودال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غسل ناخن های میّت را نچین و موی سبیل و سر او را کوتاه نکن، و اگر قسمتی از پوست او هنگام غسل کنده شد آن را همراه او در کفنش قرار ده، و برای غسل دادن میّت آب را گرم نکن مگر اینکه آب خیلی سرد باشد، پس میّت را بازدار از آنچه خود را از آن باز می داری، و مواظب باش که آب خیلی داغ نباشد بلکه باید ولرم باشد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ادامه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که میّت را در فضای آزاد غسل دهی، هر چند اگر او را با چیزی بپوشانی نزد من پسندیده تر است، و اگر </w:t>
      </w:r>
      <w:bookmarkStart w:id="2914" w:name="pg13517_329322"/>
    </w:p>
    <w:p>
      <w:pPr>
        <w:pStyle w:val="BookText"/>
        <w:rPr/>
      </w:pPr>
      <w:bookmarkEnd w:id="2914"/>
      <w:r>
        <w:rPr>
          <w:rFonts w:ascii="Amiri" w:hAnsi="Amiri" w:eastAsia="Amiri" w:cs="Amiri"/>
          <w:color w:val="111111"/>
          <w:sz w:val="28"/>
          <w:sz w:val="28"/>
          <w:szCs w:val="28"/>
          <w:rtl w:val="true"/>
          <w:lang w:bidi="ar-SA"/>
        </w:rPr>
        <w:t xml:space="preserve">حَضَرَكَ قَوْمٌ مُخَالِفُونَ فَاجْهَدْ أَنْ تُغَسِّلَهُ غُسْلَ الْمُؤْمِنِ وَ أَخْفِ عَنْهُمُ الْجَرِيدَةَ فَإِنْ خَرَجَ مِنْهُ شَيْ‌ءٌ بَعْدَ الْغُسْلِ فَلَا تُعِدْ غُسْلَهُ وَ لَكِنِ اغْسِلْ مَا أَصَابَ مِنَ الْكَفَنِ إِلَي أَنْ تَضَعَهُ فِي لَحْدِهِ فَإِنْ خَرَجَ مِنْهُ شَيْ‌ءٌ فِي لَحْدِهِ لَمْ تَغْسِلْ كَفَنَهُ وَ لَكِنْ قَرَضْتَ مِنْ كَفَنِهِ مَا أَصَابَ مِنَ الَّذِي خَرَجَ مِنْهُ وَ مَدَدْتَ أَحَدَ الثَّوْبَيْنِ عَلَي الْآخَرِ وَ إِذَا أَرَدْتَ أَنْ تُغَسِّلَ مَيِّتاً وَ أَنْتَ جُنُبٌ فَتَوَضَّأْ لِلصَّلَاةِ ثُمَّ اغْسِلْهُ فَإِذَا أَرَدْتَ الْجِمَاعَ بَعْدَ غَسْلِكَ الْمَيِّتَ مِنْ قَبْلِ أَنْ تَغْتَسِلَ مِنْ غُسْلِهِ فَتَوَضَّأْ ثُمَّ جَامِعْ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مَاتَ مَيِّتٌ بَيْنَ رِجَالٍ نَصَارَي وَ نِسْوَةٍ مُسْلِمَاتٍ غَسَّلَهُ الرِّجَالُ النَّصَارَي بَعْدَ مَا يَغْتَسِلُونَ وَ إِنْ كَانَ الْمَيِّتُ امْرَأَةً مُسْلِمَةً بَيْنَ رِجَالٍ مُسْلِمِينَ وَ نِسْوَةٍ نَصْرَانِيَّةٍ اغْتَسَلَتِ النَّصْرَانِيَّةُ وَ غَسَّلَتْهَا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الْمَيِّتُ مَجْدُوراً أَوْ مُحْتَرِقاً فَخَشِيتَ إِنْ مَسِسْتَهُ سَقَطَ مِنْ جُلُودِهِ شَيْ‌ءٌ فَلَا تَمَسَّهُ وَ لَكِنْ صُبَّ عَلَيْهِ الْمَاءَ صَبّاً فَإِنْ سَقَطَ مِنْهُ شَيْ‌ءٌ فَاجْمَعْهُ فِي أَكْفَانِهِ وَ إِذَا كَانَ الْمَيِّتُ مُحْرِماً غَسَّلْتَهُ وَ غَطَّيْتَ وَجْهَهُ وَ عَمِلْتَ بِهِ مَا عُمِلَ بِالْحَلَالِ إِلَّا أَنَّهُ لَا يُقَرَّبُ إِلَيْهِ كَافُورٌ</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5" w:name="__RefHeading___Toc607602_1934241801"/>
      <w:bookmarkStart w:id="2916" w:name="_Toc1345"/>
      <w:bookmarkEnd w:id="2915"/>
      <w:r>
        <w:rPr>
          <w:rtl w:val="true"/>
        </w:rPr>
        <w:t>تبيين</w:t>
      </w:r>
      <w:bookmarkEnd w:id="2916"/>
    </w:p>
    <w:p>
      <w:pPr>
        <w:pStyle w:val="BookText"/>
        <w:rPr/>
      </w:pPr>
      <w:r>
        <w:rPr>
          <w:rFonts w:ascii="Amiri" w:hAnsi="Amiri" w:eastAsia="Amiri" w:cs="Amiri"/>
          <w:color w:val="111111"/>
          <w:sz w:val="28"/>
          <w:sz w:val="28"/>
          <w:szCs w:val="28"/>
          <w:rtl w:val="true"/>
          <w:lang w:bidi="ar-SA"/>
        </w:rPr>
        <w:t>قال في الدروس يستحب غسل يدي الميت إلي نصف الذراع ثلاثا و قال في المعتبر يبدأ بغسل يديه قبل رأسه ثم يغسل رأسه يبدأ بشقه الأيمن ثم الأيسر و يغسل كل عضو ثلاثا في كل غسلة و هو مذهب فقهائنا أجمع و أما غسل الفرج ثلاثا فقد روي الأمر به في الأخبار و في بعضها بماء السدر و الحرض‌</w:t>
      </w:r>
      <w:r>
        <w:rPr>
          <w:rStyle w:val="FootnoteAnchor"/>
          <w:rtl w:val="true"/>
        </w:rPr>
        <w:footnoteReference w:id="1410"/>
      </w:r>
      <w:r>
        <w:rPr>
          <w:rFonts w:ascii="Amiri" w:hAnsi="Amiri" w:eastAsia="Amiri" w:cs="Amiri"/>
          <w:color w:val="111111"/>
          <w:sz w:val="28"/>
          <w:sz w:val="28"/>
          <w:szCs w:val="28"/>
          <w:rtl w:val="true"/>
          <w:lang w:bidi="ar-SA"/>
        </w:rPr>
        <w:t>و ذكره الأكثر في المستحبات لكن نقلوا الإجماع علي وجوب إزالة النجاسة العرضية عن بدنه قبل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المشهور بين الأصحاب أنه يجب تغسيل الميت ثلاثا بالسدر و الكافور و القراح و حكي عن سلار أنه يجب مرة واحدة بالقراح و الأول أظهر و الأشهر وجوب النية فيه و حكي عن المرتضي عدم الوجوب و أنه غسل لإزالة</w:t>
      </w:r>
    </w:p>
    <w:p>
      <w:pPr>
        <w:pStyle w:val="BookText"/>
        <w:rPr/>
      </w:pPr>
      <w:r>
        <w:rPr>
          <w:rFonts w:ascii="IRNazanin" w:hAnsi="IRNazanin" w:eastAsia="IRNazanin"/>
          <w:color w:val="111111"/>
          <w:sz w:val="28"/>
          <w:sz w:val="28"/>
          <w:szCs w:val="28"/>
          <w:rtl w:val="true"/>
          <w:lang w:bidi="fa-IR"/>
        </w:rPr>
        <w:t>گروهی از مخالفان هنگام غسل حضور داشتند، سعی کن میّت را مانند غسل دادن یک مؤمن غسل دهی و جریده را از ایشان مخفی کن، اگر بعد از اتمام غسل چیزی از بدن میّت خارج شد لازم نیست غسل را دوباره تکرار کنی، ولی تا زمانی که میّت را در قبر قرار می دهی، هر چیزی که از بدن او خارج شده و به کفن اصابت می کند را بشوی، و اگر در قبر چیزی از بدن میّت خارج شود و به کفن اصابت کند، ضرورتی ندارد که کفن شسته شود، ولی قسمتی از کفن که به مایع خارج شده از بدن میّت آلوده شده است را بریده و جدا می سازی و قسمت دیگری از کفن را به جای قسمت بریده شده قرار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حالی که جُنب هستی قصد غسل دادن میّت نمودی، برای نماز گزاردن وضو بگیر و سپس او را غسل ده، و اگر خواستی بعد از غسل دادن میّت و قبل از اینکه خود غسل کنی با همسرت همبستر شوی، ابتدا وضو بگیر و بعداً همبستر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میّتی در میان مردان مسیحی و زنان مسلمان وفات نمود، مردان مسیحی بعد از آنکه خود غسل نمودند آن میّت را غسل می دهند؛ و اگر میّت متعلق به زنی مسلمان باشد که در میان مردان مسلمان و زنان مسیحی وفات نموده است، زنان مسیحی بعد از آنکه خود غسل نمودند او را غسل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میّت متعلّق به شخصی باشد که مبتلا به آبله بوده و یا بر اثر سوختگی وفات نموده باشد و بیم آن داشته باشی که اگر آن را مسح کنی قسمتی از پوستش کنده می شود، او را لمس نکن ولی بر او آب بریز، و اگر قسمتی از پوستش کنده شد آن را همراه او در کفن هایش قرار ده، همچنین اگر میّت متعلّق به شخصی باشد که در حال احرام قرار دارد او را غسل داده و صورتش را می پوشانی، و اعمالی که در مورد شخص غیر مُحرِم انجام می دهی را در مورد او نیز انجام می دهی، جز اینکه کافور به او نزدیک گردانده نمی شود</w:t>
      </w:r>
      <w:r>
        <w:rPr>
          <w:rFonts w:eastAsia="IRNazanin" w:cs="IRNazanin"/>
          <w:color w:val="111111"/>
          <w:sz w:val="28"/>
          <w:szCs w:val="28"/>
          <w:rtl w:val="true"/>
          <w:lang w:bidi="fa-IR"/>
        </w:rPr>
        <w:t>.</w:t>
      </w:r>
      <w:r>
        <w:rPr>
          <w:rStyle w:val="FootnoteAnchor"/>
          <w:rtl w:val="true"/>
        </w:rPr>
        <w:footnoteReference w:id="1411"/>
      </w:r>
    </w:p>
    <w:p>
      <w:pPr>
        <w:pStyle w:val="Heading5"/>
        <w:numPr>
          <w:ilvl w:val="4"/>
          <w:numId w:val="1"/>
        </w:numPr>
        <w:rPr/>
      </w:pPr>
      <w:bookmarkStart w:id="2917" w:name="__RefHeading___Toc607604_1934241801"/>
      <w:bookmarkStart w:id="2918" w:name="_Toc1346"/>
      <w:bookmarkEnd w:id="2917"/>
      <w:r>
        <w:rPr>
          <w:rtl w:val="true"/>
        </w:rPr>
        <w:t>توضیح</w:t>
      </w:r>
      <w:bookmarkEnd w:id="291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جعفیّ در الدروس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که دست های میّت سه بار تا نصف آرنج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شسته شود، و محققّ در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میّت با شستن دستها قبل از سرش آغاز می گردد و سپس سرش شسته می شود، و قسمت راست قبل از قسمت چپ شسته می شود، و هر عضو در هر مرحله از غسل سه بار شسته می شود، این نظر جمهور فقهای ماست، امّا در احادیث روایت شده است که فَرج سه مرتبه شسته می شود، و در برخی از احادیث چنین روایت شده که فرج با آب سدر و چوبک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شسته می شود، و بیشتر افراد آن را در مستحبّات ذکر کردند، امّا نظر اجماع فقها را در این باره نقل کرده اند که پاک کردن نجاست عارض شده بر بدن میّت قبل از غسل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نظر مشهور در بین فقها این است که غسل دادن سه باره میّت با سدر، کافور و آب خالص واجب است، و از سلّار حکایت شده است که غسل یک بار و به وسیله آب خالص واجب می باشد، ولی رأی نخست صحیح تر به نظر می رسد، همچنین نظر مشهورتر وجوب داشتن نیّت برای غسل دادن میّت است، ولی از مرتضی عدم وجوب نیّت حکایت شده است، و اینکه این غسل به منظور از بین بردن </w:t>
      </w:r>
    </w:p>
    <w:p>
      <w:pPr>
        <w:pStyle w:val="BookText"/>
        <w:rPr/>
      </w:pPr>
      <w:r>
        <w:rPr>
          <w:rFonts w:ascii="Amiri" w:hAnsi="Amiri" w:eastAsia="Amiri" w:cs="Amiri"/>
          <w:color w:val="111111"/>
          <w:sz w:val="28"/>
          <w:sz w:val="28"/>
          <w:szCs w:val="28"/>
          <w:rtl w:val="true"/>
          <w:lang w:bidi="ar-SA"/>
        </w:rPr>
        <w:t>الخبث و تردد في المعتبر و هل يعتبر في كل منها نية أم تكفي واحدة للجميع قولان و الأحوط تقديم نية الجميع مع تخصيص غسل السدر ثم تجديد النية لخصوص غسل الكافور و القراح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أيضا في أن الغاسل حقيقة هو الصاب أو المقلب و الأشهر الأول و تظهر الفائدة في النية و غيرها و الأحوط في النية إتيانهما جميعا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المشهور وجوب الترتيب بين الغسلات و حكي في الذكري عليه الإجماع و كذا الترتيب بين الأغسال المشهور وجوبه و حكي عن ابن حمزة الاستحباب و ذكر جماعة الاكتفاء بالارتماس هنا و فيه إشكال و المشهور أنه يكفي في السدر و الكافور مسماه و يحكي عن المفيد تقدير السدر برطل و عن ابن البراج رطل و نصف و عن بعضهم اعتبار سبع ورقات و الظاهر الاكتفاء بالمسمي بحيث يطلق عليه أنه ماء سدر أو ماء كافور و هل يعتبر كون السدر مطحونا أو ممروسا فيه قولان أقربهما نعم و لو كان الخليط قليلا لا يصدق معه الاسم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خرج بالخليط عن الإطلاق ففي جواز التغسيل به قولان و ظاهر أكثر الأخبار الجواز و نقل في الذكري اتفاق الأصحاب علي جواز ترغية السدر و هو مؤيد للجواز و هل المعتبر في القراح مجرد كونه مطلقا و إن كان فيه شي‌ء من الخليطين أو يشترط فيه الخلو عنهما أم يعتبر فيه الخلو عن كل شي‌ء حتي التراب فيه أقوال و لعل الأوسط أقوي و مع تعذر الخليطين يحتمل الواحدة و الثلاث و الثاني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في رجحان لف الغاسل خرقة علي يده عند غسل فرج الميت و قال في الذكري و هل يجب يحتمل ذلك لأن المس كالنظر بل أقوي و من ثم ينشر حرمة المصاهرة دون النظر أما باقي بدنه فلا يجب فيها الخرقة قطعا و هل يستحب كلام الصادق عليه السلام يشعر به و هل الأفضل تجريده من</w:t>
      </w:r>
    </w:p>
    <w:p>
      <w:pPr>
        <w:pStyle w:val="BookText"/>
        <w:rPr/>
      </w:pPr>
      <w:r>
        <w:rPr>
          <w:rFonts w:ascii="IRNazanin" w:hAnsi="IRNazanin" w:eastAsia="IRNazanin"/>
          <w:color w:val="111111"/>
          <w:sz w:val="28"/>
          <w:sz w:val="28"/>
          <w:szCs w:val="28"/>
          <w:rtl w:val="true"/>
          <w:lang w:bidi="fa-IR"/>
        </w:rPr>
        <w:t>پلیدی و ناپاکی است، و در المعتبر در مورد اینکه آیا قبل از انجام هر مرحله از مراحل سه گانه غسل یک نیّت جداگانه لازم است و یا یک نیّت واحد برای هر سه مرحله کفایت می کند دو نظر مطرح شده است که نظر احوط تقدیم نیّت مجموع غسل های سه گانه همراه با تخصیص نیّت برای انجام غسل با سدر است، سپس به منظور انجام غسل با کافور و آب خالص نیّت تجدید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مسأله که آیا غسل دهنده حقیقی کسی است که آب را بر بدن میّت جاری می سازد یا کسی که او را زیر و رو می کند نیز اختلاف نظر وجود دارد، ولی نظر مشهورتر این است که غسل دهنده حقیقی کسی است که آب را بر بدن میّت جاری می سازد، و فائده در نیّت و امور دیگر آشکار می گردد، و احوط آن است که جاری سازنده آب و زیر رو کنده جسد هر دو نیّتِ انجام غسل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نظر مشهور بر این است که رعایت ترتیب در اجرای غسل های سه گانه واجب می باشد، شهید در الذکری اجماع نظر فقها بر این نکته را حکایت کرده است، همچنین به نظر مشهور رعایت ترتیب در بین این سه غسل  نیز واجب می باشد، ولی از ابن حمزه نقل شده که رعایت ترتیب مستحبّ است، گروهی از فقها نیز در مورد غسل میّت بر این باورند که جاری ساختن یک  باره آب بر میّت و اجرای غسل ارتماسی کفایت می کند، ولی در این نظر اشکال وجود دارد، و نظر مشهور بر این است که در مورد سدر و کافور محقق شدن مسمّی کفایت می کند، ولی از شیخ مفید نقل شده که اندازه کافور باید یک رطل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دو و نیم کیلو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ابن بّراج نیز نقل شده که اندازه سدر باید یک ونیم رطل باشد، از برخی دیگر از فقها نیز در نظر گرفتن هفت ورقه سدر نقل شده است، ولی نظر صحیح آن است که به حصول مسمّای سدر و کافور کفایت شود به این ترتیب که کافی است اسم آب سدر یا آب کافور بر آن ها اطلاق شود، در پاسخ به این سؤال که آیا سدر باید آسیاب شده باشد یا در آب حل شود دو نظر وجود دارد، ولی پاسخ صحیح آن است که سدر باید در آب حل شود، و اگر مخلوط اندک باشد و اسم آب سدر بر آن صدق نکند جایز نیست که میّت با</w:t>
      </w:r>
    </w:p>
    <w:p>
      <w:pPr>
        <w:pStyle w:val="BookText"/>
        <w:rPr/>
      </w:pPr>
      <w:r>
        <w:rPr>
          <w:rFonts w:ascii="IRNazanin" w:hAnsi="IRNazanin" w:eastAsia="IRNazanin"/>
          <w:color w:val="111111"/>
          <w:sz w:val="28"/>
          <w:sz w:val="28"/>
          <w:szCs w:val="28"/>
          <w:rtl w:val="true"/>
          <w:lang w:bidi="fa-IR"/>
        </w:rPr>
        <w:t>آن غسل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مورد جواز غسل دادن میّت با آبی که با محلول سدر از مطلق بودن خارج می شود دو نظر وجود دارد، ولی از ظاهر اغلب احادیث چنین برمی آید که این امر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الذکری اتفاق نظر فقها بر جایز بودن مالیدن کف سدر بر میّت را نقل کرده است و این امر تأیید کننده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اینکه آیا فقط مطلق بودن آب خالصی که در غسل دادن میّت از آن استفاده می شود کافی است اگر چه مقداری سدر و کافور نیز در آن وجو داشته باشد، یا اینکه آب خالص حتما ًباید از این دو خالی باشد و یا اینکه آب خالص باید از هر چیزی حتی خاک نیز خالی باشد، اقوالی وجود دارد، و شاید نظر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بودن آب از سدر و 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تر باشد، و در صورت نبودن سدر و کافور، یکبار شستن محتمل است و سه بار و دو بار احوط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رجحان داشتن این امر که غسل دهنده هنگام شستن فَرج میّت تکّه پارچه ای را به دست خود ببندد، هیچ اختلاف نظری در بین فقها وجود ندارد، شهید در الذکری در پاسخ این سؤال که آیا پیچیدن پارچه به دست هنگام غسل فرج واجب می باشد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وجوب آن وجود دارد، چرا که لمس نمودن مانند نگاه انداختن 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تر است، و از این جاست که حرمت مصاهره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محرمیت به واسطه 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نگاه کردن نشر می شود، امّا استفاده از پارچه هنگام شستن سایر قسمت های بدن میّت واجب نیست، ولی آیا مستحبّ است؟ از کلام امام صادق علیه السلام این نکته برداشت می شود؛ همچنین این سؤال مطرح است که آیا در آوردن </w:t>
      </w:r>
    </w:p>
    <w:p>
      <w:pPr>
        <w:pStyle w:val="BookText"/>
        <w:rPr/>
      </w:pPr>
      <w:r>
        <w:rPr>
          <w:rFonts w:ascii="Amiri" w:hAnsi="Amiri" w:eastAsia="Amiri" w:cs="Amiri"/>
          <w:color w:val="111111"/>
          <w:sz w:val="28"/>
          <w:sz w:val="28"/>
          <w:szCs w:val="28"/>
          <w:rtl w:val="true"/>
          <w:lang w:bidi="ar-SA"/>
        </w:rPr>
        <w:t>القميص و تغسيله عاريا مستور العورة أو تغسيله في قميصه الأظهر من الأخبار الثاني و ظاهرها طهارة القميص و إن لم يعصر كما صرح به جماعة و نقل في المعتبر الإجماع علي استحباب تليين الأصابع و حكي عن ابن أبي عقيل القول بالمنع لقوله عليه السلام في خبر</w:t>
      </w:r>
      <w:r>
        <w:rPr>
          <w:rStyle w:val="FootnoteAnchor"/>
          <w:rtl w:val="true"/>
        </w:rPr>
        <w:footnoteReference w:id="1412"/>
      </w:r>
      <w:r>
        <w:rPr>
          <w:rFonts w:ascii="Amiri" w:hAnsi="Amiri" w:eastAsia="Amiri" w:cs="Amiri"/>
          <w:color w:val="111111"/>
          <w:sz w:val="28"/>
          <w:sz w:val="28"/>
          <w:szCs w:val="28"/>
          <w:rtl w:val="true"/>
          <w:lang w:bidi="ar-SA"/>
        </w:rPr>
        <w:t>طلحة بن زيد و لا تغمز له مفصلا و نزله الشيخ علي ما بعد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المعتبر و يمسح بطنه أمام الغسلتين الأوليين إلا الحامل و المقصود بالمسح خروج ما لعله بقي مع الميت و إنما قصد ذلك لئلا يخرج بعد الغسل ما يؤذي و لا يمسح أمام الثالثة و هو إجماع فقهائنا و المشهور استحباب الاستقبال بالميت حالة الغسل بل قال في المعتبر إنه اتفاق أهل العلم و نقل عن ظاهر الشيخ في المبسوط القول بالوجوب و اختاره في المنتهي و رجحه المحقق الشيخ علي و هو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أنه يغسله أولي الناس به فقد رواه الشيخ عن الصادق عن أبيه عن علي عليهم السلام‌</w:t>
      </w:r>
      <w:r>
        <w:rPr>
          <w:rStyle w:val="FootnoteAnchor"/>
          <w:rtl w:val="true"/>
        </w:rPr>
        <w:footnoteReference w:id="1413"/>
      </w:r>
      <w:r>
        <w:rPr>
          <w:rFonts w:ascii="Amiri" w:hAnsi="Amiri" w:eastAsia="Amiri" w:cs="Amiri"/>
          <w:color w:val="111111"/>
          <w:sz w:val="28"/>
          <w:sz w:val="28"/>
          <w:szCs w:val="28"/>
          <w:rtl w:val="true"/>
          <w:lang w:bidi="ar-SA"/>
        </w:rPr>
        <w:t>و فسره الأكثر بالأولي بالميراث أي الوارث أولي من غير الوارث و قال بعض المتأخرين و لا يبعد أن يراد أشد الناس به 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المراد الأولوية من جهة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الأكثر أن الرجال في كل مرتبة من مراتب الإرث أولي من النساء في تلك المرتبة من غير فرق بين أن يكون الميت رجلا أو امرأة و ذكروا أن الميت لو كان امرأة لا يمكن للولي الذكر مباشرة تغسيلها أذن للمماثل فلا يصح بدون ذلك و قيل باختصاص الحكم بالرجال و أما النساء فالنساء أولي بغسلهن و ذكروا أن الزوج أولي بزوجته من جميع أقاربها في كل أحكام الميت لرواية إسحاق‌</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ذكره من كيفية الأغسال الثلاثة مطابق لما ذكره الصدوق في</w:t>
      </w:r>
    </w:p>
    <w:p>
      <w:pPr>
        <w:pStyle w:val="BookText"/>
        <w:rPr/>
      </w:pPr>
      <w:r>
        <w:rPr>
          <w:rFonts w:ascii="IRNazanin" w:hAnsi="IRNazanin" w:eastAsia="IRNazanin"/>
          <w:color w:val="111111"/>
          <w:sz w:val="28"/>
          <w:sz w:val="28"/>
          <w:szCs w:val="28"/>
          <w:rtl w:val="true"/>
          <w:lang w:bidi="fa-IR"/>
        </w:rPr>
        <w:t>لباس میّت و غسل دادن او به صورت عریان درحالی که عورتش پوشیده شده بهتر است یا غسل دادن او در حالی که لباس به تن دارد؟ از احادیث چنین برمی آید که غسل دادن از پَسِ لباس بهتر است، و لباس نیز باید پاک و مطهّر باشد، هر چند آن گونه که گروهی از فقها به آن تصریح کرده اند لباس فشرده نشده و آب آن گرفته نمی شود؛ محقق در المعتبر اجماع نظر فقها بر استحباب مالیدن و نرم کردن انگشتان میّت را نقل کره است، ولی از ابن ابی عقیل نقل کرده که این کار را ممنوع دانسته است، چر اکه در حدیث طلحة بن زید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های میّت را فشار ندهید</w:t>
      </w:r>
      <w:r>
        <w:rPr>
          <w:rStyle w:val="FootnoteAnchor"/>
          <w:rtl w:val="true"/>
        </w:rPr>
        <w:footnoteReference w:id="1415"/>
      </w:r>
      <w:r>
        <w:rPr>
          <w:rFonts w:ascii="IRNazanin" w:hAnsi="IRNazanin" w:eastAsia="IRNazanin"/>
          <w:color w:val="111111"/>
          <w:sz w:val="28"/>
          <w:sz w:val="28"/>
          <w:szCs w:val="28"/>
          <w:rtl w:val="true"/>
          <w:lang w:bidi="fa-IR"/>
        </w:rPr>
        <w:t>شیخ این توصیه امام را مربوط به زمان پس از غسل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در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دو غسلِ نخست شکم میّت مالش داده می شود، مگر اینکه میّت زنی باردار باشد، و مقصود از مالش دادن، خارج ساختن چیزی است که امکان دارد در شکم او باقی مانده باشد، و هدف این کار این است که بعد از غسل چیزی از شکم میّت خارج نشود که باعث اذیت و آزار شود، ولی بنا به نظر اجماع فقها شکم میّت قبل از غسل سوّم مالش داده نمی شود، همچنین نظر مشهور در میان فقها بر این است که میّت در هنگام غسل رو به  قبله خوابانده شود، بلکه محقق در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علما بر این نکته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کلام شیخ در المبسوط نیز چنین برمی آید که معتقد به وجوب خواباندن میت رو به قبله در هنگام غسل است، علّامه نیز در المنتهی این نظر را برگزیده است، و محقّق شیخ علی نیز آن را ترجیح داده است و این نظر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اینکه نزیک ترین شخص به میّت او را غسل می دهد، شیخ از امام صادق از پدرش از امام علی علیهم السلام حدیثی را به این مضمون روایت کره است</w:t>
      </w:r>
      <w:r>
        <w:rPr>
          <w:rStyle w:val="FootnoteAnchor"/>
          <w:rtl w:val="true"/>
        </w:rPr>
        <w:footnoteReference w:id="1416"/>
      </w:r>
      <w:r>
        <w:rPr>
          <w:rFonts w:ascii="IRNazanin" w:hAnsi="IRNazanin" w:eastAsia="IRNazanin"/>
          <w:color w:val="111111"/>
          <w:sz w:val="28"/>
          <w:sz w:val="28"/>
          <w:szCs w:val="28"/>
          <w:rtl w:val="true"/>
          <w:lang w:bidi="fa-IR"/>
        </w:rPr>
        <w:t xml:space="preserve">، بیشتر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نزیک ترین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نزدیک ترین شخص نسبت به ارث میّت تفسیر کرده 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میّت نسبت به غیر وارث از اولویّت بیشتری برای غسل دادن او برخوردار است، و برخی از فقهای معاصر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باشد که در میان مردم بیشترین علاقه و محبّت را نسبت به میّت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ممکن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داشتن از جهت مذهب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فقها ذکر کرده اند که مردان در هر مرتبه از مراتب ارث از اولویّت بیشتری نسبت به زنان در همان مرتبه برخوردار هستند و فرقی نمی کند که میّت مرد باشد یا زن؛ همچنین ذکر کرده اند که اگر میّت زن باشد، اولیای مذکر او نمی توانند به صورت مستقیم نسبت به غسلش اقدام نمایند باید به همجنسش اذن دهد و غسل بدون آن صحیح نمی باشد، و گفته شده که این حکم اختصاص به مردان دارد، امّا زنان نسبت به غسلِ زنان سزاوارتر هستند و فقها ذکر کرده اند که شوهر نسبت به همسرش در تمامی احکام مربوط به میّت، از جمیع بستگان زن سزاوارتر است، و این نظر با استناد به روایت اسحاق است</w:t>
      </w:r>
      <w:r>
        <w:rPr>
          <w:rFonts w:eastAsia="IRNazanin" w:cs="IRNazanin"/>
          <w:color w:val="111111"/>
          <w:sz w:val="28"/>
          <w:szCs w:val="28"/>
          <w:rtl w:val="true"/>
          <w:lang w:bidi="fa-IR"/>
        </w:rPr>
        <w:t>.</w:t>
      </w:r>
      <w:r>
        <w:rPr>
          <w:rStyle w:val="FootnoteAnchor"/>
          <w:rtl w:val="true"/>
        </w:rPr>
        <w:footnoteReference w:id="1417"/>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امام علی علیه السلام در مورد کیفیّت غسل های سه گانه ذکر فرموده مطابق با مطالبی است که صدوق در </w:t>
      </w:r>
    </w:p>
    <w:p>
      <w:pPr>
        <w:pStyle w:val="BookText"/>
        <w:rPr/>
      </w:pPr>
      <w:r>
        <w:rPr>
          <w:rFonts w:ascii="Amiri" w:hAnsi="Amiri" w:eastAsia="Amiri" w:cs="Amiri"/>
          <w:color w:val="111111"/>
          <w:sz w:val="28"/>
          <w:sz w:val="28"/>
          <w:szCs w:val="28"/>
          <w:rtl w:val="true"/>
          <w:lang w:bidi="ar-SA"/>
        </w:rPr>
        <w:t>الفقيه‌</w:t>
      </w:r>
      <w:r>
        <w:rPr>
          <w:rStyle w:val="FootnoteAnchor"/>
          <w:rtl w:val="true"/>
        </w:rPr>
        <w:footnoteReference w:id="1418"/>
      </w:r>
      <w:r>
        <w:rPr>
          <w:rFonts w:ascii="Amiri" w:hAnsi="Amiri" w:eastAsia="Amiri" w:cs="Amiri"/>
          <w:color w:val="111111"/>
          <w:sz w:val="28"/>
          <w:sz w:val="28"/>
          <w:szCs w:val="28"/>
          <w:rtl w:val="true"/>
          <w:lang w:bidi="ar-SA"/>
        </w:rPr>
        <w:t>و قال في الذكري يستحب تقديم غسل يديه و فرجيه مع كل غسلة كما في الخبر و فتوي الأصحاب و تثليث غسل أعضائه كلها من اليدين و الفرجين و الرأس و الجنبين بالإجماع و حصرها الجعفي في كل غسلة خمس عشرة صبة لا تنقطع و ابن الجنيد و الشيخ قالا بعدم الانقطاع أيضا حتي يستوفي العضو و الصدوق ذكر ثلاث حميديات و كأنه إناء كبير و لهذا مثل ابن البراج الإناء الكبير بالإبريق الحميدي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المشهور بين الأصحاب أن غسل رأسه أولا برغوة السدر مستحب قبل الشروع في غسل السدر و ليس داخلا فيه و الظاهر من أكثر الأخبار أنه محسوب من غسل السدر الواجب و رغوة اللبن مثلثة زبده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من قرنه إلي قدمه موافق لعبارة الفقيه و يدل كبعض الأخبار علي إعادة غسل شقي الرأس مع شقي البدن إلا أن يأول بأن المراد من منتهي قرنه أو بعض قرنه من باب المقدمة أو من أول قرنه استحبابا لزيادة التنظيف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بين الأصحاب كراهة إقعاد الميت و نقل الشيخ في الخلاف إجماع الفرقة عليه و قد ورد الأمر بالإقعاد في عدة روايات و حملها الشيخ علي التقية و المحقق مال إلي العمل بمضمونها و الخضخضة تحريك الماء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غسل الغاسل يديه و تنشيف بدن الميت و سائر ما يأتي بعد ذلك ذكره الصدوق رحمه الله في الفقيه و قال في المعتبر يستحب أن يغتسل الغاسل أمام التكفين أو يتوضأ وضوء الصلاة ذكره الشيخ و إن اقتصر علي غسل يديه إلي ذراعيه جاز و يستحب إذا فرغ الغاسل أن ينشف الميت بثوب لئلا يبل أكفانه و يكره إرسال ماء الغسل في الكنيف و لا بأس بالبالوعة انتهي و ظاهر الفقه كالفقيه حرمة الأخير و حمل علي الكراهة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النهي عن تقليم الأظافير و جز الشعر فهو محمول عند الأكثر علي الكراهية فقالوا يكره حلق رأسه و عانته و تسريح لحيته و قلم أظفاره و حكم</w:t>
      </w:r>
    </w:p>
    <w:p>
      <w:pPr>
        <w:pStyle w:val="BookText"/>
        <w:rPr/>
      </w:pPr>
      <w:r>
        <w:rPr>
          <w:rFonts w:ascii="IRNazanin" w:hAnsi="IRNazanin" w:eastAsia="IRNazanin"/>
          <w:color w:val="111111"/>
          <w:sz w:val="28"/>
          <w:sz w:val="28"/>
          <w:szCs w:val="28"/>
          <w:rtl w:val="true"/>
          <w:lang w:bidi="fa-IR"/>
        </w:rPr>
        <w:t>الفقیه</w:t>
      </w:r>
      <w:r>
        <w:rPr>
          <w:rStyle w:val="FootnoteAnchor"/>
          <w:rtl w:val="true"/>
        </w:rPr>
        <w:footnoteReference w:id="1419"/>
      </w:r>
      <w:r>
        <w:rPr>
          <w:rFonts w:ascii="IRNazanin" w:hAnsi="IRNazanin" w:eastAsia="IRNazanin"/>
          <w:color w:val="111111"/>
          <w:sz w:val="28"/>
          <w:sz w:val="28"/>
          <w:szCs w:val="28"/>
          <w:rtl w:val="true"/>
          <w:lang w:bidi="fa-IR"/>
        </w:rPr>
        <w:t>ذکر کرده است، و شهید 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حدیث و فتوای فقها ذکر شده مستحبّ است که در هر مرحله از مراحل غسل، غسل دستها و فَرج میّت از پیش و پَس، قبل از سایر اعضاء انجام پذیرد و بنا به نظر اجماع فقها در هر غسل، دست ها، فَرج از پیش و پس، سر و دو طرف راست و چپ میّت سه بار غسل داده می شود، جعفیّ بر این باور است که در هر مرحله از مراحل غسل، پانزده پیمانه آب بر روی پنج عضو مذکور به صورت پیوسته و بدون فاصله جاری می شود، ابن جنید و شیخ نیز قائل به عدم قطع شدن جریان آب و جاری شدن آن تا شسته شدن کامل هر عضو هستند، و صدوق جاری ساختن سه ظرف بزرگ آب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بدن میّت در طول غسل را ذکر کرده است، و به همین سبب ابن بّراج برای مفهوم ظرف بزرگ از لفظ آفتابه حمیدیّ استفاده کرده است، 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آگاه باش که نظر مشهور در میان فقها این است که شستن سر با کف سدر قبل از آغاز غسل با سدر مستحبّ می باشد، این در حالی است که شستن سر با کف سدر جزئی از غسل با سدر محسوب نمی شود، ولی از ظاهر بیشتر احادیث چنین برمی آید که این شستن، جزئی از غسل واجب با سدر محسوب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رغوة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روی 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فرموده اما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قرنه إلی 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عبارتی که در الفقیه ذکر شده موافق است و مانند برخی احادیث بر اعاده غسل دو طرف سر همراه با دو طرف بدن دلالت می کند، مگر آن که تأویل شود به این که مراد از منتهای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 قسمتی از پیشانی او، از باب مقدمه باشد یا از ابتدای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روی استحباب باشد برای تمیزی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نظر مشهور در میان فقها کراهت نِشاندن میّت است، و شیخ در الخلاف اجماع گروه بر این نظر را نقل کرده است، هرچند تعدادی از احادیث امر به نشاندن میّت هنگام غسل را روایت کرده اند، شیخ این مسأله را بر تقیّه حمل کرده است، و محقّق به سوی عمل به مضمون این احادیث متمایل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الخضخضة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دادن آب و امثال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شستن دست های غسل دهنده پس از غسل، خشک کردن بدن میّت و سایر اعمالی که پس از آن ذکر شده است از جمله اموری هستند که صدوق رحمه الله نیز در الفقیه به آن ها اشاره کرده است، و در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که غسل دهنده قبل از کفن کردن میّت غسل نماید یا وضو بگیرد آن گونه که برای نماز وضو می گیرد، شیخ این گونه ذکر کرده است، هرچند غسل دهنده جایز است به شستن دست ها تا دو ساعد خویش کفایت کند، همچنین مستحبّ است هنگامی  که غسل دهنده از غسل دادن فارغ گشت، بدن میّت را با لباسی خشک نماید تا کفنش را خیس نکند، و کراهت دارد که آب استعمال شده پس از غسل وارد مستراح شود، ولی ریخته شدن آن به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یا کانال اشکالی ندارد، و از ظاهر الفقه آن گونه در الفقیه نیز ذکر شده است چنین بر می آید که وارد شدن آب استعمال شده پس از غسل به داخل چاه یا کانال حرام است و این امر حمل بر کراهت شده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نهی از چیدن ناخن ها و کوتاه کردن موهای میّت نزد بیشتر فقها حمل بر کراهت می شود، پس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تراشیدن موی سر و شرمگاه، شانه زدن و آرایش موی سر و چیدن ناخن های میّت مکروه است، </w:t>
      </w:r>
    </w:p>
    <w:p>
      <w:pPr>
        <w:pStyle w:val="BookText"/>
        <w:rPr/>
      </w:pPr>
      <w:r>
        <w:rPr>
          <w:rFonts w:ascii="Amiri" w:hAnsi="Amiri" w:eastAsia="Amiri" w:cs="Amiri"/>
          <w:color w:val="111111"/>
          <w:sz w:val="28"/>
          <w:sz w:val="28"/>
          <w:szCs w:val="28"/>
          <w:rtl w:val="true"/>
          <w:lang w:bidi="ar-SA"/>
        </w:rPr>
        <w:t>ابن حمزة بالتحريم و هو مقتضي ظاهر النهي و نقل الشيخ الإجماع علي أنه لا يجوز قص أظفاره و لا تنظيفها من الوسخ بالخلال و لا تسريح لحيته و ربما حمل كلامه علي تأكد الكراهة و أما جعل ما يسقط في كفنه فإجماعي كما نقله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تسخين الماء للميت فقد حكي في المنتهي الإجماع علي كراهته و قال الشيخ و لو خشي الغاسل من البرد انتفت الكراهة و قيده المفيد بالقلة فقال يسخن قليلا و تبعهما في الاستثناء جمع من الأصحاب و الصدوقان أيضا استثنيا حالة شدة البرد لكن الظاهر من كلامهما أن ذلك لرعاية حال الميت لا الغاسل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الْفَقِيهِ‌</w:t>
      </w:r>
      <w:r>
        <w:rPr>
          <w:rStyle w:val="FootnoteAnchor"/>
          <w:rtl w:val="true"/>
        </w:rPr>
        <w:footnoteReference w:id="1420"/>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يُسَخَّنُ الْمَاءُ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في حديث آخر إلا أن يكون شتاء باردا فتوقي الميت مما توقي منه نفسك انتهي و لم أر هذه الرواية إلا في الفقه و يمكن حمل الرواية علي أن المراد به توقي نفسك و توقي الميت بتبعية توقي نفسك لا أن الميت يتضرر بذلك و توقيه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خرج منه نجاسة بعد الغسل فلاقت بدنه فالمشهور أنه يغسل و لا يجب إعادة الغسل و قال ابن أبي عقيل بوجوب إعادة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خرج منه شي‌ء و أصاب الكفن فذهب الأكثر إلي أنه يجب غسله ما لم يطرح في القبر و قرضه بعده و نقل عن الشيخ أنه أطلق وجوب قرض المحل و الأخبار بعضها يدل علي الغسل مطلقا و بعضها علي القرض مطلقا و لا يدل علي التفصيل رواية إلا عبارة الفقه و نقلها الصدوق في الفقيه‌</w:t>
      </w:r>
      <w:r>
        <w:rPr>
          <w:rStyle w:val="FootnoteAnchor"/>
          <w:rtl w:val="true"/>
        </w:rPr>
        <w:footnoteReference w:id="1421"/>
      </w:r>
      <w:r>
        <w:rPr>
          <w:rFonts w:ascii="Amiri" w:hAnsi="Amiri" w:eastAsia="Amiri" w:cs="Amiri"/>
          <w:color w:val="111111"/>
          <w:sz w:val="28"/>
          <w:sz w:val="28"/>
          <w:szCs w:val="28"/>
          <w:rtl w:val="true"/>
          <w:lang w:bidi="ar-SA"/>
        </w:rPr>
        <w:t>و تبعه الأصحاب و لا بأس به إذ مثل هذا يكفي مرجحا للجمع بين الأخبار و ربما يجمع بينها بالقول بالتخيير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مددت أحد الثوبين أي بعد قرض الكفن لستر ما انكشف بسببه من</w:t>
      </w:r>
    </w:p>
    <w:p>
      <w:pPr>
        <w:pStyle w:val="BookText"/>
        <w:rPr/>
      </w:pPr>
      <w:r>
        <w:rPr>
          <w:rFonts w:ascii="IRNazanin" w:hAnsi="IRNazanin" w:eastAsia="IRNazanin"/>
          <w:color w:val="111111"/>
          <w:sz w:val="28"/>
          <w:sz w:val="28"/>
          <w:szCs w:val="28"/>
          <w:rtl w:val="true"/>
          <w:lang w:bidi="fa-IR"/>
        </w:rPr>
        <w:t>و ابن حمزه حکم به حرمت این امور داده است، و این مقتضای ظاهرِ نهی کردن است، شیخ نیز اجماع نظر فقها را بر این نکته ذکر کرده است که چیدن ناخن ها و پاک کردن آن ها از آلودگی با خلال، شانه کردن و آرایش موی محاسن میّت جایز نیست، و چه بسا که این کلام شیخ بر مؤکّد بودن کراهت حمل شود، امّا قرار دادن پوست یا سایر اعضای کنده شده از بدن میّت در داخل کفن از جمله اموری است که فقها بر آن اجماع نظر دارند، چنان که در التذکرة به ذکر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المنتهی نقل شده است که جمهور فقها بر کراهت گرم کردن آب برای غسل دادن میّت اتفاق نظر دارند، و شیخ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غسل دهنده از سرد بودن بیم داشته باشد، کراهت گرم کردن آن منتفی می شود، و شیخ مفید گرم کردن آب را با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گردانده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اندکی گرم می شود، و گروهی از فقها در قائل شدن به این استثناء از شیخ صدوق و شیخ مفید پیروی کرده اند، همچنین شیخ صدوق و مفید حالت سرمای شدید را نیز به عنوان استثناء قرار داده  اند، امّا از ظاهر کلام آن ها چنین برمی آید که این استثناء قائل شدن به خاطر رعایت حال میّت است نه غسل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الفقیه</w:t>
      </w:r>
      <w:r>
        <w:rPr>
          <w:rStyle w:val="FootnoteAnchor"/>
          <w:rtl w:val="true"/>
        </w:rPr>
        <w:footnoteReference w:id="1422"/>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غسل دادن میّت آب گرم نمی شود، و در حدیث دیگری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زمستانی سرد باشد، در آن صورت میّت را محافظت کن از آنچه خود را از آن محافظت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 این روایت را جز در الفقه مشاهده نکرده ام، و ممکن است روایت بر این نکته حمل شود که مقصود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خویش و به تبع آن از میّت نیز محافظت کن، و معنا چنین نیست که در صورت استفاده از آب سرد در غسل دادن، میّت دچار آسیب می شود و تو او را از این آسیب محافظت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بعداز اتمام غسل نجاستی از بدن میّت خارج شود و به قسمتی از بدن اصابت کند، نظر مشهور این است که آن قسمت شسته می شود و اعاده غسل واجب نیست، ولی ابن أبی عقیل قائل به وجوب اعاده غسل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نجاست خارج شده از بدن میّت به کفن اصابت کند، بیشتر فقها بر این باورند که در صورت گذاشته نشدن میّت در قبر، قسمت نجس کفن باید شسته و در صورت گذاشته شدن در قبر بریده شود، و از شیخ نقل شده است که وی قائل به وجوب بریدن قسمت نجس کفن به صورت مطلق می باشد، برخی از احادیث نیز بر شستن مطلق و برخی دیگر بر بریدن مطلق قسمت نجس کفن دلالت می کنند، و هیچ روایتی بر تفصیل دلالت نمی کند مگر عبارتی که در الفقه ذکر شده است، و صدوق در الفقیه</w:t>
      </w:r>
      <w:r>
        <w:rPr>
          <w:rStyle w:val="FootnoteAnchor"/>
          <w:rtl w:val="true"/>
        </w:rPr>
        <w:footnoteReference w:id="1423"/>
      </w:r>
    </w:p>
    <w:p>
      <w:pPr>
        <w:pStyle w:val="BookText"/>
        <w:rPr/>
      </w:pPr>
      <w:r>
        <w:rPr>
          <w:rFonts w:ascii="IRNazanin" w:hAnsi="IRNazanin" w:eastAsia="IRNazanin"/>
          <w:color w:val="111111"/>
          <w:sz w:val="28"/>
          <w:sz w:val="28"/>
          <w:szCs w:val="28"/>
          <w:rtl w:val="true"/>
          <w:lang w:bidi="fa-IR"/>
        </w:rPr>
        <w:t>آن را نقل کرده و فقها از او پیروی کرده اند و اشکالی در این موضوع وجود ندارد، چرا که در مسائل این چنینی قول به ترجیح داشتن کفایت می کند به دلیل جمع کردن میان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که حاصل این جمع، قول به مخیّر گرداندن باشد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قبل و چه بعد از قرار گرفتن در قبر</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مددتَ أحد الثوبین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بریدن قسمت نجس کفن تکّه دیگری از کفن را کشیده و بر روی قسمت بریده شده قرار می دهی تا قسمتی از </w:t>
      </w:r>
    </w:p>
    <w:p>
      <w:pPr>
        <w:pStyle w:val="BookText"/>
        <w:rPr/>
      </w:pPr>
      <w:r>
        <w:rPr>
          <w:rFonts w:ascii="Amiri" w:hAnsi="Amiri" w:eastAsia="Amiri" w:cs="Amiri"/>
          <w:color w:val="111111"/>
          <w:sz w:val="28"/>
          <w:sz w:val="28"/>
          <w:szCs w:val="28"/>
          <w:rtl w:val="true"/>
          <w:lang w:bidi="ar-SA"/>
        </w:rPr>
        <w:t>البدن قوله عليه السلام و إذا أردت أورد هذا الحكم و الذي بعده إلي قوله ثم جامع الصدوق في الفقيه‌</w:t>
      </w:r>
      <w:r>
        <w:rPr>
          <w:rStyle w:val="FootnoteAnchor"/>
          <w:rtl w:val="true"/>
        </w:rPr>
        <w:footnoteReference w:id="1424"/>
      </w:r>
      <w:r>
        <w:rPr>
          <w:rFonts w:ascii="Amiri" w:hAnsi="Amiri" w:eastAsia="Amiri" w:cs="Amiri"/>
          <w:color w:val="111111"/>
          <w:sz w:val="28"/>
          <w:sz w:val="28"/>
          <w:szCs w:val="28"/>
          <w:rtl w:val="true"/>
          <w:lang w:bidi="ar-SA"/>
        </w:rPr>
        <w:t>و يدل علي الحكمين حسنة شهاب بن عبد ربه المذكورة فِي الْكَافِي وَ التَّهْذِيبِ‌</w:t>
      </w:r>
      <w:r>
        <w:rPr>
          <w:rStyle w:val="FootnoteAnchor"/>
          <w:rtl w:val="true"/>
        </w:rPr>
        <w:footnoteReference w:id="1425"/>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الْجُنُبِ يُغَسِّلُ الْمَيِّتَ أَوْ مَنْ غَسَّلَ مَيِّتاً لَهُ أَنْ يَأْتِيَ أَهْلَهُ ثُمَّ يَغْتَسِلُ فَقَالَ سَوَاءٌ لَا بَأْسَ بِذَلِكَ إِذَا كَانَ جُنُباً غَسَلَ يَدَهُ وَ تَوَضَّأَ وَ غَسَّلَ الْمَيِّتَ وَ إِنْ غَسَّلَ مَيِّتاً تَوَضَّأَ ثُمَّ أَتَي أَهْلَهُ وَ يُجْزِيهِ غُسْلٌ وَاحِدٌ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أن ظاهر الخبر استحباب الوضوء لمريد غسل الميت إذا كان جنبا و لمن عليه غسل المس إذا أراد الجماع قبله و إن لم يكن جنبا كما يدل عليه عبارة الفقيه و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في المدارك في سياق ما يستحب من الوضوء و جماع غاسل الميت و لما يغتسل إذا كان الغاسل جنبا و تبعه بعض من تأخر عنه و لا يخفي ما فيه من الغفلة و يدل علي جواز مباشرة الجنب غسل الميت و منع الجعفي من مباشرة الجنب و الحائض للغسل كما ذكره في الدروس و قال و هو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تغسيل النصراني و النصرانية المسلم و المسلمة مع فقد المماثل المسلم فرواه الشيخ في الموثق عن عمار</w:t>
      </w:r>
      <w:r>
        <w:rPr>
          <w:rStyle w:val="FootnoteAnchor"/>
          <w:rtl w:val="true"/>
        </w:rPr>
        <w:footnoteReference w:id="1426"/>
      </w:r>
      <w:r>
        <w:rPr>
          <w:rFonts w:ascii="Amiri" w:hAnsi="Amiri" w:eastAsia="Amiri" w:cs="Amiri"/>
          <w:color w:val="111111"/>
          <w:sz w:val="28"/>
          <w:sz w:val="28"/>
          <w:szCs w:val="28"/>
          <w:rtl w:val="true"/>
          <w:lang w:bidi="ar-SA"/>
        </w:rPr>
        <w:t>و عمل بها الشيخان و أتباعهما و قال في الذكري لا أعلم لذلك مخالفا من الأصحاب إلا المحقق في المعتبر محتجا بتعذر النية من الكافر مع ضعف السند و جوابه منع النية هنا و الاكتفاء بنية الكافر كالعتق و الضعف منجبر بالعمل و للتوقف فيه مجال لنجاسة الكافر في المشهور فكيف يفيد غيره الطهارة انتهي و لا يخفي أن هذا مما يؤيد طهارة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فلا تمسه يوهم وجوب الدلك حال الاختيار كما نسب إلي ابن الجنيد و قال في المعتبر و لو خيف من تغسيله تناثر جلده يمم و يستحب إمرار يد</w:t>
      </w:r>
    </w:p>
    <w:p>
      <w:pPr>
        <w:pStyle w:val="BookText"/>
        <w:rPr/>
      </w:pPr>
      <w:r>
        <w:rPr>
          <w:rFonts w:ascii="IRNazanin" w:hAnsi="IRNazanin" w:eastAsia="IRNazanin"/>
          <w:color w:val="111111"/>
          <w:sz w:val="28"/>
          <w:sz w:val="28"/>
          <w:szCs w:val="28"/>
          <w:rtl w:val="true"/>
          <w:lang w:bidi="fa-IR"/>
        </w:rPr>
        <w:t>بدن که به سبب آن عریان شده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الفقیه</w:t>
      </w:r>
      <w:r>
        <w:rPr>
          <w:rStyle w:val="FootnoteAnchor"/>
          <w:rtl w:val="true"/>
        </w:rPr>
        <w:footnoteReference w:id="1427"/>
      </w:r>
    </w:p>
    <w:p>
      <w:pPr>
        <w:pStyle w:val="BookText"/>
        <w:rPr/>
      </w:pPr>
      <w:r>
        <w:rPr>
          <w:rFonts w:ascii="IRNazanin" w:hAnsi="IRNazanin" w:eastAsia="IRNazanin"/>
          <w:color w:val="111111"/>
          <w:sz w:val="28"/>
          <w:sz w:val="28"/>
          <w:szCs w:val="28"/>
          <w:rtl w:val="true"/>
          <w:lang w:bidi="fa-IR"/>
        </w:rPr>
        <w:t>دو حکم مطرح شده در این فرموده امام 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است، همچنین حدیثی که شهاب ابن عبد ربّه از امام صادق علیه السلام روایت کرده و در الکافی و التهذیب</w:t>
      </w:r>
      <w:r>
        <w:rPr>
          <w:rStyle w:val="FootnoteAnchor"/>
          <w:rtl w:val="true"/>
        </w:rPr>
        <w:footnoteReference w:id="1428"/>
      </w:r>
    </w:p>
    <w:p>
      <w:pPr>
        <w:pStyle w:val="BookText"/>
        <w:rPr/>
      </w:pPr>
      <w:r>
        <w:rPr>
          <w:rFonts w:ascii="IRNazanin" w:hAnsi="IRNazanin" w:eastAsia="IRNazanin"/>
          <w:color w:val="111111"/>
          <w:sz w:val="28"/>
          <w:sz w:val="28"/>
          <w:szCs w:val="28"/>
          <w:rtl w:val="true"/>
          <w:lang w:bidi="fa-IR"/>
        </w:rPr>
        <w:t>ذکر شده است بر این دو حکم دلالت می کند، شهاب ابن عبد ربّه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جُنب است می تواند میّتی را غسل دهد؟ و آیا کسی که میّتی را غسل داده می تواند با همسرش همبستر شود سپس غسل نماید؟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هر دو مورد اشکالی ندارد، هنگامی  که شخص جُنب است دستش را می شوید و وضو می گیرد و میّت را غسل می دهد، و اگر میّتی را غسل داده است وضو می گیرد و با همسرش همبستر می گردد و سپس یک غسل او را برای پاک شدن از هر دو مورد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 است که ظاهر حدیث بر استحباب وضو گرفتن برای غسل دهنده میّت که جُنب است و همچنین برای غسل دهنده میّت که قبل از غسل مس میت کردن قصد همبستر شدن دارد، دلالت می کند؛ عبارت نقل شده در الفقیه و الفقه نیز بر این نکته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در المدارک در سیاق ذکر وضوهای مستحبّ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غسل دهنده میّت که قبل از به جا آوردن غسل مسّ قصد همبستر شدن دارد، وضوی غسل دهنده میّت که جُنب است و کسانی که بعد از او هستند از این حکم پیروی کرده اند؛ و میزان غفلتی که در این نظر وجود دارد پنهان نیست، همچنین بر جواز غسل داده شدن میّت به وسیله شخص جُنب دلالت می کند، ولی جعفیّ آن گونه که در الدّروس هم ذکر کرده است غسل داده شدن میّت به وسیله جُنب و حائض را ممنوع دانسته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به ندرت صورت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غسل داده شدن میّت مرد و زن مسلمان به وسیله مرد و زن مسیحی در صورت عدم حضورِ هم  جنس مسلمان، موضوعی است که شیخ در الموثق از عمار روایت کرده است</w:t>
      </w:r>
      <w:r>
        <w:rPr>
          <w:rStyle w:val="FootnoteAnchor"/>
          <w:rtl w:val="true"/>
        </w:rPr>
        <w:footnoteReference w:id="1429"/>
      </w:r>
    </w:p>
    <w:p>
      <w:pPr>
        <w:pStyle w:val="BookText"/>
        <w:rPr/>
      </w:pPr>
      <w:r>
        <w:rPr>
          <w:rFonts w:ascii="IRNazanin" w:hAnsi="IRNazanin" w:eastAsia="IRNazanin"/>
          <w:color w:val="111111"/>
          <w:sz w:val="28"/>
          <w:sz w:val="28"/>
          <w:szCs w:val="28"/>
          <w:rtl w:val="true"/>
          <w:lang w:bidi="fa-IR"/>
        </w:rPr>
        <w:t>و شیخ صدوق و شیخ مفید و پیروان آن ها از این حکم پیروی کرده اند، شهید 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 را سراغ ندارم که مخالف این نظر باشد مگر محققّ در المعتبر که نتوانستن نیّت کردن برای کافر را به عنوان دلیل مطرح نموده است، هرچند در سند او ضعف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دلیل محقق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در این حالت منع می شود و به نیت کافر اکتفا می شود مانند عتق، و ضعف سند با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فقها و پیروانشان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جبران می شود و توقف در این حکم، دارای وجه است، زیرا بنابر قول مشهور، کافر نجس است، پس چگونه می تواند به غیر خودش طهارت را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آشکار است که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غسل داده شدن میّت مسلمان توسط مسیحیان در صورت عدم وجود غسل دهنده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اهل کتاب را تأیید می کند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فرموده 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وجوب مالش دادن بدن میّت را در حالت اختیار قوّت می بخشد، آن گونه که این حکم به ابن جنید نسب داده شده است، محقق در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بیم آن برود که پوست میّت بر اثر غسل دادن از هم پاشیده می شود تیمّم داده می شود، همچنین دست کشیدن </w:t>
      </w:r>
      <w:bookmarkStart w:id="2919" w:name="pg13517_329328"/>
    </w:p>
    <w:p>
      <w:pPr>
        <w:pStyle w:val="BookText"/>
        <w:rPr/>
      </w:pPr>
      <w:bookmarkEnd w:id="2919"/>
      <w:r>
        <w:rPr>
          <w:rFonts w:ascii="Amiri" w:hAnsi="Amiri" w:eastAsia="Amiri" w:cs="Amiri"/>
          <w:color w:val="111111"/>
          <w:sz w:val="28"/>
          <w:sz w:val="28"/>
          <w:szCs w:val="28"/>
          <w:rtl w:val="true"/>
          <w:lang w:bidi="ar-SA"/>
        </w:rPr>
        <w:t>الغاسل علي جسد الميت فإن خيف من ذلك لكونه مجدورا أو محترقا اقتصر الغاسل علي صب الماء من غير إمرار و لو خيف من الصب لم يغسل و يمم ذكر ذلك الشيخان و ابن الجنيد و قال في الذكري يلوح من الاكتفاء بالصب الاجتزاء بالقراح لأن الآخرين لا تتم فائدتهما بدون الدلك غالبا و حينئذ الظاهر الاجتزاء بالمرة لأن الأمر لا يدل علي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إلا أنه لا يقرب إليه كافور أي لا في غسل و لا حنوط كما ذكره الأصحاب فيغسل بالسدر و بقراح واحد و قيل بقراحين و المشهور أنه يغطي رأسه و وجهه و قال ابن أبي عقيل لا يغطي رأسه و وجهه و لا فرق في عدم تقريب الطيب بين الإحرامين و لا بين موته قبل الحلق أو التقصير أو بعده قبل طواف الزيارة و يحتمل اختصاص الحكم بالأول لخروج الثاني عن صورة المحرمين بلبسه و أكله ما لا يلبسه و يأكله المحرم و لو مات بعد الطواف ففي تحريم الطيب نظر</w:t>
      </w:r>
      <w:r>
        <w:rPr>
          <w:rFonts w:eastAsia="Amiri" w:cs="Amiri" w:ascii="Amiri" w:hAnsi="Amiri"/>
          <w:color w:val="111111"/>
          <w:sz w:val="28"/>
          <w:szCs w:val="28"/>
          <w:rtl w:val="true"/>
          <w:lang w:bidi="ar-SA"/>
        </w:rPr>
        <w:t>.</w:t>
      </w:r>
    </w:p>
    <w:p>
      <w:pPr>
        <w:pStyle w:val="Heading5"/>
        <w:numPr>
          <w:ilvl w:val="4"/>
          <w:numId w:val="1"/>
        </w:numPr>
        <w:rPr/>
      </w:pPr>
      <w:bookmarkStart w:id="2920" w:name="__RefHeading___Toc607606_1934241801"/>
      <w:bookmarkStart w:id="2921" w:name="_Toc1347"/>
      <w:bookmarkEnd w:id="2920"/>
      <w:r>
        <w:rPr>
          <w:rtl w:val="true"/>
        </w:rPr>
        <w:t>«</w:t>
      </w:r>
      <w:r>
        <w:rPr/>
        <w:t>10</w:t>
      </w:r>
      <w:r>
        <w:rPr>
          <w:rtl w:val="true"/>
        </w:rPr>
        <w:t>»</w:t>
      </w:r>
      <w:bookmarkEnd w:id="2921"/>
    </w:p>
    <w:p>
      <w:pPr>
        <w:pStyle w:val="BookText"/>
        <w:rPr/>
      </w:pPr>
      <w:r>
        <w:rPr>
          <w:rFonts w:ascii="Amiri" w:hAnsi="Amiri" w:eastAsia="Amiri" w:cs="Amiri"/>
          <w:color w:val="111111"/>
          <w:sz w:val="28"/>
          <w:sz w:val="28"/>
          <w:szCs w:val="28"/>
          <w:rtl w:val="true"/>
          <w:lang w:bidi="ar-SA"/>
        </w:rPr>
        <w:t>الْعُيُونُ‌</w:t>
      </w:r>
      <w:r>
        <w:rPr>
          <w:rStyle w:val="FootnoteAnchor"/>
          <w:rtl w:val="true"/>
        </w:rPr>
        <w:footnoteReference w:id="1430"/>
      </w:r>
      <w:r>
        <w:rPr>
          <w:rFonts w:ascii="Amiri" w:hAnsi="Amiri" w:eastAsia="Amiri" w:cs="Amiri"/>
          <w:color w:val="111111"/>
          <w:sz w:val="28"/>
          <w:sz w:val="28"/>
          <w:szCs w:val="28"/>
          <w:rtl w:val="true"/>
          <w:lang w:bidi="ar-SA"/>
        </w:rPr>
        <w:t>، وَ الْعِلَلُ، فِي عِلَلِ مُحَمَّدِ بْنِ سِنَانٍ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غُسْلِ الْمَيِّتِ أَنَّهُ يُغَسَّلُ لِيُطَهَّرَ وَ يُنَظَّفَ مِنْ أَدْنَاسِ أَمْرَاضِهِ وَ لَمَّا أَصَابَهُ مِنْ صُنُوفِ عِلَلِهِ لِأَنَّهُ يَلْقَي الْمَلَائِكَةَ وَ يُبَاشِرُ أَهْلَ الْآخِرَةِ فَيُسْتَحَبُّ إِذَا وَرَدَ عَلَي اللَّهِ عَزَّ وَ جَلَّ وَ لَقِيَ أَهْلَ الطَّهَارَةِ وَ يُمَاسُّونَهُ وَ يُمَاسُّهُمْ أَنْ يَكُونَ طَاهِراً نَظِيفاً مُوَجَّهاً بِهِ إِلَي اللَّهِ عَزَّ وَ جَلَّ لِيُطْلَبَ وَجْهُهُ وَ لِيُشْفَعَ لَهُ وَ عِلَّةٌ أُخْرَي أَنَّهُ يَخْرُجُ مِنْهُ الْمَنِيُّ الَّذِي مِنْهُ خُلِقَ فَيُجْنِبُ فَيَكُونُ غُسْلُهُ لَهُ‌</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2" w:name="__RefHeading___Toc607608_1934241801"/>
      <w:bookmarkStart w:id="2923" w:name="_Toc1348"/>
      <w:bookmarkEnd w:id="2922"/>
      <w:r>
        <w:rPr>
          <w:rtl w:val="true"/>
        </w:rPr>
        <w:t>«</w:t>
      </w:r>
      <w:r>
        <w:rPr/>
        <w:t>11</w:t>
      </w:r>
      <w:r>
        <w:rPr>
          <w:rtl w:val="true"/>
        </w:rPr>
        <w:t>»</w:t>
      </w:r>
      <w:bookmarkEnd w:id="2923"/>
    </w:p>
    <w:p>
      <w:pPr>
        <w:pStyle w:val="BookText"/>
        <w:rPr/>
      </w:pPr>
      <w:r>
        <w:rPr>
          <w:rFonts w:ascii="Amiri" w:hAnsi="Amiri" w:eastAsia="Amiri" w:cs="Amiri"/>
          <w:color w:val="111111"/>
          <w:sz w:val="28"/>
          <w:sz w:val="28"/>
          <w:szCs w:val="28"/>
          <w:rtl w:val="true"/>
          <w:lang w:bidi="ar-SA"/>
        </w:rPr>
        <w:t>الْمُخْتَلَفُ، نَقْلًا عَنِ ابْنِ أَبِي عَقِيلٍ أَنَّهُ قَالَ تَوَاتَرَتِ الْأَخْبَارُ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غَسَّلَ رَسُولَ اللَّهِ صلي الله عليه و آله فِي قَمِيصِهِ ثَلَاثَ غَسَلَاتٍ‌</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4" w:name="__RefHeading___Toc607610_1934241801"/>
      <w:bookmarkStart w:id="2925" w:name="_Toc1349"/>
      <w:bookmarkEnd w:id="2924"/>
      <w:r>
        <w:rPr>
          <w:rtl w:val="true"/>
        </w:rPr>
        <w:t>«</w:t>
      </w:r>
      <w:r>
        <w:rPr/>
        <w:t>12</w:t>
      </w:r>
      <w:r>
        <w:rPr>
          <w:rtl w:val="true"/>
        </w:rPr>
        <w:t>»</w:t>
      </w:r>
      <w:bookmarkEnd w:id="2925"/>
    </w:p>
    <w:p>
      <w:pPr>
        <w:pStyle w:val="BookText"/>
        <w:rPr/>
      </w:pPr>
      <w:r>
        <w:rPr>
          <w:rFonts w:ascii="Amiri" w:hAnsi="Amiri" w:eastAsia="Amiri" w:cs="Amiri"/>
          <w:color w:val="111111"/>
          <w:sz w:val="28"/>
          <w:sz w:val="28"/>
          <w:szCs w:val="28"/>
          <w:rtl w:val="true"/>
          <w:lang w:bidi="ar-SA"/>
        </w:rPr>
        <w:t>ثَوَابُ الْأَعْمَالِ، عَنْ مُحَمَّدِ بْنِ الْحَسَنِ عَنِ الصَّفَّارِ عَنْ أَحْمَدَ بْنِ مُحَمَّدٍ</w:t>
      </w:r>
    </w:p>
    <w:p>
      <w:pPr>
        <w:pStyle w:val="BookText"/>
        <w:rPr/>
      </w:pPr>
      <w:r>
        <w:rPr>
          <w:rFonts w:ascii="IRNazanin" w:hAnsi="IRNazanin" w:eastAsia="IRNazanin"/>
          <w:color w:val="111111"/>
          <w:sz w:val="28"/>
          <w:sz w:val="28"/>
          <w:szCs w:val="28"/>
          <w:rtl w:val="true"/>
          <w:lang w:bidi="fa-IR"/>
        </w:rPr>
        <w:t xml:space="preserve">غسل دهنده بر بدن میّت مستحبّ است، ولی اگر به سبب ابتلای میّت به آبله و یا سوختگی 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 شدن پوست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بدن او وجود داشته باشد، غسل دهنده به ریختن آب بدون دست کشیدن اکتفا می کند، و اگر در ریختن آب نیز بیم زیان رسیدن به پیکر میّت وجود داشته باشد، غسل داده نمی شود و به تیمم اکتفا می شود، این حُکم را شیخ صدوق، شیخ مفید و ابن جنید ذکر کرده اند، و شهید 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 بسنده کردن به ریختن آب چنین برمی آید که به غسل دادن با آب خالص اکتفا شود، چرا که فایده غسل دادن با سدر و کافور معمولاً بدون مالش بدن کامل نمی شود، پس در این وضعیت به یک بار غسل دادن اکتفا می شود، چرا که امر بر تکرار غسل دلالت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فرموده امام 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أنّه لا یقرّب إلیه 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فقها ذکر کرده اند در هیچ یک از مراحل غسل هیچ نوع کافور و مادّه خوشبویی به میّت در حال احرام نزدیک گردانده نمی شود، پس با سدر و یک مرتبه آب خالص غسل داده می شود و دو مرتبه غسل دادن با آب خالص نیز نقل شده است، و نظر مشهور بر این است که سر و صورت میّت در حال احرام پوشانده نمی شود، و هیچ فرقی میان دو احرام در عدم نزدیک کردن بوی مطبوع به میّت در حال حرام وجود ندارد، همچنین هیچ فرقی بین اینکه شخص در حال احرام قبل از تراشیدن یا کوتاه کردن موی سر و یا بعد از آن و قبل از طواف زیارت وفات نماید وجود ندارد، ولی احتمال اختصاص حکم به حالت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قبل از تراشیدن یا کوتاه کردن موی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چرا که در حالت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بعد از تراشیدن یا کوتاه کردن موی سر و قبل از طواف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 پوشیدن لباسها و خوردن غذاهایی که افراد در حال احرام آن ها را نمی پوشند و نمی خورند، از زمره افراد در حال احرام خارج شده است؛ امّا اگر شخص بعداز طواف وفات نماید، در مورد تحریم استعمال مواد خوشبو اختلاف نظر وجود دارد</w:t>
      </w:r>
      <w:r>
        <w:rPr>
          <w:rFonts w:eastAsia="IRNazanin" w:cs="IRNazanin"/>
          <w:color w:val="111111"/>
          <w:sz w:val="28"/>
          <w:szCs w:val="28"/>
          <w:rtl w:val="true"/>
          <w:lang w:bidi="fa-IR"/>
        </w:rPr>
        <w:t>.</w:t>
      </w:r>
    </w:p>
    <w:p>
      <w:pPr>
        <w:pStyle w:val="Heading5"/>
        <w:numPr>
          <w:ilvl w:val="4"/>
          <w:numId w:val="1"/>
        </w:numPr>
        <w:rPr/>
      </w:pPr>
      <w:bookmarkStart w:id="2926" w:name="__RefHeading___Toc607612_1934241801"/>
      <w:bookmarkStart w:id="2927" w:name="_Toc1350"/>
      <w:bookmarkEnd w:id="2926"/>
      <w:r>
        <w:rPr>
          <w:rtl w:val="true"/>
        </w:rPr>
        <w:t xml:space="preserve">روایت </w:t>
      </w:r>
      <w:r>
        <w:rPr/>
        <w:t>10</w:t>
      </w:r>
      <w:bookmarkEnd w:id="2927"/>
    </w:p>
    <w:p>
      <w:pPr>
        <w:pStyle w:val="BookText"/>
        <w:rPr/>
      </w:pPr>
      <w:r>
        <w:rPr>
          <w:rFonts w:ascii="IRNazanin" w:hAnsi="IRNazanin" w:eastAsia="IRNazanin"/>
          <w:color w:val="111111"/>
          <w:sz w:val="28"/>
          <w:sz w:val="28"/>
          <w:szCs w:val="28"/>
          <w:rtl w:val="true"/>
          <w:lang w:bidi="fa-IR"/>
        </w:rPr>
        <w:t>العیون و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علت غسل میت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غسل داده می شود تا از آلودگیِ بیماری ها و آنچه به سبب امراض به آن گرفتار شده مطهّر و پاکیزه گردد، چرا که با ملائکه ملاقات می کند و به دیدار اهل بهشت می رود، پس مستحبّ است هنگامی  که به محضر خداوند عزّ و جلّ وارد می شود و به ملاقات اهل طهارت و پاکی نائل می آید و آنان را لمس می کند و آنان نیز او را لمس می کنند، طاهر و پاکیزه باشد، و در حالی که به سوی خداوند عزّ و جلّ برده می شود از درگاهش برای او طلب رحمت و شفاعت شود، علّت دیگر غسل میّت این است که هنگام مرگ منی ای</w:t>
      </w:r>
    </w:p>
    <w:p>
      <w:pPr>
        <w:pStyle w:val="BookText"/>
        <w:rPr/>
      </w:pPr>
      <w:r>
        <w:rPr>
          <w:rFonts w:ascii="IRNazanin" w:hAnsi="IRNazanin" w:eastAsia="IRNazanin"/>
          <w:color w:val="111111"/>
          <w:sz w:val="28"/>
          <w:sz w:val="28"/>
          <w:szCs w:val="28"/>
          <w:rtl w:val="true"/>
          <w:lang w:bidi="fa-IR"/>
        </w:rPr>
        <w:t>که از آن آفریده شده است از بدن او خارج می گردد، پس جُنب می گردد و غسل نیز به همین سبب است</w:t>
      </w:r>
      <w:r>
        <w:rPr>
          <w:rFonts w:eastAsia="IRNazanin" w:cs="IRNazanin"/>
          <w:color w:val="111111"/>
          <w:sz w:val="28"/>
          <w:szCs w:val="28"/>
          <w:rtl w:val="true"/>
          <w:lang w:bidi="fa-IR"/>
        </w:rPr>
        <w:t>.</w:t>
      </w:r>
      <w:r>
        <w:rPr>
          <w:rStyle w:val="FootnoteAnchor"/>
          <w:rtl w:val="true"/>
        </w:rPr>
        <w:footnoteReference w:id="1433"/>
      </w:r>
    </w:p>
    <w:p>
      <w:pPr>
        <w:pStyle w:val="Heading5"/>
        <w:numPr>
          <w:ilvl w:val="4"/>
          <w:numId w:val="1"/>
        </w:numPr>
        <w:rPr/>
      </w:pPr>
      <w:bookmarkStart w:id="2928" w:name="__RefHeading___Toc607614_1934241801"/>
      <w:bookmarkStart w:id="2929" w:name="_Toc1351"/>
      <w:bookmarkEnd w:id="2928"/>
      <w:r>
        <w:rPr>
          <w:rtl w:val="true"/>
        </w:rPr>
        <w:t xml:space="preserve">روایت </w:t>
      </w:r>
      <w:r>
        <w:rPr/>
        <w:t>11</w:t>
      </w:r>
      <w:bookmarkEnd w:id="2929"/>
    </w:p>
    <w:p>
      <w:pPr>
        <w:pStyle w:val="BookText"/>
        <w:rPr/>
      </w:pP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أبی عقیل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احادیث متواتر از امامان معصوم علیهم السلام روایت شده است که امام علی علیه السلام، رسول خدا صلّی الله علیه و آله را سه بار و در حالی که لباس به تن داشت غسل داد</w:t>
      </w:r>
      <w:r>
        <w:rPr>
          <w:rFonts w:eastAsia="IRNazanin" w:cs="IRNazanin"/>
          <w:color w:val="111111"/>
          <w:sz w:val="28"/>
          <w:szCs w:val="28"/>
          <w:rtl w:val="true"/>
          <w:lang w:bidi="fa-IR"/>
        </w:rPr>
        <w:t>.</w:t>
      </w:r>
      <w:r>
        <w:rPr>
          <w:rStyle w:val="FootnoteAnchor"/>
          <w:rtl w:val="true"/>
        </w:rPr>
        <w:footnoteReference w:id="1434"/>
      </w:r>
    </w:p>
    <w:p>
      <w:pPr>
        <w:pStyle w:val="Heading5"/>
        <w:numPr>
          <w:ilvl w:val="4"/>
          <w:numId w:val="1"/>
        </w:numPr>
        <w:rPr/>
      </w:pPr>
      <w:bookmarkStart w:id="2930" w:name="__RefHeading___Toc607616_1934241801"/>
      <w:bookmarkStart w:id="2931" w:name="_Toc1352"/>
      <w:bookmarkEnd w:id="2930"/>
      <w:r>
        <w:rPr>
          <w:rtl w:val="true"/>
        </w:rPr>
        <w:t xml:space="preserve">روایت </w:t>
      </w:r>
      <w:r>
        <w:rPr/>
        <w:t>12</w:t>
      </w:r>
      <w:bookmarkEnd w:id="2931"/>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bookmarkStart w:id="2932" w:name="pg13517_329329"/>
    </w:p>
    <w:p>
      <w:pPr>
        <w:pStyle w:val="BookText"/>
        <w:rPr/>
      </w:pPr>
      <w:bookmarkEnd w:id="2932"/>
      <w:r>
        <w:rPr>
          <w:rFonts w:ascii="Amiri" w:hAnsi="Amiri" w:eastAsia="Amiri" w:cs="Amiri"/>
          <w:color w:val="111111"/>
          <w:sz w:val="28"/>
          <w:sz w:val="28"/>
          <w:szCs w:val="28"/>
          <w:rtl w:val="true"/>
          <w:lang w:bidi="ar-SA"/>
        </w:rPr>
        <w:t>عَنْ مُحَمَّدِ بْنِ سِنَانٍ 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نَاجَي بِهِ مُوسَي رَبَّهُ قَالَ يَا رَبِّ مَا لِمَنْ غَسَّلَ الْمَوْتَي فَقَالَ أَغْسِلُهُ مِنْ ذُنُوبِهِ كَمَا وَلَدَتْهُ أُمُّهُ‌</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3" w:name="__RefHeading___Toc607618_1934241801"/>
      <w:bookmarkStart w:id="2934" w:name="_Toc1353"/>
      <w:bookmarkEnd w:id="2933"/>
      <w:r>
        <w:rPr>
          <w:rtl w:val="true"/>
        </w:rPr>
        <w:t>«</w:t>
      </w:r>
      <w:r>
        <w:rPr/>
        <w:t>13</w:t>
      </w:r>
      <w:r>
        <w:rPr>
          <w:rtl w:val="true"/>
        </w:rPr>
        <w:t>»</w:t>
      </w:r>
      <w:bookmarkEnd w:id="2934"/>
    </w:p>
    <w:p>
      <w:pPr>
        <w:pStyle w:val="BookText"/>
        <w:rPr/>
      </w:pPr>
      <w:r>
        <w:rPr>
          <w:rFonts w:ascii="Amiri" w:hAnsi="Amiri" w:eastAsia="Amiri" w:cs="Amiri"/>
          <w:color w:val="111111"/>
          <w:sz w:val="28"/>
          <w:sz w:val="28"/>
          <w:szCs w:val="28"/>
          <w:rtl w:val="true"/>
          <w:lang w:bidi="ar-SA"/>
        </w:rPr>
        <w:t>وَ مِنْهُ، بِإِسْنَادِهِ عَنْ أَبِي هُرَيْرَةَ عَنِ ابْنِ عَبَّاسٍ فِي خُطْبَةٍ طَوِيلَةٍ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 مَيِّتاً فَأَدَّي فِيهِ الْأَمَانَةَ كَانَ لَهُ بِكُلِّ شَعْرَةٍ مِنْهُ عِتْقُ رَقَبَةٍ وَ رُفِعَ لَهُ مِائَةُ دَرَجَةٍ قِيلَ يَا رَسُولَ اللَّهِ وَ كَيْفَ يُؤَدِّي فِيهِ الْأَمَانَةَ قَالَ يَسْتُرُ عَوْرَتَهُ وَ يَسْتُرُ شَيْنَهُ وَ إِنْ لَمْ يَسْتُرْ عَوْرَتَهُ وَ يَسْتُرْ شَيْنَهُ حَبِطَ أَجْرُهُ وَ كُشِفَتْ عَوْرَتُهُ فِي الدُّنْيَا وَ الْآخِرَةِ</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5" w:name="__RefHeading___Toc607620_1934241801"/>
      <w:bookmarkStart w:id="2936" w:name="_Toc1354"/>
      <w:bookmarkEnd w:id="2935"/>
      <w:r>
        <w:rPr>
          <w:rtl w:val="true"/>
        </w:rPr>
        <w:t>«</w:t>
      </w:r>
      <w:r>
        <w:rPr/>
        <w:t>14</w:t>
      </w:r>
      <w:r>
        <w:rPr>
          <w:rtl w:val="true"/>
        </w:rPr>
        <w:t>»</w:t>
      </w:r>
      <w:bookmarkEnd w:id="2936"/>
    </w:p>
    <w:p>
      <w:pPr>
        <w:pStyle w:val="BookText"/>
        <w:rPr/>
      </w:pPr>
      <w:r>
        <w:rPr>
          <w:rFonts w:ascii="Amiri" w:hAnsi="Amiri" w:eastAsia="Amiri" w:cs="Amiri"/>
          <w:color w:val="111111"/>
          <w:sz w:val="28"/>
          <w:sz w:val="28"/>
          <w:szCs w:val="28"/>
          <w:rtl w:val="true"/>
          <w:lang w:bidi="ar-SA"/>
        </w:rPr>
        <w:t>الْمُعْتَبَرُ، نَقْلًا مِنْ شَرْحِ الرِّسَالَةِ لِلسَّيِّدِ الْمُرْتَضَي أَنَّهُ رَوَي فِيهِ عَنْ يَحْيَي بْنِ عَمَّارٍ عَنْ أَبِي عَبْدِ اللَّهِ عليه السلام النَّهْيَ عَنْ تَغْسِيلِ الْمُسْلِمِ قَرَابَتَهُ الذِّمِّيَّ وَ الْمُشْرِكَ وَ أَنْ يُكَفِّنَهُ وَ يُصَلِّيَ عَلَيْهِ‌</w:t>
      </w:r>
      <w:r>
        <w:rPr>
          <w:rStyle w:val="FootnoteAnchor"/>
          <w:rtl w:val="true"/>
        </w:rPr>
        <w:footnoteReference w:id="1437"/>
      </w:r>
      <w:r>
        <w:rPr>
          <w:rFonts w:ascii="Amiri" w:hAnsi="Amiri" w:eastAsia="Amiri" w:cs="Amiri"/>
          <w:color w:val="111111"/>
          <w:sz w:val="28"/>
          <w:sz w:val="28"/>
          <w:szCs w:val="28"/>
          <w:rtl w:val="true"/>
          <w:lang w:bidi="ar-SA"/>
        </w:rPr>
        <w:t>وَ يَلُوذَ بِهِ</w:t>
      </w:r>
      <w:r>
        <w:rPr>
          <w:rFonts w:eastAsia="Amiri" w:cs="Amiri" w:ascii="Amiri" w:hAnsi="Amiri"/>
          <w:color w:val="111111"/>
          <w:sz w:val="28"/>
          <w:szCs w:val="28"/>
          <w:rtl w:val="true"/>
          <w:lang w:bidi="ar-SA"/>
        </w:rPr>
        <w:t>.</w:t>
      </w:r>
    </w:p>
    <w:p>
      <w:pPr>
        <w:pStyle w:val="Heading5"/>
        <w:numPr>
          <w:ilvl w:val="4"/>
          <w:numId w:val="1"/>
        </w:numPr>
        <w:rPr/>
      </w:pPr>
      <w:bookmarkStart w:id="2937" w:name="__RefHeading___Toc607622_1934241801"/>
      <w:bookmarkStart w:id="2938" w:name="_Toc1355"/>
      <w:bookmarkEnd w:id="2937"/>
      <w:r>
        <w:rPr>
          <w:rtl w:val="true"/>
        </w:rPr>
        <w:t>إيضاح</w:t>
      </w:r>
      <w:bookmarkEnd w:id="2938"/>
    </w:p>
    <w:p>
      <w:pPr>
        <w:pStyle w:val="BookText"/>
        <w:rPr/>
      </w:pPr>
      <w:r>
        <w:rPr>
          <w:rFonts w:ascii="Amiri" w:hAnsi="Amiri" w:eastAsia="Amiri" w:cs="Amiri"/>
          <w:color w:val="111111"/>
          <w:sz w:val="28"/>
          <w:sz w:val="28"/>
          <w:szCs w:val="28"/>
          <w:rtl w:val="true"/>
          <w:lang w:bidi="ar-SA"/>
        </w:rPr>
        <w:t>قال في المعتبر لا يغسل الكافر و لا يكفن و لا يدفن بين المسلمين و به قال الثلاثة هذا إذا كان أجنبيا و أجازه الشافعي و لو كان ذا قرابة فعندنا لا يجوز لذي قرابته تغسيله و لا تكفينه و لا دفنه و قال علم الهدي في شرح الرسالة فإن لم يكن من يواريه جاز مواراته لئلا يضيع و به قال مالك و قال أبو حنيفة و الشافعي يغسله و يتبعه و يدفنه و لم يفصلا ثم ذكر هذه الرواية في جملة ما احتج به</w:t>
      </w:r>
      <w:r>
        <w:rPr>
          <w:rFonts w:eastAsia="Amiri" w:cs="Amiri" w:ascii="Amiri" w:hAnsi="Amiri"/>
          <w:color w:val="111111"/>
          <w:sz w:val="28"/>
          <w:szCs w:val="28"/>
          <w:rtl w:val="true"/>
          <w:lang w:bidi="ar-SA"/>
        </w:rPr>
        <w:t>.</w:t>
      </w:r>
    </w:p>
    <w:p>
      <w:pPr>
        <w:pStyle w:val="Heading5"/>
        <w:numPr>
          <w:ilvl w:val="4"/>
          <w:numId w:val="1"/>
        </w:numPr>
        <w:rPr/>
      </w:pPr>
      <w:bookmarkStart w:id="2939" w:name="__RefHeading___Toc607624_1934241801"/>
      <w:bookmarkStart w:id="2940" w:name="_Toc1356"/>
      <w:bookmarkEnd w:id="2939"/>
      <w:r>
        <w:rPr>
          <w:rtl w:val="true"/>
        </w:rPr>
        <w:t>«</w:t>
      </w:r>
      <w:r>
        <w:rPr/>
        <w:t>15</w:t>
      </w:r>
      <w:r>
        <w:rPr>
          <w:rtl w:val="true"/>
        </w:rPr>
        <w:t>»</w:t>
      </w:r>
      <w:bookmarkEnd w:id="2940"/>
    </w:p>
    <w:p>
      <w:pPr>
        <w:pStyle w:val="BookText"/>
        <w:rPr/>
      </w:pPr>
      <w:r>
        <w:rPr>
          <w:rFonts w:ascii="Amiri" w:hAnsi="Amiri" w:eastAsia="Amiri" w:cs="Amiri"/>
          <w:color w:val="111111"/>
          <w:sz w:val="28"/>
          <w:sz w:val="28"/>
          <w:szCs w:val="28"/>
          <w:rtl w:val="true"/>
          <w:lang w:bidi="ar-SA"/>
        </w:rPr>
        <w:t>الْإِحْتِجَاجُ، عَنْ صَالِحِ بْنِ كَيْسَانَ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قَالَ لِلْحُسَيْنِ هَلْ بَلَغَكَ مَا صَنَعْنَا بِحُجْرِ بْنِ عَدِيٍّ وَ أَصْحَابِهِ شِيعَةِ أَبِيكَ فَقَالَ عليه السلام وَ مَا صَنَعْتَ بِهِمْ قَالَ قَتَلْنَاهُمْ وَ كَفَّنَّاهُمْ وَ صَلَّيْنَا عَلَيْهِمْ فَضَحِكَ الْحُسَيْنُ عليه السلام فَقَالَ خَصَمَكَ الْقَوْمُ يَا مُعَاوِيَةُ لَكِنَّا لَوْ قَتَلْنَا شِيعَتَكَ لَمَا كَفَّنَّاهُمْ وَ لَا غَسَّلْنَاهُمْ وَ لَا صَلَّيْنَا عَلَيْهِمْ وَ لَا</w:t>
      </w:r>
    </w:p>
    <w:p>
      <w:pPr>
        <w:pStyle w:val="BookText"/>
        <w:rPr/>
      </w:pP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در میان سخنانی که با خداوند متعال نجوا کرد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مردگان را غسل می دهد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مانند زمانی که از مادرش زاده شد از گناهانی که مرتکب شده پاک خواهم کرد</w:t>
      </w:r>
      <w:r>
        <w:rPr>
          <w:rFonts w:eastAsia="IRNazanin" w:cs="IRNazanin"/>
          <w:color w:val="111111"/>
          <w:sz w:val="28"/>
          <w:szCs w:val="28"/>
          <w:rtl w:val="true"/>
          <w:lang w:bidi="fa-IR"/>
        </w:rPr>
        <w:t>.</w:t>
      </w:r>
      <w:r>
        <w:rPr>
          <w:rStyle w:val="FootnoteAnchor"/>
          <w:rtl w:val="true"/>
        </w:rPr>
        <w:footnoteReference w:id="1438"/>
      </w:r>
    </w:p>
    <w:p>
      <w:pPr>
        <w:pStyle w:val="Heading5"/>
        <w:numPr>
          <w:ilvl w:val="4"/>
          <w:numId w:val="1"/>
        </w:numPr>
        <w:rPr/>
      </w:pPr>
      <w:bookmarkStart w:id="2941" w:name="__RefHeading___Toc607626_1934241801"/>
      <w:bookmarkStart w:id="2942" w:name="_Toc1357"/>
      <w:bookmarkEnd w:id="2941"/>
      <w:r>
        <w:rPr>
          <w:rtl w:val="true"/>
        </w:rPr>
        <w:t xml:space="preserve">روایت </w:t>
      </w:r>
      <w:r>
        <w:rPr/>
        <w:t>13</w:t>
      </w:r>
      <w:bookmarkEnd w:id="2942"/>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ابوهریرة از ابن عباس روایت کرده که پیامبر صلّی الله علیه و آله ضمن خطبه ای طولانی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میّتی را غسل دهد و امانت را در مورد او رعایت کند، به ازای هر تار مویی که غسل داده است پاداش آزاد کردن برده ای در کارنامه اعمال او ثبت می گردد و جایگاهش صد مرتبه اوج می گیرد،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چگونه امانت را رعایت می کند؟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 میّت و عیب های او را می پوشاند، و اگر عورت میّت و عیب های میّت را نپوشاند، اجر و پاداشش از بین خواهد رفت و عورتش در دنیا و آخرت آشکار خواهد شد</w:t>
      </w:r>
      <w:r>
        <w:rPr>
          <w:rFonts w:eastAsia="IRNazanin" w:cs="IRNazanin"/>
          <w:color w:val="111111"/>
          <w:sz w:val="28"/>
          <w:szCs w:val="28"/>
          <w:rtl w:val="true"/>
          <w:lang w:bidi="fa-IR"/>
        </w:rPr>
        <w:t>.</w:t>
      </w:r>
      <w:r>
        <w:rPr>
          <w:rStyle w:val="FootnoteAnchor"/>
          <w:rtl w:val="true"/>
        </w:rPr>
        <w:footnoteReference w:id="1439"/>
      </w:r>
    </w:p>
    <w:p>
      <w:pPr>
        <w:pStyle w:val="Heading5"/>
        <w:numPr>
          <w:ilvl w:val="4"/>
          <w:numId w:val="1"/>
        </w:numPr>
        <w:rPr/>
      </w:pPr>
      <w:bookmarkStart w:id="2943" w:name="__RefHeading___Toc607628_1934241801"/>
      <w:bookmarkStart w:id="2944" w:name="_Toc1358"/>
      <w:bookmarkEnd w:id="2943"/>
      <w:r>
        <w:rPr>
          <w:rtl w:val="true"/>
        </w:rPr>
        <w:t xml:space="preserve">روایت </w:t>
      </w:r>
      <w:r>
        <w:rPr/>
        <w:t>14</w:t>
      </w:r>
      <w:bookmarkEnd w:id="2944"/>
    </w:p>
    <w:p>
      <w:p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شرح الرسالة سید مرتضی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انسان مسلمان را از غسل دادن و کفن کردن نزدیکان ذمّی و مشرک خود و همچنین نماز گزاردن بر جنازه آن ها و پناه دادن شان به خداوند، نهی فرمود</w:t>
      </w:r>
      <w:r>
        <w:rPr>
          <w:rFonts w:eastAsia="IRNazanin" w:cs="IRNazanin"/>
          <w:color w:val="111111"/>
          <w:sz w:val="28"/>
          <w:szCs w:val="28"/>
          <w:rtl w:val="true"/>
          <w:lang w:bidi="fa-IR"/>
        </w:rPr>
        <w:t>.</w:t>
      </w:r>
      <w:r>
        <w:rPr>
          <w:rStyle w:val="FootnoteAnchor"/>
          <w:rtl w:val="true"/>
        </w:rPr>
        <w:footnoteReference w:id="1440"/>
      </w:r>
    </w:p>
    <w:p>
      <w:pPr>
        <w:pStyle w:val="Heading5"/>
        <w:numPr>
          <w:ilvl w:val="4"/>
          <w:numId w:val="1"/>
        </w:numPr>
        <w:rPr/>
      </w:pPr>
      <w:bookmarkStart w:id="2945" w:name="__RefHeading___Toc607630_1934241801"/>
      <w:bookmarkStart w:id="2946" w:name="_Toc1359"/>
      <w:bookmarkEnd w:id="2945"/>
      <w:r>
        <w:rPr>
          <w:rtl w:val="true"/>
        </w:rPr>
        <w:t>توضیح</w:t>
      </w:r>
      <w:bookmarkEnd w:id="2946"/>
    </w:p>
    <w:p>
      <w:pPr>
        <w:pStyle w:val="BookText"/>
        <w:rPr/>
      </w:pPr>
      <w:r>
        <w:rPr>
          <w:rFonts w:ascii="IRNazanin" w:hAnsi="IRNazanin" w:eastAsia="IRNazanin"/>
          <w:color w:val="111111"/>
          <w:sz w:val="28"/>
          <w:sz w:val="28"/>
          <w:szCs w:val="28"/>
          <w:rtl w:val="true"/>
          <w:lang w:bidi="fa-IR"/>
        </w:rPr>
        <w:t>در المعتبر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غسل داده نمی شود، کفن کرده نمی شود و در قبرستان مسلمانان و در میان آن ها دفن نمی گردد؛ ابوحنیفه، مالک و احمد بن حنبل قائل به این نظر هستند، این حکم در صورتی است که شخص کافر بیگانه باشد، و شافعی این امور را جایز شمرده است، امّا به رأی ما اگر کافر از جمله بستگان هم باشد برای نزدیکان او جایز نیست که غسلش دهند و او را کفن کنند و به خاکش بسپارند،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الرسالة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یافت نشود که جسد کافر را در خاک پنهان کند، برای مسلمانان جایز است که او را در خاک پنهان کنند تا از بین نرود، این نظر متعّلق به مالک است، و ابو حنیفه و شافعی بر این باورند که بستگان شخص کافر می توانند او را غسل دهند، جنازه او را تشییع کنند و به خاکش بسپارند، و بین میّت کافر و غیر کافر فرقی قائل نیستند؛ سپس این روایت را در میان روایاتی که به آن ها استناد کرده ذکر نموده است</w:t>
      </w:r>
      <w:r>
        <w:rPr>
          <w:rFonts w:eastAsia="IRNazanin" w:cs="IRNazanin"/>
          <w:color w:val="111111"/>
          <w:sz w:val="28"/>
          <w:szCs w:val="28"/>
          <w:rtl w:val="true"/>
          <w:lang w:bidi="fa-IR"/>
        </w:rPr>
        <w:t>.</w:t>
      </w:r>
    </w:p>
    <w:p>
      <w:pPr>
        <w:pStyle w:val="Heading5"/>
        <w:numPr>
          <w:ilvl w:val="4"/>
          <w:numId w:val="1"/>
        </w:numPr>
        <w:rPr/>
      </w:pPr>
      <w:bookmarkStart w:id="2947" w:name="__RefHeading___Toc607632_1934241801"/>
      <w:bookmarkStart w:id="2948" w:name="_Toc1360"/>
      <w:bookmarkEnd w:id="2947"/>
      <w:r>
        <w:rPr>
          <w:rtl w:val="true"/>
        </w:rPr>
        <w:t xml:space="preserve">روایت </w:t>
      </w:r>
      <w:r>
        <w:rPr/>
        <w:t>15</w:t>
      </w:r>
      <w:bookmarkEnd w:id="2948"/>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صالح بن کَیسان روایت شده که معاویه به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خبر رسیده است که ما با حجر بن عدی و یاران او که از جمله پیروان پدرت بودند چه کردیم؟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قتل رساندیم، کفن شان کردیم و بر آنان نماز گزاردیم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آیا قوم با تو خصومت ورزیده اند، ولی اگر ما پیروان تو را به قتل برسانیم آنان را کفن نمی کنیم و غسل نمی دهیم، بر آنان نماز نمی گزاریم </w:t>
      </w:r>
      <w:bookmarkStart w:id="2949" w:name="pg13517_329330"/>
    </w:p>
    <w:p>
      <w:pPr>
        <w:pStyle w:val="BookText"/>
        <w:rPr/>
      </w:pPr>
      <w:bookmarkEnd w:id="2949"/>
      <w:r>
        <w:rPr>
          <w:rFonts w:ascii="Amiri" w:hAnsi="Amiri" w:eastAsia="Amiri" w:cs="Amiri"/>
          <w:color w:val="111111"/>
          <w:sz w:val="28"/>
          <w:sz w:val="28"/>
          <w:szCs w:val="28"/>
          <w:rtl w:val="true"/>
          <w:lang w:bidi="ar-SA"/>
        </w:rPr>
        <w:t>دَفَنَّاهُمْ‌</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0" w:name="__RefHeading___Toc607634_1934241801"/>
      <w:bookmarkStart w:id="2951" w:name="_Toc1361"/>
      <w:bookmarkEnd w:id="2950"/>
      <w:r>
        <w:rPr>
          <w:rtl w:val="true"/>
        </w:rPr>
        <w:t>بيان</w:t>
      </w:r>
      <w:bookmarkEnd w:id="2951"/>
    </w:p>
    <w:p>
      <w:pPr>
        <w:pStyle w:val="BookText"/>
        <w:rPr/>
      </w:pPr>
      <w:r>
        <w:rPr>
          <w:rFonts w:ascii="Amiri" w:hAnsi="Amiri" w:eastAsia="Amiri" w:cs="Amiri"/>
          <w:color w:val="111111"/>
          <w:sz w:val="28"/>
          <w:sz w:val="28"/>
          <w:szCs w:val="28"/>
          <w:rtl w:val="true"/>
          <w:lang w:bidi="ar-SA"/>
        </w:rPr>
        <w:t>يدل علي عدم وجوب تغسيل المخالف و عدم رجحانه و المشهور وجوب غسل من عدا الخوارج و الغلاة و النواصب و المجسمة من فرق المسلمين و قال المفيد لا يجوز لأحد من أهل الإيمان أن يغسل مخالفا للحق في الولاية و لا يصلي عليه إلا أن يدعوه ضرورة إلي ذلك من جهة التقية و هو المنقول عن ابن البراج و ظاهر ابن إدريس و يمكن أن يقال أصحاب معاوية كانوا من النواصب بل من الخوارج فهم خارجون عن محل النزاع</w:t>
      </w:r>
      <w:r>
        <w:rPr>
          <w:rFonts w:eastAsia="Amiri" w:cs="Amiri" w:ascii="Amiri" w:hAnsi="Amiri"/>
          <w:color w:val="111111"/>
          <w:sz w:val="28"/>
          <w:szCs w:val="28"/>
          <w:rtl w:val="true"/>
          <w:lang w:bidi="ar-SA"/>
        </w:rPr>
        <w:t>.</w:t>
      </w:r>
    </w:p>
    <w:p>
      <w:pPr>
        <w:pStyle w:val="Heading5"/>
        <w:numPr>
          <w:ilvl w:val="4"/>
          <w:numId w:val="1"/>
        </w:numPr>
        <w:rPr/>
      </w:pPr>
      <w:bookmarkStart w:id="2952" w:name="__RefHeading___Toc607636_1934241801"/>
      <w:bookmarkStart w:id="2953" w:name="_Toc1362"/>
      <w:bookmarkEnd w:id="2952"/>
      <w:r>
        <w:rPr>
          <w:rtl w:val="true"/>
        </w:rPr>
        <w:t>«</w:t>
      </w:r>
      <w:r>
        <w:rPr/>
        <w:t>16</w:t>
      </w:r>
      <w:r>
        <w:rPr>
          <w:rtl w:val="true"/>
        </w:rPr>
        <w:t>»</w:t>
      </w:r>
      <w:bookmarkEnd w:id="2953"/>
    </w:p>
    <w:p>
      <w:pPr>
        <w:pStyle w:val="BookText"/>
        <w:rPr/>
      </w:pPr>
      <w:r>
        <w:rPr>
          <w:rFonts w:ascii="Amiri" w:hAnsi="Amiri" w:eastAsia="Amiri" w:cs="Amiri"/>
          <w:color w:val="111111"/>
          <w:sz w:val="28"/>
          <w:sz w:val="28"/>
          <w:szCs w:val="28"/>
          <w:rtl w:val="true"/>
          <w:lang w:bidi="ar-SA"/>
        </w:rPr>
        <w:t>الْعِلَلُ، عَنْ أَبِيهِ عَنْ أَحْمَدَ بْنِ إِدْرِيسَ عَنْ أَحْمَدَ بْنِ مُحَمَّدِ بْنِ عِيسَي عَنْ أَحْمَدَ بْنِ مُحَمَّدِ بْنِ أَبِي نَصْرٍ عَنْ عَبْدِ الرَّحْمَنِ بْنِ سَالِمٍ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مَنْ غَسَّلَ فَاطِمَةَ عليها السلام قَالَ ذَاكَ أَمِيرُ الْمُؤْمِنِينَ عليه السلام فَكَأَنَّمَا اسْتَفْظَعْتُ ذَلِكَ مِنْ قَوْلِهِ فَقَالَ لِي كَأَنَّكَ ضِقْتَ بِمَا أَخْبَرْتُكَ فَقُلْتُ قَدْ كَانَ ذَلِكَ جُعِلْتُ فِدَاكَ فَقَالَ لَا تَضِيقَنَّ فَإِنَّهَا صِدِّيقَةٌ لَمْ يَكُنْ يُغَسِّلُهَا إِلَّا صِدِّيقٌ أَ مَا عَلِمْتَ أَنَّ مَرْيَمَ لَمْ يُغَسِّلْهَا إِلَّا عِيسَي عليه السلام الْحَدِيثَ‌</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 عن أبي الحسن الخزاز القمي بإسناده إليه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43"/>
      </w:r>
    </w:p>
    <w:p>
      <w:pPr>
        <w:pStyle w:val="Heading5"/>
        <w:numPr>
          <w:ilvl w:val="4"/>
          <w:numId w:val="1"/>
        </w:numPr>
        <w:rPr/>
      </w:pPr>
      <w:bookmarkStart w:id="2954" w:name="__RefHeading___Toc607638_1934241801"/>
      <w:bookmarkStart w:id="2955" w:name="_Toc1363"/>
      <w:bookmarkEnd w:id="2954"/>
      <w:r>
        <w:rPr>
          <w:rtl w:val="true"/>
        </w:rPr>
        <w:t>بيان</w:t>
      </w:r>
      <w:bookmarkEnd w:id="2955"/>
    </w:p>
    <w:p>
      <w:pPr>
        <w:pStyle w:val="BookText"/>
        <w:rPr/>
      </w:pPr>
      <w:r>
        <w:rPr>
          <w:rFonts w:ascii="Amiri" w:hAnsi="Amiri" w:eastAsia="Amiri" w:cs="Amiri"/>
          <w:color w:val="111111"/>
          <w:sz w:val="28"/>
          <w:sz w:val="28"/>
          <w:szCs w:val="28"/>
          <w:rtl w:val="true"/>
          <w:lang w:bidi="ar-SA"/>
        </w:rPr>
        <w:t>استفظعت الشي‌ء أي وجدته فظيعا شنيعا و في بعض النسخ استعظمت</w:t>
      </w:r>
      <w:r>
        <w:rPr>
          <w:rFonts w:eastAsia="Amiri" w:cs="Amiri" w:ascii="Amiri" w:hAnsi="Amiri"/>
          <w:color w:val="111111"/>
          <w:sz w:val="28"/>
          <w:szCs w:val="28"/>
          <w:rtl w:val="true"/>
          <w:lang w:bidi="ar-SA"/>
        </w:rPr>
        <w:t>.</w:t>
      </w:r>
    </w:p>
    <w:p>
      <w:pPr>
        <w:pStyle w:val="Heading5"/>
        <w:numPr>
          <w:ilvl w:val="4"/>
          <w:numId w:val="1"/>
        </w:numPr>
        <w:rPr/>
      </w:pPr>
      <w:bookmarkStart w:id="2956" w:name="__RefHeading___Toc607640_1934241801"/>
      <w:bookmarkStart w:id="2957" w:name="_Toc1364"/>
      <w:bookmarkEnd w:id="2956"/>
      <w:r>
        <w:rPr>
          <w:rtl w:val="true"/>
        </w:rPr>
        <w:t>«</w:t>
      </w:r>
      <w:r>
        <w:rPr/>
        <w:t>17</w:t>
      </w:r>
      <w:r>
        <w:rPr>
          <w:rtl w:val="true"/>
        </w:rPr>
        <w:t>»</w:t>
      </w:r>
      <w:bookmarkEnd w:id="2957"/>
    </w:p>
    <w:p>
      <w:pPr>
        <w:pStyle w:val="BookText"/>
        <w:rPr/>
      </w:pPr>
      <w:r>
        <w:rPr>
          <w:rFonts w:ascii="Amiri" w:hAnsi="Amiri" w:eastAsia="Amiri" w:cs="Amiri"/>
          <w:color w:val="111111"/>
          <w:sz w:val="28"/>
          <w:sz w:val="28"/>
          <w:szCs w:val="28"/>
          <w:rtl w:val="true"/>
          <w:lang w:bidi="ar-SA"/>
        </w:rPr>
        <w:t>قُرْبُ الْإِسْنَادِ، عَنِ الْحُسَيْنِ بْنِ ظَرِيفٍ عَنِ الْحُسَيْنِ بْنِ عُلْوَانَ عَنْ جَعْفَرِ بْنِ مُحَمَّدٍ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غَسَّلَ امْرَأَتَهُ فَاطِمَةَ بِنْتَ رَسُولِ اللَّهِ صلي الله عليه و آله‌</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8" w:name="__RefHeading___Toc607642_1934241801"/>
      <w:bookmarkStart w:id="2959" w:name="_Toc1365"/>
      <w:bookmarkEnd w:id="2958"/>
      <w:r>
        <w:rPr>
          <w:rtl w:val="true"/>
        </w:rPr>
        <w:t>«</w:t>
      </w:r>
      <w:r>
        <w:rPr/>
        <w:t>18</w:t>
      </w:r>
      <w:r>
        <w:rPr>
          <w:rtl w:val="true"/>
        </w:rPr>
        <w:t>»</w:t>
      </w:r>
      <w:bookmarkEnd w:id="2959"/>
    </w:p>
    <w:p>
      <w:pPr>
        <w:pStyle w:val="BookText"/>
        <w:rPr/>
      </w:pPr>
      <w:r>
        <w:rPr>
          <w:rFonts w:ascii="Amiri" w:hAnsi="Amiri" w:eastAsia="Amiri" w:cs="Amiri"/>
          <w:color w:val="111111"/>
          <w:sz w:val="28"/>
          <w:sz w:val="28"/>
          <w:szCs w:val="28"/>
          <w:rtl w:val="true"/>
          <w:lang w:bidi="ar-SA"/>
        </w:rPr>
        <w:t>كَشْفُ الْغُمَّةِ، نَقْلًا مِنْ كِتَابِ أَخْبَارِ فَاطِمَةَ لِابْنِ بَابَوَيْهِ عَنِ الْحَسَنِ</w:t>
      </w:r>
    </w:p>
    <w:p>
      <w:pPr>
        <w:pStyle w:val="BookText"/>
        <w:rPr/>
      </w:pPr>
      <w:r>
        <w:rPr>
          <w:rFonts w:ascii="IRNazanin" w:hAnsi="IRNazanin" w:eastAsia="IRNazanin"/>
          <w:color w:val="111111"/>
          <w:sz w:val="28"/>
          <w:sz w:val="28"/>
          <w:szCs w:val="28"/>
          <w:rtl w:val="true"/>
          <w:lang w:bidi="fa-IR"/>
        </w:rPr>
        <w:t>و به خاک شان نمی سپاریم</w:t>
      </w:r>
      <w:r>
        <w:rPr>
          <w:rFonts w:eastAsia="IRNazanin" w:cs="IRNazanin"/>
          <w:color w:val="111111"/>
          <w:sz w:val="28"/>
          <w:szCs w:val="28"/>
          <w:rtl w:val="true"/>
          <w:lang w:bidi="fa-IR"/>
        </w:rPr>
        <w:t>.</w:t>
      </w:r>
      <w:r>
        <w:rPr>
          <w:rStyle w:val="FootnoteAnchor"/>
          <w:rtl w:val="true"/>
        </w:rPr>
        <w:footnoteReference w:id="1445"/>
      </w:r>
    </w:p>
    <w:p>
      <w:pPr>
        <w:pStyle w:val="Heading5"/>
        <w:numPr>
          <w:ilvl w:val="4"/>
          <w:numId w:val="1"/>
        </w:numPr>
        <w:rPr/>
      </w:pPr>
      <w:bookmarkStart w:id="2960" w:name="__RefHeading___Toc607644_1934241801"/>
      <w:bookmarkStart w:id="2961" w:name="_Toc1366"/>
      <w:bookmarkEnd w:id="2960"/>
      <w:r>
        <w:rPr>
          <w:rtl w:val="true"/>
        </w:rPr>
        <w:t>توضیح</w:t>
      </w:r>
      <w:bookmarkEnd w:id="2961"/>
    </w:p>
    <w:p>
      <w:pPr>
        <w:pStyle w:val="BookText"/>
        <w:rPr/>
      </w:pPr>
      <w:r>
        <w:rPr>
          <w:rFonts w:ascii="IRNazanin" w:hAnsi="IRNazanin" w:eastAsia="IRNazanin"/>
          <w:color w:val="111111"/>
          <w:sz w:val="28"/>
          <w:sz w:val="28"/>
          <w:szCs w:val="28"/>
          <w:rtl w:val="true"/>
          <w:lang w:bidi="fa-IR"/>
        </w:rPr>
        <w:t xml:space="preserve">این حدیث بر عدم وجوب غسل دادن مخالفان و عدم رجحان داشتن این غسل دلالت می کند، و نظر مشهور بر این است که غسل دادن تمامی مسلمانان واجب است غیر از فرقه هایی مانند خوارج، غلوّکنندگان، 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پیامبر و اهل بیت به دشمنی برمی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قائل به مجسّم بودن ذات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هیچ یک از مؤمنان کسی که در زمینه ولایت با حقّ به مخالفت می پردازد را غسل دهند و بر او نماز بگزارند، مگر اینکه به انجام این کار دعوت شود و در حالت تقیّه قرار گیرد؛ این نظر از ابن براج و ظاهر کلام ابن ادریس نقل شده است، و ممکن است گفته شود که یاران معاویه از جمله نواصب بلکه خوارج هستند، بنابراین از جایگاه نزاع بر سر اینکه غسل دادن آن ها جایز است یا خیر، خارج هستند</w:t>
      </w:r>
      <w:r>
        <w:rPr>
          <w:rFonts w:eastAsia="IRNazanin" w:cs="IRNazanin"/>
          <w:color w:val="111111"/>
          <w:sz w:val="28"/>
          <w:szCs w:val="28"/>
          <w:rtl w:val="true"/>
          <w:lang w:bidi="fa-IR"/>
        </w:rPr>
        <w:t>.</w:t>
      </w:r>
    </w:p>
    <w:p>
      <w:pPr>
        <w:pStyle w:val="Heading5"/>
        <w:numPr>
          <w:ilvl w:val="4"/>
          <w:numId w:val="1"/>
        </w:numPr>
        <w:rPr/>
      </w:pPr>
      <w:bookmarkStart w:id="2962" w:name="__RefHeading___Toc607646_1934241801"/>
      <w:bookmarkStart w:id="2963" w:name="_Toc1367"/>
      <w:bookmarkEnd w:id="2962"/>
      <w:r>
        <w:rPr>
          <w:rtl w:val="true"/>
        </w:rPr>
        <w:t xml:space="preserve">روایت </w:t>
      </w:r>
      <w:r>
        <w:rPr/>
        <w:t>16</w:t>
      </w:r>
      <w:bookmarkEnd w:id="2963"/>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مفضل بن عمر روایت شده که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فاطمه علیها السلام را غسل داد؟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امیرالمؤنین علیه السلام؛ گویا این سخن امام بر من گران آمد و آن را ناپسند شمردم، پس 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امری که تو را از آن آگاه کردم به تنگ آمدی؟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آری چنین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پاسخ بر تو گران نیاید، چرا که فاطمه علیها السلام صدیقه ایست که جز شخصی صدّیق او را غسل نداده است، آیا ندانسته ای که مریم را کسی جز عیسی علیه السلام غسل نداده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r>
        <w:rPr>
          <w:rStyle w:val="FootnoteAnchor"/>
          <w:rtl w:val="true"/>
        </w:rPr>
        <w:footnoteReference w:id="1446"/>
      </w:r>
    </w:p>
    <w:p>
      <w:pPr>
        <w:pStyle w:val="BookText"/>
        <w:rPr/>
      </w:pP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از امام صادق علیه السلام روایت شده است</w:t>
      </w:r>
      <w:r>
        <w:rPr>
          <w:rFonts w:eastAsia="IRNazanin" w:cs="IRNazanin"/>
          <w:color w:val="111111"/>
          <w:sz w:val="28"/>
          <w:szCs w:val="28"/>
          <w:rtl w:val="true"/>
          <w:lang w:bidi="fa-IR"/>
        </w:rPr>
        <w:t>.</w:t>
      </w:r>
      <w:r>
        <w:rPr>
          <w:rStyle w:val="FootnoteAnchor"/>
          <w:rtl w:val="true"/>
        </w:rPr>
        <w:footnoteReference w:id="1447"/>
      </w:r>
    </w:p>
    <w:p>
      <w:pPr>
        <w:pStyle w:val="Heading5"/>
        <w:numPr>
          <w:ilvl w:val="4"/>
          <w:numId w:val="1"/>
        </w:numPr>
        <w:rPr/>
      </w:pPr>
      <w:bookmarkStart w:id="2964" w:name="__RefHeading___Toc607648_1934241801"/>
      <w:bookmarkStart w:id="2965" w:name="_Toc1368"/>
      <w:bookmarkEnd w:id="2964"/>
      <w:r>
        <w:rPr>
          <w:rtl w:val="true"/>
        </w:rPr>
        <w:t>توضیح</w:t>
      </w:r>
      <w:bookmarkEnd w:id="29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استفظعتُ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 را ناپسند و زشت شمردم، که در بعضی از نسخه 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Heading5"/>
        <w:numPr>
          <w:ilvl w:val="4"/>
          <w:numId w:val="1"/>
        </w:numPr>
        <w:rPr/>
      </w:pPr>
      <w:bookmarkStart w:id="2966" w:name="__RefHeading___Toc607650_1934241801"/>
      <w:bookmarkStart w:id="2967" w:name="_Toc1369"/>
      <w:bookmarkEnd w:id="2966"/>
      <w:r>
        <w:rPr>
          <w:rtl w:val="true"/>
        </w:rPr>
        <w:t xml:space="preserve">روایت </w:t>
      </w:r>
      <w:r>
        <w:rPr/>
        <w:t>17</w:t>
      </w:r>
      <w:bookmarkEnd w:id="2967"/>
    </w:p>
    <w:p>
      <w:pPr>
        <w:pStyle w:val="BookText"/>
        <w:rPr/>
      </w:pP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جعفرصادق از پدرش روایت کرده که امام علی علیه السلام، همسرش فاطمه دختر رسول خدا صلّی الله علیه و آله را غسل داد</w:t>
      </w:r>
      <w:r>
        <w:rPr>
          <w:rFonts w:eastAsia="IRNazanin" w:cs="IRNazanin"/>
          <w:color w:val="111111"/>
          <w:sz w:val="28"/>
          <w:szCs w:val="28"/>
          <w:rtl w:val="true"/>
          <w:lang w:bidi="fa-IR"/>
        </w:rPr>
        <w:t>.</w:t>
      </w:r>
      <w:r>
        <w:rPr>
          <w:rStyle w:val="FootnoteAnchor"/>
          <w:rtl w:val="true"/>
        </w:rPr>
        <w:footnoteReference w:id="1448"/>
      </w:r>
    </w:p>
    <w:p>
      <w:pPr>
        <w:pStyle w:val="Heading5"/>
        <w:numPr>
          <w:ilvl w:val="4"/>
          <w:numId w:val="1"/>
        </w:numPr>
        <w:rPr/>
      </w:pPr>
      <w:bookmarkStart w:id="2968" w:name="__RefHeading___Toc607652_1934241801"/>
      <w:bookmarkStart w:id="2969" w:name="_Toc1370"/>
      <w:bookmarkEnd w:id="2968"/>
      <w:r>
        <w:rPr>
          <w:rtl w:val="true"/>
        </w:rPr>
        <w:t xml:space="preserve">روایت </w:t>
      </w:r>
      <w:r>
        <w:rPr/>
        <w:t>18</w:t>
      </w:r>
      <w:bookmarkEnd w:id="296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اخبار فاطمه که متعلّق به ابن بابویه است از حسن </w:t>
      </w:r>
      <w:bookmarkStart w:id="2970" w:name="pg13517_329331"/>
    </w:p>
    <w:p>
      <w:pPr>
        <w:pStyle w:val="BookText"/>
        <w:rPr/>
      </w:pPr>
      <w:bookmarkEnd w:id="2970"/>
      <w:r>
        <w:rPr>
          <w:rFonts w:ascii="Amiri" w:hAnsi="Amiri" w:eastAsia="Amiri" w:cs="Amiri"/>
          <w:color w:val="111111"/>
          <w:sz w:val="28"/>
          <w:sz w:val="28"/>
          <w:szCs w:val="28"/>
          <w:rtl w:val="true"/>
          <w:lang w:bidi="ar-SA"/>
        </w:rPr>
        <w:t>ابْنِ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غَسَّلَ فَاطِمَةَ عليهما السلام‌</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أَوْصَتْنِي فَاطِمَةُ أَنْ لَا يُغَسِّلَهَا إِلَّا أَنَا وَ عَلِيٌّ عليه السلام فَغَسَّلْتُهَا أَنَا وَ عَلِيٌ‌</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أَسْمَاءَ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أَمَرَهَا فَغَسَّلَتْ فَاطِمَةَ عليها السلام وَ أَمَرَ الْحَسَنَ وَ الْحُسَيْنَ يُدْخِلَانِ الْمَاءَ وَ دَفَنَهَا لَيْلًا وَ سَوَّي قَبْرَهَا</w:t>
      </w:r>
      <w:r>
        <w:rPr>
          <w:rStyle w:val="FootnoteAnchor"/>
          <w:rtl w:val="true"/>
        </w:rPr>
        <w:footnoteReference w:id="1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أَوْصَتْ عَلِيّاً وَ أَسْمَاءَ بِنْتَ عُمَيْسٍ أَنْ يُغَسِّلَاهَا</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71" w:name="__RefHeading___Toc607654_1934241801"/>
      <w:bookmarkStart w:id="2972" w:name="_Toc1371"/>
      <w:bookmarkEnd w:id="2971"/>
      <w:r>
        <w:rPr>
          <w:rtl w:val="true"/>
        </w:rPr>
        <w:t>«</w:t>
      </w:r>
      <w:r>
        <w:rPr/>
        <w:t>19</w:t>
      </w:r>
      <w:r>
        <w:rPr>
          <w:rtl w:val="true"/>
        </w:rPr>
        <w:t>»</w:t>
      </w:r>
      <w:bookmarkEnd w:id="2972"/>
    </w:p>
    <w:p>
      <w:pPr>
        <w:pStyle w:val="BookText"/>
        <w:rPr/>
      </w:pPr>
      <w:r>
        <w:rPr>
          <w:rFonts w:ascii="Amiri" w:hAnsi="Amiri" w:eastAsia="Amiri" w:cs="Amiri"/>
          <w:color w:val="111111"/>
          <w:sz w:val="28"/>
          <w:sz w:val="28"/>
          <w:szCs w:val="28"/>
          <w:rtl w:val="true"/>
          <w:lang w:bidi="ar-SA"/>
        </w:rPr>
        <w:t>فَلَاحُ السَّائِلِ، وَ قَدْ رَوَيْنَا بِإِسْنَادِنَا إِلَي أَبِي جَعْفَرٍ مُحَمَّدِ بْنِ بَابَوَيْهِ فِيمَا ذَكَرَهُ فِي كِتَابِ مَدِينَةِ الْعِلْمِ بِإِسْنَادِهِ إِلَي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يُغَسِّلُ مَيِّتاً مُؤْمِناً فَيَقُولُ وَ هُوَ يُغَسِّلُهُ رَبِّ عَفْوَكَ عَفْوَكَ إِلَّا عَفَا اللَّهُ عَنْهُ‌</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73" w:name="__RefHeading___Toc607656_1934241801"/>
      <w:bookmarkStart w:id="2974" w:name="_Toc1372"/>
      <w:bookmarkEnd w:id="2973"/>
      <w:r>
        <w:rPr>
          <w:rtl w:val="true"/>
        </w:rPr>
        <w:t>«</w:t>
      </w:r>
      <w:r>
        <w:rPr/>
        <w:t>20</w:t>
      </w:r>
      <w:r>
        <w:rPr>
          <w:rtl w:val="true"/>
        </w:rPr>
        <w:t>»</w:t>
      </w:r>
      <w:bookmarkEnd w:id="2974"/>
    </w:p>
    <w:p>
      <w:pPr>
        <w:pStyle w:val="BookText"/>
        <w:rPr/>
      </w:pPr>
      <w:r>
        <w:rPr>
          <w:rFonts w:ascii="Amiri" w:hAnsi="Amiri" w:eastAsia="Amiri" w:cs="Amiri"/>
          <w:color w:val="111111"/>
          <w:sz w:val="28"/>
          <w:sz w:val="28"/>
          <w:szCs w:val="28"/>
          <w:rtl w:val="true"/>
          <w:lang w:bidi="ar-SA"/>
        </w:rPr>
        <w:t>وَجَدْتُ بِخَطِّ الشَّيْخِ مُحَمَّدِ بْنِ عَلِيٍّ الْجُعْفِيِّ نَقْلًا مِنْ خَطِّ الشَّهِيدِ قَدَّسَ اللَّهُ رُوحَهُمَا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غَسَّلَ عَلِيٌّ فَاطِمَةَ صَلَوَاتُ اللَّهِ عَلَيْهِمَا قَالَ لَهُ ابْنُ عَبَّاسٍ أَ غَسَّلْتَ فَاطِمَةَ قَالَ أَ مَا سَمِعْتَ قَوْلَ النَّبِيِّ صلي الله عليه و آله هِيَ زَوْجَتُكَ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ره فذا التعليل يدلك علي انقطاع العصمة بالموت فلا يجوز للزوج التغسيل</w:t>
      </w:r>
      <w:r>
        <w:rPr>
          <w:rFonts w:eastAsia="Amiri" w:cs="Amiri" w:ascii="Amiri" w:hAnsi="Amiri"/>
          <w:color w:val="111111"/>
          <w:sz w:val="28"/>
          <w:szCs w:val="28"/>
          <w:rtl w:val="true"/>
          <w:lang w:bidi="ar-SA"/>
        </w:rPr>
        <w:t>.</w:t>
      </w:r>
    </w:p>
    <w:p>
      <w:pPr>
        <w:pStyle w:val="Heading5"/>
        <w:numPr>
          <w:ilvl w:val="4"/>
          <w:numId w:val="1"/>
        </w:numPr>
        <w:rPr/>
      </w:pPr>
      <w:bookmarkStart w:id="2975" w:name="__RefHeading___Toc607658_1934241801"/>
      <w:bookmarkStart w:id="2976" w:name="_Toc1373"/>
      <w:bookmarkEnd w:id="2975"/>
      <w:r>
        <w:rPr>
          <w:rtl w:val="true"/>
        </w:rPr>
        <w:t>بيان</w:t>
      </w:r>
      <w:bookmarkEnd w:id="2976"/>
    </w:p>
    <w:p>
      <w:pPr>
        <w:pStyle w:val="BookText"/>
        <w:rPr/>
      </w:pPr>
      <w:r>
        <w:rPr>
          <w:rFonts w:ascii="Amiri" w:hAnsi="Amiri" w:eastAsia="Amiri" w:cs="Amiri"/>
          <w:color w:val="111111"/>
          <w:sz w:val="28"/>
          <w:sz w:val="28"/>
          <w:szCs w:val="28"/>
          <w:rtl w:val="true"/>
          <w:lang w:bidi="ar-SA"/>
        </w:rPr>
        <w:t>اعلم أن الأصحاب اختلفوا في تغسيل كل من الزوجين الآخر فذهب الأكثر إلي جواز ذلك اختيارا فمنهم من لم يشترط كون التغسيل من وراء الثياب و هو المنقول عن السيد المرتضي في شرح الرسالة و ابن الجنيد و الجعفي و ظاهر الشيخ في الخلاف و المبسوط و منهم من اشترط ذلك و هو المنقول عن</w:t>
      </w:r>
    </w:p>
    <w:p>
      <w:pPr>
        <w:pStyle w:val="BookText"/>
        <w:rPr/>
      </w:pPr>
      <w:r>
        <w:rPr>
          <w:rFonts w:ascii="IRNazanin" w:hAnsi="IRNazanin" w:eastAsia="IRNazanin"/>
          <w:color w:val="111111"/>
          <w:sz w:val="28"/>
          <w:sz w:val="28"/>
          <w:szCs w:val="28"/>
          <w:rtl w:val="true"/>
          <w:lang w:bidi="fa-IR"/>
        </w:rPr>
        <w:t>بن علی علیهما السلام روایت شده که علی علیه السلام فاطمه علیها السلام را غسل داد</w:t>
      </w:r>
      <w:r>
        <w:rPr>
          <w:rFonts w:eastAsia="IRNazanin" w:cs="IRNazanin"/>
          <w:color w:val="111111"/>
          <w:sz w:val="28"/>
          <w:szCs w:val="28"/>
          <w:rtl w:val="true"/>
          <w:lang w:bidi="fa-IR"/>
        </w:rPr>
        <w:t>.</w:t>
      </w:r>
      <w:r>
        <w:rPr>
          <w:rStyle w:val="FootnoteAnchor"/>
          <w:rtl w:val="true"/>
        </w:rPr>
        <w:footnoteReference w:id="1454"/>
      </w:r>
    </w:p>
    <w:p>
      <w:pPr>
        <w:pStyle w:val="BookText"/>
        <w:rPr/>
      </w:pPr>
      <w:r>
        <w:rPr>
          <w:rFonts w:ascii="IRNazanin" w:hAnsi="IRNazanin" w:eastAsia="IRNazanin"/>
          <w:color w:val="111111"/>
          <w:sz w:val="28"/>
          <w:sz w:val="28"/>
          <w:szCs w:val="28"/>
          <w:rtl w:val="true"/>
          <w:lang w:bidi="fa-IR"/>
        </w:rPr>
        <w:t>از اسماء دختر عمیس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به من سفارش کرد که کسی جز من و علی علیه السلام او را غسل ندهد، پس من و علی علیه السلام او را غسل دادیم</w:t>
      </w:r>
      <w:r>
        <w:rPr>
          <w:rFonts w:eastAsia="IRNazanin" w:cs="IRNazanin"/>
          <w:color w:val="111111"/>
          <w:sz w:val="28"/>
          <w:szCs w:val="28"/>
          <w:rtl w:val="true"/>
          <w:lang w:bidi="fa-IR"/>
        </w:rPr>
        <w:t>.</w:t>
      </w:r>
      <w:r>
        <w:rPr>
          <w:rStyle w:val="FootnoteAnchor"/>
          <w:rtl w:val="true"/>
        </w:rPr>
        <w:footnoteReference w:id="1455"/>
      </w:r>
    </w:p>
    <w:p>
      <w:pPr>
        <w:pStyle w:val="BookText"/>
        <w:rPr/>
      </w:pPr>
      <w:r>
        <w:rPr>
          <w:rFonts w:ascii="IRNazanin" w:hAnsi="IRNazanin" w:eastAsia="IRNazanin"/>
          <w:color w:val="111111"/>
          <w:sz w:val="28"/>
          <w:sz w:val="28"/>
          <w:szCs w:val="28"/>
          <w:rtl w:val="true"/>
          <w:lang w:bidi="fa-IR"/>
        </w:rPr>
        <w:t xml:space="preserve">و در حدیثی از اسماء روایت شده که علی علیه السلام به او امر فرمود که فاطمه علیها السلام را غسل دهد، و به حسن و حسین علیهما السلام نیز امر فرمود که آب بیاورند، خود نیز شبانه فاطمه را به خاک سپرد و قبرش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خاک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یکسان کرد</w:t>
      </w:r>
      <w:r>
        <w:rPr>
          <w:rFonts w:eastAsia="IRNazanin" w:cs="IRNazanin"/>
          <w:color w:val="111111"/>
          <w:sz w:val="28"/>
          <w:szCs w:val="28"/>
          <w:rtl w:val="true"/>
          <w:lang w:bidi="fa-IR"/>
        </w:rPr>
        <w:t>.</w:t>
      </w:r>
      <w:r>
        <w:rPr>
          <w:rStyle w:val="FootnoteAnchor"/>
          <w:rtl w:val="true"/>
        </w:rPr>
        <w:footnoteReference w:id="1456"/>
      </w:r>
    </w:p>
    <w:p>
      <w:pPr>
        <w:pStyle w:val="BookText"/>
        <w:rPr/>
      </w:pPr>
      <w:r>
        <w:rPr>
          <w:rFonts w:ascii="IRNazanin" w:hAnsi="IRNazanin" w:eastAsia="IRNazanin"/>
          <w:color w:val="111111"/>
          <w:sz w:val="28"/>
          <w:sz w:val="28"/>
          <w:szCs w:val="28"/>
          <w:rtl w:val="true"/>
          <w:lang w:bidi="fa-IR"/>
        </w:rPr>
        <w:t>همچنین روایت شده است که فاطمه علیها السلام به علی علیه السلام و اسماء دختر عمیس سفارش کرد که او را غسل دهند</w:t>
      </w:r>
      <w:r>
        <w:rPr>
          <w:rFonts w:eastAsia="IRNazanin" w:cs="IRNazanin"/>
          <w:color w:val="111111"/>
          <w:sz w:val="28"/>
          <w:szCs w:val="28"/>
          <w:rtl w:val="true"/>
          <w:lang w:bidi="fa-IR"/>
        </w:rPr>
        <w:t>.</w:t>
      </w:r>
      <w:r>
        <w:rPr>
          <w:rStyle w:val="FootnoteAnchor"/>
          <w:rtl w:val="true"/>
        </w:rPr>
        <w:footnoteReference w:id="1457"/>
      </w:r>
    </w:p>
    <w:p>
      <w:pPr>
        <w:pStyle w:val="Heading5"/>
        <w:numPr>
          <w:ilvl w:val="4"/>
          <w:numId w:val="1"/>
        </w:numPr>
        <w:rPr/>
      </w:pPr>
      <w:bookmarkStart w:id="2977" w:name="__RefHeading___Toc607660_1934241801"/>
      <w:bookmarkStart w:id="2978" w:name="_Toc1374"/>
      <w:bookmarkEnd w:id="2977"/>
      <w:r>
        <w:rPr>
          <w:rtl w:val="true"/>
        </w:rPr>
        <w:t xml:space="preserve">روایت </w:t>
      </w:r>
      <w:r>
        <w:rPr/>
        <w:t>19</w:t>
      </w:r>
      <w:bookmarkEnd w:id="2978"/>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مدینة العلمِ ابوجعفر محمد بن بابویه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میّت مؤمنی را غسل دهد و در حال غسل دادن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عَفْوَکَ عَفْوَکَ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عفو تو را طلب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ُاو را خواهد بخشید</w:t>
      </w:r>
      <w:r>
        <w:rPr>
          <w:rFonts w:eastAsia="IRNazanin" w:cs="IRNazanin"/>
          <w:color w:val="111111"/>
          <w:sz w:val="28"/>
          <w:szCs w:val="28"/>
          <w:rtl w:val="true"/>
          <w:lang w:bidi="fa-IR"/>
        </w:rPr>
        <w:t>.</w:t>
      </w:r>
      <w:r>
        <w:rPr>
          <w:rStyle w:val="FootnoteAnchor"/>
          <w:rtl w:val="true"/>
        </w:rPr>
        <w:footnoteReference w:id="1458"/>
      </w:r>
    </w:p>
    <w:p>
      <w:pPr>
        <w:pStyle w:val="Heading5"/>
        <w:numPr>
          <w:ilvl w:val="4"/>
          <w:numId w:val="1"/>
        </w:numPr>
        <w:rPr/>
      </w:pPr>
      <w:bookmarkStart w:id="2979" w:name="__RefHeading___Toc607662_1934241801"/>
      <w:bookmarkStart w:id="2980" w:name="_Toc1375"/>
      <w:bookmarkEnd w:id="2979"/>
      <w:r>
        <w:rPr>
          <w:rtl w:val="true"/>
        </w:rPr>
        <w:t xml:space="preserve">روایت </w:t>
      </w:r>
      <w:r>
        <w:rPr/>
        <w:t>20</w:t>
      </w:r>
      <w:bookmarkEnd w:id="2980"/>
    </w:p>
    <w:p>
      <w:pPr>
        <w:pStyle w:val="BookText"/>
        <w:rPr/>
      </w:pPr>
      <w:r>
        <w:rPr>
          <w:rFonts w:ascii="IRNazanin" w:hAnsi="IRNazanin" w:eastAsia="IRNazanin"/>
          <w:color w:val="111111"/>
          <w:sz w:val="28"/>
          <w:sz w:val="28"/>
          <w:szCs w:val="28"/>
          <w:rtl w:val="true"/>
          <w:lang w:bidi="fa-IR"/>
        </w:rPr>
        <w:t>از شهید قدّس الله روحه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فاطمه علیها السلام را غسل داد، ابن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فاطمه را غسل دادی؟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پیامبر صلّی الله علیه و آله را نشنیده ای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دنیا و آخرت همسر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رحمةالله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تعلیل تو را به این نکته رهنمون می سازد که عصمت با مرگ پایان می پذیرد و پس از آن غسل دادن زن برای شوهرش جایز نیست</w:t>
      </w:r>
      <w:r>
        <w:rPr>
          <w:rFonts w:eastAsia="IRNazanin" w:cs="IRNazanin"/>
          <w:color w:val="111111"/>
          <w:sz w:val="28"/>
          <w:szCs w:val="28"/>
          <w:rtl w:val="true"/>
          <w:lang w:bidi="fa-IR"/>
        </w:rPr>
        <w:t>.</w:t>
      </w:r>
    </w:p>
    <w:p>
      <w:pPr>
        <w:pStyle w:val="Heading5"/>
        <w:numPr>
          <w:ilvl w:val="4"/>
          <w:numId w:val="1"/>
        </w:numPr>
        <w:rPr/>
      </w:pPr>
      <w:bookmarkStart w:id="2981" w:name="__RefHeading___Toc607664_1934241801"/>
      <w:bookmarkStart w:id="2982" w:name="_Toc1376"/>
      <w:bookmarkEnd w:id="2981"/>
      <w:r>
        <w:rPr>
          <w:rtl w:val="true"/>
        </w:rPr>
        <w:t>توضیح</w:t>
      </w:r>
      <w:bookmarkEnd w:id="298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 که فقها در مورد اینکه آیا زوجین اجازه غسل میّت یکدیگر را دارند یا خیر،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فقها این امر را حتی در حال اختیار و عدم اضطرار جایز شمرده اند، پس در میان آنان فقیهانی هستند که پوشیده بودن میّت و غسل دادن او از پسِ لباس را به عنوان شرط مطرح نکرده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در کتاب شرح الرسالة، ابن جنید، جعفیّ و شیخ در دو کتاب الخلاف و المبسوط، و فقیهانی نیز هستند که این شرط را مطرح کرده اند، مانند</w:t>
      </w:r>
      <w:r>
        <w:rPr>
          <w:rFonts w:eastAsia="IRNazanin" w:cs="IRNazanin"/>
          <w:color w:val="111111"/>
          <w:sz w:val="28"/>
          <w:szCs w:val="28"/>
          <w:rtl w:val="true"/>
          <w:lang w:bidi="fa-IR"/>
        </w:rPr>
        <w:t xml:space="preserve">: </w:t>
      </w:r>
      <w:bookmarkStart w:id="2983" w:name="pg13517_329332"/>
    </w:p>
    <w:p>
      <w:pPr>
        <w:pStyle w:val="BookText"/>
        <w:rPr/>
      </w:pPr>
      <w:bookmarkEnd w:id="2983"/>
      <w:r>
        <w:rPr>
          <w:rFonts w:ascii="Amiri" w:hAnsi="Amiri" w:eastAsia="Amiri" w:cs="Amiri"/>
          <w:color w:val="111111"/>
          <w:sz w:val="28"/>
          <w:sz w:val="28"/>
          <w:szCs w:val="28"/>
          <w:rtl w:val="true"/>
          <w:lang w:bidi="ar-SA"/>
        </w:rPr>
        <w:t>الشيخ في النهاية و ابن زهرة و اختاره غير واحد من المتأخرين و ذهب الشيخ في كتابي الأخبار إلي اختصاص ذلك بحال الاضطرار و هو أحوط و إن كان الأول أقوي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التغسيل من وراء الثياب فقد دلت عليه أخبار لكن أكثر الأخبار دلت علي كون تغسيل الزوج للزوجة من وراء الثياب لا بالعكس و لم يفرق الأصحاب بينهما مع اشتمال أكثرها علي الفرق و قد وردت أخبار بجواز تغسيلها مجردة و لا يبعد حمل الأخبار الأولة علي الكراهة و أخبار تغسيل أمير المؤمنين فاطمة عليهما السلام يشكل الاستدلال بها علي الجواز مطلقا لاشتمال أكثرها علي التعليل المشعر بالاختصاص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إطلاق النصوص و الفتاوي يقتضي عدم الفرق في الزوجة بين الدائمة و المنقطعة</w:t>
      </w:r>
      <w:r>
        <w:rPr>
          <w:rStyle w:val="FootnoteAnchor"/>
          <w:rtl w:val="true"/>
        </w:rPr>
        <w:footnoteReference w:id="1459"/>
      </w:r>
    </w:p>
    <w:p>
      <w:pPr>
        <w:pStyle w:val="BookText"/>
        <w:rPr/>
      </w:pPr>
      <w:r>
        <w:rPr>
          <w:rFonts w:ascii="Amiri" w:hAnsi="Amiri" w:eastAsia="Amiri" w:cs="Amiri"/>
          <w:color w:val="111111"/>
          <w:sz w:val="28"/>
          <w:sz w:val="28"/>
          <w:szCs w:val="28"/>
          <w:rtl w:val="true"/>
          <w:lang w:bidi="ar-SA"/>
        </w:rPr>
        <w:t>و أمّا المنقطعة، فلما كانت النكاح بينهما ينفسخ بموت أحدهما كالاجارة، تنقطع العصمة و الزوجية بينهما، فلا توارث بينهما و لا أولوية، فترجع الولاية من الزوج الي الأقرب فالاقرب من مواليها و أمّا الإماء، فالولاية بين الأمة و مالكها باقية حيا و ميتا حتي في الاعقاب، و هو واضح بحمد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الحرة و الأمة قالوا و المطلقة رجعية زوجة بخلاف البائنة</w:t>
      </w:r>
      <w:r>
        <w:rPr>
          <w:rFonts w:eastAsia="Amiri" w:cs="Amiri" w:ascii="Amiri" w:hAnsi="Amiri"/>
          <w:color w:val="111111"/>
          <w:sz w:val="28"/>
          <w:szCs w:val="28"/>
          <w:rtl w:val="true"/>
          <w:lang w:bidi="ar-SA"/>
        </w:rPr>
        <w:t>.</w:t>
      </w:r>
    </w:p>
    <w:p>
      <w:pPr>
        <w:pStyle w:val="Heading5"/>
        <w:numPr>
          <w:ilvl w:val="4"/>
          <w:numId w:val="1"/>
        </w:numPr>
        <w:rPr/>
      </w:pPr>
      <w:bookmarkStart w:id="2984" w:name="__RefHeading___Toc607666_1934241801"/>
      <w:bookmarkStart w:id="2985" w:name="_Toc1377"/>
      <w:bookmarkEnd w:id="2984"/>
      <w:r>
        <w:rPr>
          <w:rtl w:val="true"/>
        </w:rPr>
        <w:t>«</w:t>
      </w:r>
      <w:r>
        <w:rPr/>
        <w:t>21</w:t>
      </w:r>
      <w:r>
        <w:rPr>
          <w:rtl w:val="true"/>
        </w:rPr>
        <w:t>»</w:t>
      </w:r>
      <w:bookmarkEnd w:id="2985"/>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الْمَيِّتُ وَ لَيْسَ مَعَهَا ذُو مَحْرَمٍ وَ لَا نِسَاءٌ تُدْفَنُ كَمَا هِيَ فِي ثِيَابِهَا وَ إِذَا مَاتَ الرَّجُلُ وَ لَيْسَ مَعَهُ ذَاتُ مَحْرَمٍ وَ لَا</w:t>
      </w:r>
    </w:p>
    <w:p>
      <w:pPr>
        <w:pStyle w:val="BookText"/>
        <w:rPr/>
      </w:pPr>
      <w:r>
        <w:rPr>
          <w:rFonts w:ascii="IRNazanin" w:hAnsi="IRNazanin" w:eastAsia="IRNazanin"/>
          <w:color w:val="111111"/>
          <w:sz w:val="28"/>
          <w:sz w:val="28"/>
          <w:szCs w:val="28"/>
          <w:rtl w:val="true"/>
          <w:lang w:bidi="fa-IR"/>
        </w:rPr>
        <w:t>شیخ در کتاب النهایة و ابن زهرة، گروهی از متأخرین نیز نظر مشروط بودن غسل متقابل زوجین را برگزیده اند، و شیخ در دو کتاب حدیث مشروط بودن غسل را مخصوص حالت اضطرار دانسته  است، امّا نظر دوم یعنی مشروط بون غسل احوط است، هرچند نظر نخست یعنی عدم مشروط بودن قوی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وجود دارد که بر غسل دادن از پسِ پوشش و لباس دلالت می کند، امّا اغلب این احادیث چنین شرطی را فقط مخصوص زمانی دانسته که زوج، جسد زوجه خود را غسل می دهد نه بر عکس، ولی فقها بین این دو حالت فرقی قائل نشده اند، هر چند بیشتر احادیث مشتمل بر وجود فرق بین این دو حالت هستند، همچنین احادیثی نیز روایت شده  که غسل دادن زوجه برای زوج را در صورتی جایز شمرده که زوج به تنهایی اقدام به غسل دادن نماید، و بعید نیست که احادیث نخست یعنی احادیثی که جواز غسل متقابل زوجین را مشروط به داشتن پوشش دانسته اند، بر مکروه بودن غسل بدون وجود پوشش حمل شود، و مشکل است به منظور جائز شمردن مطلق غسل زوجه توسط زوج به غسل فاطمه علیها السلام توسط امیر المؤمنین علیه السلام استناد کرد، چرا که بیشتر احادیث روایت شده در این زمینه مشتمل بر تعلیلی هستند که خبر از اختصاصی بودن آن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آگاه باش که مطلق بودن نصوص روایت شده و فتاوی صادر شده در این زمینه چنین اقتضا می کند که فرقی بین همسر دائم و موقّت و زن آزاد و کنیز وجود نداشته باشد،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مطلقه ای که طلاق رجعی داده شده باشد همسر است بر خلاف طلاق بائن</w:t>
      </w:r>
      <w:r>
        <w:rPr>
          <w:rFonts w:eastAsia="IRNazanin" w:cs="IRNazanin"/>
          <w:color w:val="111111"/>
          <w:sz w:val="28"/>
          <w:szCs w:val="28"/>
          <w:rtl w:val="true"/>
          <w:lang w:bidi="fa-IR"/>
        </w:rPr>
        <w:t>.</w:t>
      </w:r>
    </w:p>
    <w:p>
      <w:pPr>
        <w:pStyle w:val="Heading5"/>
        <w:numPr>
          <w:ilvl w:val="4"/>
          <w:numId w:val="1"/>
        </w:numPr>
        <w:rPr/>
      </w:pPr>
      <w:bookmarkStart w:id="2986" w:name="__RefHeading___Toc607668_1934241801"/>
      <w:bookmarkStart w:id="2987" w:name="_Toc1378"/>
      <w:bookmarkEnd w:id="2986"/>
      <w:r>
        <w:rPr>
          <w:rtl w:val="true"/>
        </w:rPr>
        <w:t xml:space="preserve">روایت </w:t>
      </w:r>
      <w:r>
        <w:rPr/>
        <w:t>21</w:t>
      </w:r>
      <w:bookmarkEnd w:id="298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زنی وفات نماید و هیچ یک از محارم و یا هیچ زن دیگری حضور نداشته باشد، به همان صورت و با لباس هایش دفن می گردد، همچنین اگر مردی وفات نماید و هیچ یک از محارم و یا </w:t>
      </w:r>
      <w:bookmarkStart w:id="2988" w:name="pg13517_329333"/>
    </w:p>
    <w:p>
      <w:pPr>
        <w:pStyle w:val="BookText"/>
        <w:rPr/>
      </w:pPr>
      <w:bookmarkEnd w:id="2988"/>
      <w:r>
        <w:rPr>
          <w:rFonts w:ascii="Amiri" w:hAnsi="Amiri" w:eastAsia="Amiri" w:cs="Amiri"/>
          <w:color w:val="111111"/>
          <w:sz w:val="28"/>
          <w:sz w:val="28"/>
          <w:szCs w:val="28"/>
          <w:rtl w:val="true"/>
          <w:lang w:bidi="ar-SA"/>
        </w:rPr>
        <w:t>رِجَالٌ يُدْفَنُ كَمَا هُوَ فِي 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نَرْوِي أَنَّ عَلِيَّ بْنَ الْحُسَيْنِ عليهما السلام لَمَّا أَنْ مَاتَ قَالَ أَبُو جَعْفَرٍ عليه السلام لَقَدْ كُنْتُ أَكْرَهُ أَنْ أَنْظُرَ إِلَي عَوْرَتِكَ فِي حَيَاتِكَ فَمَا أَنَا بِالَّذِي أَنْظُرُ إِلَيْهَا بَعْدَ مَوْتِكَ فَأَدْخَلَ يَدَهُ وَ غَسَّلَ جَسَدَهُ ثُمَّ دَعَا أُمَّ وَلَدٍ لَهُ فَأَدْخَلَتْ يَدَهَا فَغَسَّلَتْ مَرَاقَّهُ وَ كَذَلِكَ فَعَلْتُ أَنَا بِأَبِي‌</w:t>
      </w:r>
      <w:r>
        <w:rPr>
          <w:rStyle w:val="FootnoteAnchor"/>
          <w:rtl w:val="true"/>
        </w:rPr>
        <w:footnoteReference w:id="1460"/>
      </w:r>
    </w:p>
    <w:p>
      <w:pPr>
        <w:pStyle w:val="BookText"/>
        <w:rPr/>
      </w:pPr>
      <w:r>
        <w:rPr>
          <w:rFonts w:ascii="Amiri" w:hAnsi="Amiri" w:eastAsia="Amiri" w:cs="Amiri"/>
          <w:color w:val="111111"/>
          <w:sz w:val="28"/>
          <w:sz w:val="28"/>
          <w:szCs w:val="28"/>
          <w:rtl w:val="true"/>
          <w:lang w:bidi="ar-SA"/>
        </w:rPr>
        <w:t>وَ قَالَ إِنَّ رَسُولَ اللَّهِ صلي الله عليه و آله أَوْصَي إِلَي عَلِيٍّ عليه السلام لَا يُغَسِّلُنِي غَيْرُكَ فَقَالَ عَلِيٌّ عليه السلام يَا رَسُولَ اللَّهِ مَنْ يُنَاوِلُنِي الْمَاءَ وَ إِنَّكَ رَجُلٌ ثَقِيلٌ لَا أَسْتَطِيعُ أَنْ أُقَلِّبَكَ فَقَالَ جَبْرَئِيلُ مَعَكَ يُعَاوِنُكَ وَ يُنَاوِلُكَ الْفَضْلُ الْمَاءَ وَ قُلْ لَهُ فَلْيُغَطِّ عَيْنَيْهِ فَإِنَّهُ لَا يَرَي أَحَدٌ عَوْرَتِي غَيْرُكَ إِلَّا انْفَقَأَتْ 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كَانَ الْفَضْلُ يُنَاوِلُهُ الْمَاءَ وَ جَبْرَئِيلُ يُعَاوِنُهُ وَ عَلِيٌّ يُغَسِّلُهُ فَلَمَّا أَنْ فَرَغَ مِنْ غُسْلِهِ وَ كَفْنِهِ أَتَاهُ الْعَبَّاسُ فَقَالَ يَا عَلِيُّ إِنَّ النَّاسَ قَدِ اجْتَمَعُوا عَلَي أَنْ يَدْفِنُوا النَّبِيَّ صلي الله عليه و آله فِي بَقِيعِ الْمُصَلَّي وَ أَنْ يَؤُمَّهُمْ رَجُلٌ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 إِلَي النَّاسِ فَقَالَ يَا أَيُّهَا النَّاسُ أَ مَا تَعْلَمُونَ أَنْ رَسُولَ اللَّهِ صلي الله عليه و آله إِمَامُنَا حَيّاً وَ مَيِّتاً وَ هَلْ تَعْلَمُونَ أَنَّهُ صلي الله عليه و آله لَعَنَ مَنْ جَعَلَ الْقُبُورَ مُصَلًّي وَ لَعَنَ مَنْ يَجْعَلُ مَعَ اللَّهِ إِلَهاً وَ لَعَنَ مَنْ كَسَرَ رَبَاعِيَتَهُ وَ شَقَّ لِثَتَهُ قَالَ فَقَالُوا الْأَمْرُ إِلَيْكَ فَاصْنَعْ مَا رَأَيْتَ قَالَ وَ إِنِّي أَدْفِنُ رَسُولَ اللَّهِ صلي الله عليه و آله فِي الْبُقْعَةِ الَّتِي قُبِضَ فِيهَا ثُمَّ قَامَ عَلَي الْبَابِ فَصَلَّي عَلَيْهِ ثُمَّ أَمَرَ النَّاسَ عَشَرَةً عَشَرَةً يُصَلُّونَ عَلَيْهِ ثُمَّ يَخْرُجُونَ‌</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9" w:name="__RefHeading___Toc607670_1934241801"/>
      <w:bookmarkStart w:id="2990" w:name="_Toc1379"/>
      <w:bookmarkEnd w:id="2989"/>
      <w:r>
        <w:rPr>
          <w:rtl w:val="true"/>
        </w:rPr>
        <w:t>توضيح</w:t>
      </w:r>
      <w:bookmarkEnd w:id="2990"/>
    </w:p>
    <w:p>
      <w:pPr>
        <w:pStyle w:val="BookText"/>
        <w:rPr/>
      </w:pPr>
      <w:r>
        <w:rPr>
          <w:rFonts w:ascii="Amiri" w:hAnsi="Amiri" w:eastAsia="Amiri" w:cs="Amiri"/>
          <w:color w:val="111111"/>
          <w:sz w:val="28"/>
          <w:sz w:val="28"/>
          <w:szCs w:val="28"/>
          <w:rtl w:val="true"/>
          <w:lang w:bidi="ar-SA"/>
        </w:rPr>
        <w:t>لو لم يوجد المماثل أصلا و لا ذو الرحم فالمشهور بين الأصحاب أنه لا يغسل و نقل في المعتبر الإجماع عليه و صرح الشيخ في عدة من كتبه بسقوط التيمم أيضا و به قطع المحقق كما يدل عليه هذا الخبر و فيه قول بوجوب التغسيل من وراء الثياب و هو المحكي عن المفيد و عن ابن زهرة أنه</w:t>
      </w:r>
    </w:p>
    <w:p>
      <w:pPr>
        <w:pStyle w:val="BookText"/>
        <w:rPr/>
      </w:pPr>
      <w:r>
        <w:rPr>
          <w:rFonts w:ascii="IRNazanin" w:hAnsi="IRNazanin" w:eastAsia="IRNazanin"/>
          <w:color w:val="111111"/>
          <w:sz w:val="28"/>
          <w:sz w:val="28"/>
          <w:szCs w:val="28"/>
          <w:rtl w:val="true"/>
          <w:lang w:bidi="fa-IR"/>
        </w:rPr>
        <w:t>هیچ مرد دیگری حضور نداشته باشد، به همان صورت و با لباس هایش دفن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می کنیم هنگامی که امام علی بن حسین علیهما السلام وفات نمود،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قید حیات بودی ناپسند می شمردم که به عورتت نگاه کنم، پس بعد از وفات و هنگام غسل دادن نیز به آن نگاه نمی کنم، آن گاه امام باقر دستش را از زیر لباس پدر وارد نمود و جسد او را غسل داد، سپس یکی از کنیزانِ ام ولدش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 خواند، پس او نیز دستش را از زیر لباس وارد نمود و عورت امام را غسل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هنگام وفات پدرم و غسل دادن او چنین کردم</w:t>
      </w:r>
      <w:r>
        <w:rPr>
          <w:rFonts w:eastAsia="IRNazanin" w:cs="IRNazanin"/>
          <w:color w:val="111111"/>
          <w:sz w:val="28"/>
          <w:szCs w:val="28"/>
          <w:rtl w:val="true"/>
          <w:lang w:bidi="fa-IR"/>
        </w:rPr>
        <w:t>.</w:t>
      </w:r>
      <w:r>
        <w:rPr>
          <w:rStyle w:val="FootnoteAnchor"/>
          <w:rtl w:val="true"/>
        </w:rPr>
        <w:footnoteReference w:id="1462"/>
      </w:r>
    </w:p>
    <w:p>
      <w:pPr>
        <w:pStyle w:val="BookText"/>
        <w:rPr/>
      </w:pPr>
      <w:r>
        <w:rPr>
          <w:rFonts w:ascii="IRNazanin" w:hAnsi="IRNazanin" w:eastAsia="IRNazanin"/>
          <w:color w:val="111111"/>
          <w:sz w:val="28"/>
          <w:sz w:val="28"/>
          <w:szCs w:val="28"/>
          <w:rtl w:val="true"/>
          <w:lang w:bidi="fa-IR"/>
        </w:rPr>
        <w:t>امام رضا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نزد امام علی علیه السلام وصیّت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کسی غیر از تو مرا غسل ندهد،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چه کسی به روی دست من آب بریزد، چرا که شما جسم سنگینی دارید و من نمی توانم آن را زیر و رو کنم؟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همراه تو است و یاری ات می دهد و فضل نیز به روی دستت آب می ریزد، ولی به فضل بگو چشمانش را فرو هشته نگاه دارد، چرا که هر کسی غیر از تو عورت مرا ببیند، چشمانش از کاسه بیرون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فضل به روی دستان امام علی علیه السلام آب می ریخت و جبرئیل نیز وی را همیاری می کرد، خود ِامام نیز جسم مبارک پیامبر را غسل می داد، و هنگامی که از غسل دادن و کفن کردن پیامبر فارغ گشت، ابن عباس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مردم بر این نظر اجماع دارند که پیامبر صلّی الله علیه و آله را در بقیع مصلّی به خاک بسپارند و یکی از ایشان نماز را بر ا یشان امامت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علیه السلام به سوی مردم خارج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نمی دانستید که رسول خدا صلّی الله علیه و آله چه در حال حیات و چه در حال وفات امام ما است؟ و آیا نمی دانید پیامبر هر کسی که قبور را مکان نماز گزاردن قرار دهد و خدایی را با الله شریک گرداند و دندان پیشین او را شکست و لثه او را شکافت لعن و نفرین فرموده است؟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در اختیار تو باشد، هر کاری که صحیح می پنداری را انجام ده، امام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صلّی الله علیه و آله را در بقعه ای که در آن وفات نموده است به خاک می سپارم، سپس بر چهارچوبِ در قرار گرفت و بر پیامبر نماز گزارد، آن گاه به مردم امر فرمود که ده نفر ده نفر بر پیامبر نماز بگزارند و خارج شوند</w:t>
      </w:r>
      <w:r>
        <w:rPr>
          <w:rFonts w:eastAsia="IRNazanin" w:cs="IRNazanin"/>
          <w:color w:val="111111"/>
          <w:sz w:val="28"/>
          <w:szCs w:val="28"/>
          <w:rtl w:val="true"/>
          <w:lang w:bidi="fa-IR"/>
        </w:rPr>
        <w:t>.</w:t>
      </w:r>
      <w:r>
        <w:rPr>
          <w:rStyle w:val="FootnoteAnchor"/>
          <w:rtl w:val="true"/>
        </w:rPr>
        <w:footnoteReference w:id="1463"/>
      </w:r>
    </w:p>
    <w:p>
      <w:pPr>
        <w:pStyle w:val="Heading5"/>
        <w:numPr>
          <w:ilvl w:val="4"/>
          <w:numId w:val="1"/>
        </w:numPr>
        <w:rPr/>
      </w:pPr>
      <w:bookmarkStart w:id="2991" w:name="__RefHeading___Toc607672_1934241801"/>
      <w:bookmarkStart w:id="2992" w:name="_Toc1380"/>
      <w:bookmarkEnd w:id="2991"/>
      <w:r>
        <w:rPr>
          <w:rtl w:val="true"/>
        </w:rPr>
        <w:t>توضیح</w:t>
      </w:r>
      <w:bookmarkEnd w:id="299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غسل دهنده هم جنس یا هیچ یک از بستگان میّت حضور نداشته باشند، نظر مشهور در میان فقها بر این است که میّت غسل داده نمی شود، شیخ در المعتبر اجماع جمهور فقها بر این نظر را نقل کرده و در چندین کتاب خود تیمّم بدل از غسل میّت را نیز ضروری ندانسته است، همچنین محقّق این نظر را به صورت قاطع و حتمی بیان کرده است، چنان که حدیث مذکور نیز بر آن دلالت می کند، امّا نظر دیگری که در این زمینه وجود دارد وجوب غسل دادن از پَسِ پوشش و لباسهای میّت است، این نظر را از شیخ مفید نقل شده است، همچنین از ابن زهره نقل شده که </w:t>
      </w:r>
    </w:p>
    <w:p>
      <w:pPr>
        <w:pStyle w:val="BookText"/>
        <w:rPr/>
      </w:pPr>
      <w:r>
        <w:rPr>
          <w:rFonts w:ascii="Amiri" w:hAnsi="Amiri" w:eastAsia="Amiri" w:cs="Amiri"/>
          <w:color w:val="111111"/>
          <w:sz w:val="28"/>
          <w:sz w:val="28"/>
          <w:szCs w:val="28"/>
          <w:rtl w:val="true"/>
          <w:lang w:bidi="ar-SA"/>
        </w:rPr>
        <w:t>شرط تغميض العينين و في رواية المفضل أنه يغسل منها ما أوجب الله عليها التيمم يغسل كفيها ثم وجهها ثم ظهر كفيها و المشهور أقوي ثم الظاهر من الرواية جواز تغسيل كل من الرجل و المرأة الآخر إذا كان محرما كما هو المشهور و هل يشترط في ذلك تعذر المماثل ذهب الأكثر إلي الاشتراط و ذهب ابن إدريس و العلامة في المنتهي إلي جوازه اختيارا من فوق الثياب و هو الأقوي لكن وجوب كونه من وراء الثياب مما ذهب إليه الأكثر و ظاهر الأخبار العدم و الأشهر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في حديث الغسل إنه بدأ بيمينه فغسلها ثم غسل مراقه بشماله المراق ما سفل من البطن فما تحته من المواضع التي ترق جلودها واحدها مرق قاله الهروي و قال الجوهري لا واحد لها و منه الحديث أنه أطلي حتي إذا بلغ المراق ولي هو ذلك بنفسه انتهي و المشهور بين الأصحاب أنه يجوز للسيد تغسيل أمته غير المزوجة و المعتدة و مدبرته و أم ولده لأنهن في حكم الزوجة دون المكاتبة و في تغسيل الأمة للسيد أقول أحدها الجواز لاستصحاب حكم الملك و ثانيها المنع لانتقالها إلي الورثة و ثالثها تخصيص الجواز بأم الولد كما تدل عليه هذه الرواية و لما رواه إسحاق بن عمار عن جعفر عن أبيه عليهما السلام أن علي بن الحسين عليه السلام أوصي أن تغسله أم ولد له إذا مات فغسلته و الظاهر أن الوصية للتقية لأن المعصوم لا يغسله إلا معصوم و كان المقصود باطنا المعاونة كما دلت عليه هذه الرواية و ظاهرا دفع الضرر عن الباقر عليه السلام و عدم اشتراك الغير معه في الغسل و 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انفقأت عينه أي انشقت و يدل علي مرجوحية إيقاع صلاة الجنازة في المقابر و الظاهر أن الصلاة الواقعة هي التي كان عليه السلام أتي بها مع أهل بيته و خواص أصحابه خفية لئلا يصلي عليه صلي الله عليه و آله الملعونان و لئلا يتقدما عليه في تلك الصلاة بل كانوا يدخلون و يصلون عليه بالقول و يخرجون كما مر في باب وفاته 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بستن چشمها هنگام غسل دادن میّت در این موقعیّت را به عنوان شرط مطرح کرده است، و در روایت مفضّل آمده است که اعضایی از بدن میّت که خداوند تیمّم را در مورد آن ها واجب گردانده است، یعنی دو کف دست، صورت و پشت دو کف دست غسل داده می شود، ولی نظر مشهور یعنی عدم غسل قوی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این روایت جواز غسل دادن متقابل زن و مرد در صورتی که محرم هم باشند برداشت می شود، و نظر مشهور نیز همین است، امّا آیا عدم وجود غسل دهنده هم جنس به عنوان شرط این جواز مطرح است؟ بیشتر فقها قائل به حصول این شرط هستند، ولی ابن ادریس و علّامه در المنتهی به جواز غسل دادن در حالت غیر اضطراری از روی پوشش و لباسها حکم داده اند و این نظر قوی تر است، امّا وجوب انجام گرفتن این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میّت در صورت عدم حضور هم جنس و نزدیکان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پوشش و لباس امری است که بیشتر فقها قائل به آن هستند، و ظاهر احادیث بر عدم غسل دادن در چنین شرایطی دلالت می کند، و نظر مشهور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غسل آمده است که غسل دهنده با دست راست غسل دادن میّت را آغاز می کند، سپس عورت او را با دست چپ غسل می دهد،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زیر شکم و نقاطی است که دارای پوست نازک و لطیف می باشد، هرویّ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لفظ خود مفرد ندارد؛ در این حدیث نیز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أطلی حتّی إذا بلغ المراقّ ولی هو ذلک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نظافت و ازاله موهای زائد بدنش پرداخت تا به محدوده زیر نافش رسید که خود نظافت آن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در بین فقها بر این است که مولا و سرور اجازه دارد جسد کنیز خود که به ازدواج او در نیامده است همچنین کنیز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مُعتدة، مُدبرة و 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غسل دهد، چرا که زنان مذکور در حُکم همسران او هستند، البته 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غسل مولا توسطّ کنیز او، نظرات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غسل جایز است چرا که حکم ملکیت، استصحاب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غسل جایز نیست، چرا که جنازه کنیز به ورثه اش تحویل داده می شود،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غسل فقط در مورد کنیز دارای فرزند جایز است و حدیث مذکور نیز بر این نظر دلالت می کند، همچنین حدیثی که اسحاق بن عمّار روایت کرده است نیز نظر سوّم را تأیید می کند، اسحاق از امام جعفر صادق علیه السلام و ایشان از امام باقر علیه السلام روایت کرده که امام سجاد علیه السلام وصیّت فرمود که یکی از کنیزانِ ام ولدش او را هنگام وفات غسل دهد، پس آن زن امام را غسل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پیداست که این وصیّت به خاطر تقیّه بوده است، چرا که شخص معصوم فقط توسط معصوم غسل داده می شود، ولی بر اساس این روایت مقصود باطنی از فرموده امام باقر علیه السلام، همکاری آن زن در غسل دادن امام بوده است، و مقصود ظاهری دفع ضرر از امام باقر و عدم شریک شدن دیگران با امام صادق در غسل وی بوده است، و الله یعلم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انفقأت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او از کاسه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از امام رضا علیه السلام در مورد وفات و غسل داده شدن پیامبر صلّی الله علیه و آله روایت شده است بر رجحان نداشتن به جا آوردن نماز میّت در مقبره ها دلالت می کند، و آشکار است که مقصود از نمازِ گزارده شده بر جسد مبارک پیامبر صلّی الله علیه و آله همان است که علی علیه السلام همراه اهل بیت و یاران نزدیک خویش به صورت پنهانی به جا آوردند تا ابوبکر و عمر بر پیامبر نماز نگزارند و در به جا آوردن آن نماز از علی علیه السلام پیش نیافتند، بلکه امام و یارانش وارد بقعه پیامبر می شدند و به صورت گفتاری بر ایشان نماز می گزاردند و خارج می شدند، چنان که در باب وفات پیامبر صلّی الله علیه و آله ذکر شد</w:t>
      </w:r>
      <w:r>
        <w:rPr>
          <w:rFonts w:eastAsia="IRNazanin" w:cs="IRNazanin"/>
          <w:color w:val="111111"/>
          <w:sz w:val="28"/>
          <w:szCs w:val="28"/>
          <w:rtl w:val="true"/>
          <w:lang w:bidi="fa-IR"/>
        </w:rPr>
        <w:t xml:space="preserve">. </w:t>
      </w:r>
      <w:bookmarkStart w:id="2993" w:name="pg13517_329335"/>
    </w:p>
    <w:p>
      <w:pPr>
        <w:pStyle w:val="Heading5"/>
        <w:numPr>
          <w:ilvl w:val="4"/>
          <w:numId w:val="1"/>
        </w:numPr>
        <w:rPr/>
      </w:pPr>
      <w:bookmarkStart w:id="2994" w:name="__RefHeading___Toc607674_1934241801"/>
      <w:bookmarkStart w:id="2995" w:name="_Toc1381"/>
      <w:bookmarkEnd w:id="2993"/>
      <w:bookmarkEnd w:id="2994"/>
      <w:r>
        <w:rPr>
          <w:rtl w:val="true"/>
        </w:rPr>
        <w:t>«</w:t>
      </w:r>
      <w:r>
        <w:rPr/>
        <w:t>22</w:t>
      </w:r>
      <w:r>
        <w:rPr>
          <w:rtl w:val="true"/>
        </w:rPr>
        <w:t>»</w:t>
      </w:r>
      <w:bookmarkEnd w:id="2995"/>
    </w:p>
    <w:p>
      <w:pPr>
        <w:pStyle w:val="BookText"/>
        <w:rPr/>
      </w:pPr>
      <w:r>
        <w:rPr>
          <w:rFonts w:ascii="Amiri" w:hAnsi="Amiri" w:eastAsia="Amiri" w:cs="Amiri"/>
          <w:color w:val="111111"/>
          <w:sz w:val="28"/>
          <w:sz w:val="28"/>
          <w:szCs w:val="28"/>
          <w:rtl w:val="true"/>
          <w:lang w:bidi="ar-SA"/>
        </w:rPr>
        <w:t>الطُّرَفُ، لِلسَّيِّدِ بْنِ طَاوُسٍ بِإِسْنَادِهِ عَنْ عِيسَي بْنِ الْمُسْتَفَادِ عَنْ مُوسَي بْنِ جَعْفَرٍ عَنْ أَبِيهِ عليهما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 ضَمِنْتَ دَيْنِي تَقْضِيهِ عَنِّي قَالَ نَعَمْ قَالَ اللَّهُمَّ فَاشْهَدْ ثُمَّ قَالَ يَا عَلِيُّ غَسِّلْنِي وَ لَا يُغَسِّلْنِي غَيْرُكَ فَيَعْمَي بَصَرُهُ قَالَ عَلِيٌّ عليه السلام وَ لِمَ يَا رَسُولَ اللَّهِ صلي الله عليه و آله قَالَ كَذَلِكَ قَالَ جَبْرَئِيلُ عَنْ رَبِّي إِنَّهُ لَا يَرَي عَوْرَتِي غَيْرُكَ إِلَّا عَمِيَ بَصَرُهُ قَالَ عَلِيٌّ عليه السلام فَكَيْفَ أَقْوَي عَلَيْكَ وَحْدِي قَالَ يُعِينُكَ جَبْرَئِيلُ وَ مِيكَائِيلُ وَ إِسْرَافِيلُ وَ مَلَكُ الْمَوْتِ وَ إِسْمَاعِيلُ صَاحِبُ سَمَاءِ الدُّنْيَا قُلْتُ فَمَنْ يُنَاوِلُنِي الْمَاءَ قَالَ الْفَضْلُ بْنُ الْعَبَّاسِ مِنْ غَيْرِ أَنْ يَنْظُرَ إِلَي شَيْ‌ءٍ مِنِّي فَإِنَّهُ لَا يَحِلُّ لَهُ وَ لَا لِغَيْرِهِ مِنَ الرِّجَالِ وَ النِّسَاءِ النَّظَرُ إِلَي عَوْرَتِي وَ هِيَ حَرَامٌ عَلَيْهِمْ فَإِذَا فَرَغْتَ مِنْ غُسْلِي فَضَعْنِي عَلَي لَوْحٍ وَ أَفْرِغْ عَلَيَّ مِنْ بِئْرِي بِئْرِ غَرْسٍ أَرْبَعِينَ دَلْواً مُفَتَّحَةَ الْأَفْوَاهِ قَالَ عِيسَي أَوْ قَالَ أَرْبَعِينَ قِرْبَةً شَكَكْتُ أَنَا فِي ذَلِكَ‌</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6" w:name="__RefHeading___Toc607676_1934241801"/>
      <w:bookmarkStart w:id="2997" w:name="_Toc1382"/>
      <w:bookmarkEnd w:id="2996"/>
      <w:r>
        <w:rPr>
          <w:rtl w:val="true"/>
        </w:rPr>
        <w:t>«</w:t>
      </w:r>
      <w:r>
        <w:rPr/>
        <w:t>23</w:t>
      </w:r>
      <w:r>
        <w:rPr>
          <w:rtl w:val="true"/>
        </w:rPr>
        <w:t>»</w:t>
      </w:r>
      <w:bookmarkEnd w:id="2997"/>
    </w:p>
    <w:p>
      <w:pPr>
        <w:pStyle w:val="BookText"/>
        <w:rPr/>
      </w:pPr>
      <w:r>
        <w:rPr>
          <w:rFonts w:ascii="Amiri" w:hAnsi="Amiri" w:eastAsia="Amiri" w:cs="Amiri"/>
          <w:color w:val="111111"/>
          <w:sz w:val="28"/>
          <w:sz w:val="28"/>
          <w:szCs w:val="28"/>
          <w:rtl w:val="true"/>
          <w:lang w:bidi="ar-SA"/>
        </w:rPr>
        <w:t xml:space="preserve">مِصْبَاحُ الْأَنْوَارِ، عَنْ أَحْمَدَ بْنِ مُحَمَّدِ بْنِ عَيَّاشٍ عَنْ جَعْفَرِ بْنِ مُحَمَّدِ بْنِ قُولَوَيْهِ عَنْ عُبَيْدِ اللَّهِ بْنِ الْفُضَيْلِ الطَّائِيِّ وَ مُحَمَّدِ بْنِ أَحْمَدَ بْنِ سُلَيْمَانَ عَنْ مُحَمَّدِ بْنِ إِسْمَاعِيلَ بْنِ أَحْمَدَ بْنِ إِسْمَاعِيلَ بْنِ مُحَمَّدِ بْنِ إِسْمَاعِيلَ بْنِ جَعْفَرٍ الصَّادِقِ عليه السلام عَنْ أَبِي يُوسُفَ عَنِ الْأَزْهَرِ بْنِ نَظَّامٍ عَنِ أَبِي الْحَسَنِ بْنِ يَعْقُوبَ عَنْ عِيسَي بْنِ الْمُسْتَفَادِ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كَانَ فِي الصَّحِيفَةِ الْمَخْتُومَةِ الَّتِي نَزَلَتْ مِنَ السَّمَاءِ يَا عَلِيُّ غَسِّلْنِي وَ لَا يُغَسِّلْنِي غَيْرُكَ قَالَ فَقُلْتُ لِرَسُولِ اللَّهِ صلي الله عليه و آله بِأَبِي أَنْتَ وَ أُمِّي أَنَا أَقْوَي عَلَي غُسْلِكَ وَحْدِي قَالَ بِذَا أَمَرَنِي جَبْرَئِيلُ وَ بِذَلِكَ أَمَرَهُ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فَقُلْتُ فَإِنْ لَمْ أَقْوَ عَلَيْكَ فَأَسْتَعِينُ بِغَيْرِي يَكُونُ مَعِي فَقَالَ جَبْرَئِيلُ يَا مُحَمَّدُ قُلْ لِعَلِيٍّ إِنَّ رَبَّكَ يَأْمُرُكَ أَنْ تُغَسِّلَ ابْنَ عَمِّكَ فَإِنَّمَا السُّنَّةُ أَنْ لَا يُغَسِّلَ الْأَنْبِيَاءَ إِلَّا أَوْصِيَاؤُهُمْ وَ إِنَّمَا يُغَسِّلُ كُلَّ نَبِيٍّ وَصِيُّهُ مِنْ بَعْدِهِ وَ هِيَ مِنْ حُجَجِ اللَّهِ عَزَّ وَ جَلَّ لِمُحَمَّدٍ صلي الله عليه و آله عَلَي أُمَّتِهِ مِنْ بَعْدِهِ فِيمَا قَدِ اجْتَمَعُوا عَلَيْهِ مِنْ قَطِيعَةِ مَا أَمَرَهُمُ اللَّهُ تَعَالَي بِهِ</w:t>
      </w:r>
      <w:r>
        <w:rPr>
          <w:rFonts w:eastAsia="Amiri" w:cs="Amiri" w:ascii="Amiri" w:hAnsi="Amiri"/>
          <w:color w:val="111111"/>
          <w:sz w:val="28"/>
          <w:szCs w:val="28"/>
          <w:rtl w:val="true"/>
          <w:lang w:bidi="ar-SA"/>
        </w:rPr>
        <w:t>.</w:t>
      </w:r>
    </w:p>
    <w:p>
      <w:pPr>
        <w:pStyle w:val="Heading5"/>
        <w:numPr>
          <w:ilvl w:val="4"/>
          <w:numId w:val="1"/>
        </w:numPr>
        <w:rPr/>
      </w:pPr>
      <w:bookmarkStart w:id="2998" w:name="__RefHeading___Toc607678_1934241801"/>
      <w:bookmarkStart w:id="2999" w:name="_Toc1383"/>
      <w:bookmarkEnd w:id="2998"/>
      <w:r>
        <w:rPr>
          <w:rtl w:val="true"/>
        </w:rPr>
        <w:t xml:space="preserve">روایت </w:t>
      </w:r>
      <w:r>
        <w:rPr/>
        <w:t>22</w:t>
      </w:r>
      <w:bookmarkEnd w:id="2999"/>
    </w:p>
    <w:p>
      <w:pPr>
        <w:pStyle w:val="BookText"/>
        <w:rPr/>
      </w:pPr>
      <w:r>
        <w:rPr>
          <w:rFonts w:ascii="IRNazanin" w:hAnsi="IRNazanin" w:eastAsia="IRNazanin"/>
          <w:color w:val="111111"/>
          <w:sz w:val="28"/>
          <w:sz w:val="28"/>
          <w:szCs w:val="28"/>
          <w:rtl w:val="true"/>
          <w:lang w:bidi="fa-IR"/>
        </w:rPr>
        <w:t>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به إسناد عیسی بن مُستَفاد از امام موسی کاظم علیه السلام روایت کرده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آیا دَین و عهدی که بر گردن من است را ضمانت و آن را به جای من پرداخت می کنی؟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شاهد و گواه باش،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بعد از وفات مرا غسل ده و هیچ کسی غیر از تو مرا غسل ندهد که هر کسی چنین کند نابینا می گردد،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دلیل این امر چیست؟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سوی پروردگارم خبر آورده است که غیر از تو هر کسی عورت مرا ببیند چشمانش نابینا می گردد،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تنهایی می توانم شما را غسل دهم؟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میکائیل، اسرافیل، فرشته مرگ و اسماعیل که مالک آسمان دنیاست تو را یاری خواهند داد،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 روی دست من آب می ریزد؟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عباس، البته بدون اینکه به جایی از بدن من نگاه کند، چرا که نه برای او و نه برای هیچ یک از مردان و زنان دیگر جایز نیست که به عورت من بنگرند و این امر بر آنان حرام است، پس هر گاه از غسل دادن من فارغ گشتی مرا بر روی لوحی قرار ده و از چاه من، چاه غَرس، چهل سطل سر گشاده آب بر جسدم جاری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شکّ دارم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سطل یا چهل مَشک</w:t>
      </w:r>
      <w:r>
        <w:rPr>
          <w:rFonts w:eastAsia="IRNazanin" w:cs="IRNazanin"/>
          <w:color w:val="111111"/>
          <w:sz w:val="28"/>
          <w:szCs w:val="28"/>
          <w:rtl w:val="true"/>
          <w:lang w:bidi="fa-IR"/>
        </w:rPr>
        <w:t>.</w:t>
      </w:r>
      <w:r>
        <w:rPr>
          <w:rStyle w:val="FootnoteAnchor"/>
          <w:rtl w:val="true"/>
        </w:rPr>
        <w:footnoteReference w:id="1465"/>
      </w:r>
    </w:p>
    <w:p>
      <w:pPr>
        <w:pStyle w:val="Heading5"/>
        <w:numPr>
          <w:ilvl w:val="4"/>
          <w:numId w:val="1"/>
        </w:numPr>
        <w:rPr/>
      </w:pPr>
      <w:bookmarkStart w:id="3000" w:name="__RefHeading___Toc607680_1934241801"/>
      <w:bookmarkStart w:id="3001" w:name="_Toc1384"/>
      <w:bookmarkEnd w:id="3000"/>
      <w:r>
        <w:rPr>
          <w:rtl w:val="true"/>
        </w:rPr>
        <w:t xml:space="preserve">روایت </w:t>
      </w:r>
      <w:r>
        <w:rPr/>
        <w:t>23</w:t>
      </w:r>
      <w:bookmarkEnd w:id="3001"/>
    </w:p>
    <w:p>
      <w:pPr>
        <w:pStyle w:val="BookText"/>
        <w:rPr/>
      </w:pP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از عیسی بن مستفاد روایت شده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صحیفه مختومه که از آسمان نازل شده آمده است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مرا غسل ده و کسی غیر از تو مرا غسل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پدر و مادرم به فدایت، آیا من به تنهایی قادر به غسل شما هستم؟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جبرئیل را و جبرئیل نیز مرا به این کار امر فرموده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تنهایی قادر به غسل دادن شما نباشم می توانم از شخص دیگری طلب کمک کنم که همراهم باشد؟ پس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علی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تو امر فرموده که پسر عمویت را غسل دهی، چرا که سنّت بر این است که انبیاء فقط توسط اوصیای آنان غسل داده شوند، و هر پیامبری فقط توسط وصیّ بعد از او غسل داده می شود، و این سنّت از جمله حجّت هایی است که خداوند عزّ و جلّ برای محمّد صلّی الله علیه و آله بر امّت او پس از او قرار داده است و به واسطه آن می توانند از تفرّق و اختلاف در امان باشند و حول آن گِرد آیند</w:t>
      </w:r>
      <w:r>
        <w:rPr>
          <w:rFonts w:eastAsia="IRNazanin" w:cs="IRNazanin"/>
          <w:color w:val="111111"/>
          <w:sz w:val="28"/>
          <w:szCs w:val="28"/>
          <w:rtl w:val="true"/>
          <w:lang w:bidi="fa-IR"/>
        </w:rPr>
        <w:t xml:space="preserve">. </w:t>
      </w:r>
      <w:bookmarkStart w:id="3002" w:name="pg13517_329336"/>
    </w:p>
    <w:p>
      <w:pPr>
        <w:pStyle w:val="BookText"/>
        <w:rPr/>
      </w:pPr>
      <w:bookmarkEnd w:id="3002"/>
      <w:r>
        <w:rPr>
          <w:rFonts w:ascii="Amiri" w:hAnsi="Amiri" w:eastAsia="Amiri" w:cs="Amiri"/>
          <w:color w:val="111111"/>
          <w:sz w:val="28"/>
          <w:sz w:val="28"/>
          <w:szCs w:val="28"/>
          <w:rtl w:val="true"/>
          <w:lang w:bidi="ar-SA"/>
        </w:rPr>
        <w:t>ثُمَّ قَالَ النَّبِيُّ صلي الله عليه و آله وَ اعْلَمْ يَا عَلِيُّ أَنَّ لَكَ عَلَي غُسْلِي أَعْوَاناً هُمْ نِعْمَ الْأَعْوَانُ وَ الْإِخْوَانُ قَالَ عَلِيٌّ فَقُلْتُ لِرَسُولِ اللَّهِ صلي الله عليه و آله مَنْ بِأَبِي أَنْتَ وَ أُمِّي قَالَ جَبْرَئِيلُ وَ مِيكَائِيلُ وَ إِسْرَافِيلُ وَ مَلَكُ الْمَوْتِ وَ إِسْمَاعِيلُ صَاحِبُ سَمَاءِ الدُّنْيَا أَعْوَاناً لَكَ قَالَ عَلِيٌّ فَخَرَرْتُ لِلَّهِ سَاجِداً وَ قُلْتُ الْحَمْدُ لِلَّهِ الَّذِي جَعَلَ لِي أَعْوَاناً وَ إِخْوَاناً هُمْ أُمَنَاءُ اللَّهِ تَعَالَي</w:t>
      </w:r>
      <w:r>
        <w:rPr>
          <w:rFonts w:eastAsia="Amiri" w:cs="Amiri" w:ascii="Amiri" w:hAnsi="Amiri"/>
          <w:color w:val="111111"/>
          <w:sz w:val="28"/>
          <w:szCs w:val="28"/>
          <w:rtl w:val="true"/>
          <w:lang w:bidi="ar-SA"/>
        </w:rPr>
        <w:t>.</w:t>
      </w:r>
    </w:p>
    <w:p>
      <w:pPr>
        <w:pStyle w:val="Heading5"/>
        <w:numPr>
          <w:ilvl w:val="4"/>
          <w:numId w:val="1"/>
        </w:numPr>
        <w:rPr/>
      </w:pPr>
      <w:bookmarkStart w:id="3003" w:name="__RefHeading___Toc607682_1934241801"/>
      <w:bookmarkStart w:id="3004" w:name="_Toc1385"/>
      <w:bookmarkEnd w:id="3003"/>
      <w:r>
        <w:rPr>
          <w:rtl w:val="true"/>
        </w:rPr>
        <w:t>بيان</w:t>
      </w:r>
      <w:bookmarkEnd w:id="3004"/>
    </w:p>
    <w:p>
      <w:pPr>
        <w:pStyle w:val="BookText"/>
        <w:rPr/>
      </w:pPr>
      <w:r>
        <w:rPr>
          <w:rFonts w:ascii="Amiri" w:hAnsi="Amiri" w:eastAsia="Amiri" w:cs="Amiri"/>
          <w:color w:val="111111"/>
          <w:sz w:val="28"/>
          <w:sz w:val="28"/>
          <w:szCs w:val="28"/>
          <w:rtl w:val="true"/>
          <w:lang w:bidi="ar-SA"/>
        </w:rPr>
        <w:t>في القاموس بئر غرس بالمدينة و منه الحديث غرس من عيون الجنة و غسل صلي الله عليه و آله منها</w:t>
      </w:r>
      <w:r>
        <w:rPr>
          <w:rFonts w:eastAsia="Amiri" w:cs="Amiri" w:ascii="Amiri" w:hAnsi="Amiri"/>
          <w:color w:val="111111"/>
          <w:sz w:val="28"/>
          <w:szCs w:val="28"/>
          <w:rtl w:val="true"/>
          <w:lang w:bidi="ar-SA"/>
        </w:rPr>
        <w:t>.</w:t>
      </w:r>
    </w:p>
    <w:p>
      <w:pPr>
        <w:pStyle w:val="Heading5"/>
        <w:numPr>
          <w:ilvl w:val="4"/>
          <w:numId w:val="1"/>
        </w:numPr>
        <w:rPr/>
      </w:pPr>
      <w:bookmarkStart w:id="3005" w:name="__RefHeading___Toc607684_1934241801"/>
      <w:bookmarkStart w:id="3006" w:name="_Toc1386"/>
      <w:bookmarkEnd w:id="3005"/>
      <w:r>
        <w:rPr>
          <w:rtl w:val="true"/>
        </w:rPr>
        <w:t>«</w:t>
      </w:r>
      <w:r>
        <w:rPr/>
        <w:t>24</w:t>
      </w:r>
      <w:r>
        <w:rPr>
          <w:rtl w:val="true"/>
        </w:rPr>
        <w:t>»</w:t>
      </w:r>
      <w:bookmarkEnd w:id="3006"/>
    </w:p>
    <w:p>
      <w:pPr>
        <w:pStyle w:val="BookText"/>
        <w:rPr/>
      </w:pPr>
      <w:r>
        <w:rPr>
          <w:rFonts w:ascii="Amiri" w:hAnsi="Amiri" w:eastAsia="Amiri" w:cs="Amiri"/>
          <w:color w:val="111111"/>
          <w:sz w:val="28"/>
          <w:sz w:val="28"/>
          <w:szCs w:val="28"/>
          <w:rtl w:val="true"/>
          <w:lang w:bidi="ar-SA"/>
        </w:rPr>
        <w:t>مِصْبَاحُ الْأَنْوَارِ، عَنْ مَرْوَانَ الْأَصْفَرِ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بِنْتَ رَسُولِ اللَّهِ صلي الله عليه و آله حِينَ ثَقُلَتْ فِي مَرَضِهَا أَوْصَتْ عَلِيّاً عليه السلام فَقَالَتْ إِنِّي أُوصِيكَ أَنْ لَا يَلِيَ غُسْلِي وَ كَفْنِي سِوَاكَ فَقَالَ نَعَمْ فَقَالَتْ وَ أُوصِيكَ أَنْ تَدْفِنَنِي وَ لَا تُؤْذِنَ بِي أَحَداً</w:t>
      </w:r>
      <w:r>
        <w:rPr>
          <w:rFonts w:eastAsia="Amiri" w:cs="Amiri" w:ascii="Amiri" w:hAnsi="Amiri"/>
          <w:color w:val="111111"/>
          <w:sz w:val="28"/>
          <w:szCs w:val="28"/>
          <w:rtl w:val="true"/>
          <w:lang w:bidi="ar-SA"/>
        </w:rPr>
        <w:t>.</w:t>
      </w:r>
    </w:p>
    <w:p>
      <w:pPr>
        <w:pStyle w:val="Heading5"/>
        <w:numPr>
          <w:ilvl w:val="4"/>
          <w:numId w:val="1"/>
        </w:numPr>
        <w:rPr/>
      </w:pPr>
      <w:bookmarkStart w:id="3007" w:name="__RefHeading___Toc607686_1934241801"/>
      <w:bookmarkStart w:id="3008" w:name="_Toc1387"/>
      <w:bookmarkEnd w:id="3007"/>
      <w:r>
        <w:rPr>
          <w:rtl w:val="true"/>
        </w:rPr>
        <w:t>«</w:t>
      </w:r>
      <w:r>
        <w:rPr/>
        <w:t>25</w:t>
      </w:r>
      <w:r>
        <w:rPr>
          <w:rtl w:val="true"/>
        </w:rPr>
        <w:t>»</w:t>
      </w:r>
      <w:bookmarkEnd w:id="3008"/>
    </w:p>
    <w:p>
      <w:pPr>
        <w:pStyle w:val="BookText"/>
        <w:rPr/>
      </w:pPr>
      <w:r>
        <w:rPr>
          <w:rFonts w:ascii="Amiri" w:hAnsi="Amiri" w:eastAsia="Amiri" w:cs="Amiri"/>
          <w:color w:val="111111"/>
          <w:sz w:val="28"/>
          <w:sz w:val="28"/>
          <w:szCs w:val="28"/>
          <w:rtl w:val="true"/>
          <w:lang w:bidi="ar-SA"/>
        </w:rPr>
        <w:t>الطُّرَفُ، وَ مِصْبَاحُ الْأَنْوَارِ، بِإِسْنَادِهِمَا عَنْ عِيسَي بْنِ الْمُسْتَفَادِ عَنِ الْكَاظِمِ عليه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غَسَّلْتُ رَسُولَ اللَّهِ صلي الله عليه و آله أَنَا وَحْدِي وَ هُوَ فِي قَمِيصِهِ فَذَهَبْتُ أَنْزِعُ عَنْهُ الْقَمِيصَ فَقَالَ جَبْرَئِيلُ يَا عَلِيُّ لَا تُجَرِّدْ أَخَاكَ مِنْ قَمِيصِهِ فَإِنَّ اللَّهَ لَمْ يُجَرِّدْهُ وَ تَأَيَّدْ فِي الْغُسْلِ فَأَنَا أَشْرَكُكَ فِي ابْنِ عَمِّكَ بِأَمْرِ اللَّهِ فَغَسَّلْتُهُ بِالرَّوْحِ وَ الرَّيْحَانِ وَ الْمَلَائِكَةُ الْكِرَامُ الْأَبْرَارُ الْأَخْيَارُ تُبَشِّرُنِي وَ تُمْسِكُ وَ أُكَلَّمُ سَاعَةً بَعْدَ سَاعَةٍ وَ لَا أَقْلِبُ مِنْهُ عُضْواً بِأَبِي هُوَ وَ أُمِّي إِلَّا انْقَلَبَ لِي قَلْباً إِلَي أَنْ فَرَغْتُ مِنْ غُسْلِهِ وَ كَفَّنْتُهُ وَ وَضَعْتُهُ عَلَي سَرِيرِهِ وَ أَخْرَجْتُهُ كَمَا أُمِرْتُ فَاجْتَمَعَتْ لَهُ الْمَلَائِكَةُ مَا سَدَّ الْخَافِقَيْنِ فَصَلَّي عَلَيْهِ رَبُّهُ وَ الْمَلَائِكَةُ الْمُقَرَّبُونَ وَ حَمَلَةُ الْعَرْشِ الْكَرُوبِيُّونَ وَ مَا سَبَّحَ لِلَّهِ رَبِّ الْعَالَمِينَ وَ أَنْفَذْتُ جَمِيعَ مَا أَمَرَنِي بِهِ ثُمَّ وَارَيْتُهُ فِي قَبْرِهِ صلي الله عليه و آله‌</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9" w:name="__RefHeading___Toc607688_1934241801"/>
      <w:bookmarkStart w:id="3010" w:name="_Toc1388"/>
      <w:bookmarkEnd w:id="3009"/>
      <w:r>
        <w:rPr>
          <w:rtl w:val="true"/>
        </w:rPr>
        <w:t>«</w:t>
      </w:r>
      <w:r>
        <w:rPr/>
        <w:t>26</w:t>
      </w:r>
      <w:r>
        <w:rPr>
          <w:rtl w:val="true"/>
        </w:rPr>
        <w:t>»</w:t>
      </w:r>
      <w:bookmarkEnd w:id="3010"/>
    </w:p>
    <w:p>
      <w:pPr>
        <w:pStyle w:val="BookText"/>
        <w:rPr/>
      </w:pPr>
      <w:r>
        <w:rPr>
          <w:rFonts w:ascii="Amiri" w:hAnsi="Amiri" w:eastAsia="Amiri" w:cs="Amiri"/>
          <w:color w:val="111111"/>
          <w:sz w:val="28"/>
          <w:sz w:val="28"/>
          <w:szCs w:val="28"/>
          <w:rtl w:val="true"/>
          <w:lang w:bidi="ar-SA"/>
        </w:rPr>
        <w:t>الذِّكْرَي، فِي جَامِعِ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بِنْتٌ أَكْثَرَ مِنْ خَمْسٍ أَوْ سِتٍّ دُفِنَتْ وَ لَمْ تُغَسَّلْ وَ إِنْ كَانَتْ بِنْتٌ أَقَلَّ مِنْ خَمْسٍ غُسِّلَتْ قَالَ وَ أَسْنَدَ الصَّدُوقُ فِي</w:t>
      </w:r>
    </w:p>
    <w:p>
      <w:pPr>
        <w:pStyle w:val="BookText"/>
        <w:rPr/>
      </w:pP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آگاه باش که به منظور توانا گشتن بر غسل من یاورانی خواهی داشت که بهترینِ یاوران و برادران هستند،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آنان چه کسانی هستند؟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میکائیل، اسرافیل، فرشته مرگ و اسماعیل که مالک آسمان دنیاست یاری گران تو خواهند بود،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سجده در افتادم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خداوندی است که برای من یاوران و برادرانی قرار داده است که معتمدان و امینان درگاه خداوند متعال هستند</w:t>
      </w:r>
      <w:r>
        <w:rPr>
          <w:rFonts w:eastAsia="IRNazanin" w:cs="IRNazanin"/>
          <w:color w:val="111111"/>
          <w:sz w:val="28"/>
          <w:szCs w:val="28"/>
          <w:rtl w:val="true"/>
          <w:lang w:bidi="fa-IR"/>
        </w:rPr>
        <w:t>.</w:t>
      </w:r>
    </w:p>
    <w:p>
      <w:pPr>
        <w:pStyle w:val="Heading5"/>
        <w:numPr>
          <w:ilvl w:val="4"/>
          <w:numId w:val="1"/>
        </w:numPr>
        <w:rPr/>
      </w:pPr>
      <w:bookmarkStart w:id="3011" w:name="__RefHeading___Toc607690_1934241801"/>
      <w:bookmarkStart w:id="3012" w:name="_Toc1389"/>
      <w:bookmarkEnd w:id="3011"/>
      <w:r>
        <w:rPr>
          <w:rtl w:val="true"/>
        </w:rPr>
        <w:t>توضیح</w:t>
      </w:r>
      <w:bookmarkEnd w:id="3012"/>
    </w:p>
    <w:p>
      <w:pPr>
        <w:pStyle w:val="BookText"/>
        <w:rPr/>
      </w:pP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بئر غرس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چاهی است در مدینه، منظور از چاه ذکر شده در حدیث نیز همین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یکی از نهرهای موجود در بهشت است که پیامبر صلّی الله علیه و آله با آب آن غسل کرد</w:t>
      </w:r>
      <w:r>
        <w:rPr>
          <w:rFonts w:eastAsia="IRNazanin" w:cs="IRNazanin"/>
          <w:color w:val="111111"/>
          <w:sz w:val="28"/>
          <w:szCs w:val="28"/>
          <w:rtl w:val="true"/>
          <w:lang w:bidi="fa-IR"/>
        </w:rPr>
        <w:t>.</w:t>
      </w:r>
    </w:p>
    <w:p>
      <w:pPr>
        <w:pStyle w:val="Heading5"/>
        <w:numPr>
          <w:ilvl w:val="4"/>
          <w:numId w:val="1"/>
        </w:numPr>
        <w:rPr/>
      </w:pPr>
      <w:bookmarkStart w:id="3013" w:name="__RefHeading___Toc607692_1934241801"/>
      <w:bookmarkStart w:id="3014" w:name="_Toc1390"/>
      <w:bookmarkEnd w:id="3013"/>
      <w:r>
        <w:rPr>
          <w:rtl w:val="true"/>
        </w:rPr>
        <w:t xml:space="preserve">روایت </w:t>
      </w:r>
      <w:r>
        <w:rPr/>
        <w:t>24</w:t>
      </w:r>
      <w:bookmarkEnd w:id="3014"/>
    </w:p>
    <w:p>
      <w:pPr>
        <w:pStyle w:val="BookText"/>
        <w:rPr/>
      </w:pP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مروان الأصفر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بیماری فاطمه دختر رسول خدا صلّی الله علیه و آله شدّت گرفت، نزد علی علیه السلام وصیّت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سفارش می کنم که غسل دادن و کفن کردن مرا کسی جز خودت به عهده نگیرد،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سفارش می کنم که مرا به خاک بسپاری و کسی را از وفاتم آگاه نگردانی</w:t>
      </w:r>
      <w:r>
        <w:rPr>
          <w:rFonts w:eastAsia="IRNazanin" w:cs="IRNazanin"/>
          <w:color w:val="111111"/>
          <w:sz w:val="28"/>
          <w:szCs w:val="28"/>
          <w:rtl w:val="true"/>
          <w:lang w:bidi="fa-IR"/>
        </w:rPr>
        <w:t>.</w:t>
      </w:r>
    </w:p>
    <w:p>
      <w:pPr>
        <w:pStyle w:val="Heading5"/>
        <w:numPr>
          <w:ilvl w:val="4"/>
          <w:numId w:val="1"/>
        </w:numPr>
        <w:rPr/>
      </w:pPr>
      <w:bookmarkStart w:id="3015" w:name="__RefHeading___Toc607694_1934241801"/>
      <w:bookmarkStart w:id="3016" w:name="_Toc1391"/>
      <w:bookmarkEnd w:id="3015"/>
      <w:r>
        <w:rPr>
          <w:rtl w:val="true"/>
        </w:rPr>
        <w:t xml:space="preserve">روایت </w:t>
      </w:r>
      <w:r>
        <w:rPr/>
        <w:t>25</w:t>
      </w:r>
      <w:bookmarkEnd w:id="3016"/>
    </w:p>
    <w:p>
      <w:pPr>
        <w:pStyle w:val="BookText"/>
        <w:rPr/>
      </w:pPr>
      <w:r>
        <w:rPr>
          <w:rFonts w:ascii="IRNazanin" w:hAnsi="IRNazanin" w:eastAsia="IRNazanin"/>
          <w:color w:val="111111"/>
          <w:sz w:val="28"/>
          <w:sz w:val="28"/>
          <w:szCs w:val="28"/>
          <w:rtl w:val="true"/>
          <w:lang w:bidi="fa-IR"/>
        </w:rPr>
        <w:t>الطرف و 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مستفاد از امام کاظم علیه السلام روایت کرده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تنهایی رسول خدا صلّی الله علیه و آله را غسل دادم در حالی که ایشان لباس به تن داشت، پس قصد کردم که لباس را در آوردم ولی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لباس را از تن برادرت در نیاور که خداوند لباس را از تن او در نیاورده است، در غسل دادن قوی و نیرومند باش، چرا که من به امر خداوند در غسل دادن پسر عمویت تو را همراهی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را با بوی خوش و ریحان غسل دادم در حالی که فرشتگان بزرگوار، درستکار و برگزیده مرا بشارت می دادند و به جسم مبارک پیامبر مُشک می مالیدند و لحظه به لحظه با من سخن گفته می شد، و هیچ عضوی از اعضای مبارک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و رو نمی کردم مگر اینکه خود زیر و رو می گشت، تا اینکه سرانجام از غسل دادن فارغ گشتم و ایشان را کفن کرده و بر تخت قرار دادم، و جسد پیامبر را آن گونه که مأمور گشته بودم از خانه خارج ساختم، پس ملائکه به اندازه ای بر جنازه گرد آمدند که مشرق و مغرب را پُر نمودند، آن گاه پروردگارش، فرشتگان مقرّب، فرشتگان با عظمت حمل کننده عرش و هر آنچه که خداوندِ پروردگار جهانیان را تسبیح می گوید بر ایشان صلوات فرستادند، و تمام اموری که پیامبر در مورد مراسم غسل و تجهیز خود به من امر فرموده بود را به انجام رساندم، سپس ایشان را در مزار مبارکش به خاک سپردم، درود خدا بر پیامبر و خاندان او</w:t>
      </w:r>
      <w:r>
        <w:rPr>
          <w:rFonts w:eastAsia="IRNazanin" w:cs="IRNazanin"/>
          <w:color w:val="111111"/>
          <w:sz w:val="28"/>
          <w:szCs w:val="28"/>
          <w:rtl w:val="true"/>
          <w:lang w:bidi="fa-IR"/>
        </w:rPr>
        <w:t>.</w:t>
      </w:r>
      <w:r>
        <w:rPr>
          <w:rStyle w:val="FootnoteAnchor"/>
          <w:rtl w:val="true"/>
        </w:rPr>
        <w:footnoteReference w:id="1467"/>
      </w:r>
    </w:p>
    <w:p>
      <w:pPr>
        <w:pStyle w:val="Heading5"/>
        <w:numPr>
          <w:ilvl w:val="4"/>
          <w:numId w:val="1"/>
        </w:numPr>
        <w:rPr/>
      </w:pPr>
      <w:bookmarkStart w:id="3017" w:name="__RefHeading___Toc607696_1934241801"/>
      <w:bookmarkStart w:id="3018" w:name="_Toc1392"/>
      <w:bookmarkEnd w:id="3017"/>
      <w:r>
        <w:rPr>
          <w:rtl w:val="true"/>
        </w:rPr>
        <w:t xml:space="preserve">روایت </w:t>
      </w:r>
      <w:r>
        <w:rPr/>
        <w:t>26</w:t>
      </w:r>
      <w:bookmarkEnd w:id="3018"/>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محمّد بن حسن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دختری باشد که بیشتر از پنج یا شش سال سنّ دارد و هیچ یک از نزدیکان یا غسل دهنده ای هم جنس حضور نداشته باشند، بدون غسل دفن می شود، و اگر کمتر از پنج سال سنّ داشته باشد غسل داده می شود؛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در </w:t>
      </w:r>
      <w:bookmarkStart w:id="3019" w:name="pg13517_329337"/>
    </w:p>
    <w:p>
      <w:pPr>
        <w:pStyle w:val="BookText"/>
        <w:rPr/>
      </w:pPr>
      <w:bookmarkEnd w:id="3019"/>
      <w:r>
        <w:rPr>
          <w:rFonts w:ascii="Amiri" w:hAnsi="Amiri" w:eastAsia="Amiri" w:cs="Amiri"/>
          <w:color w:val="111111"/>
          <w:sz w:val="28"/>
          <w:sz w:val="28"/>
          <w:szCs w:val="28"/>
          <w:rtl w:val="true"/>
          <w:lang w:bidi="ar-SA"/>
        </w:rPr>
        <w:t>كِتَابِ الْمَدِينَةِ مَا فِي الْجَامِعِ إِلَي الْحَلَبِيِّ عَنِ الصَّادِقِ عليه السلام</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0" w:name="__RefHeading___Toc607698_1934241801"/>
      <w:bookmarkStart w:id="3021" w:name="_Toc1393"/>
      <w:bookmarkEnd w:id="3020"/>
      <w:r>
        <w:rPr>
          <w:rtl w:val="true"/>
        </w:rPr>
        <w:t>توضيح</w:t>
      </w:r>
      <w:bookmarkEnd w:id="3021"/>
    </w:p>
    <w:p>
      <w:pPr>
        <w:pStyle w:val="BookText"/>
        <w:rPr/>
      </w:pPr>
      <w:r>
        <w:rPr>
          <w:rFonts w:ascii="Amiri" w:hAnsi="Amiri" w:eastAsia="Amiri" w:cs="Amiri"/>
          <w:color w:val="111111"/>
          <w:sz w:val="28"/>
          <w:sz w:val="28"/>
          <w:szCs w:val="28"/>
          <w:rtl w:val="true"/>
          <w:lang w:bidi="ar-SA"/>
        </w:rPr>
        <w:t>ذكر الصدوق في الفقيه‌</w:t>
      </w:r>
      <w:r>
        <w:rPr>
          <w:rStyle w:val="FootnoteAnchor"/>
          <w:rtl w:val="true"/>
        </w:rPr>
        <w:footnoteReference w:id="1469"/>
      </w:r>
      <w:r>
        <w:rPr>
          <w:rFonts w:ascii="Amiri" w:hAnsi="Amiri" w:eastAsia="Amiri" w:cs="Amiri"/>
          <w:color w:val="111111"/>
          <w:sz w:val="28"/>
          <w:sz w:val="28"/>
          <w:szCs w:val="28"/>
          <w:rtl w:val="true"/>
          <w:lang w:bidi="ar-SA"/>
        </w:rPr>
        <w:t>ما في الجامع نقلا منه ثم قال و ذكر عن الحلبي حديثا في معناه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الأصحاب استثنوا من عدم جواز تغسيل غير المماثل الصبي و الصبية دون ثلاث سنين فجوز تغسيلهما مجردا اختيارا جماعة من الأصحاب و شرط الشيخ في النهاية عدم المماثل و شرط في المبسوط عدم المماثل في الصبية دون الصبي و جوز المفيد في المقنعة تغسيل ابن خمس سنين مجردا و إن كان ابن أكثر من خمس سنين غسلته من وراء الثياب و اعتبر في البنت ثلاث سنين و تبعه سلار و جوز الصدوق تغسيل بنت أقل من خمس سنين مجردة و منع المحقق في المعتبر من تغسيل الرجل الصبية مطلقا و جوز للمرأة تغسيل ابن الثلاث اختيارا و اضطرارا و نقل العلامة في النهاية و المنتهي إجماعنا علي جواز تغسيل الرجل الصبية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تمهد هذا فاعلم أنه لا ريب في جواز تغسيل المرأة الصبي لثلاث سنين و في غير ذلك إشكال و لكن التحديد بالخمس لا يخلو من قوة</w:t>
      </w:r>
      <w:r>
        <w:rPr>
          <w:rFonts w:eastAsia="Amiri" w:cs="Amiri" w:ascii="Amiri" w:hAnsi="Amiri"/>
          <w:color w:val="111111"/>
          <w:sz w:val="28"/>
          <w:szCs w:val="28"/>
          <w:rtl w:val="true"/>
          <w:lang w:bidi="ar-SA"/>
        </w:rPr>
        <w:t>.</w:t>
      </w:r>
    </w:p>
    <w:p>
      <w:pPr>
        <w:pStyle w:val="Heading5"/>
        <w:numPr>
          <w:ilvl w:val="4"/>
          <w:numId w:val="1"/>
        </w:numPr>
        <w:rPr/>
      </w:pPr>
      <w:bookmarkStart w:id="3022" w:name="__RefHeading___Toc607700_1934241801"/>
      <w:bookmarkStart w:id="3023" w:name="_Toc1394"/>
      <w:bookmarkEnd w:id="3022"/>
      <w:r>
        <w:rPr>
          <w:rtl w:val="true"/>
        </w:rPr>
        <w:t>«</w:t>
      </w:r>
      <w:r>
        <w:rPr/>
        <w:t>27</w:t>
      </w:r>
      <w:r>
        <w:rPr>
          <w:rtl w:val="true"/>
        </w:rPr>
        <w:t>»</w:t>
      </w:r>
      <w:bookmarkEnd w:id="3023"/>
    </w:p>
    <w:p>
      <w:pPr>
        <w:pStyle w:val="BookText"/>
        <w:rPr/>
      </w:pPr>
      <w:r>
        <w:rPr>
          <w:rFonts w:ascii="Amiri" w:hAnsi="Amiri" w:eastAsia="Amiri" w:cs="Amiri"/>
          <w:color w:val="111111"/>
          <w:sz w:val="28"/>
          <w:sz w:val="28"/>
          <w:szCs w:val="28"/>
          <w:rtl w:val="true"/>
          <w:lang w:bidi="ar-SA"/>
        </w:rPr>
        <w:t>دَعَائِمُ الْإِسْلَامِ، عَنْ جَعْفَرِ بْنِ مُحَمَّدٍ عَنْ آبَائِهِ عليهم السلام عَنْ عَلِيٍّ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أَوْصَاهُ بِأَنْ يَتَوَلَّي غُسْلَهُ فَكَانَ هُوَ الَّذِي وَلِيَهُ عليه السلام قَالَ فَلَمَّا أَخَذْتُ فِي غُسْلِهِ سَمِعْتُ قَائِلًا مِنْ جَانِبِ الْبَيْتِ يَقُولُ لَا تَنْزِعِ الْقَمِيصَ عَنْهُ فَغَسَّلْتُهُ عليه السلام فِي قَمِيصِهِ وَ إِنِّي لَأُغَسِّلُهُ وَ أَحُسُّ يَداً مَعَ يَدِي يَتَرَدَّدُ عَلَيْهِ وَ إِذَا قَلَبْتُهُ أُعِنْتُ عَلَي تَقْلِيبِهِ وَ لَقَدْ أَرَدْتُ أَنْ أُكِبَّهُ لِوَجْهِهِ فَأَغْسِلَ ظَهْرَهُ فَنُودِيتُ لَا تَكُبَّهُ فَقَلَّبْتُهُ لِجَنْبِهِ وَ غَسَلْتُ ظَهْرَهُ‌</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أَوْصَي إِلَيَّ رَسُولُ اللَّهِ صلي الله عليه و آله أَنْ أُغَسِّلَهُ وَ لَا يُغَسِّلَهُ مَعِي أَحَدٌ غَيْرِي قُلْتُ يَا رَسُولَ اللَّهِ إِنَّكَ رَجُلٌ ثَقِيلُ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 أَنْ</w:t>
      </w:r>
    </w:p>
    <w:p>
      <w:pPr>
        <w:pStyle w:val="BookText"/>
        <w:rPr/>
      </w:pPr>
      <w:r>
        <w:rPr>
          <w:rFonts w:ascii="IRNazanin" w:hAnsi="IRNazanin" w:eastAsia="IRNazanin"/>
          <w:color w:val="111111"/>
          <w:sz w:val="28"/>
          <w:sz w:val="28"/>
          <w:szCs w:val="28"/>
          <w:rtl w:val="true"/>
          <w:lang w:bidi="fa-IR"/>
        </w:rPr>
        <w:t>کتاب المدینه آنچه را که در الجامع ذکر شده به نقل از الحلبیّ از امام صادق علیه السلام روایت کرده است</w:t>
      </w:r>
      <w:r>
        <w:rPr>
          <w:rFonts w:eastAsia="IRNazanin" w:cs="IRNazanin"/>
          <w:color w:val="111111"/>
          <w:sz w:val="28"/>
          <w:szCs w:val="28"/>
          <w:rtl w:val="true"/>
          <w:lang w:bidi="fa-IR"/>
        </w:rPr>
        <w:t>.</w:t>
      </w:r>
      <w:r>
        <w:rPr>
          <w:rStyle w:val="FootnoteAnchor"/>
          <w:rtl w:val="true"/>
        </w:rPr>
        <w:footnoteReference w:id="1471"/>
      </w:r>
    </w:p>
    <w:p>
      <w:pPr>
        <w:pStyle w:val="Heading5"/>
        <w:numPr>
          <w:ilvl w:val="4"/>
          <w:numId w:val="1"/>
        </w:numPr>
        <w:rPr/>
      </w:pPr>
      <w:bookmarkStart w:id="3024" w:name="__RefHeading___Toc607702_1934241801"/>
      <w:bookmarkStart w:id="3025" w:name="_Toc1395"/>
      <w:bookmarkEnd w:id="3024"/>
      <w:r>
        <w:rPr>
          <w:rtl w:val="true"/>
        </w:rPr>
        <w:t>توضیح</w:t>
      </w:r>
      <w:bookmarkEnd w:id="3025"/>
    </w:p>
    <w:p>
      <w:pPr>
        <w:pStyle w:val="BookText"/>
        <w:rPr/>
      </w:pPr>
      <w:r>
        <w:rPr>
          <w:rFonts w:ascii="IRNazanin" w:hAnsi="IRNazanin" w:eastAsia="IRNazanin"/>
          <w:color w:val="111111"/>
          <w:sz w:val="28"/>
          <w:sz w:val="28"/>
          <w:szCs w:val="28"/>
          <w:rtl w:val="true"/>
          <w:lang w:bidi="fa-IR"/>
        </w:rPr>
        <w:t>صدوق آنچه را در الجامع ذکر شده است به نقل از او در الفقیه ذکر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حدیثی را به این مضمون و به نقل از حلبیّ از امام صادق علیه السلام روایت کرده است</w:t>
      </w:r>
      <w:r>
        <w:rPr>
          <w:rFonts w:eastAsia="IRNazanin" w:cs="IRNazanin"/>
          <w:color w:val="111111"/>
          <w:sz w:val="28"/>
          <w:szCs w:val="28"/>
          <w:rtl w:val="true"/>
          <w:lang w:bidi="fa-IR"/>
        </w:rPr>
        <w:t>.</w:t>
      </w:r>
      <w:r>
        <w:rPr>
          <w:rStyle w:val="FootnoteAnchor"/>
          <w:rtl w:val="true"/>
        </w:rPr>
        <w:footnoteReference w:id="1472"/>
      </w:r>
    </w:p>
    <w:p>
      <w:pPr>
        <w:pStyle w:val="BookText"/>
        <w:rPr/>
      </w:pPr>
      <w:r>
        <w:rPr>
          <w:rFonts w:ascii="IRNazanin" w:hAnsi="IRNazanin" w:eastAsia="IRNazanin"/>
          <w:color w:val="111111"/>
          <w:sz w:val="28"/>
          <w:sz w:val="28"/>
          <w:szCs w:val="28"/>
          <w:rtl w:val="true"/>
          <w:lang w:bidi="fa-IR"/>
        </w:rPr>
        <w:t>آگاه باش که فقیهان پسر بچه و دختر بچه کمتر از سه سال را از قاعده عدم جواز غسل داده شدن توسط غسل دهنده هم جنس مستثنی کرده اند، پس گروهی از فقها غسل دادن پسر بچه ها و دختر بچه های کمتر از سه سال را بدون پوشش و درحالت عدم اضطرار جایز دانسته اند، ولی شیخ در النهایه جواز این عمل را مشروط به عدم وجود غسل دهنده هم جنس دانسته است، و در المبسوط شرط عدم غسل دهنده هم جنس برای دختر بچه و نه پسر بچه را مطرح کرده است، شیخ مفید نیز در المقنعه غسل دادن پسر پنج سال را بدون پوشش و به صورت عریان جایز دانسته است و اگر بیشتر از پنج سال سن داشته باشد از پَسِ پوشش غسل داده می شود، همچنین وی در مورد دختر بچه، داشتن سه سال را معتبر دانسته و سلّار نیز از او پیروی کرده است، امّا شیخ صدوق غسل دادن دختر کمتر از پنج سال را بدون پوشش و به صورت عریان جایز دانسته است، و محقّق در المعتبر غسل داده شدن دختر بچّه ها توسط مردان را مطلقاً ممنوع دانسته است، ولی غسل داده شدن پسر بچه های کمتر از سه سال توسط زنان را به صورت اختیاری و اضطراری جایز شمرده است، علّامه نیز در النهایه و المنتهی اجماع نظر فقهای ما را بر جواز غسل داده شدن دختر بچه ها توسط مردان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امور مذکور را پذیرفته ای پس آگاه باش که هیچ شک و تردیدی در جواز غسل داده شدن پسر بچه های کمتر از سه سال توسط زنان وجود ندارد، و در غیر آن اشکال وجود دارد، امّا تعیین سنّ پنج سال نیز خالی از قوّت و صحّت نیست</w:t>
      </w:r>
      <w:r>
        <w:rPr>
          <w:rFonts w:eastAsia="IRNazanin" w:cs="IRNazanin"/>
          <w:color w:val="111111"/>
          <w:sz w:val="28"/>
          <w:szCs w:val="28"/>
          <w:rtl w:val="true"/>
          <w:lang w:bidi="fa-IR"/>
        </w:rPr>
        <w:t>.</w:t>
      </w:r>
    </w:p>
    <w:p>
      <w:pPr>
        <w:pStyle w:val="Heading5"/>
        <w:numPr>
          <w:ilvl w:val="4"/>
          <w:numId w:val="1"/>
        </w:numPr>
        <w:rPr/>
      </w:pPr>
      <w:bookmarkStart w:id="3026" w:name="__RefHeading___Toc607704_1934241801"/>
      <w:bookmarkStart w:id="3027" w:name="_Toc1396"/>
      <w:bookmarkEnd w:id="3026"/>
      <w:r>
        <w:rPr>
          <w:rtl w:val="true"/>
        </w:rPr>
        <w:t xml:space="preserve">روایت </w:t>
      </w:r>
      <w:r>
        <w:rPr/>
        <w:t>27</w:t>
      </w:r>
      <w:bookmarkEnd w:id="3027"/>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از پدرانش علیهم السلام و ایشان نیز از امام علی علیه السلام روایت کرده اند که رسول خدا صلّی الله علیه و آله به او وصیّت فرمود که غسل دادنش را به عهده بگیرد، پس امام علی علیه السلام غسل دادن پیامبر را به عهده گرفت،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شروع به غسل دادن نمودم، شنیدم که گوینده ای از کنار خانه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او را در نیاور، پس پیامبر را در حالی که لباس به تن داشت غسل دادم، و در حین غسل دادن احساس می کردم که دستی همراه دست من در حال تردّد بر جسد پیامبر است، و هنگامی که جسم ایشان را زیر و رو می کردم یاری داده می شدم، من خواستم که پیامبر را به رو افکنده و پشت مبارکش را غسل دهم، ولی ندایی سر داده شد که او را به رو نیفکن، پس پیامبر را به پهلو قرار داده و پشت مبارکش را غسل دادم</w:t>
      </w:r>
      <w:r>
        <w:rPr>
          <w:rFonts w:eastAsia="IRNazanin" w:cs="IRNazanin"/>
          <w:color w:val="111111"/>
          <w:sz w:val="28"/>
          <w:szCs w:val="28"/>
          <w:rtl w:val="true"/>
          <w:lang w:bidi="fa-IR"/>
        </w:rPr>
        <w:t>.</w:t>
      </w:r>
      <w:r>
        <w:rPr>
          <w:rStyle w:val="FootnoteAnchor"/>
          <w:rtl w:val="true"/>
        </w:rPr>
        <w:footnoteReference w:id="1473"/>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نزد من وصیّت فرمود که من ایشان را غسل دهم و کسی همراهم نباشد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شما مردی سنگین وزن هستید، نمی توانم به تنهایی </w:t>
      </w:r>
    </w:p>
    <w:p>
      <w:pPr>
        <w:pStyle w:val="BookText"/>
        <w:rPr/>
      </w:pPr>
      <w:r>
        <w:rPr>
          <w:rFonts w:ascii="Amiri" w:hAnsi="Amiri" w:eastAsia="Amiri" w:cs="Amiri"/>
          <w:color w:val="111111"/>
          <w:sz w:val="28"/>
          <w:sz w:val="28"/>
          <w:szCs w:val="28"/>
          <w:rtl w:val="true"/>
          <w:lang w:bidi="ar-SA"/>
        </w:rPr>
        <w:t>أَقْلِبَكَ وَحْدِي فَقَالَ لِي إِنَّ جَبْرَئِيلَ مَعَكَ يَتَوَلَّانِي قُلْتُ فَمَنْ يُنَاوِلُنِي الْمَاءَ قَالَ يُنَاوِلُكَ الْفَضْلُ وَ قُلْ فَلْيُغَطِّ عَيْنَيْهِ فَإِنَّهُ لَا يَنْظُرُ إِلَي عَوْرَتِي أَحَدٌ غَيْرُكَ إِلَّا ذَهَبَ بَصَرُهُ قَالَ أَبُو جَعْفَرٍ عليه السلام فَكَانَ الْفَضْلُ يُنَاوِلُهُ الْمَاءَ وَ قَدْ عَصَّبَ عَيْنَيْهِ وَ عَلِيٌّ وَ جَبْرَئِيلُ يُغَسِّلَانِهِ صَلَّي اللَّهُ عَلَيْهِمْ أَجْمَعِينَ‌</w:t>
      </w:r>
      <w:r>
        <w:rPr>
          <w:rStyle w:val="FootnoteAnchor"/>
          <w:rtl w:val="true"/>
        </w:rPr>
        <w:footnoteReference w:id="1474"/>
      </w:r>
    </w:p>
    <w:p>
      <w:pPr>
        <w:pStyle w:val="BookText"/>
        <w:rPr/>
      </w:pPr>
      <w:r>
        <w:rPr>
          <w:rFonts w:ascii="Amiri" w:hAnsi="Amiri" w:eastAsia="Amiri" w:cs="Amiri"/>
          <w:color w:val="111111"/>
          <w:sz w:val="28"/>
          <w:sz w:val="28"/>
          <w:szCs w:val="28"/>
          <w:rtl w:val="true"/>
          <w:lang w:bidi="ar-SA"/>
        </w:rPr>
        <w:t>قَالَ وَ غَسَّلَهُ ثَلَاثَ غَسَلَاتٍ غَسْلَةً بِالْمَاءِ وَ الْحُرُضِ وَ السِّدْرِ وَ غَسْلَةً بِمَاءٍ فِيهِ ذَرِيرَةٌ وَ كَافُورٌ وَ غَسْلَةً بِالْمَاءِ مَحْضاً وَ هِيَ آخِرُهُنَ‌</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صَلَوَاتُ اللَّهِ عَلَيْهِ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مُسْلِمٍ غَسَّلَ أَخاً لَهُ مُسْلِماً فَلَمْ يُقَذِّرْهُ وَ لَمْ يَنْظُرْ إِلَي عَوْرَتِهِ وَ لَمْ يَذْكُرْ مِنْهُ سُوءاً ثُمَّ شَيَّعَهُ وَ صَلَّي عَلَيْهِ ثُمَّ جَلَسَ حَتَّي يُوَارِيَ فِي قَبْرِهِ إِلَّا خَرَجَ عُطُلًا مِنْ ذُنُوبِهِ‌</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وَ الْحَائِضُ لَا يُغَسِّلَانِ مَيِّتاً</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عَلِيٌّ فَاطِمَةَ عليها السلام وَ كَانَتْ أَوْصَتْ بِذَلِكَ إِلَيْهِ‌</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 إِلَيَّ فَاطِمَةُ أَنْ لَا يُغَسِّلَهَا غَيْرِي وَ سَكَبَتْ أَسْمَاءُ بِنْتُ عُمَيْسٍ‌</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الْمَرْأَةِ هَلْ يُغَسِّلُهَا زَوْجُهَا قَالَ لَا بَأْسَ بِذَلِكَ وَ لْيُغَسِّلْهَا مِنْ فَوْقِ ثَوْبٍ‌</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الْمَرْأَةُ تُغَسِّلُ زَوْجَهَا إِذَا مَاتَ وَ لَا تَتَعَمَّدُ النَّظَرَ إِلَي الْفَرْجِ‌</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عَلِيُّ بْنُ الْحُسَيْنِ عليهما السلام قَالَ أَبُو جَعْفَرٍ عليه السلام لَقَدْ كُنْتُ أَكْرَهُ أَنْ أَنْظُرَ إِلَي عَوْرَتِكَ فِي حَيَاتِكَ فَمَا أَنَا بِالَّذِي أَنْظُرُ إِلَيْهَا بَعْدَ مَوْتِكَ فَأَدْخَلَ يَدَهُ مِنْ تَحْتِ الثَّوْبِ فَغَسَّلَهُ وَ دَعَا أُمَّ وَلَدِهِ فَأَدْخَلَتْ يَدَهَا مَعَهُ فَغَسَّلَتْهُ وَ قَالَ أَبُو عَبْدِ اللَّهِ عليه السلام وَ كَذَلِكَ فَعَلْتُ أَنَا بِأَبِي عليه السلام‌</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يَمُوتُ بَيْنَ النِّسَاءِ لَا مَحْرَمَ لَهُ مِنْهُنَّ وَ الْمَرْأَةُ</w:t>
      </w:r>
    </w:p>
    <w:p>
      <w:pPr>
        <w:pStyle w:val="BookText"/>
        <w:rPr/>
      </w:pPr>
      <w:r>
        <w:rPr>
          <w:rFonts w:ascii="IRNazanin" w:hAnsi="IRNazanin" w:eastAsia="IRNazanin"/>
          <w:color w:val="111111"/>
          <w:sz w:val="28"/>
          <w:sz w:val="28"/>
          <w:szCs w:val="28"/>
          <w:rtl w:val="true"/>
          <w:lang w:bidi="fa-IR"/>
        </w:rPr>
        <w:t>جسم تان را زیر و رو کنم، پیامبر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همراه توست و با هم وظیفه غسل دادن مرا به عهده می گیرید،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به روی دست من آب می ریزد؟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به روی دستت آب می ریزد، ولی به او بگو که چشمانش را فرو هشته نگاه دارد، چرا که هر کسی غیر از تو به عورت من نگاه کند نابینا می گردد، 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فضل در حالی که چشمانش را بسته بود بر روی دست علی علیه السلام آب می ریخت و علی و جبرئیل نیز پیامبر را غسل می دادند، درود خداوند بر همه آنان باد</w:t>
      </w:r>
      <w:r>
        <w:rPr>
          <w:rFonts w:eastAsia="IRNazanin" w:cs="IRNazanin"/>
          <w:color w:val="111111"/>
          <w:sz w:val="28"/>
          <w:szCs w:val="28"/>
          <w:rtl w:val="true"/>
          <w:lang w:bidi="fa-IR"/>
        </w:rPr>
        <w:t>.</w:t>
      </w:r>
      <w:r>
        <w:rPr>
          <w:rStyle w:val="FootnoteAnchor"/>
          <w:rtl w:val="true"/>
        </w:rPr>
        <w:footnoteReference w:id="1483"/>
      </w:r>
    </w:p>
    <w:p>
      <w:pPr>
        <w:pStyle w:val="BookText"/>
        <w:rPr/>
      </w:pPr>
      <w:r>
        <w:rPr>
          <w:rFonts w:ascii="IRNazanin" w:hAnsi="IRNazanin" w:eastAsia="IRNazanin"/>
          <w:color w:val="111111"/>
          <w:sz w:val="28"/>
          <w:sz w:val="28"/>
          <w:szCs w:val="28"/>
          <w:rtl w:val="true"/>
          <w:lang w:bidi="fa-IR"/>
        </w:rPr>
        <w:t>همچنین 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پیامبر صلّی الله علیه و آله را در سه مرحله غسل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با آب، چوبک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سدر، بار دوّم با آبی که در آن ذریره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کافور حلّ شده بود، و بار سوّم با آب خالص، که مرحله پایانی بوده است</w:t>
      </w:r>
      <w:r>
        <w:rPr>
          <w:rFonts w:eastAsia="IRNazanin" w:cs="IRNazanin"/>
          <w:color w:val="111111"/>
          <w:sz w:val="28"/>
          <w:szCs w:val="28"/>
          <w:rtl w:val="true"/>
          <w:lang w:bidi="fa-IR"/>
        </w:rPr>
        <w:t>.</w:t>
      </w:r>
      <w:r>
        <w:rPr>
          <w:rStyle w:val="FootnoteAnchor"/>
          <w:rtl w:val="true"/>
        </w:rPr>
        <w:footnoteReference w:id="1484"/>
      </w:r>
    </w:p>
    <w:p>
      <w:pPr>
        <w:pStyle w:val="BookText"/>
        <w:rPr/>
      </w:pPr>
      <w:r>
        <w:rPr>
          <w:rFonts w:ascii="IRNazanin" w:hAnsi="IRNazanin" w:eastAsia="IRNazanin"/>
          <w:color w:val="111111"/>
          <w:sz w:val="28"/>
          <w:sz w:val="28"/>
          <w:szCs w:val="28"/>
          <w:rtl w:val="true"/>
          <w:lang w:bidi="fa-IR"/>
        </w:rPr>
        <w:t>از امام علی علیه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مسلمانی که جسد برادر مسلمان خویش را غسل دهد و او را آلوده و کریه نشمارد و به عورتش نگاه نیاندازد و هیچ عیب و نقصش را بازگو نکند آن گاه جنازه او را تشییع کند، بر او نماز بگزارد و درنگ کند تا در قبر پنهان می گردد، حتماً از گناهانش زدوده خواهد شد</w:t>
      </w:r>
      <w:r>
        <w:rPr>
          <w:rFonts w:eastAsia="IRNazanin" w:cs="IRNazanin"/>
          <w:color w:val="111111"/>
          <w:sz w:val="28"/>
          <w:szCs w:val="28"/>
          <w:rtl w:val="true"/>
          <w:lang w:bidi="fa-IR"/>
        </w:rPr>
        <w:t>.</w:t>
      </w:r>
      <w:r>
        <w:rPr>
          <w:rStyle w:val="FootnoteAnchor"/>
          <w:rtl w:val="true"/>
        </w:rPr>
        <w:footnoteReference w:id="1485"/>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و حائض، میّت را غسل نمی دهند</w:t>
      </w:r>
      <w:r>
        <w:rPr>
          <w:rFonts w:eastAsia="IRNazanin" w:cs="IRNazanin"/>
          <w:color w:val="111111"/>
          <w:sz w:val="28"/>
          <w:szCs w:val="28"/>
          <w:rtl w:val="true"/>
          <w:lang w:bidi="fa-IR"/>
        </w:rPr>
        <w:t>.</w:t>
      </w:r>
      <w:r>
        <w:rPr>
          <w:rStyle w:val="FootnoteAnchor"/>
          <w:rtl w:val="true"/>
        </w:rPr>
        <w:footnoteReference w:id="1486"/>
      </w:r>
    </w:p>
    <w:p>
      <w:pPr>
        <w:pStyle w:val="BookText"/>
        <w:rPr/>
      </w:pP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فاطمه علیهما السلام را غسل داد و فاطمه خود این گونه وصیّت فرموده بود</w:t>
      </w:r>
      <w:r>
        <w:rPr>
          <w:rFonts w:eastAsia="IRNazanin" w:cs="IRNazanin"/>
          <w:color w:val="111111"/>
          <w:sz w:val="28"/>
          <w:szCs w:val="28"/>
          <w:rtl w:val="true"/>
          <w:lang w:bidi="fa-IR"/>
        </w:rPr>
        <w:t>.</w:t>
      </w:r>
      <w:r>
        <w:rPr>
          <w:rStyle w:val="FootnoteAnchor"/>
          <w:rtl w:val="true"/>
        </w:rPr>
        <w:footnoteReference w:id="1487"/>
      </w:r>
    </w:p>
    <w:p>
      <w:pPr>
        <w:pStyle w:val="BookText"/>
        <w:rPr/>
      </w:pP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نزد من وصیّت نمود که کسی غیر از من او را غسل ندهد، و اسماء دختر عمیس هنگام غسل بر روی دست من آب ریخت</w:t>
      </w:r>
      <w:r>
        <w:rPr>
          <w:rFonts w:eastAsia="IRNazanin" w:cs="IRNazanin"/>
          <w:color w:val="111111"/>
          <w:sz w:val="28"/>
          <w:szCs w:val="28"/>
          <w:rtl w:val="true"/>
          <w:lang w:bidi="fa-IR"/>
        </w:rPr>
        <w:t>.</w:t>
      </w:r>
      <w:r>
        <w:rPr>
          <w:rStyle w:val="FootnoteAnchor"/>
          <w:rtl w:val="true"/>
        </w:rPr>
        <w:footnoteReference w:id="1488"/>
      </w:r>
    </w:p>
    <w:p>
      <w:pPr>
        <w:pStyle w:val="BookText"/>
        <w:rPr/>
      </w:pP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مرد همسرش را غسل دهد؟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اشکالی ندارد، ولی باید او را از روی پوشش و لباس غسل دهد</w:t>
      </w:r>
      <w:r>
        <w:rPr>
          <w:rFonts w:eastAsia="IRNazanin" w:cs="IRNazanin"/>
          <w:color w:val="111111"/>
          <w:sz w:val="28"/>
          <w:szCs w:val="28"/>
          <w:rtl w:val="true"/>
          <w:lang w:bidi="fa-IR"/>
        </w:rPr>
        <w:t>.</w:t>
      </w:r>
      <w:r>
        <w:rPr>
          <w:rStyle w:val="FootnoteAnchor"/>
          <w:rtl w:val="true"/>
        </w:rPr>
        <w:footnoteReference w:id="1489"/>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نیز اجازه دارد هنگام وفات شوهرش او را غسل دهد، ولی نباید عمداً به فَرج او نگاه بیاندازد</w:t>
      </w:r>
      <w:r>
        <w:rPr>
          <w:rFonts w:eastAsia="IRNazanin" w:cs="IRNazanin"/>
          <w:color w:val="111111"/>
          <w:sz w:val="28"/>
          <w:szCs w:val="28"/>
          <w:rtl w:val="true"/>
          <w:lang w:bidi="fa-IR"/>
        </w:rPr>
        <w:t>.</w:t>
      </w:r>
      <w:r>
        <w:rPr>
          <w:rStyle w:val="FootnoteAnchor"/>
          <w:rtl w:val="true"/>
        </w:rPr>
        <w:footnoteReference w:id="1490"/>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سجاد علیه السلام وفات نمود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ناپسند می شمردم زمانی که در قید حیات بودی به عورتت نگاه کنم، پس بعد از وفاتت نیز به آن نگاه نخواهم انداخت، آن گاه دست خود را از زیر لباس پدر وارد نمود و جسد او را غسل داد، و یکی از کنیزان ام ولد او را فرا خواند، او نیز دستش را از زیر لباس وارد نمود و عورت امام را غسل داد،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هنگام غسل پدرم، درود خدا بر او، چنین کردم</w:t>
      </w:r>
      <w:r>
        <w:rPr>
          <w:rFonts w:eastAsia="IRNazanin" w:cs="IRNazanin"/>
          <w:color w:val="111111"/>
          <w:sz w:val="28"/>
          <w:szCs w:val="28"/>
          <w:rtl w:val="true"/>
          <w:lang w:bidi="fa-IR"/>
        </w:rPr>
        <w:t>.</w:t>
      </w:r>
      <w:r>
        <w:rPr>
          <w:rStyle w:val="FootnoteAnchor"/>
          <w:rtl w:val="true"/>
        </w:rPr>
        <w:footnoteReference w:id="1491"/>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علیه السلام درباره غسل دادن مردی سؤال شد که در میان زنانی وفات می کند که هیچ یک محرم او نیستند، همچنین زنی </w:t>
      </w:r>
      <w:bookmarkStart w:id="3028" w:name="pg13517_329339"/>
    </w:p>
    <w:p>
      <w:pPr>
        <w:pStyle w:val="BookText"/>
        <w:rPr/>
      </w:pPr>
      <w:bookmarkEnd w:id="3028"/>
      <w:r>
        <w:rPr>
          <w:rFonts w:ascii="Amiri" w:hAnsi="Amiri" w:eastAsia="Amiri" w:cs="Amiri"/>
          <w:color w:val="111111"/>
          <w:sz w:val="28"/>
          <w:sz w:val="28"/>
          <w:szCs w:val="28"/>
          <w:rtl w:val="true"/>
          <w:lang w:bidi="ar-SA"/>
        </w:rPr>
        <w:t>كَذَلِكَ تَمُوتُ بَيْنَ الرِّجَالِ فَلَا يُوجَدُ مَنْ يُغَسِّلُهُمَا قَالَ يُدْفَنَانِ بِغَيْرِ غُسْلٍ‌</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الْغَرِيقُ يُغَسَّلُ‌</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هُوَ جُنُبٌ أَجْزَأَ عَنْهُ غُسْلٌ وَاحِدٌ وَ كَذَلِكَ الْحَائِضُ‌</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الْمَيِّتِ ثَلَاثُ غَسَلَاتٍ غَسْلَةٌ بِالْمَاءِ وَ السِّدْرِ وَ غَسْلَةٌ بِالْمَاءِ وَ الْكَافُورِ وَ الثَّالِثَةُ بِالْمَاءِ مَحْضاً وَ كُلُّ غَسْلَةٍ مِنْهَا كَغُسْلِ الْجَنَابَةِ يَبْدَأُ فَيُوَضِّئُ كَوُضُوءِ الصَّلَاةِ ثُمَّ يُمِرُّ الْمَاءَ عَلَي جَسَدِهِ كُلِّهِ وَ يُقَلِّبُهُ لِجَنْبِهِ وَ لَا يُجْلِسُهُ فَإِنَّهُ إِذَا أَجْلَسَهُ انْدَقَّ ظَهْرُهُ وَ لَكِنْ يُقَلِّبُهُ لِجَنْبَيْهِ وَ يَغْسِلُ ظَهْرَهُ وَ هُوَ كَذَلِكَ وَ يُمِرُّ يَدَيْهِ عَلَي سَائِرِ جَسَدِهِ كَمَا يَفْعَلُ الْجُنُبُ إِذَا اغْتَسَلَ‌</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عَلَي الْمَيِّتِ حِينَ يُغَسَّلُ إِزَارٌ مِنْ سُرَّتِهِ إِلَي رُكْبَتِهِ وَ يُمَرُّ الْمَاءُ مِنْ تَحْتِهِ وَ يَلُفُّ الْغَاسِلُ عَلَي يَدِهِ خِرْقَةً وَ يُدْخِلُهَا مِنْ تَحْتِ الْإِزَارِ فَيَغْسِلُ فَرْجَهُ وَ سَائِرَ عَوْرَتِهِ الَّتِي تَحْتَ الْإِزَارِ</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9" w:name="__RefHeading___Toc607706_1934241801"/>
      <w:bookmarkStart w:id="3030" w:name="_Toc1397"/>
      <w:bookmarkEnd w:id="3029"/>
      <w:r>
        <w:rPr>
          <w:rtl w:val="true"/>
        </w:rPr>
        <w:t>بيان</w:t>
      </w:r>
      <w:bookmarkEnd w:id="3030"/>
    </w:p>
    <w:p>
      <w:pPr>
        <w:pStyle w:val="BookText"/>
        <w:rPr/>
      </w:pPr>
      <w:r>
        <w:rPr>
          <w:rFonts w:ascii="Amiri" w:hAnsi="Amiri" w:eastAsia="Amiri" w:cs="Amiri"/>
          <w:color w:val="111111"/>
          <w:sz w:val="28"/>
          <w:sz w:val="28"/>
          <w:szCs w:val="28"/>
          <w:rtl w:val="true"/>
          <w:lang w:bidi="ar-SA"/>
        </w:rPr>
        <w:t>قال في النهاية يقال قذرت الشي‌ء أقذره إذا كرهته و اجتنبته قوله عليه السلام عطلا من ذنوبه أي خاليا قال في القاموس عطل من المال و الأدب خلا فهو عطل بضمة و بضمتين و قوس عطل بلا وتر انتهي</w:t>
      </w:r>
      <w:r>
        <w:rPr>
          <w:rFonts w:eastAsia="Amiri" w:cs="Amiri" w:ascii="Amiri" w:hAnsi="Amiri"/>
          <w:color w:val="111111"/>
          <w:sz w:val="28"/>
          <w:szCs w:val="28"/>
          <w:rtl w:val="true"/>
          <w:lang w:bidi="ar-SA"/>
        </w:rPr>
        <w:t>.</w:t>
      </w:r>
    </w:p>
    <w:p>
      <w:pPr>
        <w:pStyle w:val="Heading5"/>
        <w:numPr>
          <w:ilvl w:val="4"/>
          <w:numId w:val="1"/>
        </w:numPr>
        <w:rPr/>
      </w:pPr>
      <w:bookmarkStart w:id="3031" w:name="__RefHeading___Toc607708_1934241801"/>
      <w:bookmarkStart w:id="3032" w:name="_Toc1398"/>
      <w:bookmarkEnd w:id="3031"/>
      <w:r>
        <w:rPr>
          <w:rtl w:val="true"/>
        </w:rPr>
        <w:t>«</w:t>
      </w:r>
      <w:r>
        <w:rPr/>
        <w:t>28</w:t>
      </w:r>
      <w:r>
        <w:rPr>
          <w:rtl w:val="true"/>
        </w:rPr>
        <w:t>»</w:t>
      </w:r>
      <w:bookmarkEnd w:id="3032"/>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الْمَيِّتَ أَوْلَي النَّاسِ بِهِ أَوْ مَنْ يَأْمُرُهُ الْوَلِيُّ بِذَلِكَ إِلَي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 مِنْ أَمْرِ الْكَفَنِ وَضَعَ الْمَيِّتَ عَلَي الْمُغْتَسَلِ وَ جَعَلَ بَاطِنَ رِجْلَيْهِ إِلَي الْقِبْلَةِ وَ يَنْزِعُ الْقَمِيصَ مِنْ فَوْقُ إِلَي سُرَّتِهِ وَ يَتْرُكُهُ إِلَي أَنْ يَفْرُغَ مِنْ غُسْلِهِ لِيَسْتُرَ بِهِ عَوْرَتَهُ فَإِذَا لَمْ يَكُنْ عَلَيْهِ قَمِيصٌ أَلْقَي عَلَي عَوْرَتِهِ مَا يَسْتُرُهَا بِهِ وَ يُلَيِّنُ أَصَابِعَهُ بِرِفْقٍ فَإِنْ تَصَعَّبَتْ عَلَيْهِ فَلْيَدَعْهَا وَ يَمْسَحُ يَدَهُ عَلَي بَطْنِهِ مَسْحاً رَفِيقاً</w:t>
      </w:r>
      <w:r>
        <w:rPr>
          <w:rStyle w:val="FootnoteAnchor"/>
          <w:rtl w:val="true"/>
        </w:rPr>
        <w:footnoteReference w:id="1497"/>
      </w:r>
    </w:p>
    <w:p>
      <w:pPr>
        <w:pStyle w:val="BookText"/>
        <w:rPr/>
      </w:pPr>
      <w:r>
        <w:rPr>
          <w:rFonts w:ascii="IRNazanin" w:hAnsi="IRNazanin" w:eastAsia="IRNazanin"/>
          <w:color w:val="111111"/>
          <w:sz w:val="28"/>
          <w:sz w:val="28"/>
          <w:szCs w:val="28"/>
          <w:rtl w:val="true"/>
          <w:lang w:bidi="fa-IR"/>
        </w:rPr>
        <w:t>که در میان مردانی وفات می کند و هیچ کسی یافت نمی شود که آنان را غسل دهد؟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غسل دفن می شوند</w:t>
      </w:r>
      <w:r>
        <w:rPr>
          <w:rFonts w:eastAsia="IRNazanin" w:cs="IRNazanin"/>
          <w:color w:val="111111"/>
          <w:sz w:val="28"/>
          <w:szCs w:val="28"/>
          <w:rtl w:val="true"/>
          <w:lang w:bidi="fa-IR"/>
        </w:rPr>
        <w:t>.</w:t>
      </w:r>
      <w:r>
        <w:rPr>
          <w:rStyle w:val="FootnoteAnchor"/>
          <w:rtl w:val="true"/>
        </w:rPr>
        <w:footnoteReference w:id="1498"/>
      </w:r>
    </w:p>
    <w:p>
      <w:pPr>
        <w:pStyle w:val="BookText"/>
        <w:rPr/>
      </w:pP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آب غرق شده است غسل داده می شود</w:t>
      </w:r>
      <w:r>
        <w:rPr>
          <w:rFonts w:eastAsia="IRNazanin" w:cs="IRNazanin"/>
          <w:color w:val="111111"/>
          <w:sz w:val="28"/>
          <w:szCs w:val="28"/>
          <w:rtl w:val="true"/>
          <w:lang w:bidi="fa-IR"/>
        </w:rPr>
        <w:t>.</w:t>
      </w:r>
      <w:r>
        <w:rPr>
          <w:rStyle w:val="FootnoteAnchor"/>
          <w:rtl w:val="true"/>
        </w:rPr>
        <w:footnoteReference w:id="1499"/>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حال جنابت وفات نماید یک غسل او را کفایت می کند، حائض نیز چنین است</w:t>
      </w:r>
      <w:r>
        <w:rPr>
          <w:rFonts w:eastAsia="IRNazanin" w:cs="IRNazanin"/>
          <w:color w:val="111111"/>
          <w:sz w:val="28"/>
          <w:szCs w:val="28"/>
          <w:rtl w:val="true"/>
          <w:lang w:bidi="fa-IR"/>
        </w:rPr>
        <w:t>.</w:t>
      </w:r>
      <w:r>
        <w:rPr>
          <w:rStyle w:val="FootnoteAnchor"/>
          <w:rtl w:val="true"/>
        </w:rPr>
        <w:footnoteReference w:id="1500"/>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سه مرتبه غسل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با آب و سدر، بار دوّم با آب و کافور، و بار سوّم با آب خالص، شیوه غسل در هر مرحله مانند غسل جنابت است یعنی غسل دهنده در آغاز مانند وضوی نماز وضو داده می شود، سپس آب را بر تمام اعضای میّت جاری می سازد، و او را در حالت نشسته قرار نمی دهد بلکه به پهلو قرارش می دهد، چرا که اگر نشانده شود کمرش می شکند، بنابراین میّت را بر دو پهلو زیر و رو می کند و پشتش را غسل می دهد، و دست خود را بر روی سایر اعضای میّت می کشد آن  گونه که جنب هنگام غسل چنین می کند</w:t>
      </w:r>
      <w:r>
        <w:rPr>
          <w:rFonts w:eastAsia="IRNazanin" w:cs="IRNazanin"/>
          <w:color w:val="111111"/>
          <w:sz w:val="28"/>
          <w:szCs w:val="28"/>
          <w:rtl w:val="true"/>
          <w:lang w:bidi="fa-IR"/>
        </w:rPr>
        <w:t>.</w:t>
      </w:r>
      <w:r>
        <w:rPr>
          <w:rStyle w:val="FootnoteAnchor"/>
          <w:rtl w:val="true"/>
        </w:rPr>
        <w:footnoteReference w:id="1501"/>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میّت غسل داده می شود پارچه ای بر روی ناف تا زانویش انداخته می شود، غسل دهنده نیز پارچه ای را به دست خود می پیچد و آن را از زیر پارچه وارد می کند و عورت و سایر اعضایی که در زیر پارچه قرار گرفته است را غسل می دهد</w:t>
      </w:r>
      <w:r>
        <w:rPr>
          <w:rFonts w:eastAsia="IRNazanin" w:cs="IRNazanin"/>
          <w:color w:val="111111"/>
          <w:sz w:val="28"/>
          <w:szCs w:val="28"/>
          <w:rtl w:val="true"/>
          <w:lang w:bidi="fa-IR"/>
        </w:rPr>
        <w:t>.</w:t>
      </w:r>
      <w:r>
        <w:rPr>
          <w:rStyle w:val="FootnoteAnchor"/>
          <w:rtl w:val="true"/>
        </w:rPr>
        <w:footnoteReference w:id="1502"/>
      </w:r>
    </w:p>
    <w:p>
      <w:pPr>
        <w:pStyle w:val="Heading5"/>
        <w:numPr>
          <w:ilvl w:val="4"/>
          <w:numId w:val="1"/>
        </w:numPr>
        <w:rPr/>
      </w:pPr>
      <w:bookmarkStart w:id="3033" w:name="__RefHeading___Toc607710_1934241801"/>
      <w:bookmarkStart w:id="3034" w:name="_Toc1399"/>
      <w:bookmarkEnd w:id="3033"/>
      <w:r>
        <w:rPr>
          <w:rtl w:val="true"/>
        </w:rPr>
        <w:t>توضیح</w:t>
      </w:r>
      <w:bookmarkEnd w:id="3034"/>
    </w:p>
    <w:p>
      <w:pPr>
        <w:pStyle w:val="BookText"/>
        <w:rPr/>
      </w:pPr>
      <w:r>
        <w:rPr>
          <w:rFonts w:ascii="IRNazanin" w:hAnsi="IRNazanin" w:eastAsia="IRNazanin"/>
          <w:color w:val="111111"/>
          <w:sz w:val="28"/>
          <w:sz w:val="28"/>
          <w:szCs w:val="28"/>
          <w:rtl w:val="true"/>
          <w:lang w:bidi="fa-IR"/>
        </w:rPr>
        <w:t>شیخ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قذرتُ الشیءَ أقذره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ناپسند شمردم و از آن دوری جستم، 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عُطلاً من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گناهان زدوده شده و فارغ گشته است، 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عطل من المال و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و ادب خالی و فارغ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مال و بی ادب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بیکار و بی ادب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عُطِل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بدون چلّه، پایان نقل قول</w:t>
      </w:r>
      <w:r>
        <w:rPr>
          <w:rFonts w:eastAsia="IRNazanin" w:cs="IRNazanin"/>
          <w:color w:val="111111"/>
          <w:sz w:val="28"/>
          <w:szCs w:val="28"/>
          <w:rtl w:val="true"/>
          <w:lang w:bidi="fa-IR"/>
        </w:rPr>
        <w:t>.</w:t>
      </w:r>
    </w:p>
    <w:p>
      <w:pPr>
        <w:pStyle w:val="Heading5"/>
        <w:numPr>
          <w:ilvl w:val="4"/>
          <w:numId w:val="1"/>
        </w:numPr>
        <w:rPr/>
      </w:pPr>
      <w:bookmarkStart w:id="3035" w:name="__RefHeading___Toc607712_1934241801"/>
      <w:bookmarkStart w:id="3036" w:name="_Toc1400"/>
      <w:bookmarkEnd w:id="3035"/>
      <w:r>
        <w:rPr>
          <w:rtl w:val="true"/>
        </w:rPr>
        <w:t xml:space="preserve">روایت </w:t>
      </w:r>
      <w:r>
        <w:rPr/>
        <w:t>28</w:t>
      </w:r>
      <w:bookmarkEnd w:id="3036"/>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شخص به میّت یا کسی که ولی میّت مأمورش کرده باشد او را غسل می دهد، تا آنجا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غسل دهنده از امورات مربوط به کفن فارغ گشت، میّت را بر روی مکان غسل قرار می دهد و کف پاهای او را به سوی قبله می چرخاند، آن گاه لباس میّت را از بالا تا ناف او در می آورد و به خاطر اینکه عورت میّت پوشیده بماند، از درآوردن بیقّه لباس خودداری می کند، و اگر بر روی میّت هیچ پوششی قرار نداشته باشد پوششی را بر روی او قرار می دهد تا عورتش پوشیده بماند، و انگشتان میّت را به آرامی مالش می دهد و اگر انجام این کار برای غسل دهنده سخت باشد می تواند آن را رها کند، همچنین دستش را به آرامی بر روی شکم میّت می کشد</w:t>
      </w:r>
      <w:r>
        <w:rPr>
          <w:rFonts w:eastAsia="IRNazanin" w:cs="IRNazanin"/>
          <w:color w:val="111111"/>
          <w:sz w:val="28"/>
          <w:szCs w:val="28"/>
          <w:rtl w:val="true"/>
          <w:lang w:bidi="fa-IR"/>
        </w:rPr>
        <w:t>.</w:t>
      </w:r>
      <w:r>
        <w:rPr>
          <w:rStyle w:val="FootnoteAnchor"/>
          <w:rtl w:val="true"/>
        </w:rPr>
        <w:footnoteReference w:id="1503"/>
      </w:r>
      <w:bookmarkStart w:id="3037" w:name="pg13517_329340"/>
    </w:p>
    <w:p>
      <w:pPr>
        <w:pStyle w:val="BookText"/>
        <w:rPr/>
      </w:pPr>
      <w:bookmarkEnd w:id="3037"/>
      <w:r>
        <w:rPr>
          <w:rFonts w:ascii="Amiri" w:hAnsi="Amiri" w:eastAsia="Amiri" w:cs="Amiri"/>
          <w:color w:val="111111"/>
          <w:sz w:val="28"/>
          <w:sz w:val="28"/>
          <w:szCs w:val="28"/>
          <w:rtl w:val="true"/>
          <w:lang w:bidi="ar-SA"/>
        </w:rPr>
        <w:t>وَ قَالَ أَبِي ره فِي رِسَالَتِهِ إِلَيَّ ابْدَأْ بِيَدَيْهِ فَاغْسِلْهُمَا بِثَلَاثِ حُمَيْدِيَّاتٍ بِمَاءِ السِّدْرِ ثُمَّ تَلُفُّ عَلَي يَدِكَ الْيُسْرَي خِرْقَةً تَجْعَلُ عَلَيْهَا شَيْئاً مِنَ الْحُرُضِ وَ هُوَ الْأُشْنَانُ وَ تُدْخِلُ يَدَكَ تَحْتَ الثَّوْبِ وَ يَصُبُّ عَلَيْكَ غَيْرُكَ الْمَاءَ مِنْ فَوْقُ إِلَي سُرَّتِهِ وَ تَغْسِلُ قُبُلَهُ وَ دُبُرَهُ وَ لَا تَقْطَعِ الْمَاءَ عَنْهُ ثُمَّ تَغْسِلُ رَأْسَهُ وَ لِحْيَتَهُ بِرَغْوَةِ السِّدْرِ وَ بَعْدَهُ بِثَلَاثِ حُمَيْدِيَّاتٍ وَ لَا تُقْعِدْهُ ثُمَّ تُقَلِّبُهُ إِلَي الْجَانِبِ الْأَيْسَرِ لِيَبْدُوَ لَكَ الْأَيْمَنُ وَ تَمُدُّ يَدَهُ الْيُمْنَي عَلَي جَنْبِهِ الْأَيْمَنِ إِلَي حَيْثُ بَلَغَتْ ثُمَّ تُغَسِّلُهُ بِثَلَاثِ حُمَيْدِيَّاتٍ مِنْ قَرْنِهِ إِلَي قَدَمِهِ وَ لَا تَقْطَعِ الْمَاءَ عَنْهُ ثُمَّ تُقَلِّبُهُ إِلَي جَانِبِهِ الْأَيْمَنِ لِيَبْدُوَ لَكَ الْأَيْسَرُ وَ تَمُدُّ يَدَهُ الْيُسْرَي عَلَي جَنْبِهِ الْأَيْسَرِ إِلَي حَيْثُ بَلَغَتْ ثُمَّ تُغَسِّلُهُ بِثَلَاثِ حُمَيْدِيَّاتٍ مِنْ قَرْنِهِ إِلَي قَدَمِهِ وَ لَا تَقْطَعِ الْمَاءَ عَنْهُ ثُمَّ اقْلِبْهُ إِلَي ظَهْرِهِ وَ امْسَحْ بَطْنَهُ مَسْحاً رَفِيقاً وَ اغْسِلْهُ مَرَّةً أُخْرَي بِمَاءٍ وَ شَيْ‌ءٍ مِنْ جُلَالِ الْكَافُورِ مِثْلِ الْغَسْلَةِ الْأُولَي وَ خَضْخِضِ الْأَوَانِيَ الَّتِي فِيهَا الْمَاءُ وَ اغْسِلْهُ الثَّالِثَةَ بِمَاءٍ قَرَاحٍ وَ لَا تَمْسَحْ بَطْنَهُ ثَالِثَةً</w:t>
      </w:r>
      <w:r>
        <w:rPr>
          <w:rStyle w:val="FootnoteAnchor"/>
          <w:rtl w:val="true"/>
        </w:rPr>
        <w:footnoteReference w:id="1504"/>
      </w:r>
    </w:p>
    <w:p>
      <w:pPr>
        <w:pStyle w:val="BookText"/>
        <w:rPr/>
      </w:pPr>
      <w:r>
        <w:rPr>
          <w:rFonts w:ascii="Amiri" w:hAnsi="Amiri" w:eastAsia="Amiri" w:cs="Amiri"/>
          <w:color w:val="111111"/>
          <w:sz w:val="28"/>
          <w:sz w:val="28"/>
          <w:szCs w:val="28"/>
          <w:rtl w:val="true"/>
          <w:lang w:bidi="ar-SA"/>
        </w:rPr>
        <w:t>وَ قُلْ وَ أَنْتَ تُغَسِّلُهُ اللَّهُمَّ عَفْوَكَ عَفْوَكَ فَإِنَّهُ مَنْ فَعَلَ ذَلِكَ عَفَا اللَّهُ عَنْهُ‌</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الْمَجْدُورُ وَ الْمُحْتَرِقُ إِنْ لَمْ يُمْكِنْ غُسْلُهُمَا صُبَّ عَلَيْهِمَا الْمَاءُ صَبّاً يُجْمَعُ مَا سَقَطَ مِنْهُمَا فِي أَكْفَانِهِمَا</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38" w:name="__RefHeading___Toc607714_1934241801"/>
      <w:bookmarkStart w:id="3039" w:name="_Toc1401"/>
      <w:bookmarkEnd w:id="3038"/>
      <w:r>
        <w:rPr>
          <w:rtl w:val="true"/>
        </w:rPr>
        <w:t>«</w:t>
      </w:r>
      <w:r>
        <w:rPr/>
        <w:t>29</w:t>
      </w:r>
      <w:r>
        <w:rPr>
          <w:rtl w:val="true"/>
        </w:rPr>
        <w:t>»</w:t>
      </w:r>
      <w:bookmarkEnd w:id="3039"/>
    </w:p>
    <w:p>
      <w:pPr>
        <w:pStyle w:val="BookText"/>
        <w:rPr/>
      </w:pPr>
      <w:r>
        <w:rPr>
          <w:rFonts w:ascii="Amiri" w:hAnsi="Amiri" w:eastAsia="Amiri" w:cs="Amiri"/>
          <w:color w:val="111111"/>
          <w:sz w:val="28"/>
          <w:sz w:val="28"/>
          <w:szCs w:val="28"/>
          <w:rtl w:val="true"/>
          <w:lang w:bidi="ar-SA"/>
        </w:rPr>
        <w:t>مِصْبَاحُ الْأَنْوَارِ، عَنْ أَبِي عَبْدِ اللَّهِ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غَسَّلَ فَاطِمَةَ ثَلَاثاً وَ خَمْساً وَ جَعَلَ فِي الْغَسْلَةِ الْخَامِسَةِ الْآخِرَةِ شَيْئاً مِنَ الْكَافُورِ وَ أَشْعَرَهَا مِئْزَراً سَابِغاً دُونَ الْكَفَنِ وَ كَانَ هُوَ الَّذِي يَلِي ذَلِكَ مِنْهَا وَ هُوَ يَقُولُ اللَّهُمَّ إِنَّهَا أَمَتُكَ وَ بِنْتُ رَسُولِكَ وَ صَفِيِّكَ وَ خِيَرَتِكَ مِنْ خَلْقِكَ اللَّهُمَّ لَقِّنْهَا حُجَّتَهَا وَ أَعْظِمْ بُرْهَانَهَا وَ أَعْلِ دَرَجَتَهَا وَ اجْمَعْ بَيْنَهَا وَ بَيْنَ أَبِيهَا مُحَمَّدٍ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أَمِيرُ الْمُؤْمِنِينَ رَسُولَ اللَّهِ صلي الله عليه و آله وَ غَسَّلَ أَمِيرَ الْمُؤْمِنِينَ الْحَسَنُ وَلَدُهُ عليهما السلام ثُمَّ قَالَ زَيْدٌ بِأَبِي وَ أُمِّي مَنْ تَوَلَّتِ الْمَلَائِكَةُ غُسْلَهُ قَالَ يَعْنِي أَبَا عَبْدِ اللَّهِ الْحُسَيْنَ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 رحمةالله در نامه ای که به من نگاشت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غسل دادن میّت از دستانش آغاز کن، پس آن ها را با سه پیمانه حمیدیّه آب سدر بشوی، سپس به دست چپ خود پارچه ای می پیچی و مقداری چوبک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روی آن قرار می دهی و دستت را به زیر لباس و پوششی که بر میّت قرار داده شده وارد می کنی، شخص دیگری آب را از بالا تا ناف میّت بر روی دست تو می ریزد و تو نیز فرج او را از پیش و پس غسل می دهی، این در حالی است که آب را بی وقفه و بدون بریدگی بر میّت جاری می سازی، سپس سر و محاسن او را با کف سدر و بعد از آن با سه پیمانه حمیدیّه آب می شویی و میّت را به حالت نشسته قرار نمی دهی، آن گاه او را به پهلوی چپ برمی گردانی تا پهلوی راستش برای تو آشکار شود، و دست راستش را تا جایی که امکان دارد به صورتِ کشیده بر روی پهلوی راستش قرار می دهی، سپس از سر تا پای میّت را به سه پیمانه حمیدیّه و بدون قطع کردن جریان آب غسل می دهی، آن گاه میّت را به پهلوی راست برمی گردانی تا پهلوی چپ او برای تو آشکار گردد، و دست چپش را تا جایی که امکان دارد به صورتِ کشیده بر روی پهلوی چپش قرار می دهی و از سر تا پایش را با سه پیمانه حمیدیّه و بدون قطع کردن جریان آب غسل می دهی، بعداً میّت را به پشت برگردان و شکم او را به آرامی مالش ده، سپس مانند غسل اوّل یک بار دیگر میّت را با آب و مقداری کافور غسل ده؛ و ظرف هایی که در آن ها آب قرار داشته را تکان ده تا پاک شوند، آن گاه بار سوّم میّت را با آب خالص غسل ده ولی این بار بر شکم او دست نکش</w:t>
      </w:r>
      <w:r>
        <w:rPr>
          <w:rFonts w:eastAsia="IRNazanin" w:cs="IRNazanin"/>
          <w:color w:val="111111"/>
          <w:sz w:val="28"/>
          <w:szCs w:val="28"/>
          <w:rtl w:val="true"/>
          <w:lang w:bidi="fa-IR"/>
        </w:rPr>
        <w:t>.</w:t>
      </w:r>
      <w:r>
        <w:rPr>
          <w:rStyle w:val="FootnoteAnchor"/>
          <w:rtl w:val="true"/>
        </w:rPr>
        <w:footnoteReference w:id="1507"/>
      </w:r>
    </w:p>
    <w:p>
      <w:pPr>
        <w:pStyle w:val="BookText"/>
        <w:rPr/>
      </w:pPr>
      <w:r>
        <w:rPr>
          <w:rFonts w:ascii="IRNazanin" w:hAnsi="IRNazanin" w:eastAsia="IRNazanin"/>
          <w:color w:val="111111"/>
          <w:sz w:val="28"/>
          <w:sz w:val="28"/>
          <w:szCs w:val="28"/>
          <w:rtl w:val="true"/>
          <w:lang w:bidi="fa-IR"/>
        </w:rPr>
        <w:t>و در حین غسل دادن میّت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عَفْوَکَ عَفْوَکَ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عفو تو را درخواست می کنم، عفو تو را درخواست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 که این جمله را به زبان آورد خداوند او را مورد عفو خویش قرار می دهد</w:t>
      </w:r>
      <w:r>
        <w:rPr>
          <w:rFonts w:eastAsia="IRNazanin" w:cs="IRNazanin"/>
          <w:color w:val="111111"/>
          <w:sz w:val="28"/>
          <w:szCs w:val="28"/>
          <w:rtl w:val="true"/>
          <w:lang w:bidi="fa-IR"/>
        </w:rPr>
        <w:t>.</w:t>
      </w:r>
      <w:r>
        <w:rPr>
          <w:rStyle w:val="FootnoteAnchor"/>
          <w:rtl w:val="true"/>
        </w:rPr>
        <w:footnoteReference w:id="1508"/>
      </w:r>
    </w:p>
    <w:p>
      <w:pPr>
        <w:pStyle w:val="BookText"/>
        <w:rPr/>
      </w:pPr>
      <w:r>
        <w:rPr>
          <w:rFonts w:ascii="IRNazanin" w:hAnsi="IRNazanin" w:eastAsia="IRNazanin"/>
          <w:color w:val="111111"/>
          <w:sz w:val="28"/>
          <w:sz w:val="28"/>
          <w:szCs w:val="28"/>
          <w:rtl w:val="true"/>
          <w:lang w:bidi="fa-IR"/>
        </w:rPr>
        <w:t>اگر غسل دادن شخص مبتلا به آبله یا سوختگی امکان پذیر نباشد فقط آب را بر آنان جاری ساز، و قسمت هایی که از بدن آن ها جدا می شود را در کفن شان بگذار</w:t>
      </w:r>
      <w:r>
        <w:rPr>
          <w:rFonts w:eastAsia="IRNazanin" w:cs="IRNazanin"/>
          <w:color w:val="111111"/>
          <w:sz w:val="28"/>
          <w:szCs w:val="28"/>
          <w:rtl w:val="true"/>
          <w:lang w:bidi="fa-IR"/>
        </w:rPr>
        <w:t>.</w:t>
      </w:r>
      <w:r>
        <w:rPr>
          <w:rStyle w:val="FootnoteAnchor"/>
          <w:rtl w:val="true"/>
        </w:rPr>
        <w:footnoteReference w:id="1509"/>
      </w:r>
    </w:p>
    <w:p>
      <w:pPr>
        <w:pStyle w:val="Heading5"/>
        <w:numPr>
          <w:ilvl w:val="4"/>
          <w:numId w:val="1"/>
        </w:numPr>
        <w:rPr/>
      </w:pPr>
      <w:bookmarkStart w:id="3040" w:name="__RefHeading___Toc607716_1934241801"/>
      <w:bookmarkStart w:id="3041" w:name="_Toc1402"/>
      <w:bookmarkEnd w:id="3040"/>
      <w:r>
        <w:rPr>
          <w:rtl w:val="true"/>
        </w:rPr>
        <w:t xml:space="preserve">روایت </w:t>
      </w:r>
      <w:r>
        <w:rPr/>
        <w:t>29</w:t>
      </w:r>
      <w:bookmarkEnd w:id="3041"/>
    </w:p>
    <w:p>
      <w:pPr>
        <w:pStyle w:val="BookText"/>
        <w:rPr/>
      </w:pP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 السلام روایت شده که امیرالمؤمنین علیه السلام فاطمه علیها السلام را سه و پنج بار غسل داد، و در غسل پنجم از مقداری کافور استفاده کرد، همچنین در زیر کفن پوشش گشادی را بر تن فاطمه علیهاالسلام پوشانید، حال آنکه امیر المؤمنین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إِنَّهَا أَمَتُکَ وَ بِنْتُ رَسُولِکَ وَ صَفِیِّکَ وَ خِیَرَتِکَ مِنْ خَلْقِکَ اللَّهُمَّ لَقِّنْهَا حُجَّتَهَا وَ أَعْظِمْ بُرْهَانَهَا وَ أَعْلِ دَرَجَتَهَا وَ اجْمَعْ بَیْنَهَا وَ بَیْنَ أَبِیهَا مُحَمَّدٍ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فاطمه کنیز تو، دختر رسول تو و برگزیده و بهترین مخلوقات توست؛ خداوندا، حجتش را به او تلقین بنما، دلیلش را با عظمت، درجاتش را عالی و او را با پدرش محمّد صلّی الله علیه وآله جمع گردان</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زید بن علی روایت شده که امیرالمؤنین علیه السلام پیامبر صلّی الله علیه وآله را غسل داد، و امام حسن علیه السلام نیز امیرالمؤمنین را غسل داد، سپس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کسی که ملائکه غسل او را به عهده می گیرند یعنی امام حسین علیه السلام</w:t>
      </w:r>
      <w:r>
        <w:rPr>
          <w:rFonts w:eastAsia="IRNazanin" w:cs="IRNazanin"/>
          <w:color w:val="111111"/>
          <w:sz w:val="28"/>
          <w:szCs w:val="28"/>
          <w:rtl w:val="true"/>
          <w:lang w:bidi="fa-IR"/>
        </w:rPr>
        <w:t xml:space="preserve">. </w:t>
      </w:r>
      <w:bookmarkStart w:id="3042" w:name="pg13517_329341"/>
    </w:p>
    <w:p>
      <w:pPr>
        <w:pStyle w:val="BookText"/>
        <w:rPr/>
      </w:pPr>
      <w:bookmarkEnd w:id="3042"/>
      <w:r>
        <w:rPr>
          <w:rFonts w:ascii="Amiri" w:hAnsi="Amiri" w:eastAsia="Amiri" w:cs="Amiri"/>
          <w:color w:val="111111"/>
          <w:sz w:val="28"/>
          <w:sz w:val="28"/>
          <w:szCs w:val="28"/>
          <w:rtl w:val="true"/>
          <w:lang w:bidi="ar-SA"/>
        </w:rPr>
        <w:t>وَ قَالَ زَيْدٌ نَحْنُ الْمَوْتُورُونَ وَ نَحْنُ الْمَظْلُومُونَ فَوَيْلٌ لِمَنْ جَهِلَ أَمْرَنَا وَ طُوبَي لِمَنْ عَرَفَ حَقَّنَا</w:t>
      </w:r>
      <w:r>
        <w:rPr>
          <w:rFonts w:eastAsia="Amiri" w:cs="Amiri" w:ascii="Amiri" w:hAnsi="Amiri"/>
          <w:color w:val="111111"/>
          <w:sz w:val="28"/>
          <w:szCs w:val="28"/>
          <w:rtl w:val="true"/>
          <w:lang w:bidi="ar-SA"/>
        </w:rPr>
        <w:t>.</w:t>
      </w:r>
    </w:p>
    <w:p>
      <w:pPr>
        <w:pStyle w:val="Heading5"/>
        <w:numPr>
          <w:ilvl w:val="4"/>
          <w:numId w:val="1"/>
        </w:numPr>
        <w:rPr/>
      </w:pPr>
      <w:bookmarkStart w:id="3043" w:name="__RefHeading___Toc607718_1934241801"/>
      <w:bookmarkStart w:id="3044" w:name="_Toc1403"/>
      <w:bookmarkEnd w:id="3043"/>
      <w:r>
        <w:rPr>
          <w:rtl w:val="true"/>
        </w:rPr>
        <w:t>«</w:t>
      </w:r>
      <w:r>
        <w:rPr/>
        <w:t>30</w:t>
      </w:r>
      <w:r>
        <w:rPr>
          <w:rtl w:val="true"/>
        </w:rPr>
        <w:t>»</w:t>
      </w:r>
      <w:bookmarkEnd w:id="3044"/>
    </w:p>
    <w:p>
      <w:pPr>
        <w:pStyle w:val="BookText"/>
        <w:rPr/>
      </w:pPr>
      <w:r>
        <w:rPr>
          <w:rFonts w:ascii="Amiri" w:hAnsi="Amiri" w:eastAsia="Amiri" w:cs="Amiri"/>
          <w:color w:val="111111"/>
          <w:sz w:val="28"/>
          <w:sz w:val="28"/>
          <w:szCs w:val="28"/>
          <w:rtl w:val="true"/>
          <w:lang w:bidi="ar-SA"/>
        </w:rPr>
        <w:t>كِتَابُ دَلَائِلِ الْإِمَامَةِ لِلطَّبَرِيِّ الْإِمَامِيِّ، عَنْ أَحْمَدَ بْنِ مُحَمَّدٍ الْخَشَّابِ عَنْ زَكَرِيَّا بْنِ يَحْيَي عَنِ ابْنِ أَبِي زَائِدَةَ عَنْ أَبِيهِ عَنْ مُحَمَّدِ بْنِ الْحَسَنِ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صلي الله عليه و آله رَأَتْ فَاطِمَةُ عليها السلام رُؤْيَا طَوِيلَةً بَشَّرَهَا رَسُولُ اللَّهِ صلي الله عليه و آله بِاللُّحُوقِ بِهِ وَ أَرَاهَا مَنْزِلَهَا فَلَمَّا انْتَبَهَتْ قَالَتْ لِأَمِيرِ الْمُؤْمِنِينَ عليه السلام إِذَا تُوُفِّيتُ لَا تُعْلِمْ أَحَداً إِلَّا أُمَّ سَلَمَةَ وَ أُمَّ أَيْمَنَ وَ فِضَّةَ وَ مِنَ الرِّجَالِ ابْنَيَّ وَ الْعَبَّاسَ وَ سَلْمَانَ وَ عَمَّاراً وَ الْمِقْدَادَ وَ أَبَا ذَرٍّ وَ حُذَيْفَةَ وَ قَالَتْ إِنِّي أَحْلَلْتُكَ أَنْ تَرَانِي بَعْدَ مَوْتِي فَكُنْ مِنَ النِّسْوَةِ فِيمَنْ يُغَسِّلُنِي وَ لَا تَدْفِنِّي إِلَّا لَيْلًا وَ لَا تُعْلِمْ أَحَداً قَبْرِي تَمَامَ الْحَدِيثِ‌</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5" w:name="__RefHeading___Toc607720_1934241801"/>
      <w:bookmarkStart w:id="3046" w:name="_Toc1404"/>
      <w:bookmarkEnd w:id="3045"/>
      <w:r>
        <w:rPr>
          <w:rtl w:val="true"/>
        </w:rPr>
        <w:t>«</w:t>
      </w:r>
      <w:r>
        <w:rPr/>
        <w:t>31</w:t>
      </w:r>
      <w:r>
        <w:rPr>
          <w:rtl w:val="true"/>
        </w:rPr>
        <w:t>»</w:t>
      </w:r>
      <w:bookmarkEnd w:id="3046"/>
    </w:p>
    <w:p>
      <w:pPr>
        <w:pStyle w:val="BookText"/>
        <w:rPr/>
      </w:pPr>
      <w:r>
        <w:rPr>
          <w:rFonts w:ascii="Amiri" w:hAnsi="Amiri" w:eastAsia="Amiri" w:cs="Amiri"/>
          <w:color w:val="111111"/>
          <w:sz w:val="28"/>
          <w:sz w:val="28"/>
          <w:szCs w:val="28"/>
          <w:rtl w:val="true"/>
          <w:lang w:bidi="ar-SA"/>
        </w:rPr>
        <w:t>وَ مِنْهُ، عَنْ مُحَمَّدِ بْنِ هَارُونَ بْنِ مُوسَي التَّلَّعُكْبَرِيِّ عَنْ أَبِيهِ عَنْ مُحَمَّدِ بْنِ هَمَّامٍ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قُبِضَتْ فَاطِمَةُ عليها السلام غَسَّلَهَا أَمِيرُ الْمُؤْمِنِينَ عليه السلام وَ لَمْ يَحْضُرْهَا غَيْرُهُ وَ الْحَسَنِ وَ الْحُسَيْنِ عليهما السلام وَ زَيْنَبَ وَ أُمِّ كُلْثُومٍ وَ فِضَّةَ جَارِيَتِهَا وَ أَسْمَاءَ بِنْتِ عُمَيْسٍ الْخَبَرَ</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7" w:name="__RefHeading___Toc607722_1934241801"/>
      <w:bookmarkStart w:id="3048" w:name="_Toc1405"/>
      <w:bookmarkEnd w:id="3047"/>
      <w:r>
        <w:rPr>
          <w:rtl w:val="true"/>
        </w:rPr>
        <w:t>«</w:t>
      </w:r>
      <w:r>
        <w:rPr/>
        <w:t>32</w:t>
      </w:r>
      <w:r>
        <w:rPr>
          <w:rtl w:val="true"/>
        </w:rPr>
        <w:t>»</w:t>
      </w:r>
      <w:bookmarkEnd w:id="3048"/>
    </w:p>
    <w:p>
      <w:pPr>
        <w:pStyle w:val="BookText"/>
        <w:rPr/>
      </w:pPr>
      <w:r>
        <w:rPr>
          <w:rFonts w:ascii="Amiri" w:hAnsi="Amiri" w:eastAsia="Amiri" w:cs="Amiri"/>
          <w:color w:val="111111"/>
          <w:sz w:val="28"/>
          <w:sz w:val="28"/>
          <w:szCs w:val="28"/>
          <w:rtl w:val="true"/>
          <w:lang w:bidi="ar-SA"/>
        </w:rPr>
        <w:t>وَ مِنْهُ، عَنْ أَبِي الْمُفَضَّلِ مُحَمَّدِ بْنِ عَبْدِ اللَّهِ عَنْ مُحَمَّدِ بْنِ هَمَّامٍ عَنْ أَحْمَدَ بْنِ الْحُسَيْنِ الْمَعْرُوفِ بِابْنِ أَبِي الْقَاسِمِ عَنْ أَبِيهِ عَنْ بَعْضِ رِجَالِهِ عَنِ الْهَيْثَمِ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الرِّضَا عليه السلام بِخُرَاسَانَ وَ كَانَ الْعَبَّاسُ يَحْجُبُهُ فَدَعَانِي وَ إِذَا عِنْدَهُ شَيْخٌ أَعْوَرُ يَسْأَلُهُ فَخَرَجَ الشَّيْخُ فَقَالَ لِي رُدَّ عَلَيَّ الشَّيْخَ فَخَرَجْتُ إِلَي الْحَاجِبِ فَقَالَ لَمْ يَخْرُجْ عَلَيَّ أَحَدٌ فَقَالَ الرِّضَا أَ تَعْرِفُ الشَّيْخَ فَقُلْتُ لَا فَقَالَ هَذَا رَجُلٌ مِنَ الْجِنِّ سَأَلَنِي عَنْ مَسَائِلَ وَ كَانَ فِيمَا سَأَلَنِي عَنْهُ مَوْلُودَانِ وُلِدَا فِي بَطْنٍ مُلْتَزِمَيْنِ مَاتَ أَحَدُهُمَا كَيْفَ يُصْنَعُ بِهِ قُلْتُ يُنْشَرُ الْمَيِّتُ عَنِ الْحَيِ‌</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هستیم که حقّ مان پایمال شده و مورد ستم قرار گرفته ایم، پس وای بر آنکه در مورد امر ما طریق جهالت در پیش گیرد و خوشا به سعادت آنکه حقّ ما را بشناسد</w:t>
      </w:r>
      <w:r>
        <w:rPr>
          <w:rFonts w:eastAsia="IRNazanin" w:cs="IRNazanin"/>
          <w:color w:val="111111"/>
          <w:sz w:val="28"/>
          <w:szCs w:val="28"/>
          <w:rtl w:val="true"/>
          <w:lang w:bidi="fa-IR"/>
        </w:rPr>
        <w:t>.</w:t>
      </w:r>
    </w:p>
    <w:p>
      <w:pPr>
        <w:pStyle w:val="Heading5"/>
        <w:numPr>
          <w:ilvl w:val="4"/>
          <w:numId w:val="1"/>
        </w:numPr>
        <w:rPr/>
      </w:pPr>
      <w:bookmarkStart w:id="3049" w:name="__RefHeading___Toc607724_1934241801"/>
      <w:bookmarkStart w:id="3050" w:name="_Toc1406"/>
      <w:bookmarkEnd w:id="3049"/>
      <w:r>
        <w:rPr>
          <w:rtl w:val="true"/>
        </w:rPr>
        <w:t xml:space="preserve">روایت </w:t>
      </w:r>
      <w:r>
        <w:rPr/>
        <w:t>30</w:t>
      </w:r>
      <w:bookmarkEnd w:id="3050"/>
    </w:p>
    <w:p>
      <w:pPr>
        <w:pStyle w:val="BookText"/>
        <w:rPr/>
      </w:pPr>
      <w:r>
        <w:rPr>
          <w:rFonts w:ascii="IRNazanin" w:hAnsi="IRNazanin" w:eastAsia="IRNazanin"/>
          <w:color w:val="111111"/>
          <w:sz w:val="28"/>
          <w:sz w:val="28"/>
          <w:szCs w:val="28"/>
          <w:rtl w:val="true"/>
          <w:lang w:bidi="fa-IR"/>
        </w:rPr>
        <w:t>کتاب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وفات نمود، فاطمه علیها السلام رؤیایی طولانی دید که در آن پیامبر او را به پیوستن به خود بشارت داد و جایگاهش را در بهشت به او نمایاند، هنگامی  که از خواب بیدار شد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از دنیا کوچ کردم، در میان زنان کسی غیر از امّ سلمة، امّ أیمن و فضّة و در میان مردان کسی غیر از دو پسرم، عباس، سلمان، عمّار، مقداد، ابوذر، و حذیفه را از وفاتم باخبر مساز،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اجازه می دهم که پس از وفاتم مرا مشاهده کنی، پس در میان زنانی باش که غسلم می دهند، و مرا جز در شب به خاک مسپار و کسی را از مکان قبرم آگاه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r>
        <w:rPr>
          <w:rStyle w:val="FootnoteAnchor"/>
          <w:rtl w:val="true"/>
        </w:rPr>
        <w:footnoteReference w:id="1513"/>
      </w:r>
    </w:p>
    <w:p>
      <w:pPr>
        <w:pStyle w:val="Heading5"/>
        <w:numPr>
          <w:ilvl w:val="4"/>
          <w:numId w:val="1"/>
        </w:numPr>
        <w:rPr/>
      </w:pPr>
      <w:bookmarkStart w:id="3051" w:name="__RefHeading___Toc607726_1934241801"/>
      <w:bookmarkStart w:id="3052" w:name="_Toc1407"/>
      <w:bookmarkEnd w:id="3051"/>
      <w:r>
        <w:rPr>
          <w:rtl w:val="true"/>
        </w:rPr>
        <w:t xml:space="preserve">روایت </w:t>
      </w:r>
      <w:r>
        <w:rPr/>
        <w:t>31</w:t>
      </w:r>
      <w:bookmarkEnd w:id="3052"/>
    </w:p>
    <w:p>
      <w:pPr>
        <w:pStyle w:val="BookText"/>
        <w:rPr/>
      </w:pP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همام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علیها السلام وفات نمود، امیر المؤمنین او را غسل داد کسی غیر از امیر المؤمنین، حسن و حسین علیهم السلام، زینب، ام کلثوم، کنیزش فضّه و اسماء دختر عمیس بر بالین او حاضر نبود تا آخر روایت</w:t>
      </w:r>
      <w:r>
        <w:rPr>
          <w:rFonts w:eastAsia="IRNazanin" w:cs="IRNazanin"/>
          <w:color w:val="111111"/>
          <w:sz w:val="28"/>
          <w:szCs w:val="28"/>
          <w:rtl w:val="true"/>
          <w:lang w:bidi="fa-IR"/>
        </w:rPr>
        <w:t>.</w:t>
      </w:r>
      <w:r>
        <w:rPr>
          <w:rStyle w:val="FootnoteAnchor"/>
          <w:rtl w:val="true"/>
        </w:rPr>
        <w:footnoteReference w:id="1514"/>
      </w:r>
    </w:p>
    <w:p>
      <w:pPr>
        <w:pStyle w:val="Heading5"/>
        <w:numPr>
          <w:ilvl w:val="4"/>
          <w:numId w:val="1"/>
        </w:numPr>
        <w:rPr/>
      </w:pPr>
      <w:bookmarkStart w:id="3053" w:name="__RefHeading___Toc607728_1934241801"/>
      <w:bookmarkStart w:id="3054" w:name="_Toc1408"/>
      <w:bookmarkEnd w:id="3053"/>
      <w:r>
        <w:rPr>
          <w:rtl w:val="true"/>
        </w:rPr>
        <w:t xml:space="preserve">روایت </w:t>
      </w:r>
      <w:r>
        <w:rPr/>
        <w:t>32</w:t>
      </w:r>
      <w:bookmarkEnd w:id="3054"/>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هیثم بن واقد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نزد امام رضا علیه السلام بودم و عباس حاجب او بود، پس امام مرا به داخل فراخواند و از قضا پیرمرد تک چشمی نزد او حضور داشت، پیرمرد خارج شد و 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را نزد من بازگردان، من نیز سراغ حاجب رفتم، 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از مقابل من خارج نشده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پیرمرد را می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از جنیّان بود که درباره چند موضوع از من سؤال پرسید، یکی از سؤالاتش درباره دو کودک دوقلو بود که از یک شکم به دنیا می آیند ولی یکی از آن ها می میرد، پس چگونه با او معامله می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مرده از کودک زنده جدا می گردد</w:t>
      </w:r>
      <w:r>
        <w:rPr>
          <w:rFonts w:eastAsia="IRNazanin" w:cs="IRNazanin"/>
          <w:color w:val="111111"/>
          <w:sz w:val="28"/>
          <w:szCs w:val="28"/>
          <w:rtl w:val="true"/>
          <w:lang w:bidi="fa-IR"/>
        </w:rPr>
        <w:t>.</w:t>
      </w:r>
      <w:r>
        <w:rPr>
          <w:rStyle w:val="FootnoteAnchor"/>
          <w:rtl w:val="true"/>
        </w:rPr>
        <w:footnoteReference w:id="1515"/>
      </w:r>
      <w:bookmarkStart w:id="3055" w:name="pg13517_329342"/>
    </w:p>
    <w:p>
      <w:pPr>
        <w:pStyle w:val="Heading3"/>
        <w:numPr>
          <w:ilvl w:val="2"/>
          <w:numId w:val="1"/>
        </w:numPr>
        <w:rPr/>
      </w:pPr>
      <w:bookmarkStart w:id="3056" w:name="__RefHeading___Toc607730_1934241801"/>
      <w:bookmarkStart w:id="3057" w:name="_Toc1409"/>
      <w:bookmarkEnd w:id="3055"/>
      <w:bookmarkEnd w:id="3056"/>
      <w:r>
        <w:rPr>
          <w:rtl w:val="true"/>
        </w:rPr>
        <w:t xml:space="preserve">باب </w:t>
      </w:r>
      <w:r>
        <w:rPr/>
        <w:t>9</w:t>
      </w:r>
      <w:r>
        <w:rPr>
          <w:rtl w:val="true"/>
        </w:rPr>
        <w:t xml:space="preserve"> </w:t>
      </w:r>
      <w:r>
        <w:rPr>
          <w:rtl w:val="true"/>
        </w:rPr>
        <w:t>التكفين و آدابه و أحكامه</w:t>
      </w:r>
      <w:bookmarkEnd w:id="3057"/>
    </w:p>
    <w:p>
      <w:pPr>
        <w:pStyle w:val="Heading4"/>
        <w:numPr>
          <w:ilvl w:val="3"/>
          <w:numId w:val="1"/>
        </w:numPr>
        <w:rPr/>
      </w:pPr>
      <w:bookmarkStart w:id="3058" w:name="__RefHeading___Toc607732_1934241801"/>
      <w:bookmarkStart w:id="3059" w:name="_Toc1410"/>
      <w:bookmarkEnd w:id="3058"/>
      <w:r>
        <w:rPr>
          <w:rtl w:val="true"/>
        </w:rPr>
        <w:t>روايات</w:t>
      </w:r>
      <w:bookmarkEnd w:id="3059"/>
    </w:p>
    <w:p>
      <w:pPr>
        <w:pStyle w:val="Heading5"/>
        <w:numPr>
          <w:ilvl w:val="4"/>
          <w:numId w:val="1"/>
        </w:numPr>
        <w:rPr/>
      </w:pPr>
      <w:bookmarkStart w:id="3060" w:name="__RefHeading___Toc607734_1934241801"/>
      <w:bookmarkStart w:id="3061" w:name="_Toc1411"/>
      <w:bookmarkEnd w:id="3060"/>
      <w:r>
        <w:rPr>
          <w:rtl w:val="true"/>
        </w:rPr>
        <w:t>«</w:t>
      </w:r>
      <w:r>
        <w:rPr/>
        <w:t>1</w:t>
      </w:r>
      <w:r>
        <w:rPr>
          <w:rtl w:val="true"/>
        </w:rPr>
        <w:t>»</w:t>
      </w:r>
      <w:bookmarkEnd w:id="3061"/>
    </w:p>
    <w:p>
      <w:pPr>
        <w:pStyle w:val="BookText"/>
        <w:rPr/>
      </w:pPr>
      <w:r>
        <w:rPr>
          <w:rFonts w:ascii="Amiri" w:hAnsi="Amiri" w:eastAsia="Amiri" w:cs="Amiri"/>
          <w:color w:val="111111"/>
          <w:sz w:val="28"/>
          <w:sz w:val="28"/>
          <w:szCs w:val="28"/>
          <w:rtl w:val="true"/>
          <w:lang w:bidi="ar-SA"/>
        </w:rPr>
        <w:t>قُرْبُ الْإِسْنَادِ، عَنْ مُحَمَّدِ بْنِ عَلِيِّ بْنِ خَلَفٍ عَنْ إِبْرَاهِيمَ بْنِ مُحَمَّدِ بْنِ عَبْدِ اللَّهِ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جَعْفَرَ بْنَ مُحَمَّدٍ يَنْفُضُ بِكُمِّهِ الْمِسْكَ عَنِ الْكَفَنِ فَيَقُولُ لَيْسَ هَذَا مِنَ الْحَنُوطِ فِي شَيْ‌ءٍ</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2" w:name="__RefHeading___Toc607736_1934241801"/>
      <w:bookmarkStart w:id="3063" w:name="_Toc1412"/>
      <w:bookmarkEnd w:id="3062"/>
      <w:r>
        <w:rPr>
          <w:rtl w:val="true"/>
        </w:rPr>
        <w:t>بيان</w:t>
      </w:r>
      <w:bookmarkEnd w:id="3063"/>
    </w:p>
    <w:p>
      <w:pPr>
        <w:pStyle w:val="BookText"/>
        <w:rPr/>
      </w:pPr>
      <w:r>
        <w:rPr>
          <w:rFonts w:ascii="Amiri" w:hAnsi="Amiri" w:eastAsia="Amiri" w:cs="Amiri"/>
          <w:color w:val="111111"/>
          <w:sz w:val="28"/>
          <w:sz w:val="28"/>
          <w:szCs w:val="28"/>
          <w:rtl w:val="true"/>
          <w:lang w:bidi="ar-SA"/>
        </w:rPr>
        <w:t>يدل علي مرجوحية التحنط بالمسك و ما روي من تحنط النبي صلي الله عليه و آله به إما محمول علي التقية أو مخصوص به صلي الله عليه و آله و ظاهر الأكثر كراهة غير الكافور و الذريرة من الطيب مطلقا قال في الذكري و أما المسك ففي خبرين أرسلهما الصدوق‌</w:t>
      </w:r>
      <w:r>
        <w:rPr>
          <w:rStyle w:val="FootnoteAnchor"/>
          <w:rtl w:val="true"/>
        </w:rPr>
        <w:footnoteReference w:id="1517"/>
      </w:r>
      <w:r>
        <w:rPr>
          <w:rFonts w:ascii="Amiri" w:hAnsi="Amiri" w:eastAsia="Amiri" w:cs="Amiri"/>
          <w:color w:val="111111"/>
          <w:sz w:val="28"/>
          <w:sz w:val="28"/>
          <w:szCs w:val="28"/>
          <w:rtl w:val="true"/>
          <w:lang w:bidi="ar-SA"/>
        </w:rPr>
        <w:t>أحدهما أن النبي صلي الله عليه و آله حنط بمثقال من مسك سوي الكافور و الآخر عن الهادي عليه السلام أنه سوغ تقريب المسك و البخور إلي الميت و يعارضهما مسند محمد بن مسلم‌</w:t>
      </w:r>
      <w:r>
        <w:rPr>
          <w:rStyle w:val="FootnoteAnchor"/>
          <w:rtl w:val="true"/>
        </w:rPr>
        <w:footnoteReference w:id="1518"/>
      </w:r>
      <w:r>
        <w:rPr>
          <w:rFonts w:ascii="Amiri" w:hAnsi="Amiri" w:eastAsia="Amiri" w:cs="Amiri"/>
          <w:color w:val="111111"/>
          <w:sz w:val="28"/>
          <w:sz w:val="28"/>
          <w:szCs w:val="28"/>
          <w:rtl w:val="true"/>
          <w:lang w:bidi="ar-SA"/>
        </w:rPr>
        <w:t>و نقل ما سيأتي و قال خبر غياث بن إبراهيم‌</w:t>
      </w:r>
      <w:r>
        <w:rPr>
          <w:rStyle w:val="FootnoteAnchor"/>
          <w:rtl w:val="true"/>
        </w:rPr>
        <w:footnoteReference w:id="1519"/>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كان يجمر الميت بالعود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السند</w:t>
      </w:r>
      <w:r>
        <w:rPr>
          <w:rFonts w:eastAsia="Amiri" w:cs="Amiri" w:ascii="Amiri" w:hAnsi="Amiri"/>
          <w:color w:val="111111"/>
          <w:sz w:val="28"/>
          <w:szCs w:val="28"/>
          <w:rtl w:val="true"/>
          <w:lang w:bidi="ar-SA"/>
        </w:rPr>
        <w:t>.</w:t>
      </w:r>
    </w:p>
    <w:p>
      <w:pPr>
        <w:pStyle w:val="Heading5"/>
        <w:numPr>
          <w:ilvl w:val="4"/>
          <w:numId w:val="1"/>
        </w:numPr>
        <w:rPr/>
      </w:pPr>
      <w:bookmarkStart w:id="3064" w:name="__RefHeading___Toc607738_1934241801"/>
      <w:bookmarkStart w:id="3065" w:name="_Toc1413"/>
      <w:bookmarkEnd w:id="3064"/>
      <w:r>
        <w:rPr>
          <w:rtl w:val="true"/>
        </w:rPr>
        <w:t>«</w:t>
      </w:r>
      <w:r>
        <w:rPr/>
        <w:t>2</w:t>
      </w:r>
      <w:r>
        <w:rPr>
          <w:rtl w:val="true"/>
        </w:rPr>
        <w:t>»</w:t>
      </w:r>
      <w:bookmarkEnd w:id="3065"/>
    </w:p>
    <w:p>
      <w:pPr>
        <w:pStyle w:val="BookText"/>
        <w:rPr/>
      </w:pPr>
      <w:r>
        <w:rPr>
          <w:rFonts w:ascii="Amiri" w:hAnsi="Amiri" w:eastAsia="Amiri" w:cs="Amiri"/>
          <w:color w:val="111111"/>
          <w:sz w:val="28"/>
          <w:sz w:val="28"/>
          <w:szCs w:val="28"/>
          <w:rtl w:val="true"/>
          <w:lang w:bidi="ar-SA"/>
        </w:rPr>
        <w:t>قُرْبُ الْإِسْنَادِ، عَنِ السِّنْدِيِّ بْنِ مُحَمَّدٍ عَنْ أَبِي الْبَخْتَرِيِّ عَنْ جَعْفَرٍ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لَا يَلْبَسُ إِلَّا الْبَيَاضَ أَكْثَرَ مَا يَلْبَسُ وَ يَقُولُ فِيهِ تَكْفِينُ الْمَوْتَي‌</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6" w:name="__RefHeading___Toc607740_1934241801"/>
      <w:bookmarkStart w:id="3067" w:name="_Toc1414"/>
      <w:bookmarkEnd w:id="3066"/>
      <w:r>
        <w:rPr>
          <w:rtl w:val="true"/>
        </w:rPr>
        <w:t>«</w:t>
      </w:r>
      <w:r>
        <w:rPr/>
        <w:t>3</w:t>
      </w:r>
      <w:r>
        <w:rPr>
          <w:rtl w:val="true"/>
        </w:rPr>
        <w:t>»</w:t>
      </w:r>
      <w:bookmarkEnd w:id="3067"/>
    </w:p>
    <w:p>
      <w:pPr>
        <w:pStyle w:val="BookText"/>
        <w:rPr/>
      </w:pPr>
      <w:r>
        <w:rPr>
          <w:rFonts w:ascii="Amiri" w:hAnsi="Amiri" w:eastAsia="Amiri" w:cs="Amiri"/>
          <w:color w:val="111111"/>
          <w:sz w:val="28"/>
          <w:sz w:val="28"/>
          <w:szCs w:val="28"/>
          <w:rtl w:val="true"/>
          <w:lang w:bidi="ar-SA"/>
        </w:rPr>
        <w:t>وَ بِهَذَا الْإِسْنَادِ، عَنْ جَعْفَرٍ عَنْ أَبِيهِ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الرَّشَّ عَلَي الْقُبُورِ كَانَ عَلَي عَهْدِ النَّبِيِّ صلي الله عليه و آله وَ كَانَ يُجْعَلُ الْجَرِيدُ الرَّطْبُ عَلَي الْقَبْرِ حِينَ يُدْفَنُ الْإِنْسَانُ</w:t>
      </w:r>
    </w:p>
    <w:p>
      <w:pPr>
        <w:pStyle w:val="Heading3"/>
        <w:numPr>
          <w:ilvl w:val="2"/>
          <w:numId w:val="1"/>
        </w:numPr>
        <w:rPr/>
      </w:pPr>
      <w:bookmarkStart w:id="3068" w:name="__RefHeading___Toc607742_1934241801"/>
      <w:bookmarkStart w:id="3069" w:name="_Toc1415"/>
      <w:bookmarkEnd w:id="3068"/>
      <w:r>
        <w:rPr>
          <w:rtl w:val="true"/>
        </w:rPr>
        <w:t>باب نهم</w:t>
      </w:r>
      <w:r>
        <w:rPr>
          <w:rtl w:val="true"/>
        </w:rPr>
        <w:t xml:space="preserve">: </w:t>
      </w:r>
      <w:r>
        <w:rPr>
          <w:rtl w:val="true"/>
        </w:rPr>
        <w:t>کفن کردن و آداب و احکام مربوط به آن</w:t>
      </w:r>
      <w:bookmarkEnd w:id="3069"/>
    </w:p>
    <w:p>
      <w:pPr>
        <w:pStyle w:val="Heading4"/>
        <w:numPr>
          <w:ilvl w:val="3"/>
          <w:numId w:val="1"/>
        </w:numPr>
        <w:rPr/>
      </w:pPr>
      <w:bookmarkStart w:id="3070" w:name="__RefHeading___Toc607744_1934241801"/>
      <w:bookmarkStart w:id="3071" w:name="_Toc1416"/>
      <w:bookmarkEnd w:id="3070"/>
      <w:r>
        <w:rPr>
          <w:rtl w:val="true"/>
        </w:rPr>
        <w:t>روایات</w:t>
      </w:r>
      <w:bookmarkEnd w:id="3071"/>
    </w:p>
    <w:p>
      <w:pPr>
        <w:pStyle w:val="Heading5"/>
        <w:numPr>
          <w:ilvl w:val="4"/>
          <w:numId w:val="1"/>
        </w:numPr>
        <w:rPr/>
      </w:pPr>
      <w:bookmarkStart w:id="3072" w:name="__RefHeading___Toc607746_1934241801"/>
      <w:bookmarkStart w:id="3073" w:name="_Toc1417"/>
      <w:bookmarkEnd w:id="3072"/>
      <w:r>
        <w:rPr>
          <w:rtl w:val="true"/>
        </w:rPr>
        <w:t xml:space="preserve">روایت </w:t>
      </w:r>
      <w:r>
        <w:rPr/>
        <w:t>1</w:t>
      </w:r>
      <w:bookmarkEnd w:id="3073"/>
    </w:p>
    <w:p>
      <w:pPr>
        <w:pStyle w:val="BookText"/>
        <w:rPr/>
      </w:pP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محمّد بن عبدالله جعفری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مشاهده نمودم که با آستین لباسش مُشک را از کفن پاک کرده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از جمله مواد خوشبویی نیست که به جسد زده می شود</w:t>
      </w:r>
      <w:r>
        <w:rPr>
          <w:rFonts w:eastAsia="IRNazanin" w:cs="IRNazanin"/>
          <w:color w:val="111111"/>
          <w:sz w:val="28"/>
          <w:szCs w:val="28"/>
          <w:rtl w:val="true"/>
          <w:lang w:bidi="fa-IR"/>
        </w:rPr>
        <w:t>.</w:t>
      </w:r>
      <w:r>
        <w:rPr>
          <w:rStyle w:val="FootnoteAnchor"/>
          <w:rtl w:val="true"/>
        </w:rPr>
        <w:footnoteReference w:id="1521"/>
      </w:r>
    </w:p>
    <w:p>
      <w:pPr>
        <w:pStyle w:val="Heading5"/>
        <w:numPr>
          <w:ilvl w:val="4"/>
          <w:numId w:val="1"/>
        </w:numPr>
        <w:rPr/>
      </w:pPr>
      <w:bookmarkStart w:id="3074" w:name="__RefHeading___Toc607748_1934241801"/>
      <w:bookmarkStart w:id="3075" w:name="_Toc1418"/>
      <w:bookmarkEnd w:id="3074"/>
      <w:r>
        <w:rPr>
          <w:rtl w:val="true"/>
        </w:rPr>
        <w:t>توضیح</w:t>
      </w:r>
      <w:bookmarkEnd w:id="3075"/>
    </w:p>
    <w:p>
      <w:pPr>
        <w:pStyle w:val="BookText"/>
        <w:rPr/>
      </w:pPr>
      <w:r>
        <w:rPr>
          <w:rFonts w:ascii="IRNazanin" w:hAnsi="IRNazanin" w:eastAsia="IRNazanin"/>
          <w:color w:val="111111"/>
          <w:sz w:val="28"/>
          <w:sz w:val="28"/>
          <w:szCs w:val="28"/>
          <w:rtl w:val="true"/>
          <w:lang w:bidi="fa-IR"/>
        </w:rPr>
        <w:t xml:space="preserve">این حدیث بر رجحان نداشتن خوشبو کردن جسد با مُشک دلالت می کند، امّا آنچه در روایات مبنی بر خوشبو شدن جسد مبارک پیامبر صلّی الله علیه و آله با مُشک ذکر شده است یا بر تقیّه حمل می شود و یا اینکه این امر به پیامبر اختصاص داشته است، ولی بیشتر فقها به کراهت استفاده از تمام مواد خوشبو غیر از کافور و ذریرة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دارند، شهید 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مُشک برای خوشبو کردن جسد در دو حدیث که صدوق آن ها را روایت کرده ذکر شده است</w:t>
      </w:r>
      <w:r>
        <w:rPr>
          <w:rFonts w:eastAsia="IRNazanin" w:cs="IRNazanin"/>
          <w:color w:val="111111"/>
          <w:sz w:val="28"/>
          <w:szCs w:val="28"/>
          <w:rtl w:val="true"/>
          <w:lang w:bidi="fa-IR"/>
        </w:rPr>
        <w:t>:</w:t>
      </w:r>
      <w:r>
        <w:rPr>
          <w:rStyle w:val="FootnoteAnchor"/>
          <w:rtl w:val="true"/>
        </w:rPr>
        <w:footnoteReference w:id="1522"/>
      </w:r>
      <w:r>
        <w:rPr>
          <w:rFonts w:ascii="IRNazanin" w:hAnsi="IRNazanin" w:eastAsia="IRNazanin"/>
          <w:color w:val="111111"/>
          <w:sz w:val="28"/>
          <w:sz w:val="28"/>
          <w:szCs w:val="28"/>
          <w:rtl w:val="true"/>
          <w:lang w:bidi="fa-IR"/>
        </w:rPr>
        <w:t>یکی اینکه جسد مبارک پیامبر صلّی الله علیه و آله به جز کافور با یک مِثقال مُشک خوشبو گردید، و دیگری حدیثی است منقول از امام هادی علیه السلام که نزدیک گرداندن مشک و بخور به میّت را جائز دانسته است، امّا حدیثی که از محمد بن مسلم روایت شده و در ادامه ذکر خواهد شد با دو حدیث مذکور تعارض دارد</w:t>
      </w:r>
      <w:r>
        <w:rPr>
          <w:rStyle w:val="FootnoteAnchor"/>
          <w:rtl w:val="true"/>
        </w:rPr>
        <w:footnoteReference w:id="1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حدیثی که غیاث بن ابراهیم از امام صادق علیه السلام روایت کرده است مبنی بر اینکه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را با عود معطّر می کرد، از نظر سند ضعیف است</w:t>
      </w:r>
      <w:r>
        <w:rPr>
          <w:rFonts w:eastAsia="IRNazanin" w:cs="IRNazanin"/>
          <w:color w:val="111111"/>
          <w:sz w:val="28"/>
          <w:szCs w:val="28"/>
          <w:rtl w:val="true"/>
          <w:lang w:bidi="fa-IR"/>
        </w:rPr>
        <w:t>.</w:t>
      </w:r>
      <w:r>
        <w:rPr>
          <w:rStyle w:val="FootnoteAnchor"/>
          <w:rtl w:val="true"/>
        </w:rPr>
        <w:footnoteReference w:id="1524"/>
      </w:r>
    </w:p>
    <w:p>
      <w:pPr>
        <w:pStyle w:val="Heading5"/>
        <w:numPr>
          <w:ilvl w:val="4"/>
          <w:numId w:val="1"/>
        </w:numPr>
        <w:rPr/>
      </w:pPr>
      <w:bookmarkStart w:id="3076" w:name="__RefHeading___Toc607750_1934241801"/>
      <w:bookmarkStart w:id="3077" w:name="_Toc1419"/>
      <w:bookmarkEnd w:id="3076"/>
      <w:r>
        <w:rPr>
          <w:rtl w:val="true"/>
        </w:rPr>
        <w:t xml:space="preserve">روایت </w:t>
      </w:r>
      <w:r>
        <w:rPr/>
        <w:t>2</w:t>
      </w:r>
      <w:bookmarkEnd w:id="3077"/>
    </w:p>
    <w:p>
      <w:pPr>
        <w:pStyle w:val="BookText"/>
        <w:rPr/>
      </w:pP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روایت کرده که امام علی علیه السلام جز لباس سفید لباس دیگری نمی پوشید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با آن کفن می شوند</w:t>
      </w:r>
      <w:r>
        <w:rPr>
          <w:rFonts w:eastAsia="IRNazanin" w:cs="IRNazanin"/>
          <w:color w:val="111111"/>
          <w:sz w:val="28"/>
          <w:szCs w:val="28"/>
          <w:rtl w:val="true"/>
          <w:lang w:bidi="fa-IR"/>
        </w:rPr>
        <w:t>.</w:t>
      </w:r>
      <w:r>
        <w:rPr>
          <w:rStyle w:val="FootnoteAnchor"/>
          <w:rtl w:val="true"/>
        </w:rPr>
        <w:footnoteReference w:id="1525"/>
      </w:r>
    </w:p>
    <w:p>
      <w:pPr>
        <w:pStyle w:val="Heading5"/>
        <w:numPr>
          <w:ilvl w:val="4"/>
          <w:numId w:val="1"/>
        </w:numPr>
        <w:rPr/>
      </w:pPr>
      <w:bookmarkStart w:id="3078" w:name="__RefHeading___Toc607752_1934241801"/>
      <w:bookmarkStart w:id="3079" w:name="_Toc1420"/>
      <w:bookmarkEnd w:id="3078"/>
      <w:r>
        <w:rPr>
          <w:rtl w:val="true"/>
        </w:rPr>
        <w:t xml:space="preserve">روایت </w:t>
      </w:r>
      <w:r>
        <w:rPr/>
        <w:t>3</w:t>
      </w:r>
      <w:bookmarkEnd w:id="3079"/>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از پدرش علیهما السلام روایت کرده که در عهد پیامبر صلّی الله علیه و آله بر قبور آب پاشیده می شد و بر آن ها شاخه مرطوب نخل قرار داده می شد، این اعمال </w:t>
      </w:r>
      <w:bookmarkStart w:id="3080" w:name="pg13517_329343"/>
    </w:p>
    <w:p>
      <w:pPr>
        <w:pStyle w:val="BookText"/>
        <w:rPr/>
      </w:pPr>
      <w:bookmarkEnd w:id="3080"/>
      <w:r>
        <w:rPr>
          <w:rFonts w:ascii="Amiri" w:hAnsi="Amiri" w:eastAsia="Amiri" w:cs="Amiri"/>
          <w:color w:val="111111"/>
          <w:sz w:val="28"/>
          <w:sz w:val="28"/>
          <w:szCs w:val="28"/>
          <w:rtl w:val="true"/>
          <w:lang w:bidi="ar-SA"/>
        </w:rPr>
        <w:t>فِي أَوَّلِ الزَّمَانِ وَ يُسْتَحَبُّ ذَلِكَ لِلْمَيِّتِ‌</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1" w:name="__RefHeading___Toc607754_1934241801"/>
      <w:bookmarkStart w:id="3082" w:name="_Toc1421"/>
      <w:bookmarkEnd w:id="3081"/>
      <w:r>
        <w:rPr>
          <w:rtl w:val="true"/>
        </w:rPr>
        <w:t>بيان</w:t>
      </w:r>
      <w:bookmarkEnd w:id="3082"/>
    </w:p>
    <w:p>
      <w:pPr>
        <w:pStyle w:val="BookText"/>
        <w:rPr/>
      </w:pPr>
      <w:r>
        <w:rPr>
          <w:rFonts w:ascii="Amiri" w:hAnsi="Amiri" w:eastAsia="Amiri" w:cs="Amiri"/>
          <w:color w:val="111111"/>
          <w:sz w:val="28"/>
          <w:sz w:val="28"/>
          <w:szCs w:val="28"/>
          <w:rtl w:val="true"/>
          <w:lang w:bidi="ar-SA"/>
        </w:rPr>
        <w:t>لا خلاف ظاهرا في استحباب كون الكفن أبيض إلا الحبرة</w:t>
      </w:r>
      <w:r>
        <w:rPr>
          <w:rFonts w:eastAsia="Amiri" w:cs="Amiri" w:ascii="Amiri" w:hAnsi="Amiri"/>
          <w:color w:val="111111"/>
          <w:sz w:val="28"/>
          <w:szCs w:val="28"/>
          <w:rtl w:val="true"/>
          <w:lang w:bidi="ar-SA"/>
        </w:rPr>
        <w:t>.</w:t>
      </w:r>
    </w:p>
    <w:p>
      <w:pPr>
        <w:pStyle w:val="Heading5"/>
        <w:numPr>
          <w:ilvl w:val="4"/>
          <w:numId w:val="1"/>
        </w:numPr>
        <w:rPr/>
      </w:pPr>
      <w:bookmarkStart w:id="3083" w:name="__RefHeading___Toc607756_1934241801"/>
      <w:bookmarkStart w:id="3084" w:name="_Toc1422"/>
      <w:bookmarkEnd w:id="3083"/>
      <w:r>
        <w:rPr>
          <w:rtl w:val="true"/>
        </w:rPr>
        <w:t>«</w:t>
      </w:r>
      <w:r>
        <w:rPr/>
        <w:t>4</w:t>
      </w:r>
      <w:r>
        <w:rPr>
          <w:rtl w:val="true"/>
        </w:rPr>
        <w:t>»</w:t>
      </w:r>
      <w:bookmarkEnd w:id="3084"/>
    </w:p>
    <w:p>
      <w:pPr>
        <w:pStyle w:val="BookText"/>
        <w:rPr/>
      </w:pPr>
      <w:r>
        <w:rPr>
          <w:rFonts w:ascii="Amiri" w:hAnsi="Amiri" w:eastAsia="Amiri" w:cs="Amiri"/>
          <w:color w:val="111111"/>
          <w:sz w:val="28"/>
          <w:sz w:val="28"/>
          <w:szCs w:val="28"/>
          <w:rtl w:val="true"/>
          <w:lang w:bidi="ar-SA"/>
        </w:rPr>
        <w:t>الْعِلَلُ، عَنْ أَبِيهِ عَنْ أَحْمَدَ بْنِ إِدْرِيسَ عَنْ مُحَمَّدِ بْنِ أَحْمَدَ عَنْ أَحْمَدَ بْنِ مُحَمَّدٍ عَنْ بَعْضِ أَصْحَابِنَا يَرْفَعُهُ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أَجِيدُوا أَكْفَانَ مَوْتَاكُمْ فَإِنَّهَا زِينَتُهُمْ‌</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عن أبيه عن محمد بن يحيي عن 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فلاح السائل، من كتاب مدينة العلم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5" w:name="__RefHeading___Toc607758_1934241801"/>
      <w:bookmarkStart w:id="3086" w:name="_Toc1423"/>
      <w:bookmarkEnd w:id="3085"/>
      <w:r>
        <w:rPr>
          <w:rtl w:val="true"/>
        </w:rPr>
        <w:t>«</w:t>
      </w:r>
      <w:r>
        <w:rPr/>
        <w:t>5</w:t>
      </w:r>
      <w:r>
        <w:rPr>
          <w:rtl w:val="true"/>
        </w:rPr>
        <w:t>»</w:t>
      </w:r>
      <w:bookmarkEnd w:id="3086"/>
    </w:p>
    <w:p>
      <w:pPr>
        <w:pStyle w:val="BookText"/>
        <w:rPr/>
      </w:pPr>
      <w:r>
        <w:rPr>
          <w:rFonts w:ascii="Amiri" w:hAnsi="Amiri" w:eastAsia="Amiri" w:cs="Amiri"/>
          <w:color w:val="111111"/>
          <w:sz w:val="28"/>
          <w:sz w:val="28"/>
          <w:szCs w:val="28"/>
          <w:rtl w:val="true"/>
          <w:lang w:bidi="ar-SA"/>
        </w:rPr>
        <w:t>الْعِلَلُ، عَنْ أَبِيهِ عَنْ مُحَمَّدِ بْنِ إِدْرِيسَ عَنْ أَحْمَدَ بْنِ مُحَمَّدٍ عَنْ عَلِيِّ بْنِ الْحَكَمِ عَنْ يُونُسَ بْنِ يَعْقُوبَ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أَبِي بِكَفَنِهِ قَالَ لِي يَا جَعْفَرُ اشْتَرِ لِي بُرْداً وَ جَوِّدْهُ فَإِنَّ الْمَوْتَي يَتَبَاهَوْنَ بِأَكْفَانِهِمْ‌</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7" w:name="__RefHeading___Toc607760_1934241801"/>
      <w:bookmarkStart w:id="3088" w:name="_Toc1424"/>
      <w:bookmarkEnd w:id="3087"/>
      <w:r>
        <w:rPr>
          <w:rtl w:val="true"/>
        </w:rPr>
        <w:t>«</w:t>
      </w:r>
      <w:r>
        <w:rPr/>
        <w:t>6</w:t>
      </w:r>
      <w:r>
        <w:rPr>
          <w:rtl w:val="true"/>
        </w:rPr>
        <w:t>»</w:t>
      </w:r>
      <w:bookmarkEnd w:id="3088"/>
    </w:p>
    <w:p>
      <w:pPr>
        <w:pStyle w:val="BookText"/>
        <w:rPr/>
      </w:pPr>
      <w:r>
        <w:rPr>
          <w:rFonts w:ascii="Amiri" w:hAnsi="Amiri" w:eastAsia="Amiri" w:cs="Amiri"/>
          <w:color w:val="111111"/>
          <w:sz w:val="28"/>
          <w:sz w:val="28"/>
          <w:szCs w:val="28"/>
          <w:rtl w:val="true"/>
          <w:lang w:bidi="ar-SA"/>
        </w:rPr>
        <w:t>وَ مِنْهُ، عَنْ أَبِيهِ وَ مُحَمَّدِ بْنِ الْحَسَنِ عَنْ مُحَمَّدِ بْنِ يَحْيَي الْعَطَّارِ عَنْ مُحَمَّدِ بْنِ أَحْمَدَ عَنْ إِبْرَاهِيمَ بْنِ هَاشِمٍ عَنِ ابْنِ سِنَانٍ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فِي الْحَنُوطِ ثَلَاثَةَ عَشَرَ دِرْهَماً وَ ثُلُثٌ قَالَ مُحَمَّدُ بْنُ أَحْمَدَ وَ رَوَوْا أَنَّ جَبْرَئِيلَ عليه السلام نَزَلَ عَلَي رَسُولِ اللَّهِ صلي الله عليه و آله بِحَنُوطٍ وَ كَانَ وَزْنُهُ أَرْبَعِينَ دِرْهَماً فَقَسَمَهُ رَسُولُ اللَّهِ صلي الله عليه و آله ثَلَاثَةَ أَجْزَاءٍ جُزْءٌ لَهُ وَ جُزْءٌ لِعَلِيٍّ وَ جُزْءٌ لِفَاطِمَةَ صَلَوَاتُ اللَّهِ عَلَيْهِمْ‌</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9" w:name="__RefHeading___Toc607762_1934241801"/>
      <w:bookmarkStart w:id="3090" w:name="_Toc1425"/>
      <w:bookmarkEnd w:id="3089"/>
      <w:r>
        <w:rPr>
          <w:rtl w:val="true"/>
        </w:rPr>
        <w:t>بيان</w:t>
      </w:r>
      <w:bookmarkEnd w:id="3090"/>
    </w:p>
    <w:p>
      <w:pPr>
        <w:pStyle w:val="BookText"/>
        <w:rPr/>
      </w:pPr>
      <w:r>
        <w:rPr>
          <w:rFonts w:ascii="Amiri" w:hAnsi="Amiri" w:eastAsia="Amiri" w:cs="Amiri"/>
          <w:color w:val="111111"/>
          <w:sz w:val="28"/>
          <w:sz w:val="28"/>
          <w:szCs w:val="28"/>
          <w:rtl w:val="true"/>
          <w:lang w:bidi="ar-SA"/>
        </w:rPr>
        <w:t>المشهور بين الأصحاب تحقق الحنوط بمسماه و قال الشيخان و الصدوق أقله مثقال و أوسطه أربعة دراهم و أكمل منه وزن ثلاثة عشر درهما و ثلث و قال الجعفي أقله مثقال و ثلث قال و يخلط بتربة مولانا الحسين عليه السلام و قال ابن الجنيد أقله مثقال و أوسطه أربعة مثاقيل و قدر ابن البراج أكثره بثلاثة</w:t>
      </w:r>
    </w:p>
    <w:p>
      <w:pPr>
        <w:pStyle w:val="BookText"/>
        <w:rPr/>
      </w:pPr>
      <w:r>
        <w:rPr>
          <w:rFonts w:ascii="IRNazanin" w:hAnsi="IRNazanin" w:eastAsia="IRNazanin"/>
          <w:color w:val="111111"/>
          <w:sz w:val="28"/>
          <w:sz w:val="28"/>
          <w:szCs w:val="28"/>
          <w:rtl w:val="true"/>
          <w:lang w:bidi="fa-IR"/>
        </w:rPr>
        <w:t>در اوّلین فرصت پس از دفن میّت انجام داده می شود و برای او مستحبّ است</w:t>
      </w:r>
      <w:r>
        <w:rPr>
          <w:rFonts w:eastAsia="IRNazanin" w:cs="IRNazanin"/>
          <w:color w:val="111111"/>
          <w:sz w:val="28"/>
          <w:szCs w:val="28"/>
          <w:rtl w:val="true"/>
          <w:lang w:bidi="fa-IR"/>
        </w:rPr>
        <w:t>.</w:t>
      </w:r>
      <w:r>
        <w:rPr>
          <w:rStyle w:val="FootnoteAnchor"/>
          <w:rtl w:val="true"/>
        </w:rPr>
        <w:footnoteReference w:id="1532"/>
      </w:r>
    </w:p>
    <w:p>
      <w:pPr>
        <w:pStyle w:val="Heading5"/>
        <w:numPr>
          <w:ilvl w:val="4"/>
          <w:numId w:val="1"/>
        </w:numPr>
        <w:rPr/>
      </w:pPr>
      <w:bookmarkStart w:id="3091" w:name="__RefHeading___Toc607764_1934241801"/>
      <w:bookmarkStart w:id="3092" w:name="_Toc1426"/>
      <w:bookmarkEnd w:id="3091"/>
      <w:r>
        <w:rPr>
          <w:rtl w:val="true"/>
        </w:rPr>
        <w:t>توضیح</w:t>
      </w:r>
      <w:bookmarkEnd w:id="3092"/>
    </w:p>
    <w:p>
      <w:pPr>
        <w:pStyle w:val="BookText"/>
        <w:rPr/>
      </w:pPr>
      <w:r>
        <w:rPr>
          <w:rFonts w:ascii="IRNazanin" w:hAnsi="IRNazanin" w:eastAsia="IRNazanin"/>
          <w:color w:val="111111"/>
          <w:sz w:val="28"/>
          <w:sz w:val="28"/>
          <w:szCs w:val="28"/>
          <w:rtl w:val="true"/>
          <w:lang w:bidi="fa-IR"/>
        </w:rPr>
        <w:t xml:space="preserve">بر سر این موضوع که کفن سفید رنگ باشد هیچ اختلاف نظری وجود ندارد، مگر اینکه از جنس حبرة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بُرد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3093" w:name="__RefHeading___Toc607766_1934241801"/>
      <w:bookmarkStart w:id="3094" w:name="_Toc1427"/>
      <w:bookmarkEnd w:id="3093"/>
      <w:r>
        <w:rPr>
          <w:rtl w:val="true"/>
        </w:rPr>
        <w:t xml:space="preserve">روایت </w:t>
      </w:r>
      <w:r>
        <w:rPr/>
        <w:t>4</w:t>
      </w:r>
      <w:bookmarkEnd w:id="3094"/>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مردگان خویش را نیکو گردانید، چرا که زینت آنان به حساب می آید</w:t>
      </w:r>
      <w:r>
        <w:rPr>
          <w:rFonts w:eastAsia="IRNazanin" w:cs="IRNazanin"/>
          <w:color w:val="111111"/>
          <w:sz w:val="28"/>
          <w:szCs w:val="28"/>
          <w:rtl w:val="true"/>
          <w:lang w:bidi="fa-IR"/>
        </w:rPr>
        <w:t>.</w:t>
      </w:r>
      <w:r>
        <w:rPr>
          <w:rStyle w:val="FootnoteAnchor"/>
          <w:rtl w:val="true"/>
        </w:rPr>
        <w:footnoteReference w:id="1533"/>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روایت شده است</w:t>
      </w:r>
      <w:r>
        <w:rPr>
          <w:rFonts w:eastAsia="IRNazanin" w:cs="IRNazanin"/>
          <w:color w:val="111111"/>
          <w:sz w:val="28"/>
          <w:szCs w:val="28"/>
          <w:rtl w:val="true"/>
          <w:lang w:bidi="fa-IR"/>
        </w:rPr>
        <w:t>.</w:t>
      </w:r>
      <w:r>
        <w:rPr>
          <w:rStyle w:val="FootnoteAnchor"/>
          <w:rtl w:val="true"/>
        </w:rPr>
        <w:footnoteReference w:id="1534"/>
      </w:r>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مدینة العلم حدیث مرسلی نظیر آن روایت کرده است</w:t>
      </w:r>
      <w:r>
        <w:rPr>
          <w:rFonts w:eastAsia="IRNazanin" w:cs="IRNazanin"/>
          <w:color w:val="111111"/>
          <w:sz w:val="28"/>
          <w:szCs w:val="28"/>
          <w:rtl w:val="true"/>
          <w:lang w:bidi="fa-IR"/>
        </w:rPr>
        <w:t>.</w:t>
      </w:r>
      <w:r>
        <w:rPr>
          <w:rStyle w:val="FootnoteAnchor"/>
          <w:rtl w:val="true"/>
        </w:rPr>
        <w:footnoteReference w:id="1535"/>
      </w:r>
    </w:p>
    <w:p>
      <w:pPr>
        <w:pStyle w:val="Heading5"/>
        <w:numPr>
          <w:ilvl w:val="4"/>
          <w:numId w:val="1"/>
        </w:numPr>
        <w:rPr/>
      </w:pPr>
      <w:bookmarkStart w:id="3095" w:name="__RefHeading___Toc607768_1934241801"/>
      <w:bookmarkStart w:id="3096" w:name="_Toc1428"/>
      <w:bookmarkEnd w:id="3095"/>
      <w:r>
        <w:rPr>
          <w:rtl w:val="true"/>
        </w:rPr>
        <w:t xml:space="preserve">روایت </w:t>
      </w:r>
      <w:r>
        <w:rPr/>
        <w:t>5</w:t>
      </w:r>
      <w:bookmarkEnd w:id="3096"/>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مورد کفن خویش نزد من وصیّت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جعفر، برای کفن من پارچه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پارچه گرانبها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خریده و آن را نیکو گردان، چرا که مردگان به کفن های خویش فخر می فروشند</w:t>
      </w:r>
      <w:r>
        <w:rPr>
          <w:rFonts w:eastAsia="IRNazanin" w:cs="IRNazanin"/>
          <w:color w:val="111111"/>
          <w:sz w:val="28"/>
          <w:szCs w:val="28"/>
          <w:rtl w:val="true"/>
          <w:lang w:bidi="fa-IR"/>
        </w:rPr>
        <w:t>.</w:t>
      </w:r>
      <w:r>
        <w:rPr>
          <w:rStyle w:val="FootnoteAnchor"/>
          <w:rtl w:val="true"/>
        </w:rPr>
        <w:footnoteReference w:id="1536"/>
      </w:r>
    </w:p>
    <w:p>
      <w:pPr>
        <w:pStyle w:val="Heading5"/>
        <w:numPr>
          <w:ilvl w:val="4"/>
          <w:numId w:val="1"/>
        </w:numPr>
        <w:rPr/>
      </w:pPr>
      <w:bookmarkStart w:id="3097" w:name="__RefHeading___Toc607770_1934241801"/>
      <w:bookmarkStart w:id="3098" w:name="_Toc1429"/>
      <w:bookmarkEnd w:id="3097"/>
      <w:r>
        <w:rPr>
          <w:rtl w:val="true"/>
        </w:rPr>
        <w:t xml:space="preserve">روایت </w:t>
      </w:r>
      <w:r>
        <w:rPr/>
        <w:t>6</w:t>
      </w:r>
      <w:bookmarkEnd w:id="3098"/>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سنان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معمول در مورد مقدار استفاده شده از حنوط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ماده خوشبو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معطر کردن میّت، سیزده و یک سوّم درهم است؛ محمد بن احمد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جبرئیل علیه السلام حنوطی بر رسول خدا صلّی الله علیه و آله نازل کرد که وزن آن چهل درهم بود، پس پیامبر آن را به سه قسمت تقسیم کرد، یک قسمت برای خود، قسمتی برای علی و قسمتی دیگر برای فاطمه، درود خدا برآنان قرار داد</w:t>
      </w:r>
      <w:r>
        <w:rPr>
          <w:rFonts w:eastAsia="IRNazanin" w:cs="IRNazanin"/>
          <w:color w:val="111111"/>
          <w:sz w:val="28"/>
          <w:szCs w:val="28"/>
          <w:rtl w:val="true"/>
          <w:lang w:bidi="fa-IR"/>
        </w:rPr>
        <w:t>.</w:t>
      </w:r>
      <w:r>
        <w:rPr>
          <w:rStyle w:val="FootnoteAnchor"/>
          <w:rtl w:val="true"/>
        </w:rPr>
        <w:footnoteReference w:id="1537"/>
      </w:r>
    </w:p>
    <w:p>
      <w:pPr>
        <w:pStyle w:val="Heading5"/>
        <w:numPr>
          <w:ilvl w:val="4"/>
          <w:numId w:val="1"/>
        </w:numPr>
        <w:rPr/>
      </w:pPr>
      <w:bookmarkStart w:id="3099" w:name="__RefHeading___Toc607772_1934241801"/>
      <w:bookmarkStart w:id="3100" w:name="_Toc1430"/>
      <w:bookmarkEnd w:id="3099"/>
      <w:r>
        <w:rPr>
          <w:rtl w:val="true"/>
        </w:rPr>
        <w:t>توضیح</w:t>
      </w:r>
      <w:bookmarkEnd w:id="3100"/>
    </w:p>
    <w:p>
      <w:pPr>
        <w:pStyle w:val="BookText"/>
        <w:rPr/>
      </w:pPr>
      <w:r>
        <w:rPr>
          <w:rFonts w:ascii="IRNazanin" w:hAnsi="IRNazanin" w:eastAsia="IRNazanin"/>
          <w:color w:val="111111"/>
          <w:sz w:val="28"/>
          <w:sz w:val="28"/>
          <w:szCs w:val="28"/>
          <w:rtl w:val="true"/>
          <w:lang w:bidi="fa-IR"/>
        </w:rPr>
        <w:t>نظر مشهور در بین فقها بر این است که محقّق شدن مسمّای حنوط کفایت می کند، ولی شیخین و صدوق بر این باورند که کمترین مقدار حنوط یک مثقال، میانگین آن چهار درهم و کامل ترین وزن آن سیزده و یک سوّم درهم است، و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مقدار حنوط استفاده شده برای معطّر کردن میّت یک مثقال و یک سوّم مثقال است که به تربت مزار امام حسین علیه السلام آمیخته می گردد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جنید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مقدار یک مثقال و میانیگن آن چهار مثقال است، ولی ابن برّاج بیشترین مقدارِ آن </w:t>
      </w:r>
      <w:bookmarkStart w:id="3101" w:name="pg13517_329344"/>
    </w:p>
    <w:p>
      <w:pPr>
        <w:pStyle w:val="BookText"/>
        <w:rPr/>
      </w:pPr>
      <w:bookmarkEnd w:id="3101"/>
      <w:r>
        <w:rPr>
          <w:rFonts w:ascii="Amiri" w:hAnsi="Amiri" w:eastAsia="Amiri" w:cs="Amiri"/>
          <w:color w:val="111111"/>
          <w:sz w:val="28"/>
          <w:sz w:val="28"/>
          <w:szCs w:val="28"/>
          <w:rtl w:val="true"/>
          <w:lang w:bidi="ar-SA"/>
        </w:rPr>
        <w:t>عشر درهما و نصف و قد وردت الروايات بالمثقال و بالمثقال و النصف و بأربعة مثاقيل و بثلاثة عشر درهما و ثلث و الكل حسن و ما زاد منها أحسن و الظاهر عدم مشاركة الغسل للحنوط في تلك المقادير و قيل بالمشاركة</w:t>
      </w:r>
      <w:r>
        <w:rPr>
          <w:rFonts w:eastAsia="Amiri" w:cs="Amiri" w:ascii="Amiri" w:hAnsi="Amiri"/>
          <w:color w:val="111111"/>
          <w:sz w:val="28"/>
          <w:szCs w:val="28"/>
          <w:rtl w:val="true"/>
          <w:lang w:bidi="ar-SA"/>
        </w:rPr>
        <w:t>.</w:t>
      </w:r>
    </w:p>
    <w:p>
      <w:pPr>
        <w:pStyle w:val="Heading5"/>
        <w:numPr>
          <w:ilvl w:val="4"/>
          <w:numId w:val="1"/>
        </w:numPr>
        <w:rPr/>
      </w:pPr>
      <w:bookmarkStart w:id="3102" w:name="__RefHeading___Toc607774_1934241801"/>
      <w:bookmarkStart w:id="3103" w:name="_Toc1431"/>
      <w:bookmarkEnd w:id="3102"/>
      <w:r>
        <w:rPr>
          <w:rtl w:val="true"/>
        </w:rPr>
        <w:t>«</w:t>
      </w:r>
      <w:r>
        <w:rPr/>
        <w:t>7</w:t>
      </w:r>
      <w:r>
        <w:rPr>
          <w:rtl w:val="true"/>
        </w:rPr>
        <w:t>»</w:t>
      </w:r>
      <w:bookmarkEnd w:id="3103"/>
    </w:p>
    <w:p>
      <w:pPr>
        <w:pStyle w:val="BookText"/>
        <w:rPr/>
      </w:pPr>
      <w:r>
        <w:rPr>
          <w:rFonts w:ascii="Amiri" w:hAnsi="Amiri" w:eastAsia="Amiri" w:cs="Amiri"/>
          <w:color w:val="111111"/>
          <w:sz w:val="28"/>
          <w:sz w:val="28"/>
          <w:szCs w:val="28"/>
          <w:rtl w:val="true"/>
          <w:lang w:bidi="ar-SA"/>
        </w:rPr>
        <w:t>مَجَالِسُ ابْنِ الشَّيْخِ، عَنْ أَبِيهِ عَنْ مُحَمَّدِ بْنِ مُحَمَّدِ بْنِ مَخْلَدٍ عَنْ عُثْمَانَ بْنِ أَحْمَدَ الْمَعْرُوفِ بِابْنِ السَّمَّاكِ عَنْ أَحْمَدَ بْنِ عَلِيٍّ الْخَزَّازِ عَنْ يَحْيَي بْنِ عِمْرَانَ عَنْ سُلَيْمَانَ بْنِ أَرْقَمَ عَنِ الْحَسَنِ عَنْ أَبِي هُرَيْرَةَ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خَيْرُ ثِيَابِكُمُ الْبَيَاضُ فَلْيَلْبَسْهُ أَحْيَاؤُكُمْ وَ كَفِّنُوا فِيهِ مَوْتَاكُمْ‌</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4" w:name="__RefHeading___Toc607776_1934241801"/>
      <w:bookmarkStart w:id="3105" w:name="_Toc1432"/>
      <w:bookmarkEnd w:id="3104"/>
      <w:r>
        <w:rPr>
          <w:rtl w:val="true"/>
        </w:rPr>
        <w:t>«</w:t>
      </w:r>
      <w:r>
        <w:rPr/>
        <w:t>8</w:t>
      </w:r>
      <w:r>
        <w:rPr>
          <w:rtl w:val="true"/>
        </w:rPr>
        <w:t>»</w:t>
      </w:r>
      <w:bookmarkEnd w:id="3105"/>
    </w:p>
    <w:p>
      <w:pPr>
        <w:pStyle w:val="BookText"/>
        <w:rPr/>
      </w:pPr>
      <w:r>
        <w:rPr>
          <w:rFonts w:ascii="Amiri" w:hAnsi="Amiri" w:eastAsia="Amiri" w:cs="Amiri"/>
          <w:color w:val="111111"/>
          <w:sz w:val="28"/>
          <w:sz w:val="28"/>
          <w:szCs w:val="28"/>
          <w:rtl w:val="true"/>
          <w:lang w:bidi="ar-SA"/>
        </w:rPr>
        <w:t>الْإِحْتِجَاجُ، وَ 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مُحَمَّدُ بْنُ عَبْدِ اللَّهِ بْنِ جَعْفَرٍ الْحِمْيَرِيُّ إِلَي الْقَائِمِ عليه السلام سُئِلَ عَنْ طِينِ الْقَبْرِ يُوضَعُ مَعَ الْمَيِّتِ فِي قَبْرِهِ هَلْ يَجُوزُ ذَلِكَ أَمْ لَا فَأَجَابَ عليه السلام يُوضَعُ مَعَ الْمَيِّتِ فِي قَبْرِهِ وَ يُخْلَطُ بِحَنُوطِهِ إِنْ شَاءَ اللَّهُ تَعَالَي‌</w:t>
      </w:r>
      <w:r>
        <w:rPr>
          <w:rStyle w:val="FootnoteAnchor"/>
          <w:rtl w:val="true"/>
        </w:rPr>
        <w:footnoteReference w:id="1539"/>
      </w:r>
    </w:p>
    <w:p>
      <w:pPr>
        <w:pStyle w:val="BookText"/>
        <w:rPr/>
      </w:pPr>
      <w:r>
        <w:rPr>
          <w:rFonts w:ascii="Amiri" w:hAnsi="Amiri" w:eastAsia="Amiri" w:cs="Amiri"/>
          <w:color w:val="111111"/>
          <w:sz w:val="28"/>
          <w:sz w:val="28"/>
          <w:szCs w:val="28"/>
          <w:rtl w:val="true"/>
          <w:lang w:bidi="ar-SA"/>
        </w:rPr>
        <w:t>وَ سَأَلَ وَ رُوِيَ لَنَا عَنِ الصَّادِقِ عليه السلام أَنَّهُ كَتَبَ عَلَي إِزَارِ إِسْمَاعِيلَ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يَشْهَدُ أَنْ لَا إِلَهَ إِلَّا اللَّهُ وَ هَلْ يَجُوزُ لَنَا نَكْتُبُ مِثْلَ ذَلِكَ بِطِينِ الْقَبْرِ أَوْ غَيْرِهِ فَأَجَابَ عليه السلام يَجُوزُ ذَلِكَ‌</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6" w:name="__RefHeading___Toc607778_1934241801"/>
      <w:bookmarkStart w:id="3107" w:name="_Toc1433"/>
      <w:bookmarkEnd w:id="3106"/>
      <w:r>
        <w:rPr>
          <w:rtl w:val="true"/>
        </w:rPr>
        <w:t>«</w:t>
      </w:r>
      <w:r>
        <w:rPr/>
        <w:t>9</w:t>
      </w:r>
      <w:r>
        <w:rPr>
          <w:rtl w:val="true"/>
        </w:rPr>
        <w:t>»</w:t>
      </w:r>
      <w:bookmarkEnd w:id="3107"/>
    </w:p>
    <w:p>
      <w:pPr>
        <w:pStyle w:val="BookText"/>
        <w:rPr/>
      </w:pPr>
      <w:r>
        <w:rPr>
          <w:rFonts w:ascii="Amiri" w:hAnsi="Amiri" w:eastAsia="Amiri" w:cs="Amiri"/>
          <w:color w:val="111111"/>
          <w:sz w:val="28"/>
          <w:sz w:val="28"/>
          <w:szCs w:val="28"/>
          <w:rtl w:val="true"/>
          <w:lang w:bidi="ar-SA"/>
        </w:rPr>
        <w:t>الْعِلَلُ، وَ الْخِصَالُ، عَنْ أَبِيهِ عَنْ سَعْدِ بْنِ عَبْدِ اللَّهِ عَنْ مُحَمَّدِ بْنِ عِيسَي الْيَقْطِينِيِّ عَنِ الْقَاسِمِ بْنِ يَحْيَي عَنْ جَدِّهِ الْحَسَنِ عَنْ أَبِي بَصِيرٍ وَ مُحَمَّدِ بْنِ مُسْلِمٍ عَنِ الصَّادِقِ عليه السلام عَنْ آبَائِهِ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تُجَمِّرُوا الْأَكْفَانَ وَ لَا تَمْسَحُوا مَوْتَاكُمْ بِالطِّيبِ إِلَّا الْكَافُورَ فَإِنَّ الْمَيِّتَ بِمَنْزِلَةِ الْمُحْرِمِ‌</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8" w:name="__RefHeading___Toc607780_1934241801"/>
      <w:bookmarkStart w:id="3109" w:name="_Toc1434"/>
      <w:bookmarkEnd w:id="3108"/>
      <w:r>
        <w:rPr>
          <w:rtl w:val="true"/>
        </w:rPr>
        <w:t>بيان</w:t>
      </w:r>
      <w:bookmarkEnd w:id="3109"/>
    </w:p>
    <w:p>
      <w:pPr>
        <w:pStyle w:val="BookText"/>
        <w:rPr/>
      </w:pPr>
      <w:r>
        <w:rPr>
          <w:rFonts w:ascii="Amiri" w:hAnsi="Amiri" w:eastAsia="Amiri" w:cs="Amiri"/>
          <w:color w:val="111111"/>
          <w:sz w:val="28"/>
          <w:sz w:val="28"/>
          <w:szCs w:val="28"/>
          <w:rtl w:val="true"/>
          <w:lang w:bidi="ar-SA"/>
        </w:rPr>
        <w:t>نقل في المعتبر إجماع علمائنا علي كراهة تجمير الكفن و قال الصدوق يكره أن يجمر أو يتبع بمجمرة و لكن يجمر الكفن و لا يبعد حمل الأخبار الواردة بالجواز علي التقية</w:t>
      </w:r>
      <w:r>
        <w:rPr>
          <w:rFonts w:eastAsia="Amiri" w:cs="Amiri" w:ascii="Amiri" w:hAnsi="Amiri"/>
          <w:color w:val="111111"/>
          <w:sz w:val="28"/>
          <w:szCs w:val="28"/>
          <w:rtl w:val="true"/>
          <w:lang w:bidi="ar-SA"/>
        </w:rPr>
        <w:t>.</w:t>
      </w:r>
    </w:p>
    <w:p>
      <w:pPr>
        <w:pStyle w:val="Heading5"/>
        <w:numPr>
          <w:ilvl w:val="4"/>
          <w:numId w:val="1"/>
        </w:numPr>
        <w:rPr/>
      </w:pPr>
      <w:bookmarkStart w:id="3110" w:name="__RefHeading___Toc607782_1934241801"/>
      <w:bookmarkStart w:id="3111" w:name="_Toc1435"/>
      <w:bookmarkEnd w:id="3110"/>
      <w:r>
        <w:rPr>
          <w:rtl w:val="true"/>
        </w:rPr>
        <w:t>«</w:t>
      </w:r>
      <w:r>
        <w:rPr/>
        <w:t>10</w:t>
      </w:r>
      <w:r>
        <w:rPr>
          <w:rtl w:val="true"/>
        </w:rPr>
        <w:t>»</w:t>
      </w:r>
      <w:bookmarkEnd w:id="3111"/>
    </w:p>
    <w:p>
      <w:pPr>
        <w:pStyle w:val="BookText"/>
        <w:rPr/>
      </w:pPr>
      <w:r>
        <w:rPr>
          <w:rFonts w:ascii="Amiri" w:hAnsi="Amiri" w:eastAsia="Amiri" w:cs="Amiri"/>
          <w:color w:val="111111"/>
          <w:sz w:val="28"/>
          <w:sz w:val="28"/>
          <w:szCs w:val="28"/>
          <w:rtl w:val="true"/>
          <w:lang w:bidi="ar-SA"/>
        </w:rPr>
        <w:t>الْخِصَالُ‌</w:t>
      </w:r>
      <w:r>
        <w:rPr>
          <w:rStyle w:val="FootnoteAnchor"/>
          <w:rtl w:val="true"/>
        </w:rPr>
        <w:footnoteReference w:id="1542"/>
      </w:r>
      <w:r>
        <w:rPr>
          <w:rFonts w:ascii="Amiri" w:hAnsi="Amiri" w:eastAsia="Amiri" w:cs="Amiri"/>
          <w:color w:val="111111"/>
          <w:sz w:val="28"/>
          <w:sz w:val="28"/>
          <w:szCs w:val="28"/>
          <w:rtl w:val="true"/>
          <w:lang w:bidi="ar-SA"/>
        </w:rPr>
        <w:t>، عَنْ أَبِيهِ وَ مُحَمَّدِ بْنِ الْحَسَنِ مَعاً عَنْ مُحَمَّدِ بْنِ يَحْيَي وَ أَحْمَدَ</w:t>
      </w:r>
    </w:p>
    <w:p>
      <w:pPr>
        <w:pStyle w:val="BookText"/>
        <w:rPr/>
      </w:pPr>
      <w:r>
        <w:rPr>
          <w:rFonts w:ascii="IRNazanin" w:hAnsi="IRNazanin" w:eastAsia="IRNazanin"/>
          <w:color w:val="111111"/>
          <w:sz w:val="28"/>
          <w:sz w:val="28"/>
          <w:szCs w:val="28"/>
          <w:rtl w:val="true"/>
          <w:lang w:bidi="fa-IR"/>
        </w:rPr>
        <w:t>را سیزده و نیم درهم معرفی کرده است، احادیثی نیز روایت شده اند که بر یک یا یک و نیم مثقال، چهار مثقال و سیزده و یک سوم مثقال به عنوان کمترین، میانگین و بیشترین مقدار حنوط استفاده شده برای معطّر کردن میّت دلالت می کنند، و همه از احادیث حسن هستند، و اگر از مقدار بیشتری نیز استفاده شود نیکوتر است؛ آنچه آشکار است اینکه هنگام غسل از حنوط در این مقادیر استفاده نمی شود، و گفته شده که استفاده می شود</w:t>
      </w:r>
      <w:r>
        <w:rPr>
          <w:rFonts w:eastAsia="IRNazanin" w:cs="IRNazanin"/>
          <w:color w:val="111111"/>
          <w:sz w:val="28"/>
          <w:szCs w:val="28"/>
          <w:rtl w:val="true"/>
          <w:lang w:bidi="fa-IR"/>
        </w:rPr>
        <w:t>.</w:t>
      </w:r>
    </w:p>
    <w:p>
      <w:pPr>
        <w:pStyle w:val="Heading5"/>
        <w:numPr>
          <w:ilvl w:val="4"/>
          <w:numId w:val="1"/>
        </w:numPr>
        <w:rPr/>
      </w:pPr>
      <w:bookmarkStart w:id="3112" w:name="__RefHeading___Toc607784_1934241801"/>
      <w:bookmarkStart w:id="3113" w:name="_Toc1436"/>
      <w:bookmarkEnd w:id="3112"/>
      <w:r>
        <w:rPr>
          <w:rtl w:val="true"/>
        </w:rPr>
        <w:t xml:space="preserve">روایت </w:t>
      </w:r>
      <w:r>
        <w:rPr/>
        <w:t>7</w:t>
      </w:r>
      <w:bookmarkEnd w:id="3113"/>
    </w:p>
    <w:p>
      <w:p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ابوهریرة از رسول خدا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لباسی که بر تن می کنید لباسهای سفید رنگ هستند، پس شایسته است که زندگان شما لباس سفید بپوشند و مردگان خویش را نیز با آن کفن کنید</w:t>
      </w:r>
      <w:r>
        <w:rPr>
          <w:rFonts w:eastAsia="IRNazanin" w:cs="IRNazanin"/>
          <w:color w:val="111111"/>
          <w:sz w:val="28"/>
          <w:szCs w:val="28"/>
          <w:rtl w:val="true"/>
          <w:lang w:bidi="fa-IR"/>
        </w:rPr>
        <w:t>.</w:t>
      </w:r>
      <w:r>
        <w:rPr>
          <w:rStyle w:val="FootnoteAnchor"/>
          <w:rtl w:val="true"/>
        </w:rPr>
        <w:footnoteReference w:id="1543"/>
      </w:r>
    </w:p>
    <w:p>
      <w:pPr>
        <w:pStyle w:val="Heading5"/>
        <w:numPr>
          <w:ilvl w:val="4"/>
          <w:numId w:val="1"/>
        </w:numPr>
        <w:rPr/>
      </w:pPr>
      <w:bookmarkStart w:id="3114" w:name="__RefHeading___Toc607786_1934241801"/>
      <w:bookmarkStart w:id="3115" w:name="_Toc1437"/>
      <w:bookmarkEnd w:id="3114"/>
      <w:r>
        <w:rPr>
          <w:rtl w:val="true"/>
        </w:rPr>
        <w:t xml:space="preserve">روایت </w:t>
      </w:r>
      <w:r>
        <w:rPr/>
        <w:t>8</w:t>
      </w:r>
      <w:bookmarkEnd w:id="3115"/>
    </w:p>
    <w:p>
      <w:pPr>
        <w:pStyle w:val="BookText"/>
        <w:rPr/>
      </w:pPr>
      <w:r>
        <w:rPr>
          <w:rFonts w:ascii="IRNazanin" w:hAnsi="IRNazanin" w:eastAsia="IRNazanin"/>
          <w:color w:val="111111"/>
          <w:sz w:val="28"/>
          <w:sz w:val="28"/>
          <w:szCs w:val="28"/>
          <w:rtl w:val="true"/>
          <w:lang w:bidi="fa-IR"/>
        </w:rPr>
        <w:t>الاحتجاج و غیبة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نوشته های محمّد بن عبدالله بن جعفر حمیریّ به امام زمان علیه السلام از گِل قبر که همراه میّت در قبرش گذارده می شود سؤال شد و اینکه آیا این کار جایز است یا خیر؟ امام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قبر همراه میّت در قبرش گذارده می شود و با حنوطی که برای معطر شدن او از آن استفاده شده آمیخته می گردد، إن شاءالله تعالی</w:t>
      </w:r>
      <w:r>
        <w:rPr>
          <w:rFonts w:eastAsia="IRNazanin" w:cs="IRNazanin"/>
          <w:color w:val="111111"/>
          <w:sz w:val="28"/>
          <w:szCs w:val="28"/>
          <w:rtl w:val="true"/>
          <w:lang w:bidi="fa-IR"/>
        </w:rPr>
        <w:t>.</w:t>
      </w:r>
      <w:r>
        <w:rPr>
          <w:rStyle w:val="FootnoteAnchor"/>
          <w:rtl w:val="true"/>
        </w:rPr>
        <w:footnoteReference w:id="1544"/>
      </w:r>
    </w:p>
    <w:p>
      <w:pPr>
        <w:pStyle w:val="BookText"/>
        <w:rPr/>
      </w:pPr>
      <w:r>
        <w:rPr>
          <w:rFonts w:ascii="IRNazanin" w:hAnsi="IRNazanin" w:eastAsia="IRNazanin"/>
          <w:color w:val="111111"/>
          <w:sz w:val="28"/>
          <w:sz w:val="28"/>
          <w:szCs w:val="28"/>
          <w:rtl w:val="true"/>
          <w:lang w:bidi="fa-IR"/>
        </w:rPr>
        <w:t>همچنین محمّد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روایت شده که امام صادق علیه السلام بر پایین کفن پسرش اسماعیل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إسماعیل یشهد أن لا إلا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برای ما جایز است که با گِل قبر یا چیزهای دیگر چنین عبارتی بنویسیم؟ امام زمان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جایز است</w:t>
      </w:r>
      <w:r>
        <w:rPr>
          <w:rFonts w:eastAsia="IRNazanin" w:cs="IRNazanin"/>
          <w:color w:val="111111"/>
          <w:sz w:val="28"/>
          <w:szCs w:val="28"/>
          <w:rtl w:val="true"/>
          <w:lang w:bidi="fa-IR"/>
        </w:rPr>
        <w:t>.</w:t>
      </w:r>
      <w:r>
        <w:rPr>
          <w:rStyle w:val="FootnoteAnchor"/>
          <w:rtl w:val="true"/>
        </w:rPr>
        <w:footnoteReference w:id="1545"/>
      </w:r>
    </w:p>
    <w:p>
      <w:pPr>
        <w:pStyle w:val="Heading5"/>
        <w:numPr>
          <w:ilvl w:val="4"/>
          <w:numId w:val="1"/>
        </w:numPr>
        <w:rPr/>
      </w:pPr>
      <w:bookmarkStart w:id="3116" w:name="__RefHeading___Toc607788_1934241801"/>
      <w:bookmarkStart w:id="3117" w:name="_Toc1438"/>
      <w:bookmarkEnd w:id="3116"/>
      <w:r>
        <w:rPr>
          <w:rtl w:val="true"/>
        </w:rPr>
        <w:t xml:space="preserve">روایت </w:t>
      </w:r>
      <w:r>
        <w:rPr/>
        <w:t>9</w:t>
      </w:r>
      <w:bookmarkEnd w:id="3117"/>
    </w:p>
    <w:p>
      <w:pPr>
        <w:pStyle w:val="BookText"/>
        <w:rPr/>
      </w:pPr>
      <w:r>
        <w:rPr>
          <w:rFonts w:ascii="IRNazanin" w:hAnsi="IRNazanin" w:eastAsia="IRNazanin"/>
          <w:color w:val="111111"/>
          <w:sz w:val="28"/>
          <w:sz w:val="28"/>
          <w:szCs w:val="28"/>
          <w:rtl w:val="true"/>
          <w:lang w:bidi="fa-IR"/>
        </w:rPr>
        <w:t>علل الشرایع 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روایت کرده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ها را با اشیاء معطّر بخور ندهید، و مردگان خویش را جز با کافور مسح نکنید، چرا که میّت به منزله شخص در حال احرام است</w:t>
      </w:r>
      <w:r>
        <w:rPr>
          <w:rFonts w:eastAsia="IRNazanin" w:cs="IRNazanin"/>
          <w:color w:val="111111"/>
          <w:sz w:val="28"/>
          <w:szCs w:val="28"/>
          <w:rtl w:val="true"/>
          <w:lang w:bidi="fa-IR"/>
        </w:rPr>
        <w:t>.</w:t>
      </w:r>
      <w:r>
        <w:rPr>
          <w:rStyle w:val="FootnoteAnchor"/>
          <w:rtl w:val="true"/>
        </w:rPr>
        <w:footnoteReference w:id="1546"/>
      </w:r>
    </w:p>
    <w:p>
      <w:pPr>
        <w:pStyle w:val="Heading5"/>
        <w:numPr>
          <w:ilvl w:val="4"/>
          <w:numId w:val="1"/>
        </w:numPr>
        <w:rPr/>
      </w:pPr>
      <w:bookmarkStart w:id="3118" w:name="__RefHeading___Toc607790_1934241801"/>
      <w:bookmarkStart w:id="3119" w:name="_Toc1439"/>
      <w:bookmarkEnd w:id="3118"/>
      <w:r>
        <w:rPr>
          <w:rtl w:val="true"/>
        </w:rPr>
        <w:t>توضیح</w:t>
      </w:r>
      <w:bookmarkEnd w:id="3119"/>
    </w:p>
    <w:p>
      <w:pPr>
        <w:pStyle w:val="BookText"/>
        <w:rPr/>
      </w:pPr>
      <w:r>
        <w:rPr>
          <w:rFonts w:ascii="IRNazanin" w:hAnsi="IRNazanin" w:eastAsia="IRNazanin"/>
          <w:color w:val="111111"/>
          <w:sz w:val="28"/>
          <w:sz w:val="28"/>
          <w:szCs w:val="28"/>
          <w:rtl w:val="true"/>
          <w:lang w:bidi="fa-IR"/>
        </w:rPr>
        <w:t xml:space="preserve">در المعتبر نقل شده که جمهور علمای ما بر کراهت بخور دادن کفن با اشیاء معطّر اتفاق نظر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صدوق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که میّت با اشیاء معطّر بخور داده شود یا با بخوردادن همراهی گردد، ولی کفن بخور داده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بعید نیست که احادیث دلالت کننده بر جواز این امر بر تقیّه حمل شود</w:t>
      </w:r>
      <w:r>
        <w:rPr>
          <w:rFonts w:eastAsia="IRNazanin" w:cs="IRNazanin"/>
          <w:color w:val="111111"/>
          <w:sz w:val="28"/>
          <w:szCs w:val="28"/>
          <w:rtl w:val="true"/>
          <w:lang w:bidi="fa-IR"/>
        </w:rPr>
        <w:t>.</w:t>
      </w:r>
    </w:p>
    <w:p>
      <w:pPr>
        <w:pStyle w:val="Heading5"/>
        <w:numPr>
          <w:ilvl w:val="4"/>
          <w:numId w:val="1"/>
        </w:numPr>
        <w:rPr/>
      </w:pPr>
      <w:bookmarkStart w:id="3120" w:name="__RefHeading___Toc607792_1934241801"/>
      <w:bookmarkStart w:id="3121" w:name="_Toc1440"/>
      <w:bookmarkEnd w:id="3120"/>
      <w:r>
        <w:rPr>
          <w:rtl w:val="true"/>
        </w:rPr>
        <w:t xml:space="preserve">روایت </w:t>
      </w:r>
      <w:r>
        <w:rPr/>
        <w:t>10</w:t>
      </w:r>
      <w:bookmarkEnd w:id="3121"/>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bookmarkStart w:id="3122" w:name="pg13517_329345"/>
    </w:p>
    <w:p>
      <w:pPr>
        <w:pStyle w:val="BookText"/>
        <w:rPr/>
      </w:pPr>
      <w:bookmarkEnd w:id="3122"/>
      <w:r>
        <w:rPr>
          <w:rFonts w:ascii="Amiri" w:hAnsi="Amiri" w:eastAsia="Amiri" w:cs="Amiri"/>
          <w:color w:val="111111"/>
          <w:sz w:val="28"/>
          <w:sz w:val="28"/>
          <w:szCs w:val="28"/>
          <w:rtl w:val="true"/>
          <w:lang w:bidi="ar-SA"/>
        </w:rPr>
        <w:t>ابْنِ إِدْرِيسَ مَعاً عَنْ مُحَمَّدِ بْنِ أَحْمَدَ بْنِ يَحْيَي عَنْ مُحَمَّدِ بْنِ عِيسَي رَفَعَهُ إِلَي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يُمَاكَسُ فِي أَرْبَعَةِ أَشْيَاءَ فِي الْأُضْحِيَّةِ وَ الْكَفَنِ وَ ثَمَنِ النَّسَمَةِ وَ الْكِرَي إِلَي مَكَّةَ</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في وصايا النبي صلي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كما مر بإسناده‌</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23" w:name="__RefHeading___Toc607794_1934241801"/>
      <w:bookmarkStart w:id="3124" w:name="_Toc1441"/>
      <w:bookmarkEnd w:id="3123"/>
      <w:r>
        <w:rPr>
          <w:rtl w:val="true"/>
        </w:rPr>
        <w:t>«</w:t>
      </w:r>
      <w:r>
        <w:rPr/>
        <w:t>11</w:t>
      </w:r>
      <w:r>
        <w:rPr>
          <w:rtl w:val="true"/>
        </w:rPr>
        <w:t>»</w:t>
      </w:r>
      <w:bookmarkEnd w:id="3124"/>
    </w:p>
    <w:p>
      <w:pPr>
        <w:pStyle w:val="BookText"/>
        <w:rPr/>
      </w:pPr>
      <w:r>
        <w:rPr>
          <w:rFonts w:ascii="Amiri" w:hAnsi="Amiri" w:eastAsia="Amiri" w:cs="Amiri"/>
          <w:color w:val="111111"/>
          <w:sz w:val="28"/>
          <w:sz w:val="28"/>
          <w:szCs w:val="28"/>
          <w:rtl w:val="true"/>
          <w:lang w:bidi="ar-SA"/>
        </w:rPr>
        <w:t>مَجَالِسُ الصَّدُوقِ، عَنْ جَعْفَرِ بْنِ عَلِيٍّ عَنْ جَدِّهِ الْحَسَنِ بْنِ عَلِيٍّ عَنْ جَدِّهِ عَبْدِ اللَّهِ بْنِ الْمُغِيرَةِ عَنْ إِسْمَاعِيلَ بْنِ مُسْلِمٍ عَنِ الصَّادِقِ جَعْفَرِ بْنِ مُحَمَّدٍ عَنْ أَبِيهِ عَنْ آبَائِهِ عَنْ عَلِيٍّ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أَعَدَّ الرَّجُلُ كَفَنَهُ كَانَ مَأْجُوراً كُلَّمَا نَظَرَ إِلَيْهِ‌</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25" w:name="__RefHeading___Toc607796_1934241801"/>
      <w:bookmarkStart w:id="3126" w:name="_Toc1442"/>
      <w:bookmarkEnd w:id="3125"/>
      <w:r>
        <w:rPr>
          <w:rtl w:val="true"/>
        </w:rPr>
        <w:t>«</w:t>
      </w:r>
      <w:r>
        <w:rPr/>
        <w:t>12</w:t>
      </w:r>
      <w:r>
        <w:rPr>
          <w:rtl w:val="true"/>
        </w:rPr>
        <w:t>»</w:t>
      </w:r>
      <w:bookmarkEnd w:id="3126"/>
    </w:p>
    <w:p>
      <w:pPr>
        <w:pStyle w:val="BookText"/>
        <w:rPr/>
      </w:pPr>
      <w:r>
        <w:rPr>
          <w:rFonts w:ascii="Amiri" w:hAnsi="Amiri" w:eastAsia="Amiri" w:cs="Amiri"/>
          <w:color w:val="111111"/>
          <w:sz w:val="28"/>
          <w:sz w:val="28"/>
          <w:szCs w:val="28"/>
          <w:rtl w:val="true"/>
          <w:lang w:bidi="ar-SA"/>
        </w:rPr>
        <w:t>مَعَانِي الْأَخْبَارِ، عَنْ مُحَمَّدِ بْنِ الْحَسَنِ عَنْ مُحَمَّدِ بْنِ الْحَسَنِ الصَّفَّارِ عَنْ إِبْرَاهِيمَ بْنِ هَاشِمٍ عَنْ عَبْدِ اللَّهِ بْنِ الْمُغِيرَةِ عَنْ يَحْيَي بْنِ عُبَادَةَ عَنْ أَبِي عَبْدِ اللَّهِ عليه السلام أَنَّهُ سَمِعَهُ أَنَّ رَجُلًا مَاتَ مِنَ الْأَنْصَارِ فَشَهِدَهُ رَسُولُ اللَّهِ صلي الله عليه و آله وَ قَالَ خَضِّرُوهُ فَمَا أَقَلَّ الْمُتَخَضِّرِينَ يَوْمَ الْقِيَامَةِ قَالَ قُلْتُ لِأَبِي عَبْدِ اللَّهِ عليه السلام وَ أَيُّ شَيْ‌ءٍ التَّخْضِيرُ قَالَ تُؤْخَذُ جَرِيدَةٌ رَطْبَةٌ قَدْرَ ذِرَاعٍ وَ تُوضَعُ هُنَا وَ أَشَارَ بِيَدِهِ إِلَي تَرْقُوَتِهِ تُلَفُّ مَعَ 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الصدوق رحمه الله جاء هذا الخبر هكذا و الذي يجب استعماله أن يجعل للميت جريدتان من النخل خضراوين رطبتين طول كل واحدة قدر عظم الذراع تجعل إحداهما من عند الترقوة تلصق بجلده و عليه القميص و الأخري عند وركه ما بين القميص و الإزار فإن لم يقدر علي جريدة من نخل فلا بأس أن تكون من غيره من بعد أن تكون رطبا</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بر سر بهای چهار چیز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کفن، بهای آزاد کردن بردگان، کرایه رسیدن به مکه</w:t>
      </w:r>
      <w:r>
        <w:rPr>
          <w:rFonts w:eastAsia="IRNazanin" w:cs="IRNazanin"/>
          <w:color w:val="111111"/>
          <w:sz w:val="28"/>
          <w:szCs w:val="28"/>
          <w:rtl w:val="true"/>
          <w:lang w:bidi="fa-IR"/>
        </w:rPr>
        <w:t>.</w:t>
      </w:r>
      <w:r>
        <w:rPr>
          <w:rStyle w:val="FootnoteAnchor"/>
          <w:rtl w:val="true"/>
        </w:rPr>
        <w:footnoteReference w:id="1551"/>
      </w:r>
    </w:p>
    <w:p>
      <w:pPr>
        <w:pStyle w:val="BookText"/>
        <w:rPr/>
      </w:pPr>
      <w:r>
        <w:rPr>
          <w:rFonts w:ascii="IRNazanin" w:hAnsi="IRNazanin" w:eastAsia="IRNazanin"/>
          <w:color w:val="111111"/>
          <w:sz w:val="28"/>
          <w:sz w:val="28"/>
          <w:szCs w:val="28"/>
          <w:rtl w:val="true"/>
          <w:lang w:bidi="fa-IR"/>
        </w:rPr>
        <w:t>در میان وصیّت های پیامبر صلّی الله علیه و آله به علی علیه السلام نظیر این حدیث روایت شده است</w:t>
      </w:r>
      <w:r>
        <w:rPr>
          <w:rFonts w:eastAsia="IRNazanin" w:cs="IRNazanin"/>
          <w:color w:val="111111"/>
          <w:sz w:val="28"/>
          <w:szCs w:val="28"/>
          <w:rtl w:val="true"/>
          <w:lang w:bidi="fa-IR"/>
        </w:rPr>
        <w:t>.</w:t>
      </w:r>
      <w:r>
        <w:rPr>
          <w:rStyle w:val="FootnoteAnchor"/>
          <w:rtl w:val="true"/>
        </w:rPr>
        <w:footnoteReference w:id="1552"/>
      </w:r>
    </w:p>
    <w:p>
      <w:pPr>
        <w:pStyle w:val="Heading5"/>
        <w:numPr>
          <w:ilvl w:val="4"/>
          <w:numId w:val="1"/>
        </w:numPr>
        <w:rPr/>
      </w:pPr>
      <w:bookmarkStart w:id="3127" w:name="__RefHeading___Toc607798_1934241801"/>
      <w:bookmarkStart w:id="3128" w:name="_Toc1443"/>
      <w:bookmarkEnd w:id="3127"/>
      <w:r>
        <w:rPr>
          <w:rtl w:val="true"/>
        </w:rPr>
        <w:t xml:space="preserve">روایت </w:t>
      </w:r>
      <w:r>
        <w:rPr/>
        <w:t>11</w:t>
      </w:r>
      <w:bookmarkEnd w:id="3128"/>
    </w:p>
    <w:p>
      <w:p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از پدرانش علیهم السلام روایت کرده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کفن خود را آماده می کند، هرگاه به آن نظر اندازد مأجور خواهد بود</w:t>
      </w:r>
      <w:r>
        <w:rPr>
          <w:rFonts w:eastAsia="IRNazanin" w:cs="IRNazanin"/>
          <w:color w:val="111111"/>
          <w:sz w:val="28"/>
          <w:szCs w:val="28"/>
          <w:rtl w:val="true"/>
          <w:lang w:bidi="fa-IR"/>
        </w:rPr>
        <w:t>.</w:t>
      </w:r>
      <w:r>
        <w:rPr>
          <w:rStyle w:val="FootnoteAnchor"/>
          <w:rtl w:val="true"/>
        </w:rPr>
        <w:footnoteReference w:id="1553"/>
      </w:r>
    </w:p>
    <w:p>
      <w:pPr>
        <w:pStyle w:val="Heading5"/>
        <w:numPr>
          <w:ilvl w:val="4"/>
          <w:numId w:val="1"/>
        </w:numPr>
        <w:rPr/>
      </w:pPr>
      <w:bookmarkStart w:id="3129" w:name="__RefHeading___Toc607800_1934241801"/>
      <w:bookmarkStart w:id="3130" w:name="_Toc1444"/>
      <w:bookmarkEnd w:id="3129"/>
      <w:r>
        <w:rPr>
          <w:rtl w:val="true"/>
        </w:rPr>
        <w:t xml:space="preserve">روایت </w:t>
      </w:r>
      <w:r>
        <w:rPr/>
        <w:t>12</w:t>
      </w:r>
      <w:bookmarkEnd w:id="3130"/>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عبادة روایت شده که 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وفات نمود، پس رسول خدا صلّی الله علیه و آله در مراسم غسل و کفن او حضور یافت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خضّروه، فما أقلّ المتخضّرین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ذراع از شاخه تر و تازه درخت خرما بریده شده و اینجا گذاشته می شود – امام به ترقوه خود اشاره کرد – و به لباس هایش پیچیده می شود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این گونه روایت شده است، و آنچه انجام دادنش واجب می باشد این است که دو شاخه تر و تازه و سبز درخت خرما که هر یک به اندازه استخوان ساعد باشند برای قرارداده شدن میّت آماده گردد، و در حالی که پیراهن به تن دارد یکی از شاخه ها در کنار ترقوه او قرار داده شده و به پوست بدنش چسبانده شود، و شاخه دیگر کنار کفل او و بین پیراهن و شلوار قرار داده شود، همچنین اگر امکان آماده کردن شاخه درخت خرما فراهم نباشد اشکالی ندارد که از شاخه درختان دیگر استفاده شود به شرط آنکه تر و تازه باشد</w:t>
      </w:r>
      <w:r>
        <w:rPr>
          <w:rFonts w:eastAsia="IRNazanin" w:cs="IRNazanin"/>
          <w:color w:val="111111"/>
          <w:sz w:val="28"/>
          <w:szCs w:val="28"/>
          <w:rtl w:val="true"/>
          <w:lang w:bidi="fa-IR"/>
        </w:rPr>
        <w:t>.</w:t>
      </w:r>
      <w:r>
        <w:rPr>
          <w:rStyle w:val="FootnoteAnchor"/>
          <w:rtl w:val="true"/>
        </w:rPr>
        <w:footnoteReference w:id="1554"/>
      </w:r>
      <w:bookmarkStart w:id="3131" w:name="pg13517_329346"/>
    </w:p>
    <w:p>
      <w:pPr>
        <w:pStyle w:val="Heading5"/>
        <w:numPr>
          <w:ilvl w:val="4"/>
          <w:numId w:val="1"/>
        </w:numPr>
        <w:rPr/>
      </w:pPr>
      <w:bookmarkStart w:id="3132" w:name="__RefHeading___Toc607802_1934241801"/>
      <w:bookmarkStart w:id="3133" w:name="_Toc1445"/>
      <w:bookmarkEnd w:id="3131"/>
      <w:bookmarkEnd w:id="3132"/>
      <w:r>
        <w:rPr>
          <w:rtl w:val="true"/>
        </w:rPr>
        <w:t>توضيح</w:t>
      </w:r>
      <w:bookmarkEnd w:id="3133"/>
    </w:p>
    <w:p>
      <w:pPr>
        <w:pStyle w:val="BookText"/>
        <w:rPr/>
      </w:pPr>
      <w:r>
        <w:rPr>
          <w:rFonts w:ascii="Amiri" w:hAnsi="Amiri" w:eastAsia="Amiri" w:cs="Amiri"/>
          <w:color w:val="111111"/>
          <w:sz w:val="28"/>
          <w:sz w:val="28"/>
          <w:szCs w:val="28"/>
          <w:rtl w:val="true"/>
          <w:lang w:bidi="ar-SA"/>
        </w:rPr>
        <w:t>اعلم أنه لا خلاف بين أصحابنا في استحباب الجريدتين للميت و قال الشهيد الثاني رحمه الله الجريدة العود الذي يجرد عنه الخوص و لا يسمي جريدا ما دام عليه الخوص و إنما يسمي سعفا و قال المفيد و سلار و جماعة يستحب أن يكون من النخل فإن لم يوجد فمن الخلاف و إلا فمن السدر و إلا فمن شجر رطب و ذهب جماعة منهم الشيخ في النهاية و المبسوط و المحقق في الشرائع إلي تقديم السدر علي الخلاف و ذهب الصدوق و الشيخ في الخلاف و الجعفي إلي أنه مع تعذر النخل تؤخذ من شجر رطب و هو اختيار ابن البراج و ابن إدريس و الشهيد في الدروس و البيان ذكر بعد الخلاف قبل الشجر الرطب شجر الرمان و لا يبعد التخيير بعد النخل بين السدر و الخلاف ثم الرمان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اختلفوا في مقدارها فقال أكثر علمائنا منهم الشيخان يكون طولهما قدر عظم الذراع و قال الصدوق طول كل واحدة قدر عظم الذراع قال و إن كانت قدر الذراع فلا بأس و إن كانت قدر شبر فلا بأس و قال ابن أبي عقيل مقدار كل واحدة أربع أصابع إلي ما فوقها قال في الذكري و الكل جائز لثبوت الشرعية مع عدم القاطع علي قدر معين و الأظهر التخيير بين الذراع و الشبر و عظم الذراع لورود الرواية بكل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أيضا في محلها فالمشهور بينهم أنه يجعل إحداهما من جانبه الأيمن من ترقوته يلصقها بجلده و الأخري من الأيسر بين القميص و الإزار ذهب إليه الصدوق في المقنع و الشيخان و جمهور المتأخرين و قال علي بن بابويه و الصدوق في الفقيه كما ذكر هنا و قال ابن أبي عقيل واحدة تحت إبطه الأيمن و قال الجعفي إحداهما تحت إبطه الأيمن و الأخري نصف مما يلي الساق و نصف مما يلي الفخذ و لعل المشهور أقوي و مع التعذر للتقية توضع حيث يمكن و لو في القبر و استحباب الشق كما ذكره بعض الأصحاب غير ثابت و كذا</w:t>
      </w:r>
    </w:p>
    <w:p>
      <w:pPr>
        <w:pStyle w:val="Heading5"/>
        <w:numPr>
          <w:ilvl w:val="4"/>
          <w:numId w:val="1"/>
        </w:numPr>
        <w:rPr/>
      </w:pPr>
      <w:bookmarkStart w:id="3134" w:name="__RefHeading___Toc607804_1934241801"/>
      <w:bookmarkStart w:id="3135" w:name="_Toc1446"/>
      <w:bookmarkEnd w:id="3134"/>
      <w:r>
        <w:rPr>
          <w:rtl w:val="true"/>
        </w:rPr>
        <w:t>توضیح</w:t>
      </w:r>
      <w:bookmarkEnd w:id="3135"/>
    </w:p>
    <w:p>
      <w:pPr>
        <w:pStyle w:val="BookText"/>
        <w:rPr/>
      </w:pPr>
      <w:r>
        <w:rPr>
          <w:rFonts w:ascii="IRNazanin" w:hAnsi="IRNazanin" w:eastAsia="IRNazanin"/>
          <w:color w:val="111111"/>
          <w:sz w:val="28"/>
          <w:sz w:val="28"/>
          <w:szCs w:val="28"/>
          <w:rtl w:val="true"/>
          <w:lang w:bidi="fa-IR"/>
        </w:rPr>
        <w:t>آگاه باش که هیچ اختلافی در میان فقها بر سر استحباب قرار دادن دو شاخه نخل در کنار میّت وجود ندارد، شهید ثانی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چوبی است که برگ های آن جدا شده باشد، و اگر برگ ها برآن قرار داشته باشند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سلّار و گروه دیگری از فقها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که از شاخه درخت خرما استفاده شود، اگر خرما یافت نشد از درخت بید و اگر بید نیز یافت نشد از درخت سدر استفاده شود، و اگر هیچ یک از درختان مذکور یافت نشدند می توان از شاخه هر درخت تر و تازه استفاده کرد؛ گروهی از فقها مانند شیخ در النهایه و المبسوط و محقّق در الشرایع به تقدیم درخت سدر بر بید اعتقاد دارند، ولی صدوق، شیخ در الخلاف و جعفیّ بر این باورند که در صورت فراهم نبودن شاخه نخل می توان از شاخه هر درخت تر و تازه استفاده کرد، این نظر را ابن برّاج و ابن ادریس نیز برگزیده اند، امّا شهید در الدّروس و البیان بعد از درخت بید و قبل از هر درخت تر و تازه درخت انار را ذکر کرده است، همچنین بعید نیست که بعد از درخت خرما یکی از دو درخت سدر و بید و در صورت عدم وجود آن ها درخت انار اختیار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فقها در مورد اندازه دو شاخه نخل دچار اختلاف نظر شدند، اغلب علمای ما از جمله 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و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باورند که طول آن ها باید به اندازه استخوان ساعد باشد، 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هر یک از آن ها باید به اندازه استخوان ساعد باشد، اگر به اندازه یک ذراع و حتی یک وجب نیز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عقیل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هر یک از آن دو شاخه باید چهار انگشت و بیشتر از آن باشد؛ شهید 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ای جایز است، چرا که شرعیّت این کار بدون تعیین اندازه ای مشخص و قطعی به اثبات رسیده است، ولی آشکار است که یکی از سه اندازه یک ذراع، وجب دست و استخوان ساعد انتخاب می شود، چرا که احادیث بر این سه مورد دلالت می کنند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فقها در مورد محلّ قرار دادن دو شاخه نخل اختلاف نظر دارند، ولی نظر مشهور در بین آنان این است که یکی از آن ها در سمت راست و در کناره ترقوه میّت به پوستش چسپانده می شود، و دیگری در سمت چپ و ما بین پیراهن و شلوار قرار داده می شود، صدوق در المقنع، شیخین و جمهور فقهای معاصر قائل به این نظر هستند و علی بن بابویه و صدوق در الفقیه نیز چنان که در اینجا ذکر شد چنین گفته اند، ولی ابن أبی عقیل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شاخه های درخت خرما زیر بغل راست میّت قرار داده می شود، الجعفیّ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شاخه های درخت خرما زیر بغل راست و شاخه دیگر نصف آن زیر ساق و نصف دیگرش زیر ران میّت قرار می گیرد، و شاید نظر مشهور قوی تر است؛ و در صورت وجود عذر به خاطر رعایت تقیّه شاخه های نخل در هر جایی حتّی اگر در قبر باشد قرار داده می شوند؛ ولی بر استحباب 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یا شکافته شده از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نیست آنگونه که بعضی از اصحاب ذکر کرده اند و همچنین بر </w:t>
      </w:r>
      <w:bookmarkStart w:id="3136" w:name="pg13517_329347"/>
    </w:p>
    <w:p>
      <w:pPr>
        <w:pStyle w:val="BookText"/>
        <w:rPr/>
      </w:pPr>
      <w:bookmarkEnd w:id="3136"/>
      <w:r>
        <w:rPr>
          <w:rFonts w:ascii="Amiri" w:hAnsi="Amiri" w:eastAsia="Amiri" w:cs="Amiri"/>
          <w:color w:val="111111"/>
          <w:sz w:val="28"/>
          <w:sz w:val="28"/>
          <w:szCs w:val="28"/>
          <w:rtl w:val="true"/>
          <w:lang w:bidi="ar-SA"/>
        </w:rPr>
        <w:t>استحباب وضع القطن عليهما لم أر به نصا و قد ذكره بعض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هذا الخبر رواه في الفقيه‌</w:t>
      </w:r>
      <w:r>
        <w:rPr>
          <w:rStyle w:val="FootnoteAnchor"/>
          <w:rtl w:val="true"/>
        </w:rPr>
        <w:footnoteReference w:id="1555"/>
      </w:r>
      <w:r>
        <w:rPr>
          <w:rFonts w:ascii="Amiri" w:hAnsi="Amiri" w:eastAsia="Amiri" w:cs="Amiri"/>
          <w:color w:val="111111"/>
          <w:sz w:val="28"/>
          <w:sz w:val="28"/>
          <w:szCs w:val="28"/>
          <w:rtl w:val="true"/>
          <w:lang w:bidi="ar-SA"/>
        </w:rPr>
        <w:t>عن يحيي بن عبادة المكي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الثوري يسأل أبا جعفر عن التخضير فقال إن رجلا من الأنصار هلك و 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المنتهي‌</w:t>
      </w:r>
      <w:r>
        <w:rPr>
          <w:rStyle w:val="FootnoteAnchor"/>
          <w:rtl w:val="true"/>
        </w:rPr>
        <w:footnoteReference w:id="1556"/>
      </w:r>
      <w:r>
        <w:rPr>
          <w:rFonts w:ascii="Amiri" w:hAnsi="Amiri" w:eastAsia="Amiri" w:cs="Amiri"/>
          <w:color w:val="111111"/>
          <w:sz w:val="28"/>
          <w:sz w:val="28"/>
          <w:szCs w:val="28"/>
          <w:rtl w:val="true"/>
          <w:lang w:bidi="ar-SA"/>
        </w:rPr>
        <w:t>روي الجمهور أن سفيان الثوري سأل عبد الله بن يحيي بن عبادة المكي عن التخضير و ذكر نحوه</w:t>
      </w:r>
      <w:r>
        <w:rPr>
          <w:rFonts w:eastAsia="Amiri" w:cs="Amiri" w:ascii="Amiri" w:hAnsi="Amiri"/>
          <w:color w:val="111111"/>
          <w:sz w:val="28"/>
          <w:szCs w:val="28"/>
          <w:rtl w:val="true"/>
          <w:lang w:bidi="ar-SA"/>
        </w:rPr>
        <w:t>.</w:t>
      </w:r>
    </w:p>
    <w:p>
      <w:pPr>
        <w:pStyle w:val="Heading5"/>
        <w:numPr>
          <w:ilvl w:val="4"/>
          <w:numId w:val="1"/>
        </w:numPr>
        <w:rPr/>
      </w:pPr>
      <w:bookmarkStart w:id="3137" w:name="__RefHeading___Toc607806_1934241801"/>
      <w:bookmarkStart w:id="3138" w:name="_Toc1447"/>
      <w:bookmarkEnd w:id="3137"/>
      <w:r>
        <w:rPr>
          <w:rtl w:val="true"/>
        </w:rPr>
        <w:t>«</w:t>
      </w:r>
      <w:r>
        <w:rPr/>
        <w:t>13</w:t>
      </w:r>
      <w:r>
        <w:rPr>
          <w:rtl w:val="true"/>
        </w:rPr>
        <w:t>»</w:t>
      </w:r>
      <w:bookmarkEnd w:id="3138"/>
    </w:p>
    <w:p>
      <w:pPr>
        <w:pStyle w:val="BookText"/>
        <w:rPr/>
      </w:pPr>
      <w:r>
        <w:rPr>
          <w:rFonts w:ascii="Amiri" w:hAnsi="Amiri" w:eastAsia="Amiri" w:cs="Amiri"/>
          <w:color w:val="111111"/>
          <w:sz w:val="28"/>
          <w:sz w:val="28"/>
          <w:szCs w:val="28"/>
          <w:rtl w:val="true"/>
          <w:lang w:bidi="ar-SA"/>
        </w:rPr>
        <w:t>الْعِلَلُ، عَنْ أَبِيهِ عَنْ سَعْدِ بْنِ عَبْدِ اللَّهِ عَنْ يَعْقُوبَ بْنِ يَزِيدَ عَنْ حَمَّادِ بْنِ عِيسَي عَنْ حَرِيزٍ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 رَأَيْتَ الْمَيِّتَ إِذَا مَاتَ لِمَ تُجْعَلُ مَعَهُ الْجَرِيدَةُ قَالَ تَجَافَي عَنْهُ الْعَذَابُ وَ الْحِسَابُ مَا دَامَ الْعُودُ رَطْباً إِنَّمَا الْحِسَابُ وَ الْعَذَابُ كُلُّهُ فِي يَوْمٍ وَاحِدٍ فِي سَاعَةٍ وَاحِدَةٍ قَدْرَ مَا يُدْخَلُ الْقَبْرَ وَ يَرْجِعُ النَّاسُ عَنْهُ فَإِنَّمَا جُعِلَ السَّعَفَتَانِ لِذَلِكَ وَ لَا عَذَابَ وَ لَا حِسَابَ بَعْدَ جُفُوفِهَا إِنْ شَاءَ اللَّهُ‌</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39" w:name="__RefHeading___Toc607808_1934241801"/>
      <w:bookmarkStart w:id="3140" w:name="_Toc1448"/>
      <w:bookmarkEnd w:id="3139"/>
      <w:r>
        <w:rPr>
          <w:rtl w:val="true"/>
        </w:rPr>
        <w:t>بيان</w:t>
      </w:r>
      <w:bookmarkEnd w:id="3140"/>
    </w:p>
    <w:p>
      <w:pPr>
        <w:pStyle w:val="BookText"/>
        <w:rPr/>
      </w:pPr>
      <w:r>
        <w:rPr>
          <w:rFonts w:ascii="Amiri" w:hAnsi="Amiri" w:eastAsia="Amiri" w:cs="Amiri"/>
          <w:color w:val="111111"/>
          <w:sz w:val="28"/>
          <w:sz w:val="28"/>
          <w:szCs w:val="28"/>
          <w:rtl w:val="true"/>
          <w:lang w:bidi="ar-SA"/>
        </w:rPr>
        <w:t>قوله عليه السلام إنما الحساب و العذاب إلي آخره ينافي بظاهره ما تضمنه كثير من الأخبار من اتصال نعيم القبر و عذابه إلي يوم القيامة إلا أن يجعل اتصال العذاب مختصا بالكفار أو يكون الحصر باعتبار الأشدية أو المعني أن ابتداء الحساب و العذاب إنما يكون في الساعة الأولي و اليوم الأول فإذا مضيا فلا يبتدأ بعده فيهما</w:t>
      </w:r>
      <w:r>
        <w:rPr>
          <w:rFonts w:eastAsia="Amiri" w:cs="Amiri" w:ascii="Amiri" w:hAnsi="Amiri"/>
          <w:color w:val="111111"/>
          <w:sz w:val="28"/>
          <w:szCs w:val="28"/>
          <w:rtl w:val="true"/>
          <w:lang w:bidi="ar-SA"/>
        </w:rPr>
        <w:t>.</w:t>
      </w:r>
    </w:p>
    <w:p>
      <w:pPr>
        <w:pStyle w:val="Heading5"/>
        <w:numPr>
          <w:ilvl w:val="4"/>
          <w:numId w:val="1"/>
        </w:numPr>
        <w:rPr/>
      </w:pPr>
      <w:bookmarkStart w:id="3141" w:name="__RefHeading___Toc607810_1934241801"/>
      <w:bookmarkStart w:id="3142" w:name="_Toc1449"/>
      <w:bookmarkEnd w:id="3141"/>
      <w:r>
        <w:rPr>
          <w:rtl w:val="true"/>
        </w:rPr>
        <w:t>«</w:t>
      </w:r>
      <w:r>
        <w:rPr/>
        <w:t>14</w:t>
      </w:r>
      <w:r>
        <w:rPr>
          <w:rtl w:val="true"/>
        </w:rPr>
        <w:t>»</w:t>
      </w:r>
      <w:bookmarkEnd w:id="3142"/>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تَضَعُهُ فِي أَكْفَانِهِ وَ اجْعَلْ مَعَهُ جَرِيدَتَيْنِ إِحْدَاهُمَا عِنْدَ تَرْقُوَتِهِ تُلْصِقُهَا بِجِلْدِهِ ثُمَّ تَمُدُّ عَلَيْهِ قَمِيصَهُ وَ الْأُخْرَي عِنْدَ وَرِكِهِ‌</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 قرار دادن پنبه بر دو شاخه نخل هیچ نصّی مشاهده نکرده ام، درحالی که عدّه ای از فقها این نظر را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آگاه باش که صدوق در الفقیه</w:t>
      </w:r>
      <w:r>
        <w:rPr>
          <w:rStyle w:val="FootnoteAnchor"/>
          <w:rtl w:val="true"/>
        </w:rPr>
        <w:footnoteReference w:id="1559"/>
      </w:r>
      <w:r>
        <w:rPr>
          <w:rFonts w:ascii="IRNazanin" w:hAnsi="IRNazanin" w:eastAsia="IRNazanin"/>
          <w:color w:val="111111"/>
          <w:sz w:val="28"/>
          <w:sz w:val="28"/>
          <w:szCs w:val="28"/>
          <w:rtl w:val="true"/>
          <w:lang w:bidi="fa-IR"/>
        </w:rPr>
        <w:t>این حدیث را از یحیی بن عبادة المکّی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سفیان ثوریّ شنیدم که از امام باقر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وفات نمود و سخن را مانند حدیث مذکور پی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 فقها روایت کرده اند که سفیان ثوریّ از عبدالله بن یحیی بن عبادة مکّی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و عبدالله پاسخی مانند حدیث مذکور داد</w:t>
      </w:r>
      <w:r>
        <w:rPr>
          <w:rFonts w:eastAsia="IRNazanin" w:cs="IRNazanin"/>
          <w:color w:val="111111"/>
          <w:sz w:val="28"/>
          <w:szCs w:val="28"/>
          <w:rtl w:val="true"/>
          <w:lang w:bidi="fa-IR"/>
        </w:rPr>
        <w:t>.</w:t>
      </w:r>
      <w:r>
        <w:rPr>
          <w:rStyle w:val="FootnoteAnchor"/>
          <w:rtl w:val="true"/>
        </w:rPr>
        <w:footnoteReference w:id="1560"/>
      </w:r>
    </w:p>
    <w:p>
      <w:pPr>
        <w:pStyle w:val="Heading5"/>
        <w:numPr>
          <w:ilvl w:val="4"/>
          <w:numId w:val="1"/>
        </w:numPr>
        <w:rPr/>
      </w:pPr>
      <w:bookmarkStart w:id="3143" w:name="__RefHeading___Toc607812_1934241801"/>
      <w:bookmarkStart w:id="3144" w:name="_Toc1450"/>
      <w:bookmarkEnd w:id="3143"/>
      <w:r>
        <w:rPr>
          <w:rtl w:val="true"/>
        </w:rPr>
        <w:t xml:space="preserve">روایت </w:t>
      </w:r>
      <w:r>
        <w:rPr/>
        <w:t>13</w:t>
      </w:r>
      <w:bookmarkEnd w:id="3144"/>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زرارة روایت شده که 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 را هنگام مرگ مشاهده کرده اید، چرا شاخه مرطوب درخت همراه او قرار داده می 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شاخه مرطوب است، عذاب و حسابرسی اعمال از میّت بازداشته می شود، به راستی که حسابرسی اعمال و عذاب همگی در یک روز و یک ساعت و به اندازه ای که وارد قبر شده و مردم از نزد او به خانه های شان باز می گردند اتفاق می افتد، پس دو شاخه درخت مرطوب به همین سبب همراه او قرار داده می شود، و پس از خشک شدن آن دو شاخه عذاب و حسابی وجود نخواهد داشت، إن شاء الله تعالی</w:t>
      </w:r>
      <w:r>
        <w:rPr>
          <w:rFonts w:eastAsia="IRNazanin" w:cs="IRNazanin"/>
          <w:color w:val="111111"/>
          <w:sz w:val="28"/>
          <w:szCs w:val="28"/>
          <w:rtl w:val="true"/>
          <w:lang w:bidi="fa-IR"/>
        </w:rPr>
        <w:t>.</w:t>
      </w:r>
      <w:r>
        <w:rPr>
          <w:rStyle w:val="FootnoteAnchor"/>
          <w:rtl w:val="true"/>
        </w:rPr>
        <w:footnoteReference w:id="1561"/>
      </w:r>
    </w:p>
    <w:p>
      <w:pPr>
        <w:pStyle w:val="Heading5"/>
        <w:numPr>
          <w:ilvl w:val="4"/>
          <w:numId w:val="1"/>
        </w:numPr>
        <w:rPr/>
      </w:pPr>
      <w:bookmarkStart w:id="3145" w:name="__RefHeading___Toc607814_1934241801"/>
      <w:bookmarkStart w:id="3146" w:name="_Toc1451"/>
      <w:bookmarkEnd w:id="3145"/>
      <w:r>
        <w:rPr>
          <w:rtl w:val="true"/>
        </w:rPr>
        <w:t>توضیح</w:t>
      </w:r>
      <w:bookmarkEnd w:id="3146"/>
    </w:p>
    <w:p>
      <w:pPr>
        <w:pStyle w:val="BookText"/>
        <w:rPr/>
      </w:pPr>
      <w:r>
        <w:rPr>
          <w:rFonts w:ascii="IRNazanin" w:hAnsi="IRNazanin" w:eastAsia="IRNazanin"/>
          <w:color w:val="111111"/>
          <w:sz w:val="28"/>
          <w:sz w:val="28"/>
          <w:szCs w:val="28"/>
          <w:rtl w:val="true"/>
          <w:lang w:bidi="fa-IR"/>
        </w:rPr>
        <w:t>ظاهر این فرموده 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الحساب و العذاب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 مضمون احادیثی که بر پیوسته بودن نعمت و عذاب قبر تا روز قیامت دلالت می کند منافات دارد، مگر اینکه متّصل بودن عذاب قبر فقط مخصوص کفار پنداشته شود یا اینکه استفاده از ادات 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شدیدتر بودن عذاب و حسابرسی باشد، و یا معنای این فرموده چنین باشد که آغاز حسابرسی اعمال و عذاب فقط در ساعت و روز اول می باشد و آن گاه که ساعت و روز اول بگذرد دیگر حسابرسی اعمال و عذاب از سر گرفته نمی شود</w:t>
      </w:r>
      <w:r>
        <w:rPr>
          <w:rFonts w:eastAsia="IRNazanin" w:cs="IRNazanin"/>
          <w:color w:val="111111"/>
          <w:sz w:val="28"/>
          <w:szCs w:val="28"/>
          <w:rtl w:val="true"/>
          <w:lang w:bidi="fa-IR"/>
        </w:rPr>
        <w:t>.</w:t>
      </w:r>
    </w:p>
    <w:p>
      <w:pPr>
        <w:pStyle w:val="Heading5"/>
        <w:numPr>
          <w:ilvl w:val="4"/>
          <w:numId w:val="1"/>
        </w:numPr>
        <w:rPr/>
      </w:pPr>
      <w:bookmarkStart w:id="3147" w:name="__RefHeading___Toc607816_1934241801"/>
      <w:bookmarkStart w:id="3148" w:name="_Toc1452"/>
      <w:bookmarkEnd w:id="3147"/>
      <w:r>
        <w:rPr>
          <w:rtl w:val="true"/>
        </w:rPr>
        <w:t xml:space="preserve">روایت </w:t>
      </w:r>
      <w:r>
        <w:rPr/>
        <w:t>14</w:t>
      </w:r>
      <w:bookmarkEnd w:id="3148"/>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میّت را در کفنش گذاشته و دو شاخه درخت خرما را همراه او قرار می دهی، یکی کنار ترقوّه اش و چسپیده به پوست او، آن گاه پیراهن را بر روی میّت می کشی و شاخه دیگر را کنار کفل او می گذاری</w:t>
      </w:r>
      <w:r>
        <w:rPr>
          <w:rFonts w:eastAsia="IRNazanin" w:cs="IRNazanin"/>
          <w:color w:val="111111"/>
          <w:sz w:val="28"/>
          <w:szCs w:val="28"/>
          <w:rtl w:val="true"/>
          <w:lang w:bidi="fa-IR"/>
        </w:rPr>
        <w:t>.</w:t>
      </w:r>
      <w:r>
        <w:rPr>
          <w:rStyle w:val="FootnoteAnchor"/>
          <w:rtl w:val="true"/>
        </w:rPr>
        <w:footnoteReference w:id="1562"/>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الْجَرِيدَتَيْنِ كُلُّ وَاحِدَةٍ بِقَدْرِ عَظْمِ ذِرَاعٍ تَضَعُ وَاحِدَةً عِنْدَ رُكْبَتَيْهِ تُلْصِقُ إِلَي السَّاقِ وَ إِلَي الْفَخِذَيْنِ وَ الْأُخْرَي تَحْتَ إِبْطِهِ الْأَيْمَنِ مَا بَيْنَ الْقَمِيصِ وَ الْإِزَارِ وَ إِنْ لَمْ تَقْدِرْ عَلَي جَرِيدَةٍ مِنْ نَخْلٍ فَلَا بَأْسَ أَنْ تَكُونَ مِنْ غَيْرِهِ بَعْدَ أَنْ تَكُونَ رَطْباً وَ تَلُفُّهُ فِي إِزَارِهِ وَ حِبَرَتِهِ وَ تَبْدَأُ بِالشِّقِّ الْأَيْسَرِ وَ تَمُدُّ عَلَي الْأَيْمَنِ ثُمَّ تَمُدُّ الْأَيْمَنَ عَلَي الْأَيْسَرِ وَ إِنْ شِئْتَ لَمْ تَجْعَلِ الْحِبَرَةَ مَعَهُ حَتَّي تُدْخِلَهُ الْقَبْرَ فَتُلْقِيهِ عَلَيْهِ‌</w:t>
      </w:r>
      <w:r>
        <w:rPr>
          <w:rStyle w:val="FootnoteAnchor"/>
          <w:rtl w:val="true"/>
        </w:rPr>
        <w:footnoteReference w:id="1563"/>
      </w:r>
    </w:p>
    <w:p>
      <w:pPr>
        <w:pStyle w:val="BookText"/>
        <w:rPr/>
      </w:pPr>
      <w:r>
        <w:rPr>
          <w:rFonts w:ascii="Amiri" w:hAnsi="Amiri" w:eastAsia="Amiri" w:cs="Amiri"/>
          <w:color w:val="111111"/>
          <w:sz w:val="28"/>
          <w:sz w:val="28"/>
          <w:szCs w:val="28"/>
          <w:rtl w:val="true"/>
          <w:lang w:bidi="ar-SA"/>
        </w:rPr>
        <w:t xml:space="preserve">ثُمَّ تُعَمِّمُهُ وَ تُحَنِّكُهُ فَتَثْنِي عَلَي رَأْسِهِ بِالتَّدْوِيرِ وَ تُلْقِي فَضْلَ الشِّقِّ الْأَيْمَنِ عَلَي الْأَيْسَرِ وَ الْأَيْسَرِ عَلَي الْأَيْمَنِ ثُمَّ تَمُدُّ عَلَي صَدْرِهِ ثُمَّ تُلَفِّفُ اللِّفَافَةَ وَ إِيَّاكَ أَنْ تُعَمِّمَهُ عِمَّةَ الْأَعْرَابِيِّ وَ تُلْقِي طَرَفَيِ الْعِمَامَةِ عَلَي صَدْرِهِ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أَنْ تُلْبِسَهُ قَمِيصَهُ تَأْخُذُ شَيْئاً مِنَ الْقُطْنِ وَ تَجْعَلُ عَلَيْهِ حَنُوطَهُ وَ تَحْشُو بِهِ دُبُرَهُ وَ تَضَعُ شَيْئاً مِنَ الْقُطْنِ عَلَي قُبُلِهِ وَ تَجْعَلُ عَلَيْهِ شَيْئاً مِنَ الْحَنُوطِ وَ تَضُمُّ رِجْلَيْهِ جَمِيعاً وَ تَشُدُّ فَخِذَيْهِ إِلَي وَرِكِهِ بِالْمِئْزَرِ شَدّاً جَيِّداً لِأَنْ لَا يَخْرُجَ مِنْهُ شَيْ‌ءٌ</w:t>
      </w:r>
      <w:r>
        <w:rPr>
          <w:rStyle w:val="FootnoteAnchor"/>
          <w:rtl w:val="true"/>
        </w:rPr>
        <w:footnoteReference w:id="1564"/>
      </w:r>
    </w:p>
    <w:p>
      <w:pPr>
        <w:pStyle w:val="BookText"/>
        <w:rPr/>
      </w:pPr>
      <w:r>
        <w:rPr>
          <w:rFonts w:ascii="Amiri" w:hAnsi="Amiri" w:eastAsia="Amiri" w:cs="Amiri"/>
          <w:color w:val="111111"/>
          <w:sz w:val="28"/>
          <w:sz w:val="28"/>
          <w:szCs w:val="28"/>
          <w:rtl w:val="true"/>
          <w:lang w:bidi="ar-SA"/>
        </w:rPr>
        <w:t>فَإِذَا فَرَغْتَ مِنْ كَفْنِهِ حَنَّطْتَهُ بِوَزْنِ ثَلَاثَةَ عَشَرَ دِرْهَماً وَ ثُلُثٍ مِنَ الْكَافُورِ وَ تَبْدَأُ بِجَبْهَتِهِ وَ تَمْسَحُ مَفَاصِلَهُ كُلَّهَا بِهِ وَ تُلْقِي مَا بَقِيَ مِنْهُ عَلَي صَدْرِهِ وَ فِي وَسَطِ رَاحَتِهِ وَ لَا يُجْعَلُ فِي فَمِهِ وَ لَا مَنْخِرِهِ وَ لَا فِي عَيْنَيْهِ وَ لَا فِي مَسَامِعِهِ وَ لَا عَلَي وَجْهِهِ قُطْنٌ وَ لَا كَافُورٌ فَإِنْ لَمْ تَقْدِرْ عَلَي هَذَا الْمِقْدَارِ كَافُوراً فَأَرْبَعَةُ دَرَاهِمَ فَإِنْ لَمْ تَقْدِرْ فَمِثْقَالٌ لَا أَقَلَّ مِنْ ذَلِكَ لِمَنْ وَجَدَهُ‌</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غُسْلِهِ حَنَّطْتَ بِثَلَاثَةَ عَشَرَ دِرْهَماً وَ ثُلُثٍ كَافُوراً تَجْعَلُ فِي الْمَفَاصِلِ وَ لَا تُقَرِّبُ السَّمْعَ وَ الْبَصَرَ وَ تَجْعَلُ فِي مَوْضِعِ سُجُودِهِ وَ أَدْنَي مَا يُجْزِيهِ مِنَ الْكَافُورِ مِثْقَالٌ وَ نِصْفٌ ثُمَّ يُكَفَّنُ بِثَلَاثِ قِطَعٍ وَ خَمْسٍ وَ سَبْعٍ فَأَمَّا الثَّلَاثَةُ فَمِئْزَرٌ وَ عِمَامَةٌ وَ لِفَافَةٌ وَ الْخَمْسُ مِئْزَرٌ وَ قَمِيصٌ وَ عِمَامَةٌ</w:t>
      </w:r>
    </w:p>
    <w:p>
      <w:pPr>
        <w:pStyle w:val="BookText"/>
        <w:rPr/>
      </w:pPr>
      <w:r>
        <w:rPr>
          <w:rFonts w:ascii="IRNazanin" w:hAnsi="IRNazanin" w:eastAsia="IRNazanin"/>
          <w:color w:val="111111"/>
          <w:sz w:val="28"/>
          <w:sz w:val="28"/>
          <w:szCs w:val="28"/>
          <w:rtl w:val="true"/>
          <w:lang w:bidi="fa-IR"/>
        </w:rPr>
        <w:t>و روایت شده که هریک از این دو شاخه نخل باید به اندازه استخوان ساعد باشد، یکی از آن ها را کنار دو زانوی میّت و چسپیده به ساق و دو ران و دیگری را در زیر بغل راست و بین پیراهن و شلوار قرار می دهی، و اگر امکان استفاده از شاخه نخل فراهم نشود اشکالی ندارد که دو شاخه از سایر درخت ها انتخاب شود، فقط باید شاخه ها تر و تازه باشد، آن گاه میّت را در کفن و بُرد او می پیچی و از سمت چپ کفن آغاز نموده و آن را بر سمت راست میّت می کشی و سپس سمت راست کفن را بر سمت چپ میّت می کشی، و اگر بخواهی بُرد را همراه میّت قرار نمی دهی تا زمانی که در قبر گذاشته شود، سپس بُرد را بر روی او می اندازی</w:t>
      </w:r>
      <w:r>
        <w:rPr>
          <w:rFonts w:eastAsia="IRNazanin" w:cs="IRNazanin"/>
          <w:color w:val="111111"/>
          <w:sz w:val="28"/>
          <w:szCs w:val="28"/>
          <w:rtl w:val="true"/>
          <w:lang w:bidi="fa-IR"/>
        </w:rPr>
        <w:t>.</w:t>
      </w:r>
      <w:r>
        <w:rPr>
          <w:rStyle w:val="FootnoteAnchor"/>
          <w:rtl w:val="true"/>
        </w:rPr>
        <w:footnoteReference w:id="1566"/>
      </w:r>
    </w:p>
    <w:p>
      <w:pPr>
        <w:pStyle w:val="BookText"/>
        <w:rPr/>
      </w:pPr>
      <w:r>
        <w:rPr>
          <w:rFonts w:ascii="IRNazanin" w:hAnsi="IRNazanin" w:eastAsia="IRNazanin"/>
          <w:color w:val="111111"/>
          <w:sz w:val="28"/>
          <w:sz w:val="28"/>
          <w:szCs w:val="28"/>
          <w:rtl w:val="true"/>
          <w:lang w:bidi="fa-IR"/>
        </w:rPr>
        <w:t>سپس کفن را به حالت عمّامه به دور سر میّت پیچیده و تحت الحنک می بندی و به دور سرش دایره وار، خم می کنی، و قسمت اضافیِ سمت راست کفن را بر سمت چپ میّت و قسمت اضافی سمت چپ کفن را بر سمت راست می اندازی، آن گاه کفن را به روی سینه اش کشیده و باند پارچه ای را به دور تمام میّت می پیچی، و برحذر باش از اینکه کفن را به حالت عمّامه اعراب بادیه نشین به دور سر میّت بپیچی، یعنی دو طرف عمّامه را بر روی سینه او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از آنکه پیراهن را بر تن میّت بپوشانی، تکّه پنبه ای برداشته و آن را به مقداری حنوط آغشته کرده و در معقد او قرار می دهی و اندکی پنبه را نیز بر آلت تناسلی اش گذاشته و مقداری حنوط بر آن قرار می دهی، سپس پاهایش را به هم چسپانده و دو زانوی او را به وسیله پارچه ای به کفلش محکم می بندی تا چیزی از بدن او خارج نشود</w:t>
      </w:r>
      <w:r>
        <w:rPr>
          <w:rFonts w:eastAsia="IRNazanin" w:cs="IRNazanin"/>
          <w:color w:val="111111"/>
          <w:sz w:val="28"/>
          <w:szCs w:val="28"/>
          <w:rtl w:val="true"/>
          <w:lang w:bidi="fa-IR"/>
        </w:rPr>
        <w:t>.</w:t>
      </w:r>
      <w:r>
        <w:rPr>
          <w:rStyle w:val="FootnoteAnchor"/>
          <w:rtl w:val="true"/>
        </w:rPr>
        <w:footnoteReference w:id="1567"/>
      </w:r>
    </w:p>
    <w:p>
      <w:pPr>
        <w:pStyle w:val="BookText"/>
        <w:rPr/>
      </w:pPr>
      <w:r>
        <w:rPr>
          <w:rFonts w:ascii="IRNazanin" w:hAnsi="IRNazanin" w:eastAsia="IRNazanin"/>
          <w:color w:val="111111"/>
          <w:sz w:val="28"/>
          <w:sz w:val="28"/>
          <w:szCs w:val="28"/>
          <w:rtl w:val="true"/>
          <w:lang w:bidi="fa-IR"/>
        </w:rPr>
        <w:t>آن گاه که از کفن کردن میّت فارغ گشتی، او را به وسیله کافور به وزن سیزده و یک سوّم درهم معطّر گردان، و از پیشانی اش آغاز کرده و تمام مفصل هایش را با کافور مالش می دهی و کافور باقی مانده را بر روی سینه و وسط شکمش می ریزی، ولی نه در دهان، بینی، چشم ها، گوش ها و بر روی صورت نه پنبه قرار می دهی نه کافور، همچنین اگر امکان فراهم کردن این مقدار کافور برای تو وجود نداشت، کافوری به وزن چهار درهم و اگر باز هم وجود نداشت یک مثقال کفایت می کند و کمتر از آن برای کسی که کافور بیابد پذیرفته نیست</w:t>
      </w:r>
      <w:r>
        <w:rPr>
          <w:rFonts w:eastAsia="IRNazanin" w:cs="IRNazanin"/>
          <w:color w:val="111111"/>
          <w:sz w:val="28"/>
          <w:szCs w:val="28"/>
          <w:rtl w:val="true"/>
          <w:lang w:bidi="fa-IR"/>
        </w:rPr>
        <w:t>.</w:t>
      </w:r>
      <w:r>
        <w:rPr>
          <w:rStyle w:val="FootnoteAnchor"/>
          <w:rtl w:val="true"/>
        </w:rPr>
        <w:footnoteReference w:id="1568"/>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در جایی دیگر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از غسل دادن میّت فارغ گشتی، او را با کافوری به وزن سیزده و یک سوّم درهم معطّر گردان، به این ترتیب که کافور را بر مفاصل قرار داده و آن را به گوش و چشم نزدیک نمی گردانی، همچنین کافور را در مکان سجده قرار می دهی، و کمترین مقدار کافوری که کفایت می کند یک مثقال و نصف است، سپس میّت با سه، پنج و هفت تکّه پارچه کفن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تکّه  مربوط به ازار، عمّامه و لفافه است و پنج تکّه مربوط به ازار، پیراهن و عمّامه </w:t>
      </w:r>
    </w:p>
    <w:p>
      <w:pPr>
        <w:pStyle w:val="BookText"/>
        <w:rPr/>
      </w:pPr>
      <w:r>
        <w:rPr>
          <w:rFonts w:ascii="Amiri" w:hAnsi="Amiri" w:eastAsia="Amiri" w:cs="Amiri"/>
          <w:color w:val="111111"/>
          <w:sz w:val="28"/>
          <w:sz w:val="28"/>
          <w:szCs w:val="28"/>
          <w:rtl w:val="true"/>
          <w:lang w:bidi="ar-SA"/>
        </w:rPr>
        <w:t>وَ لِفَافَتَانِ‌</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يُقَرَّبُ الْمَيِّتُ مِنَ الطِّيبِ شَيْئاً وَ لَا الْبَخُورِ إِلَّا الْكَافُورَ فَإِنَّ سَبِيلَهُ سَبِيلُ الْمُحْرِمِ‌</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الْمِسْكِ فَوْقَ الْكَفَنِ وَ عَلَي الْجِنَازَةِ لِأَنَّ فِي ذَلِكَ تَكْرِمَةَ الْمَلَائِكَةِ فَمَا مِنْ مُؤْمِنٍ يُقْبَضُ رُوحُهُ إِلَّا تَحْضُرُ عِنْدَهُ الْمَلَائِكَةُ</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الْكَافُورَ يُجْعَلُ فِي فِيهِ وَ فِي مَسَامِعِهِ وَ بَصَرِهِ وَ رَأْسِهِ وَ لِحْيَتِهِ وَ كَذَلِكَ الْمِسْكُ وَ عَلَي صَدْرِهِ وَ فَرْجِهِ وَ قَالَ الرَّجُلُ وَ المَرْأَةُ سَوَاءٌ قَالَ غَيْرَ أَنِّي أَكْرَهُ أَنْ يُتَجَمَّرَ وَ يُتْبَعَ بِالْمِجْمَرَةِ وَ لَكِنْ يُجَمَّرُ الْكَفَنُ‌</w:t>
      </w:r>
      <w:r>
        <w:rPr>
          <w:rStyle w:val="FootnoteAnchor"/>
          <w:rtl w:val="true"/>
        </w:rPr>
        <w:footnoteReference w:id="1572"/>
      </w:r>
    </w:p>
    <w:p>
      <w:pPr>
        <w:pStyle w:val="BookText"/>
        <w:rPr/>
      </w:pPr>
      <w:r>
        <w:rPr>
          <w:rFonts w:ascii="Amiri" w:hAnsi="Amiri" w:eastAsia="Amiri" w:cs="Amiri"/>
          <w:color w:val="111111"/>
          <w:sz w:val="28"/>
          <w:sz w:val="28"/>
          <w:szCs w:val="28"/>
          <w:rtl w:val="true"/>
          <w:lang w:bidi="ar-SA"/>
        </w:rPr>
        <w:t>وَ قَالَ تُؤْخَذُ خِرْقَةٌ فَيَشُدُّهَا عَلَي مَقْعَدَتِهِ وَ رِجْلَيْهِ قُلْتُ الْإِزَارُ قَالَ إِنَّهَا لَا تُعَدُّ شَيْئاً وَ إِنَّمَا أُمِرَ بِهَا لِكَيْلَا يَظْهَرَ مِنْهُ شَيْ‌ءٌ وَ ذَكَرَ أَنَّ مَا جُعِلَ مِنَ الْقُطْنِ أَفْضَلُ مِنْهُ‌</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يُكَفَّنُ بِثَلَاثَةِ أَثْوَابٍ لِفَافَةٍ وَ قَمِيصٍ وَ إِزَارٍ وَ ذَكَرَ أَنَّ عَلِيّاً عليه السلام غَسَّلَ النَّبِيَّ صلي الله عليه و آله فِي قَمِيصٍ وَ كَفَّنَهُ فِي ثَلَاثَةِ أَثْوَابٍ ثَوْبَيْنِ صُحَارِيَّيْنِ وَ ثَوْبٍ حِبَرَةٍ يَمَنِيَّةٍ وَ لَحَدَ لَهُ أَبُو طَلْحَةَ ثُمَّ خَرَجَ أَبُو طَلْحَةَ وَ دَخَلَ عَلَي الْقَبْرِ فَبَسَطَ يَدَهُ فَوَضَعَ النَّبِيُّ صلي الله عليه و آله عَلَيْهَا فَأَدْخَلَهُ اللَّحْدَ</w:t>
      </w:r>
      <w:r>
        <w:rPr>
          <w:rStyle w:val="FootnoteAnchor"/>
          <w:rtl w:val="true"/>
        </w:rPr>
        <w:footnoteReference w:id="1574"/>
      </w:r>
    </w:p>
    <w:p>
      <w:pPr>
        <w:pStyle w:val="BookText"/>
        <w:rPr/>
      </w:pPr>
      <w:r>
        <w:rPr>
          <w:rFonts w:ascii="Amiri" w:hAnsi="Amiri" w:eastAsia="Amiri" w:cs="Amiri"/>
          <w:color w:val="111111"/>
          <w:sz w:val="28"/>
          <w:sz w:val="28"/>
          <w:szCs w:val="28"/>
          <w:rtl w:val="true"/>
          <w:lang w:bidi="ar-SA"/>
        </w:rPr>
        <w:t>وَ قَالَ إِنَّ عَلِيّاً عليه السلام لَمَّا أَنْ غَسَّلَ رَسُولَ اللَّهِ صلي الله عليه و آله وَ فَرَغَ مِنْ غُسْلِهِ نَظَرَ فِي عَيْنَيْهِ فَرَأَي فِيهَا شَيْئاً فَانْكَبَّ عَلَيْهِ فَأَدْخَلَ لِسَانَهُ فَمَسَحَ مَا كَانَ فِيهَا فَقَالَ بِأَبِي أَنْتَ وَ أُمِّي يَا رَسُولَ اللَّهِ صَلَّي اللَّهُ عَلَيْكَ طِبْتَ حَيّاً وَ طِبْتَ مَيِّتاً</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أَبِي فِي وَصِيَّتِهِ أَنْ أُكَفِّنَهُ فِي ثَلَاثَةِ أَثْوَابٍ أَحَدُهَا رِدَاءٌ لَهُ حِبَرَةٌ وَ كَانَ يُصَلِّي فِيهِ يَوْمَ الْجُمُعَةِ وَ ثَوْبٌ آخَرُ وَ قَمِيصٌ فَقُلْتُ لِأَبِي لِمَ تَكْتُبُ هَذَا فَقَالَ إِنِّي أَخَافُ أَنْ يَغْلِبَكَ النَّاسُ يَقُولُونَ كَفِّنْهُ بِأَرْبَعَةِ أَثْوَابٍ أَوْ خَمْسَةٍ فَلَا تَقْبَلْ قَوْلَهُمْ وَ عَصَبْتُهُ بَعْدُ بِعِمَامَةٍ وَ لَيْسَ تُعَدُّ الْعِمَامَةُ مِنَ الْكَفَنِ إِنَّمَا يُعَدُّ مِمَّا يُلَفُّ بِهِ الْجَسَدُ وَ شَقَقْنَا لَهُ الْقَبْرَ شَقّاً مِنْ أَجْلِ أَنَّهُ كَانَ رَجُلًا بَدِيناً</w:t>
      </w:r>
    </w:p>
    <w:p>
      <w:pPr>
        <w:pStyle w:val="BookText"/>
        <w:rPr/>
      </w:pPr>
      <w:r>
        <w:rPr>
          <w:rFonts w:ascii="IRNazanin" w:hAnsi="IRNazanin" w:eastAsia="IRNazanin"/>
          <w:color w:val="111111"/>
          <w:sz w:val="28"/>
          <w:sz w:val="28"/>
          <w:szCs w:val="28"/>
          <w:rtl w:val="true"/>
          <w:lang w:bidi="fa-IR"/>
        </w:rPr>
        <w:t>و دو لفافه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هیچ از مواد خوشبو کننده و بخور غیر از کافور به میّت نزدیک گردانده نمی شود، چرا که میّت نیز مانند شخص در حال احرام است</w:t>
      </w:r>
      <w:r>
        <w:rPr>
          <w:rFonts w:eastAsia="IRNazanin" w:cs="IRNazanin"/>
          <w:color w:val="111111"/>
          <w:sz w:val="28"/>
          <w:szCs w:val="28"/>
          <w:rtl w:val="true"/>
          <w:lang w:bidi="fa-IR"/>
        </w:rPr>
        <w:t>.</w:t>
      </w:r>
      <w:r>
        <w:rPr>
          <w:rStyle w:val="FootnoteAnchor"/>
          <w:rtl w:val="true"/>
        </w:rPr>
        <w:footnoteReference w:id="1576"/>
      </w:r>
    </w:p>
    <w:p>
      <w:pPr>
        <w:pStyle w:val="BookText"/>
        <w:rPr/>
      </w:pPr>
      <w:r>
        <w:rPr>
          <w:rFonts w:ascii="IRNazanin" w:hAnsi="IRNazanin" w:eastAsia="IRNazanin"/>
          <w:color w:val="111111"/>
          <w:sz w:val="28"/>
          <w:sz w:val="28"/>
          <w:szCs w:val="28"/>
          <w:rtl w:val="true"/>
          <w:lang w:bidi="fa-IR"/>
        </w:rPr>
        <w:t>در برخی از روایات به ریختن مُشک بر روی کفن و جنازه اشاره شده است، چرا که با این کار مقام ملائکه بزرگ داشته می شود، به راستی که روح هیچ مؤمنی ستانده نمی شود مگر اینکه ملائکه ای نزد او حاضر می شود</w:t>
      </w:r>
      <w:r>
        <w:rPr>
          <w:rFonts w:eastAsia="IRNazanin" w:cs="IRNazanin"/>
          <w:color w:val="111111"/>
          <w:sz w:val="28"/>
          <w:szCs w:val="28"/>
          <w:rtl w:val="true"/>
          <w:lang w:bidi="fa-IR"/>
        </w:rPr>
        <w:t>.</w:t>
      </w:r>
      <w:r>
        <w:rPr>
          <w:rStyle w:val="FootnoteAnchor"/>
          <w:rtl w:val="true"/>
        </w:rPr>
        <w:footnoteReference w:id="1577"/>
      </w:r>
    </w:p>
    <w:p>
      <w:pPr>
        <w:pStyle w:val="BookText"/>
        <w:rPr/>
      </w:pPr>
      <w:r>
        <w:rPr>
          <w:rFonts w:ascii="IRNazanin" w:hAnsi="IRNazanin" w:eastAsia="IRNazanin"/>
          <w:color w:val="111111"/>
          <w:sz w:val="28"/>
          <w:sz w:val="28"/>
          <w:szCs w:val="28"/>
          <w:rtl w:val="true"/>
          <w:lang w:bidi="fa-IR"/>
        </w:rPr>
        <w:t xml:space="preserve">همچنین روایت شده است که کافور و مُشک در دهان، گوش ها، چشم ها، سر و محاسن و بر روی سینه و شرمگاه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و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می شود، و امام رضا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مرد و زن یکسان هستند، جز از اینکه ناپسند می شمارم که میّت بخور داده شده و یا با بخور دان همراهی گردد، ولی کفن بخور داده می شود</w:t>
      </w:r>
      <w:r>
        <w:rPr>
          <w:rFonts w:eastAsia="IRNazanin" w:cs="IRNazanin"/>
          <w:color w:val="111111"/>
          <w:sz w:val="28"/>
          <w:szCs w:val="28"/>
          <w:rtl w:val="true"/>
          <w:lang w:bidi="fa-IR"/>
        </w:rPr>
        <w:t>.</w:t>
      </w:r>
      <w:r>
        <w:rPr>
          <w:rStyle w:val="FootnoteAnchor"/>
          <w:rtl w:val="true"/>
        </w:rPr>
        <w:footnoteReference w:id="1578"/>
      </w:r>
    </w:p>
    <w:p>
      <w:pPr>
        <w:pStyle w:val="BookText"/>
        <w:rPr/>
      </w:pPr>
      <w:r>
        <w:rPr>
          <w:rFonts w:ascii="IRNazanin" w:hAnsi="IRNazanin" w:eastAsia="IRNazanin"/>
          <w:color w:val="111111"/>
          <w:sz w:val="28"/>
          <w:sz w:val="28"/>
          <w:szCs w:val="28"/>
          <w:rtl w:val="true"/>
          <w:lang w:bidi="fa-IR"/>
        </w:rPr>
        <w:t>امام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دهنده تکّه پارچه ای را برداشته و محکم بر روی مقعد و دو پای میّت می بندد؟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پارچه، ازار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پارچه جزء کفن به شمار نمی آید، بلکه به استفاده از آن امر شده است تا چیزی از بدن میّت خارج نشود، و ذکر فرموده که اگر به جای پارچه از مقداری پنبه استفاده شود بهتر است</w:t>
      </w:r>
      <w:r>
        <w:rPr>
          <w:rFonts w:eastAsia="IRNazanin" w:cs="IRNazanin"/>
          <w:color w:val="111111"/>
          <w:sz w:val="28"/>
          <w:szCs w:val="28"/>
          <w:rtl w:val="true"/>
          <w:lang w:bidi="fa-IR"/>
        </w:rPr>
        <w:t>.</w:t>
      </w:r>
      <w:r>
        <w:rPr>
          <w:rStyle w:val="FootnoteAnchor"/>
          <w:rtl w:val="true"/>
        </w:rPr>
        <w:footnoteReference w:id="1579"/>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 با سه تکّه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لفافه، پیراهن و 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ذکر فرموده که علی علیه السلام پیامبرصلّی الله علیه و آله را در حالی که یک پیراهن به تن داشت غسل داد و در سه تکّه پارچه ایشان را کفن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پارچه صُحرایی و یک پارچه از بُرد یمانی؛ و ابو طلحه قبر پیامبر را آماده کرد سپس از آن خارج شده و بر روی لبّه قبر ایستاد، آن گاه دستش را گشود و پیامبر صلّی الله علیه و آله را بر روی دستش قرار داده و در قبر نهاد</w:t>
      </w:r>
      <w:r>
        <w:rPr>
          <w:rFonts w:eastAsia="IRNazanin" w:cs="IRNazanin"/>
          <w:color w:val="111111"/>
          <w:sz w:val="28"/>
          <w:szCs w:val="28"/>
          <w:rtl w:val="true"/>
          <w:lang w:bidi="fa-IR"/>
        </w:rPr>
        <w:t>.</w:t>
      </w:r>
      <w:r>
        <w:rPr>
          <w:rStyle w:val="FootnoteAnchor"/>
          <w:rtl w:val="true"/>
        </w:rPr>
        <w:footnoteReference w:id="1580"/>
      </w:r>
    </w:p>
    <w:p>
      <w:pPr>
        <w:pStyle w:val="BookText"/>
        <w:rPr/>
      </w:pPr>
      <w:r>
        <w:rPr>
          <w:rFonts w:ascii="IRNazanin" w:hAnsi="IRNazanin" w:eastAsia="IRNazanin"/>
          <w:color w:val="111111"/>
          <w:sz w:val="28"/>
          <w:sz w:val="28"/>
          <w:szCs w:val="28"/>
          <w:rtl w:val="true"/>
          <w:lang w:bidi="fa-IR"/>
        </w:rPr>
        <w:t>امام رضا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از غسل دادن پیامبر صلّی الله علیه و آله فارغ گشت، به چشمان ایشان نگاه کرد و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تکه آشغالی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مشاهده کرد، پس در مقابل جسد مبارک پیامبر خم شد و زبان خویش را در چشمان ایشان به چرخش درآورده و آنچه را در آن بود پاک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پدر و مادرم به فدایت، پاک و نیکو زیستی و پاک و نیکو وفات نمودی</w:t>
      </w:r>
      <w:r>
        <w:rPr>
          <w:rFonts w:eastAsia="IRNazanin" w:cs="IRNazanin"/>
          <w:color w:val="111111"/>
          <w:sz w:val="28"/>
          <w:szCs w:val="28"/>
          <w:rtl w:val="true"/>
          <w:lang w:bidi="fa-IR"/>
        </w:rPr>
        <w:t>.</w:t>
      </w:r>
      <w:r>
        <w:rPr>
          <w:rStyle w:val="FootnoteAnchor"/>
          <w:rtl w:val="true"/>
        </w:rPr>
        <w:footnoteReference w:id="1581"/>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وصیّت خویش نوشته که وی را در سه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عبایی از جنس بُرد یمانی که روز جمعه را با آن نماز می گزارد، لباسی دیگر و یک پیراهن؛ پس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 نویسی؟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دارم که مردم بر تو غلبه کرده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چهار یا پنج تکّه لباس کفن کن، پس سخن آنان را نپذیر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 پدرم را با عمّامه ای پیچیدم، امّا عمّامه جزء کفن به شمار نمی آید بلکه جزء پارچه ای به حساب می آید که در پایان جسد با آن پیچیده می شود، و مجبور شدیم قبر را بیشتر بشکافیم چرا که پدرم مردی تنومند بود، همچنین خود </w:t>
      </w:r>
      <w:bookmarkStart w:id="3149" w:name="pg13517_329350"/>
    </w:p>
    <w:p>
      <w:pPr>
        <w:pStyle w:val="BookText"/>
        <w:rPr/>
      </w:pPr>
      <w:bookmarkEnd w:id="3149"/>
      <w:r>
        <w:rPr>
          <w:rFonts w:ascii="Amiri" w:hAnsi="Amiri" w:eastAsia="Amiri" w:cs="Amiri"/>
          <w:color w:val="111111"/>
          <w:sz w:val="28"/>
          <w:sz w:val="28"/>
          <w:szCs w:val="28"/>
          <w:rtl w:val="true"/>
          <w:lang w:bidi="ar-SA"/>
        </w:rPr>
        <w:t>وَ أَمَرَنِي أَنْ أَجْعَلَ ارْتِفَاعَ قَبْرِهِ أَرْبَعَةَ أَصَابِعَ مُفَرَّجَاتٍ‌</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الْمُحْرِمُ فَلْيُغَسَّلْ وَ لْيُكَفَّنْ كَمَا يُغَسَّلُ الْحَلَالُ غَيْرَ أَنَّهُ لَا يُقَرَّبُ طِيباً وَ لَا يُحَنَّطُ وَ يُغَطَّي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الْمَرْأَةُ تُكَفَّنُ بِثَلَاثَةِ أَثْوَابٍ دِرْعٍ وَ خِمَارٍ وَ لِفَافَةٍ وَ تُدْرَجُ فِيهَا وَ حَنُوطُ الرَّجُلِ وَ المَرْأَةِ سَوَاءٌ</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0" w:name="__RefHeading___Toc607818_1934241801"/>
      <w:bookmarkStart w:id="3151" w:name="_Toc1453"/>
      <w:bookmarkEnd w:id="3150"/>
      <w:r>
        <w:rPr>
          <w:rtl w:val="true"/>
        </w:rPr>
        <w:t>توضيح</w:t>
      </w:r>
      <w:bookmarkEnd w:id="3151"/>
    </w:p>
    <w:p>
      <w:pPr>
        <w:pStyle w:val="BookText"/>
        <w:rPr/>
      </w:pPr>
      <w:r>
        <w:rPr>
          <w:rFonts w:ascii="Amiri" w:hAnsi="Amiri" w:eastAsia="Amiri" w:cs="Amiri"/>
          <w:color w:val="111111"/>
          <w:sz w:val="28"/>
          <w:sz w:val="28"/>
          <w:szCs w:val="28"/>
          <w:rtl w:val="true"/>
          <w:lang w:bidi="ar-SA"/>
        </w:rPr>
        <w:t>و تنقيح قوله عليه السلام و تبدأ بالشق الأيسر المشهور بين الأصحاب استحباب تلك الهيئة و اعترف الأكثر بعدم النص فيه قيل و لعل وجهه التيمن باليمين</w:t>
      </w:r>
      <w:r>
        <w:rPr>
          <w:rFonts w:eastAsia="Amiri" w:cs="Amiri" w:ascii="Amiri" w:hAnsi="Amiri"/>
          <w:color w:val="111111"/>
          <w:sz w:val="28"/>
          <w:szCs w:val="28"/>
          <w:rtl w:val="true"/>
          <w:lang w:bidi="ar-SA"/>
        </w:rPr>
        <w:t>.</w:t>
      </w:r>
    </w:p>
    <w:p>
      <w:pPr>
        <w:pStyle w:val="Heading5"/>
        <w:numPr>
          <w:ilvl w:val="4"/>
          <w:numId w:val="1"/>
        </w:numPr>
        <w:rPr/>
      </w:pPr>
      <w:bookmarkStart w:id="3152" w:name="__RefHeading___Toc607820_1934241801"/>
      <w:bookmarkStart w:id="3153" w:name="_Toc1454"/>
      <w:bookmarkEnd w:id="3152"/>
      <w:r>
        <w:rPr>
          <w:rtl w:val="true"/>
        </w:rPr>
        <w:t>أقول</w:t>
      </w:r>
      <w:bookmarkEnd w:id="3153"/>
    </w:p>
    <w:p>
      <w:pPr>
        <w:pStyle w:val="BookText"/>
        <w:rPr/>
      </w:pPr>
      <w:r>
        <w:rPr>
          <w:rFonts w:ascii="Amiri" w:hAnsi="Amiri" w:eastAsia="Amiri" w:cs="Amiri"/>
          <w:color w:val="111111"/>
          <w:sz w:val="28"/>
          <w:sz w:val="28"/>
          <w:szCs w:val="28"/>
          <w:rtl w:val="true"/>
          <w:lang w:bidi="ar-SA"/>
        </w:rPr>
        <w:t>الظاهر أن الصدوق أخذه من هذا الكتاب و أورده في الفقيه‌</w:t>
      </w:r>
      <w:r>
        <w:rPr>
          <w:rStyle w:val="FootnoteAnchor"/>
          <w:rtl w:val="true"/>
        </w:rPr>
        <w:footnoteReference w:id="1584"/>
      </w:r>
      <w:r>
        <w:rPr>
          <w:rFonts w:ascii="Amiri" w:hAnsi="Amiri" w:eastAsia="Amiri" w:cs="Amiri"/>
          <w:color w:val="111111"/>
          <w:sz w:val="28"/>
          <w:sz w:val="28"/>
          <w:szCs w:val="28"/>
          <w:rtl w:val="true"/>
          <w:lang w:bidi="ar-SA"/>
        </w:rPr>
        <w:t>و تبعه الأصحاب لاعتمادهم عليه و الأحوط العمل به إذ لا قول بتعين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المشهور بين أصحابنا أن الواجب في الكفن ثلاثة أثواب بل قال في المعتبر إنه مذهب فقهائنا أجمع عدا سلار فإنه اقتصر علي ثوب واحد</w:t>
      </w:r>
      <w:r>
        <w:rPr>
          <w:rStyle w:val="FootnoteAnchor"/>
          <w:rtl w:val="true"/>
        </w:rPr>
        <w:footnoteReference w:id="1585"/>
      </w:r>
      <w:r>
        <w:rPr>
          <w:rFonts w:ascii="Amiri" w:hAnsi="Amiri" w:eastAsia="Amiri" w:cs="Amiri"/>
          <w:color w:val="111111"/>
          <w:sz w:val="28"/>
          <w:sz w:val="28"/>
          <w:szCs w:val="28"/>
          <w:rtl w:val="true"/>
          <w:lang w:bidi="ar-SA"/>
        </w:rPr>
        <w:t>و لعل الأشهر أقوي و أظهر ثم الأشهر بينهم تعين القميص و ذهب ابن الجنيد و المحقق في المعتبر و بعض المتأخرين إلي التخيير بين الأثواب الثلاثة و بين القميص و الثوبين و لعل الأخير أرجح و ذكر الشيخان و أتباعهما في الثياب الواجبة الثلاثة المئزر و لم أجد في الروايات المعتبرة ما يدل عليه بل الظاهر منها إما القميص و الثوبان الشاملان للبدن أو ثلاثة أثواب شاملة</w:t>
      </w:r>
      <w:r>
        <w:rPr>
          <w:rStyle w:val="FootnoteAnchor"/>
          <w:rtl w:val="true"/>
        </w:rPr>
        <w:footnoteReference w:id="1586"/>
      </w:r>
      <w:r>
        <w:rPr>
          <w:rFonts w:ascii="Amiri" w:hAnsi="Amiri" w:eastAsia="Amiri" w:cs="Amiri"/>
          <w:color w:val="111111"/>
          <w:sz w:val="28"/>
          <w:sz w:val="28"/>
          <w:szCs w:val="28"/>
          <w:rtl w:val="true"/>
          <w:lang w:bidi="ar-SA"/>
        </w:rPr>
        <w:t>نعم يظهر المئزر</w:t>
      </w:r>
    </w:p>
    <w:p>
      <w:pPr>
        <w:pStyle w:val="BookText"/>
        <w:rPr/>
      </w:pPr>
      <w:r>
        <w:rPr>
          <w:rFonts w:ascii="IRNazanin" w:hAnsi="IRNazanin" w:eastAsia="IRNazanin"/>
          <w:color w:val="111111"/>
          <w:sz w:val="28"/>
          <w:sz w:val="28"/>
          <w:szCs w:val="28"/>
          <w:rtl w:val="true"/>
          <w:lang w:bidi="fa-IR"/>
        </w:rPr>
        <w:t>ایشان به من امر فرمود که ارتفاع قبرش چهار وجب با انگشتان باز باشد</w:t>
      </w:r>
      <w:r>
        <w:rPr>
          <w:rFonts w:eastAsia="IRNazanin" w:cs="IRNazanin"/>
          <w:color w:val="111111"/>
          <w:sz w:val="28"/>
          <w:szCs w:val="28"/>
          <w:rtl w:val="true"/>
          <w:lang w:bidi="fa-IR"/>
        </w:rPr>
        <w:t>.</w:t>
      </w:r>
      <w:r>
        <w:rPr>
          <w:rStyle w:val="FootnoteAnchor"/>
          <w:rtl w:val="true"/>
        </w:rPr>
        <w:footnoteReference w:id="1587"/>
      </w:r>
    </w:p>
    <w:p>
      <w:pPr>
        <w:pStyle w:val="BookText"/>
        <w:rPr/>
      </w:pPr>
      <w:r>
        <w:rPr>
          <w:rFonts w:ascii="IRNazanin" w:hAnsi="IRNazanin" w:eastAsia="IRNazanin"/>
          <w:color w:val="111111"/>
          <w:sz w:val="28"/>
          <w:sz w:val="28"/>
          <w:szCs w:val="28"/>
          <w:rtl w:val="true"/>
          <w:lang w:bidi="fa-IR"/>
        </w:rPr>
        <w:t>از امام کاظم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شخص در حال احرام وفات می نماید باید مانند شخصی که در حال احرام نیست غسل داده شده و کفن شود؛ جز اینکه حنوط و مواد خوشبو کننده به او نزدیک گردانده نمی شود و صورتش پوشانده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 به وسیله سه تکّه لباس کفن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روپوش، روبند و لفافه که در آن پیچیده می شود، و حنوط مرد و زن یکسان است</w:t>
      </w:r>
      <w:r>
        <w:rPr>
          <w:rFonts w:eastAsia="IRNazanin" w:cs="IRNazanin"/>
          <w:color w:val="111111"/>
          <w:sz w:val="28"/>
          <w:szCs w:val="28"/>
          <w:rtl w:val="true"/>
          <w:lang w:bidi="fa-IR"/>
        </w:rPr>
        <w:t>.</w:t>
      </w:r>
      <w:r>
        <w:rPr>
          <w:rStyle w:val="FootnoteAnchor"/>
          <w:rtl w:val="true"/>
        </w:rPr>
        <w:footnoteReference w:id="1588"/>
      </w:r>
    </w:p>
    <w:p>
      <w:pPr>
        <w:pStyle w:val="Heading5"/>
        <w:numPr>
          <w:ilvl w:val="4"/>
          <w:numId w:val="1"/>
        </w:numPr>
        <w:rPr/>
      </w:pPr>
      <w:bookmarkStart w:id="3154" w:name="__RefHeading___Toc607822_1934241801"/>
      <w:bookmarkStart w:id="3155" w:name="_Toc1455"/>
      <w:bookmarkEnd w:id="3154"/>
      <w:r>
        <w:rPr>
          <w:rtl w:val="true"/>
        </w:rPr>
        <w:t>توضیح و تنقیح</w:t>
      </w:r>
      <w:bookmarkEnd w:id="3155"/>
    </w:p>
    <w:p>
      <w:pPr>
        <w:pStyle w:val="BookText"/>
        <w:rPr/>
      </w:pPr>
      <w:r>
        <w:rPr>
          <w:rFonts w:ascii="IRNazanin" w:hAnsi="IRNazanin" w:eastAsia="IRNazanin"/>
          <w:color w:val="111111"/>
          <w:sz w:val="28"/>
          <w:sz w:val="28"/>
          <w:szCs w:val="28"/>
          <w:rtl w:val="true"/>
          <w:lang w:bidi="fa-IR"/>
        </w:rPr>
        <w:t>در رابطه با این فرموده امام 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تبدء بالشقّ الأیسر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نظر مشهور در میان فقها استحباب کفن کردن به شیوه ای است که در این فرموده ذکر شده است، در عین حال بیشتر فقها به عدم وجود نصّی معین در تأیید این شیوه کفن کردن اعتراف کرده اند،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وجه ذکر این شیوه مبارک پنداشتن آغاز کارها از سمت راست باشد</w:t>
      </w:r>
      <w:r>
        <w:rPr>
          <w:rFonts w:eastAsia="IRNazanin" w:cs="IRNazanin"/>
          <w:color w:val="111111"/>
          <w:sz w:val="28"/>
          <w:szCs w:val="28"/>
          <w:rtl w:val="true"/>
          <w:lang w:bidi="fa-IR"/>
        </w:rPr>
        <w:t>.</w:t>
      </w:r>
    </w:p>
    <w:p>
      <w:pPr>
        <w:pStyle w:val="Heading5"/>
        <w:numPr>
          <w:ilvl w:val="4"/>
          <w:numId w:val="1"/>
        </w:numPr>
        <w:rPr/>
      </w:pPr>
      <w:bookmarkStart w:id="3156" w:name="__RefHeading___Toc607824_1934241801"/>
      <w:bookmarkStart w:id="3157" w:name="_Toc1456"/>
      <w:bookmarkEnd w:id="3156"/>
      <w:r>
        <w:rPr>
          <w:rtl w:val="true"/>
        </w:rPr>
        <w:t>می گویم</w:t>
      </w:r>
      <w:bookmarkEnd w:id="3157"/>
    </w:p>
    <w:p>
      <w:pPr>
        <w:pStyle w:val="BookText"/>
        <w:rPr/>
      </w:pPr>
      <w:r>
        <w:rPr>
          <w:rFonts w:ascii="IRNazanin" w:hAnsi="IRNazanin" w:eastAsia="IRNazanin"/>
          <w:color w:val="111111"/>
          <w:sz w:val="28"/>
          <w:sz w:val="28"/>
          <w:szCs w:val="28"/>
          <w:rtl w:val="true"/>
          <w:lang w:bidi="fa-IR"/>
        </w:rPr>
        <w:t>ظاهراً شیخ صدوق این نظر را از این کتاب گرفته و آن را در الفقیه</w:t>
      </w:r>
      <w:r>
        <w:rPr>
          <w:rStyle w:val="FootnoteAnchor"/>
          <w:rtl w:val="true"/>
        </w:rPr>
        <w:footnoteReference w:id="1589"/>
      </w:r>
      <w:r>
        <w:rPr>
          <w:rFonts w:ascii="IRNazanin" w:hAnsi="IRNazanin" w:eastAsia="IRNazanin"/>
          <w:color w:val="111111"/>
          <w:sz w:val="28"/>
          <w:sz w:val="28"/>
          <w:szCs w:val="28"/>
          <w:rtl w:val="true"/>
          <w:lang w:bidi="fa-IR"/>
        </w:rPr>
        <w:t>ذگر کرده است، و دیگر فقها به خاطر اعتماد به او از نظرش پیروی کرده اند، و احوط عمل به این نظر است، چرا که هیچ سخنی در مخالفت با آن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آگاه باش که نظر مشهور در بین فقهای ما وجوب سه تکّه بودن کفن است، بلکه محقق در المعتبر بر این باور است که این نظر متعلق به جمهور فقهای ما به جز سلّار است که معتقد به یک تکّه بودن کفن است؛ و شاید نظرِ مشهورتر، قوی تر و صحیح تر باشد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نظر مشهورتر در بین فقها تعیین فقط پیراهن به عنوان کفن است، ولی ابن جنید، محقّق در المعتبر و عده ای از متأخرّین به اختیار یکی از دو گزینه لباس  های سه گانه یا پیراهن و دو لباس حُکم داده اند، و شاید نظر اخیر ارجح باشد؛ شیخین و پیروان آن ها در میان لباس های سه گانه واجب، ازار را نیز مطرح کرده اند، ولی در میان روایت های معتبر چیزی نیافتم که بر این نکته دلالت کند، بلکه از ظاهر روایات چنین بر می آید که این لباس های سه گانه واجب، یا پیراهن و دو لباس سر تا پا پوشاننده بدن هستند یا سه لباس کامل و پوشاننده تمام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وجود ازار در میان لباس های سه گانه </w:t>
      </w:r>
    </w:p>
    <w:p>
      <w:pPr>
        <w:pStyle w:val="BookText"/>
        <w:rPr/>
      </w:pPr>
      <w:r>
        <w:rPr>
          <w:rFonts w:ascii="Amiri" w:hAnsi="Amiri" w:eastAsia="Amiri" w:cs="Amiri"/>
          <w:color w:val="111111"/>
          <w:sz w:val="28"/>
          <w:sz w:val="28"/>
          <w:szCs w:val="28"/>
          <w:rtl w:val="true"/>
          <w:lang w:bidi="ar-SA"/>
        </w:rPr>
        <w:t>من هذا الخبر و موثقة عمار</w:t>
      </w:r>
      <w:r>
        <w:rPr>
          <w:rStyle w:val="FootnoteAnchor"/>
          <w:rtl w:val="true"/>
        </w:rPr>
        <w:footnoteReference w:id="1590"/>
      </w:r>
      <w:r>
        <w:rPr>
          <w:rFonts w:ascii="Amiri" w:hAnsi="Amiri" w:eastAsia="Amiri" w:cs="Amiri"/>
          <w:color w:val="111111"/>
          <w:sz w:val="28"/>
          <w:sz w:val="28"/>
          <w:szCs w:val="28"/>
          <w:rtl w:val="true"/>
          <w:lang w:bidi="ar-SA"/>
        </w:rPr>
        <w:t>الساباطي و الأحوط الجمع بين القميص و المئزر و اللفافتين عملا بالأقوال و الأخبار جميعا و يظهر من بعض كلمات الصدوق في الفقيه أنه حمل المئزر علي الخرقة التي تلف علي الفخذين كما يحتمله هذا الخبر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المشهور بين الأصحاب استحباب إضافة الحبرة علي الأثواب الواجبة و يظهر من أكثر الأصحاب أنه يستحب أن يكون أحد الأثواب الثلاثة المتقدمة حبرة كما ذهب إليه ابن أبي عقيل و أبو الصلاح و هو أقوي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المشهور أنه يلف في الحبرة و يظهر من هذا الخبر التخيير بينه و بين طرحه عليه في القبر كما ذكر الصدوق في الفقيه و روي الشيخ في الصحيح عن عبد الله بن سنان‌</w:t>
      </w:r>
      <w:r>
        <w:rPr>
          <w:rStyle w:val="FootnoteAnchor"/>
          <w:rtl w:val="true"/>
        </w:rPr>
        <w:footnoteReference w:id="1591"/>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 لا يلف و لكن يطرح عليه طرحا و إذا أدخل القبر وضع تحت خده و تحت جنبه و قال في الذكري و ذهب بعض الأصحاب إلي أن البرد لا يلف و لكن يطرح عليه طرحا فإذا أدخل القبر وضع تحت خده و تحت جنبه و هو رواية ابن سنان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القول بالتخيير و لا خلاف في استحباب العمامة للرجل العامة مع التحنيك و قال في المبسوط عمة الأعرابي بغير حنك و ظاهر الأخبار أن عمة الأعرابي هي التي لم يكن لها طرفان بل الظاهر منها أن المراد بالتحنيك إدارة طرفي العمامة من خلفه و إخراجهما من تحت حنكه و إلقاؤهما علي صدره لأشدهما تحت اللحبين و يشهد لذلك العمل المستمر بين أشراف المدينة من زمنهم عليهم السلام إلي هذا الزمان و أما إلقاء طرفي العمامة علي الوجه المذكور فهو</w:t>
      </w:r>
    </w:p>
    <w:p>
      <w:pPr>
        <w:pStyle w:val="BookText"/>
        <w:rPr/>
      </w:pPr>
      <w:r>
        <w:rPr>
          <w:rFonts w:ascii="IRNazanin" w:hAnsi="IRNazanin" w:eastAsia="IRNazanin"/>
          <w:color w:val="111111"/>
          <w:sz w:val="28"/>
          <w:sz w:val="28"/>
          <w:szCs w:val="28"/>
          <w:rtl w:val="true"/>
          <w:lang w:bidi="fa-IR"/>
        </w:rPr>
        <w:t>در حدیث اخیر و کتاب موثّقه عمّار الساباطی</w:t>
      </w:r>
      <w:r>
        <w:rPr>
          <w:rStyle w:val="FootnoteAnchor"/>
          <w:rtl w:val="true"/>
        </w:rPr>
        <w:footnoteReference w:id="1592"/>
      </w:r>
      <w:r>
        <w:rPr>
          <w:rFonts w:ascii="IRNazanin" w:hAnsi="IRNazanin" w:eastAsia="IRNazanin"/>
          <w:color w:val="111111"/>
          <w:sz w:val="28"/>
          <w:sz w:val="28"/>
          <w:szCs w:val="28"/>
          <w:rtl w:val="true"/>
          <w:lang w:bidi="fa-IR"/>
        </w:rPr>
        <w:t>آشکار می گردد، ولی احوط استفاده از پیراهن، ازار و دو لفافه است تا به جمیع اقوال و احادیث روایت شده در این زمینه عمل شده باشد، همچنین از یکی از سخنان صدوق در الفقیه چنین استنباط می شود که وی ازار را حمل بر پوششی کرده که به دور ران پیچیده می شود، چنان که حدیث مذکور نیز چنین معنایی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 که نظر مشهور در بین فقها افزودن روانداز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لباس های سه گانه واجب است، ولی از نظرات اغلب فقها چنین بر می آید که مستحبّ است روانداز یکی از لباس های سه گانه ای باشد که به عنوان کفن بر میّت پوشانده می شود، آن گونه که ابن أبی عقیل و ابو الصّلاح نیز چنین پنداشته اند، و نظر قوی تر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نظر مشهور این است که میّت در روانداز پیچیده می شود، ولی چنان که از این حدیث بر می آید می توان یکی از دو گزینه پیچیدن میّت در روانداز یا انداختن روانداز بر روی میّت در داخل قبر، که صدوق نیز در الفقیه معتقد به آن است، را انتخاب نمود، شیخ در خبر صحیح از عبداللّه بن سنّان روایت کرده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روانداز به دور میّت پیچیده نمی شود بلکه بر روی او انداخته می شود، و هنگامی که میّت در داخل قبر قرار گرفت روانداز در زیر صورت و پهلوی او قرار داده می شود</w:t>
      </w:r>
      <w:r>
        <w:rPr>
          <w:rFonts w:eastAsia="IRNazanin" w:cs="IRNazanin"/>
          <w:color w:val="111111"/>
          <w:sz w:val="28"/>
          <w:szCs w:val="28"/>
          <w:rtl w:val="true"/>
          <w:lang w:bidi="fa-IR"/>
        </w:rPr>
        <w:t>.</w:t>
      </w:r>
      <w:r>
        <w:rPr>
          <w:rStyle w:val="FootnoteAnchor"/>
          <w:rtl w:val="true"/>
        </w:rPr>
        <w:footnoteReference w:id="1593"/>
      </w:r>
      <w:r>
        <w:rPr>
          <w:rFonts w:ascii="IRNazanin" w:hAnsi="IRNazanin" w:eastAsia="IRNazanin"/>
          <w:color w:val="111111"/>
          <w:sz w:val="28"/>
          <w:sz w:val="28"/>
          <w:szCs w:val="28"/>
          <w:rtl w:val="true"/>
          <w:lang w:bidi="fa-IR"/>
        </w:rPr>
        <w:t>شهید 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بر این باورند که روانداز پیچیده نمی شود ولیکن بر روی او انداخته می شود و هنگامی که داخل قبر شد در زیر صورت و پهلوی او قرار داده می شود، و این روایت ابن سنان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نقل قول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 که قائل به اختیار یکی از این دو گزینه است بعید به نظر نمی رسد، و هیچ اختلاف نظری بر سر استحباب پیچیدن عمّامه به دور سر میّت مرد و تحت الحنک بستن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عمامه را از زیر چانه رد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وجود ندارد، و شیخ در المبسوط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عمّامه به شیوه اعراب بادیه نشین به دور سر میّت پیچیده می شود و بدون تحت الحنک، و از ظاهر احادیث چنین برمی آید که منظور از بستن عمّامه به شیوه اعراب بادیه نشین همان است که دو طرف آن آویزان نمی گردد، همچنین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پیچیدن دو طرف عمّامه به دور سر میّت و خارج ساختن آن ها از زیر چانه و انداختن شان بر روی سینه میّت است نه اینکه زیر محاسن بسته شوند، و شاهد این سخن انجام مستمرّ چنین عملی در میان اشراف مدینه از زمان ائمه علیهم السلام تاکنون می باشد، امّا انداختن دو طرف عمامه به شیوه مذکور در میان فقها شیوه </w:t>
      </w:r>
    </w:p>
    <w:p>
      <w:pPr>
        <w:pStyle w:val="BookText"/>
        <w:rPr/>
      </w:pPr>
      <w:r>
        <w:rPr>
          <w:rFonts w:ascii="Amiri" w:hAnsi="Amiri" w:eastAsia="Amiri" w:cs="Amiri"/>
          <w:color w:val="111111"/>
          <w:sz w:val="28"/>
          <w:sz w:val="28"/>
          <w:szCs w:val="28"/>
          <w:rtl w:val="true"/>
          <w:lang w:bidi="ar-SA"/>
        </w:rPr>
        <w:t>المشهور بين الأصحاب و دلت عليه رواية يونس‌</w:t>
      </w:r>
      <w:r>
        <w:rPr>
          <w:rStyle w:val="FootnoteAnchor"/>
          <w:rtl w:val="true"/>
        </w:rPr>
        <w:footnoteReference w:id="1594"/>
      </w:r>
      <w:r>
        <w:rPr>
          <w:rFonts w:ascii="Amiri" w:hAnsi="Amiri" w:eastAsia="Amiri" w:cs="Amiri"/>
          <w:color w:val="111111"/>
          <w:sz w:val="28"/>
          <w:sz w:val="28"/>
          <w:szCs w:val="28"/>
          <w:rtl w:val="true"/>
          <w:lang w:bidi="ar-SA"/>
        </w:rPr>
        <w:t>و روي يلقي فضلها علي وجهه‌</w:t>
      </w:r>
      <w:r>
        <w:rPr>
          <w:rStyle w:val="FootnoteAnchor"/>
          <w:rtl w:val="true"/>
        </w:rPr>
        <w:footnoteReference w:id="1595"/>
      </w:r>
      <w:r>
        <w:rPr>
          <w:rFonts w:ascii="Amiri" w:hAnsi="Amiri" w:eastAsia="Amiri" w:cs="Amiri"/>
          <w:color w:val="111111"/>
          <w:sz w:val="28"/>
          <w:sz w:val="28"/>
          <w:szCs w:val="28"/>
          <w:rtl w:val="true"/>
          <w:lang w:bidi="ar-SA"/>
        </w:rPr>
        <w:t xml:space="preserve">و في بعض الروايات و اطرح طرفيها علي ظهره و في بعضها يرد فضلها علي رجليه و لعل الأولي العمل بالمشهور و كذا إعمال القطن مما ذكره الأصحاب و وردت في الروايات و شد الخرقة أيضا لا خلاف في استحبابه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في وجوب التحنيط و المشهور وجوب تحنيط المساجد السبعة و نقل الشيخ في الخلاف إجماع الفرقة عليه و أضاف المفيد طرف الأنف و الصدوق السمع و البصر و الفم و المغابن و هي الآباط و أصول الأفخاذ و اختلف الروايات في هذا الباب و لا يبعد القول باستحباب تحنيط المفاصل و الأخبار في المسامع مختلفة و جمع الشيخ بينها بحمل أخبار الجواز علي جعله فوقها و أخبار النهي علي إدخاله فيها و لعل الترك أولي لشهرة الاستحباب بين العامة و كذا رواية المسك الظاهر أنها محمولة علي التقية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المختلف المشهور أنه يكره أن يجعل مع الكافور مسك و روي ابن بابويه استحبابه انتهي و كذا تجمير الكفن و إن ذكره الصدوق مطابقا لما في الكتاب محمول علي التقية أيضا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الأثواب الزائدة علي الواجب فاختلف فيها كلام القوم قال في الذكري قال كثير من الأصحاب تزاد المرأة نمطا و هو لغة ضرب من البسط و لعله مراد أو هو ثوب فيه خطط مأخوذ من الأنماط و هي الطرائق و ابن إدريس جعله الحبرة لدلالة الاسمين علي الزينة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المفيد تزاد المرأة ثوبين و هما لفافتان أو لفافة و نمط و في النهاية نهايته خمسة أثواب و هي لفافتان إحداهما حبرة و قميص و إزار و خرقة و المرأة تزاد لفافة أخري و نمطا و في المبسوط مثل النهاية ثم قال و إن كانت امرأة زيدت لفافتين فيكمل لها سبعة فظاهره هنا مشاركة المرأة في الخمسة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مشهوری است و روایت یونس</w:t>
      </w:r>
      <w:r>
        <w:rPr>
          <w:rStyle w:val="FootnoteAnchor"/>
          <w:rtl w:val="true"/>
        </w:rPr>
        <w:footnoteReference w:id="1596"/>
      </w:r>
      <w:r>
        <w:rPr>
          <w:rFonts w:ascii="IRNazanin" w:hAnsi="IRNazanin" w:eastAsia="IRNazanin"/>
          <w:color w:val="111111"/>
          <w:sz w:val="28"/>
          <w:sz w:val="28"/>
          <w:szCs w:val="28"/>
          <w:rtl w:val="true"/>
          <w:lang w:bidi="fa-IR"/>
        </w:rPr>
        <w:t>بر آن دلالت می کند و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اضافه عمامه بر روی صورت میّت انداخته می شود</w:t>
      </w:r>
      <w:r>
        <w:rPr>
          <w:rStyle w:val="FootnoteAnchor"/>
          <w:rtl w:val="true"/>
        </w:rPr>
        <w:footnoteReference w:id="1597"/>
      </w:r>
      <w:r>
        <w:rPr>
          <w:rFonts w:ascii="IRNazanin" w:hAnsi="IRNazanin" w:eastAsia="IRNazanin"/>
          <w:color w:val="111111"/>
          <w:sz w:val="28"/>
          <w:sz w:val="28"/>
          <w:szCs w:val="28"/>
          <w:rtl w:val="true"/>
          <w:lang w:bidi="fa-IR"/>
        </w:rPr>
        <w:t>و در برخی از روایت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عمّامه را بر روی پشت میّت بیانداز، و در برخی دیگر چنین نقل شده است که قسمت اضافه عمامه بر روی دو پای میت باز گردانده می شود، شاید عمل به روایت نخست عمل به نظر مشهور باشد، همچنین استفاده از پنبه آغشته به حنوط از جمله مواردی است که فقها به ذکر آن پرداخته اند و در روایات نیز ذکر شده است، بر سر استحباب محکم گرداندن پارچه به منظور جلوگیری از خروج چیزی از بدن میّت هم اختلاف نظر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 سر وجوب خوشبو کردن میّت با حنوط هیچ اختلاف نظری وجود ندارد و نظر مشهور، وجوب مالیدن حنوط بر هفت عضوی است که هنگام سجده با زمین در تماس هستند، و شیخ در الخلاف اجماع گروه بر این نظر را نقل کرده است، و شیخ مفید کناره بینی را به این هفت عضو افزوده است، شیخ صدوق نیز گوش، چشم، دهان، زیر بغل ها و بیخ ران ها را به این هفت عضو مذکور افزوده است؛ روایت ها در این زمینه مختلف است، نظری که قائل به استحباب حنوط مالیدن به مفاصل است بعید نیست، و احادیث روایت شده در مورد مالیدن حنوط به گوش ها متفاوت است، ولی شیخ این گونه میان آن ها اتفاق حاصل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قائل به جواز این کار هستند بر گونه ای حمل می شوند که حنوط بر روی گوش قرار داده شود، و احادیثی که این کار را منع می کنند بر گونه ای حمل می شوند که حنوط در داخل گوش قرار داده شود، و شاید ترک این کار از اولویت برخوردار باشد چرا که استحباب آن در بین عامّه شهرت دارد، همچنین چنان که می دانی روایت استفاده از مُشک نیز بر تقیّه حمل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المختلف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این است که قرار دادن مشک همراه کافور کراهت دارد، ولی ابن بابویه قائل به استحباب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 بخور دادن کفن نیز به همین ترتیب، و اگر چه صدوق مطابق آنچه در کتاب آمده به ذکر این مطلب پرداخته است حمل بر تقیّه می شود چنان که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 فقها در مورد لباس هایی که علاوه بر لباس های واجبی که به عنوان کفن بر میّت پوشانده می شوند نیز متفاوت است، شهید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فقها بر این باورند که زنان علاوه بر کفن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پوشانده می شوند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فرش به معنای نمد است و شاید منظور همین باشد، و یا لباسی که در آن خطوطی برگرفته از نمد وجود دارد،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ادریس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روانداز دانسته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معنا بر زینت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گوید دو لباس که یا دو لفافه یا یک لفافه و یک زیرانداز است بر تعداد لباس هایی که به عنوان کفن بر زن پوشانده می شود افزون می گردد؛ در النهایه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لباس هایی که به عنوان کفن بر میّت پوشانده می شوند پنج 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لفافه که یکی از آن ها روانداز است، پیراهن، ازار و روپوش، و برای زن یک لفافه و یک زیر انداز اضافه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المبسوط نیز مطالبی مانند مطالب مذکور در النهایه ذکر شده است، سپس شیخ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میّت، زن باشد دو لفافه افزون می گردد پس تعداد لباس ها به هفت عدد می رسد؛ از مطالب ذکر شده در المبسوط چنین پیداست که زن در پنج لباس نخست با مرد شریک است </w:t>
      </w:r>
    </w:p>
    <w:p>
      <w:pPr>
        <w:pStyle w:val="BookText"/>
        <w:rPr/>
      </w:pPr>
      <w:r>
        <w:rPr>
          <w:rFonts w:ascii="Amiri" w:hAnsi="Amiri" w:eastAsia="Amiri" w:cs="Amiri"/>
          <w:color w:val="111111"/>
          <w:sz w:val="28"/>
          <w:sz w:val="28"/>
          <w:szCs w:val="28"/>
          <w:rtl w:val="true"/>
          <w:lang w:bidi="ar-SA"/>
        </w:rPr>
        <w:t>و زيادتها لفافتين و في الخلاف تزاد المرأة إزارين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الجعفي الخمسة لفافتين و قميص و عمامة و مئزر و قال و قد روي سبع مئزر و عمامة و قميصان و لفافتان و يمنية و ليس تعد الخرقة التي علي فرجه من الكفن و قال و روي ليس العمامة من الكفن المفروض و قال أبو الصلاح يكفنه في درع و مئزر و لفافة و نمط و يعممه قال و الأفضل أن تكون الملاف ثلاثا إحداهن حبرة يمنية و يجزي واحدة و هذه العبارة تدل علي اشتراك الرجل و المرأة في اللفائف و النمط و لم يذكر البصروي النمط و سمي الإزار الواجب حبرة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بابويه ثم اقطع كفنه تبدأ بالنمط و تبسطه و تبسط عليه الحبرة و تبسط الإزار علي الحبرة و تبسط القميص علي الإزار و تكتب علي قميصه و إزاره و حبره و ظاهره مساواة الرجل و المرأة و ابنه الصدوق لما ذكر الثلاث الواجبة و حكم بأن العمامة و الخرقة لا تعدان من الكفن قال من أحب أن يزيد زاد لفافتين حتي يبلغ العدد خمسة أثواب و قال في المقنع بقول أبيه بلفظ الخبر و سلار ذكر الحبرة و الخرقة للرجل ثم قال و يستحب أن تزاد للمرأة لفافتان قال و أسبغ الكفن سبع قطع ثم خمس ثم ثلاث و يظهر منه زيادة اللفائف و مساواة الرجل للمرأة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عقيل رحمه الله الفرض إزار و قميص و لفافة و السنة ثوبان عمامة و خرقة و جعل الإزار فوق القميص و قال السنة في اللفافة أن تكون حبرة يمانية فإن أعوزهم فثوب بياض و المرأة تكفن في ثلاثة درع و خمار و لفافة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البراج في الكامل يسن لفافتان زيادة علي الثلاثة المفروضة إحداهما حبرة يمنية فإن كان الميت امرأة كانت إحدي اللفافتين نمطا فهذه الخمس هي الكفن و لا تجوز الزيادة عليها و يتبع ذلك و إن لم يكن من الكفن خرقة و عمامة و للمرأة خرقة للثديين قال و إن لم توجد حبرة و لا</w:t>
      </w:r>
    </w:p>
    <w:p>
      <w:pPr>
        <w:pStyle w:val="BookText"/>
        <w:rPr/>
      </w:pPr>
      <w:r>
        <w:rPr>
          <w:rFonts w:ascii="IRNazanin" w:hAnsi="IRNazanin" w:eastAsia="IRNazanin"/>
          <w:color w:val="111111"/>
          <w:sz w:val="28"/>
          <w:sz w:val="28"/>
          <w:szCs w:val="28"/>
          <w:rtl w:val="true"/>
          <w:lang w:bidi="fa-IR"/>
        </w:rPr>
        <w:t>و دو لفافه بر تعداد لباس های او افزون می گردد، ولی در الخلاف ذکر شده که دو ازار بر تعداد لباس های زن اضافه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لباس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لفافه، پیراهن، عمّامه و ازار، همچنین روایت شده که تعداد لباس ها هفت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ازار، عمّامه، دو پیراهن، دو لفافه و یک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یمانی، و پوششی که بر روی فَرج میّت قرار می گیرد جزء کفن به حساب نمی آید، و روایت شده است که عمّامه جزء کفن واجب نمی باشد، ابو الصّلاح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در روپوش، ازار، لفافه و زیرانداز کفن شده و عمّامه بر سر او پیچیده می شود، همچنین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آن است که تعداد رواندازها سه عدد و یکی از آن ها بُرد یمانی باشد و یک عدد نیز کفایت می کند، و این عبارت بر اشتراک مرد و زن در رواندازها و زیرانداز دلالت می کند، و البصرویّ زیرانداز را ذکر نکرده و ازار واجب را همان روانداز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بابویه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کفن میّت را بریده و از زیرانداز آغاز کرده و آن را می گسترانی و روانداز را بر روی آن قرار می دهی و ازار را بر روی روانداز و پیراهن را بر روی ازار قرار می دهی، و بر روی پیراهن، ازار و روانداز می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کلام او نشان می دهد که مرد و زن در این امر یکسان هستند، و پسر او صدوق هنگامی که به ذکر لباس های سه گانه واجب پرداخته و حکم داده که عمّامه و خرقه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روی شرمگاه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کفن محسوب نمی شود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داشته باشد که بر این سه لباس بیفزاید، می تواند دو لفافه را اضافه کند تا تعداد لباس ها به پنج عدد برسد، و در المقنع کلام پدرش را با حدیث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سلّار حبره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روی شرمگاه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 ذکر کرده است، سپس گفته است مستحبّ است که دو لفافه به کفن زن اضافه گردد، و کفن را در هفت تکّه، پنج تکّه و آن گاه سه تکّه بدوز؛ زیادت رواندازها و مساوات مرد و زن در این گفته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 عقیل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ازار، پیراهن و لفافه جزء واجب کفن و عمّامه و خرقه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روی شرمگاه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مستحبی کفن به شمار می آیند، و ازار را روی پیراهن قرار داده وگفته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 که لفافه بُردی یمانی باشد و اگر امکان فراهم کردن آن وجود نداشته باشد لباسی سفید کفایت می کند، و زن در سه لباس کفن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روپوش، روسری و لفافه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برّاج در الکامل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 که اضافه بر لباس های سه گانه واجب از دو لفافه زائد که یکی از آن ها بُرد یمانی باشد استفاده شود، پس اگر میّت زن باشد یکی از لفافه ها باید زیرانداز شود، و این پنج لباس کفن میّت زن را تشکیل می دهند، و افزودن چیز دیگری بر آن ها جایز نیست، و به دنبال آن ها از خرقه و عمّامه استفاده می شود هر چند که جزء کفن نیز به شمار نمی آیند، برای زن نیز از پوششی برای دو سینه او استفاده می شود، همچنین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زیرانداز </w:t>
      </w:r>
      <w:bookmarkStart w:id="3158" w:name="pg13517_329354"/>
    </w:p>
    <w:p>
      <w:pPr>
        <w:pStyle w:val="BookText"/>
        <w:rPr/>
      </w:pPr>
      <w:bookmarkEnd w:id="3158"/>
      <w:r>
        <w:rPr>
          <w:rFonts w:ascii="Amiri" w:hAnsi="Amiri" w:eastAsia="Amiri" w:cs="Amiri"/>
          <w:color w:val="111111"/>
          <w:sz w:val="28"/>
          <w:sz w:val="28"/>
          <w:szCs w:val="28"/>
          <w:rtl w:val="true"/>
          <w:lang w:bidi="ar-SA"/>
        </w:rPr>
        <w:t>نمط جاز أن يجعل بدل كل واحدة منهما إزار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التهذيب و صرح بثلاث أزر أحدها الحبرة و هو ظاهر ابن زهرة أيضا و ابن الجنيد لم يفرق بين الرجل و المرأة في ثلاثة أثواب يدرج فيها أو ثوبين و قميص قال و لا بد من العمامة و يستحب المئزر و الخمار للإشعار فظهر أن النمط مغاير للحبرة في كلام الأكثر و أن بعض الأصحاب علي استحباب لفافتين فوق الإزار الواجب للرجل و المرأة و إن كانت تسمي إحداهما نمطا و أن الخمسة في كلام الأكثر غير الخرقة و العمامة و السبعة للمرأة غير القناع انتهي كلامه رفع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رسول الله صلي الله عليه و آله في ثوبين صحاريين صحار قرية باليمن نسب الثوب إليها و قيل هو من الصحرة و هي حمرة خفية كالغبرة يقال ثوب أصحر و صحاري و قال في الذكري هما منسوبان إلي صحار بضم الصاد و هي قصبة عمان مما يلي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قال العالم أقول رواه الكليني و الشيخ عن الصادق عليه السلام بسند حسن‌</w:t>
      </w:r>
      <w:r>
        <w:rPr>
          <w:rStyle w:val="FootnoteAnchor"/>
          <w:rtl w:val="true"/>
        </w:rPr>
        <w:footnoteReference w:id="1598"/>
      </w:r>
      <w:r>
        <w:rPr>
          <w:rFonts w:ascii="Amiri" w:hAnsi="Amiri" w:eastAsia="Amiri" w:cs="Amiri"/>
          <w:color w:val="111111"/>
          <w:sz w:val="28"/>
          <w:sz w:val="28"/>
          <w:szCs w:val="28"/>
          <w:rtl w:val="true"/>
          <w:lang w:bidi="ar-SA"/>
        </w:rPr>
        <w:t>و في القاموس البادن و البدين الجسيم</w:t>
      </w:r>
      <w:r>
        <w:rPr>
          <w:rFonts w:eastAsia="Amiri" w:cs="Amiri" w:ascii="Amiri" w:hAnsi="Amiri"/>
          <w:color w:val="111111"/>
          <w:sz w:val="28"/>
          <w:szCs w:val="28"/>
          <w:rtl w:val="true"/>
          <w:lang w:bidi="ar-SA"/>
        </w:rPr>
        <w:t>.</w:t>
      </w:r>
    </w:p>
    <w:p>
      <w:pPr>
        <w:pStyle w:val="Heading5"/>
        <w:numPr>
          <w:ilvl w:val="4"/>
          <w:numId w:val="1"/>
        </w:numPr>
        <w:rPr/>
      </w:pPr>
      <w:bookmarkStart w:id="3159" w:name="__RefHeading___Toc607826_1934241801"/>
      <w:bookmarkStart w:id="3160" w:name="_Toc1457"/>
      <w:bookmarkEnd w:id="3159"/>
      <w:r>
        <w:rPr>
          <w:rtl w:val="true"/>
        </w:rPr>
        <w:t>أقول</w:t>
      </w:r>
      <w:bookmarkEnd w:id="3160"/>
    </w:p>
    <w:p>
      <w:pPr>
        <w:pStyle w:val="BookText"/>
        <w:rPr/>
      </w:pPr>
      <w:r>
        <w:rPr>
          <w:rFonts w:ascii="Amiri" w:hAnsi="Amiri" w:eastAsia="Amiri" w:cs="Amiri"/>
          <w:color w:val="111111"/>
          <w:sz w:val="28"/>
          <w:sz w:val="28"/>
          <w:szCs w:val="28"/>
          <w:rtl w:val="true"/>
          <w:lang w:bidi="ar-SA"/>
        </w:rPr>
        <w:t>وجه التعليل أن الجسيم يحتاج إلي توسيع اللحد ليسعه و في الأراضي الرخوة لا يتيسر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إذا مات المحرم هذا الحكم مروي في عدة أخبار و عمل بها الأصحاب فلا يجوز تحنيطه بالكافور و لا وضعه في ماء غسله و اختلف في أنه يغسل بقراحين أحدهما بدل الكافور أو يسقط غسل الكافور رأسا و الأخير أظهر و إن كان الأول أحوط ثم في سائر الأحكام بحكم الحلال علي المشهور و حكي عن ابن أبي عقيل أنه أوجب كشف رأسه و وجهه و الأخبار تدفعه و لا فرق في الحكم المذكور بين الإحرامين و لا بين موته قبل الحلق أو التقصير أو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نشود جایز است که به جای هر یک از آن ها از ازار و مانند آن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التهذیب به استفاده از سه ازار که یکی از آن ها روانداز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اشاره شده است، نظر ابن زهره نیز چنین است و ابن جنید در استفاده از سه لباس و یک پیراهن به عنوان کفن، بین مرد و زن تفاوت قائل نشده 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باید از عمّامه استفاده کرد، و استفاده از پوشش و روسری برای پوشاندن موها مستحبّ است، پس آشکار است که در کلام اکثر فقها نمط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غیر از حبره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برخی از فقها بر این باورند که استفاده از دو لفافه بر روی ازارِ واجب مرد و زن مستحبّ می باشد، اگر چه یکی از آن دو لفافه،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و منظور از پنج لباس در کلام بیشتر فقها چیزی غیر از پوشش روی فرج و عمّامه است، همچنین منظور از هفت لباسی که در کفن زن از آن ها استفاده می شود چیزی غیر از روبند است، پایان کلام او خداوند مقام او را رفیع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که رسول خدا صلّی الله علیه و آله با دو لباس صُحاری کفن شده است، صحار، روستایی در یمن است که لباس به آن جا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معنای قرمز کم رنگ است،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ثوب أصحر و صحاری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سرخ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لباس منسوب به صُحار بوده اند و منظور از صُحار، سرزمین عمّان از جانب کوه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کلینی و شیخ با سند صحیح از امام صادق علیه السلام روایت کرده اند،</w:t>
      </w:r>
      <w:r>
        <w:rPr>
          <w:rStyle w:val="FootnoteAnchor"/>
          <w:rtl w:val="true"/>
        </w:rPr>
        <w:footnoteReference w:id="1599"/>
      </w:r>
      <w:r>
        <w:rPr>
          <w:rFonts w:ascii="IRNazanin" w:hAnsi="IRNazanin" w:eastAsia="IRNazanin"/>
          <w:color w:val="111111"/>
          <w:sz w:val="28"/>
          <w:sz w:val="28"/>
          <w:szCs w:val="28"/>
          <w:rtl w:val="true"/>
          <w:lang w:bidi="fa-IR"/>
        </w:rPr>
        <w:t>و 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تنومند و دارای هیکل</w:t>
      </w:r>
      <w:r>
        <w:rPr>
          <w:rFonts w:eastAsia="IRNazanin" w:cs="IRNazanin"/>
          <w:color w:val="111111"/>
          <w:sz w:val="28"/>
          <w:szCs w:val="28"/>
          <w:rtl w:val="true"/>
          <w:lang w:bidi="fa-IR"/>
        </w:rPr>
        <w:t>.</w:t>
      </w:r>
    </w:p>
    <w:p>
      <w:pPr>
        <w:pStyle w:val="Heading5"/>
        <w:numPr>
          <w:ilvl w:val="4"/>
          <w:numId w:val="1"/>
        </w:numPr>
        <w:rPr/>
      </w:pPr>
      <w:bookmarkStart w:id="3161" w:name="__RefHeading___Toc607828_1934241801"/>
      <w:bookmarkStart w:id="3162" w:name="_Toc1458"/>
      <w:bookmarkEnd w:id="3161"/>
      <w:r>
        <w:rPr>
          <w:rtl w:val="true"/>
        </w:rPr>
        <w:t>می گویم</w:t>
      </w:r>
      <w:bookmarkEnd w:id="3162"/>
    </w:p>
    <w:p>
      <w:pPr>
        <w:pStyle w:val="BookText"/>
        <w:rPr/>
      </w:pPr>
      <w:r>
        <w:rPr>
          <w:rFonts w:ascii="IRNazanin" w:hAnsi="IRNazanin" w:eastAsia="IRNazanin"/>
          <w:color w:val="111111"/>
          <w:sz w:val="28"/>
          <w:sz w:val="28"/>
          <w:szCs w:val="28"/>
          <w:rtl w:val="true"/>
          <w:lang w:bidi="fa-IR"/>
        </w:rPr>
        <w:t>وجه تعلیل آن است که انسان تنومند برای آنکه در قبر جای گیرد نیاز به گشایش و توسعه آن دارد و انجام این امر در زمین های نرم امکان پذیر نیست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حُکمی که از این فرموده 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شخص در حال احرام وفات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می شود در چند حدیث روایت شده است و فقها به آن عمل کرده اند، بنابراین معطّر کردن جنازه شخص در حال احرام با کافور و همچنین قرار دادن کافور در آب غسل او جایز نیست، و بر سر این موضوع اختلاف نظر وجود دارد که آیا میّت دو مرتبه با آب خالص غسل داده می شود و یک مرتبه آن بدلِ استفاده از کافور است یا اینکه غسل با کافور رأساً حذف می شود، که نظر اخیر واضح تر است هر چند نظر نخست احوط است، سپس بنا بر نظر مشهور در سایر احکام حُکمش همانند شخص غیر محرم است، و از ابن أبی عقیل نقل شده که واجب است سر و صورت میّت در حال احرام پوشیده نباشد، این در حالی است که احادیث این نظر را رد می کنند، امّا در حُکم مذکور هیچ فرقی بین دو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و 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ندارد، همچنین هیچ فرقی بین زمانی که میّت قبل از تراشیدن یا کوتاه کردن موی سر </w:t>
      </w:r>
      <w:bookmarkStart w:id="3163" w:name="pg13517_329355"/>
    </w:p>
    <w:p>
      <w:pPr>
        <w:pStyle w:val="BookText"/>
        <w:rPr/>
      </w:pPr>
      <w:bookmarkEnd w:id="3163"/>
      <w:r>
        <w:rPr>
          <w:rFonts w:ascii="Amiri" w:hAnsi="Amiri" w:eastAsia="Amiri" w:cs="Amiri"/>
          <w:color w:val="111111"/>
          <w:sz w:val="28"/>
          <w:sz w:val="28"/>
          <w:szCs w:val="28"/>
          <w:rtl w:val="true"/>
          <w:lang w:bidi="ar-SA"/>
        </w:rPr>
        <w:t>بعدهما قبل طواف الزيارة و ربما احتمل اختصاص الحكم بالأول و هو ضعيف و لو مات بعد الطواف ففي تحريم الطيب نظر من إطلاق اسم المحرم عليه و حل الطيب له حيا فهنا أولي و رجح العلامة في النهاية الثاني و فيه إشكال</w:t>
      </w:r>
      <w:r>
        <w:rPr>
          <w:rFonts w:eastAsia="Amiri" w:cs="Amiri" w:ascii="Amiri" w:hAnsi="Amiri"/>
          <w:color w:val="111111"/>
          <w:sz w:val="28"/>
          <w:szCs w:val="28"/>
          <w:rtl w:val="true"/>
          <w:lang w:bidi="ar-SA"/>
        </w:rPr>
        <w:t>.</w:t>
      </w:r>
    </w:p>
    <w:p>
      <w:pPr>
        <w:pStyle w:val="Heading5"/>
        <w:numPr>
          <w:ilvl w:val="4"/>
          <w:numId w:val="1"/>
        </w:numPr>
        <w:rPr/>
      </w:pPr>
      <w:bookmarkStart w:id="3164" w:name="__RefHeading___Toc607830_1934241801"/>
      <w:bookmarkStart w:id="3165" w:name="_Toc1459"/>
      <w:bookmarkEnd w:id="3164"/>
      <w:r>
        <w:rPr>
          <w:rtl w:val="true"/>
        </w:rPr>
        <w:t>«</w:t>
      </w:r>
      <w:r>
        <w:rPr/>
        <w:t>15</w:t>
      </w:r>
      <w:r>
        <w:rPr>
          <w:rtl w:val="true"/>
        </w:rPr>
        <w:t>»</w:t>
      </w:r>
      <w:bookmarkEnd w:id="3165"/>
    </w:p>
    <w:p>
      <w:pPr>
        <w:pStyle w:val="BookText"/>
        <w:rPr/>
      </w:pPr>
      <w:r>
        <w:rPr>
          <w:rFonts w:ascii="Amiri" w:hAnsi="Amiri" w:eastAsia="Amiri" w:cs="Amiri"/>
          <w:color w:val="111111"/>
          <w:sz w:val="28"/>
          <w:sz w:val="28"/>
          <w:szCs w:val="28"/>
          <w:rtl w:val="true"/>
          <w:lang w:bidi="ar-SA"/>
        </w:rPr>
        <w:t>الْعُيُونُ، وَ الْعِلَلُ، عَنْ عَبْدِ الْوَاحِدِ بْنِ عُبْدُوسٍ عَنْ عَلِيِّ بْنِ مُحَمَّدِ بْنِ قُتَيْبَةَ عَنِ الْفَضْلِ بْنِ شَاذَانَ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 أَنْ يُكَفَّنَ الْمَيِّتُ لِيَلْقَي رَبَّهُ عَزَّ وَ جَلَّ طَاهِرَ الْجَسَدِ وَ لِئَلَّا تَبْدُوَ عَوْرَتُهُ لِمَنْ يَحْمِلُهُ أَوْ يَدْفِنُهُ وَ لِئَلَّا يَظْهَرَ النَّاسُ عَلَي بَعْضِ حَالِهِ وَ قُبْحِ مَنْظَرِهِ وَ لِئَلَّا يَقْسُوَ الْقَلْبُ مِنْ كَثْرَةِ النَّظَرِ إِلَي مِثْلِ ذَلِكَ لِلْعَاهَةِ وَ الْفَسَادِ وَ لِيَكُونَ أَطْيَبَ لِأَنْفُسِ الْأَحْيَاءِ وَ لِئَلَّا يُبْغِضَهُ حَمِيمُهُ فَيُلْغِيَ ذِكْرَهُ وَ مَوَدَّتَهُ فَلَا يَحْفَظَهُ فِيمَا خَلَّفَ وَ أَوْصَاهُ بِهِ وَ أَمَرَهُ بِهِ وَ أَحَبَ‌</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66" w:name="__RefHeading___Toc607832_1934241801"/>
      <w:bookmarkStart w:id="3167" w:name="_Toc1460"/>
      <w:bookmarkEnd w:id="3166"/>
      <w:r>
        <w:rPr>
          <w:rtl w:val="true"/>
        </w:rPr>
        <w:t>«</w:t>
      </w:r>
      <w:r>
        <w:rPr/>
        <w:t>16</w:t>
      </w:r>
      <w:r>
        <w:rPr>
          <w:rtl w:val="true"/>
        </w:rPr>
        <w:t>»</w:t>
      </w:r>
      <w:bookmarkEnd w:id="3167"/>
    </w:p>
    <w:p>
      <w:pPr>
        <w:pStyle w:val="BookText"/>
        <w:rPr/>
      </w:pPr>
      <w:r>
        <w:rPr>
          <w:rFonts w:ascii="Amiri" w:hAnsi="Amiri" w:eastAsia="Amiri" w:cs="Amiri"/>
          <w:color w:val="111111"/>
          <w:sz w:val="28"/>
          <w:sz w:val="28"/>
          <w:szCs w:val="28"/>
          <w:rtl w:val="true"/>
          <w:lang w:bidi="ar-SA"/>
        </w:rPr>
        <w:t>مَعْرِفَةُ الرِّجَالِ لِلْكَشِّيِّ، عَنْ عَلِيِّ بْنِ مُحَمَّدٍ عَنْ بُنَانِ بْنِ مُحَمَّدٍ عَنْ عَلِيِّ بْنِ مَهْزِيَارَ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أَنْ يَبْعَثَ إِلَيَّ بِقَمِيصٍ مِنْ قُمُصِهِ أُعِدُّهُ لِكَفَنِي فَبَعَثَ إِلَيَّ بِهِ قَالَ فَقُلْتُ لَهُ كَيْفَ أَصْنَعُ بِهِ فَقَالَ انْزِعْ أَزْرَارَهُ‌</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68" w:name="__RefHeading___Toc607834_1934241801"/>
      <w:bookmarkStart w:id="3169" w:name="_Toc1461"/>
      <w:bookmarkEnd w:id="3168"/>
      <w:r>
        <w:rPr>
          <w:rtl w:val="true"/>
        </w:rPr>
        <w:t>بيان</w:t>
      </w:r>
      <w:bookmarkEnd w:id="3169"/>
    </w:p>
    <w:p>
      <w:pPr>
        <w:pStyle w:val="BookText"/>
        <w:rPr/>
      </w:pPr>
      <w:r>
        <w:rPr>
          <w:rFonts w:ascii="Amiri" w:hAnsi="Amiri" w:eastAsia="Amiri" w:cs="Amiri"/>
          <w:color w:val="111111"/>
          <w:sz w:val="28"/>
          <w:sz w:val="28"/>
          <w:szCs w:val="28"/>
          <w:rtl w:val="true"/>
          <w:lang w:bidi="ar-SA"/>
        </w:rPr>
        <w:t>يدل علي أن كراهة الأكمام إنما هي في الأكفان المبتدأة كما ذكره الأصحاب و علي رجحان نزع الأزرار و ظاهر الأصحاب الاستحباب و علي استحباب أخذ القميص من الإمام عليه السلام للكفن تبركا بل من مطلق الصلحاء أيضا</w:t>
      </w:r>
      <w:r>
        <w:rPr>
          <w:rFonts w:eastAsia="Amiri" w:cs="Amiri" w:ascii="Amiri" w:hAnsi="Amiri"/>
          <w:color w:val="111111"/>
          <w:sz w:val="28"/>
          <w:szCs w:val="28"/>
          <w:rtl w:val="true"/>
          <w:lang w:bidi="ar-SA"/>
        </w:rPr>
        <w:t>.</w:t>
      </w:r>
    </w:p>
    <w:p>
      <w:pPr>
        <w:pStyle w:val="Heading5"/>
        <w:numPr>
          <w:ilvl w:val="4"/>
          <w:numId w:val="1"/>
        </w:numPr>
        <w:rPr/>
      </w:pPr>
      <w:bookmarkStart w:id="3170" w:name="__RefHeading___Toc607836_1934241801"/>
      <w:bookmarkStart w:id="3171" w:name="_Toc1462"/>
      <w:bookmarkEnd w:id="3170"/>
      <w:r>
        <w:rPr>
          <w:rtl w:val="true"/>
        </w:rPr>
        <w:t>«</w:t>
      </w:r>
      <w:r>
        <w:rPr/>
        <w:t>17</w:t>
      </w:r>
      <w:r>
        <w:rPr>
          <w:rtl w:val="true"/>
        </w:rPr>
        <w:t>»</w:t>
      </w:r>
      <w:bookmarkEnd w:id="3171"/>
    </w:p>
    <w:p>
      <w:pPr>
        <w:pStyle w:val="BookText"/>
        <w:rPr/>
      </w:pPr>
      <w:r>
        <w:rPr>
          <w:rFonts w:ascii="Amiri" w:hAnsi="Amiri" w:eastAsia="Amiri" w:cs="Amiri"/>
          <w:color w:val="111111"/>
          <w:sz w:val="28"/>
          <w:sz w:val="28"/>
          <w:szCs w:val="28"/>
          <w:rtl w:val="true"/>
          <w:lang w:bidi="ar-SA"/>
        </w:rPr>
        <w:t>كَشْفُ الْغُمَّةِ، قَالَ رُوِيَ أَنَّ فَاطِمَةَ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أَتَي النَّبِيَّ صلي الله عليه و آله لَمَّا حَضَرَتْهُ الْوَفَاةُ بِكَافُورٍ مِنَ الْجَنَّةِ فَقَسَمَهُ أَثْلَاثاً ثُلُثاً لِنَفْسِهِ وَ ثُلُثاً لِعَلِيٍّ وَ ثُلُثاً لِي وَ كَانَ أَرْبَعِينَ دِرْهَماً</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2" w:name="__RefHeading___Toc607838_1934241801"/>
      <w:bookmarkStart w:id="3173" w:name="_Toc1463"/>
      <w:bookmarkEnd w:id="3172"/>
      <w:r>
        <w:rPr>
          <w:rtl w:val="true"/>
        </w:rPr>
        <w:t>«</w:t>
      </w:r>
      <w:r>
        <w:rPr/>
        <w:t>18</w:t>
      </w:r>
      <w:r>
        <w:rPr>
          <w:rtl w:val="true"/>
        </w:rPr>
        <w:t>»</w:t>
      </w:r>
      <w:bookmarkEnd w:id="3173"/>
    </w:p>
    <w:p>
      <w:pPr>
        <w:pStyle w:val="BookText"/>
        <w:rPr/>
      </w:pPr>
      <w:r>
        <w:rPr>
          <w:rFonts w:ascii="Amiri" w:hAnsi="Amiri" w:eastAsia="Amiri" w:cs="Amiri"/>
          <w:color w:val="111111"/>
          <w:sz w:val="28"/>
          <w:sz w:val="28"/>
          <w:szCs w:val="28"/>
          <w:rtl w:val="true"/>
          <w:lang w:bidi="ar-SA"/>
        </w:rPr>
        <w:t>الطُّرَفُ، لِلسَّيِّدِ بْنِ طَاوُسٍ وَ مِصْبَاحُ الْأَنْوَارِ، لِبَعْضِ أَصْحَابِنَا الْأَخْيَارِ</w:t>
      </w:r>
    </w:p>
    <w:p>
      <w:pPr>
        <w:pStyle w:val="BookText"/>
        <w:rPr/>
      </w:pPr>
      <w:r>
        <w:rPr>
          <w:rFonts w:ascii="IRNazanin" w:hAnsi="IRNazanin" w:eastAsia="IRNazanin"/>
          <w:color w:val="111111"/>
          <w:sz w:val="28"/>
          <w:sz w:val="28"/>
          <w:szCs w:val="28"/>
          <w:rtl w:val="true"/>
          <w:lang w:bidi="fa-IR"/>
        </w:rPr>
        <w:t xml:space="preserve">یا بعد از آن و قبل از طواف زیارت وفات نماید وجود ندارد، و چه بسا احتمال اختصاص حکم مذکور به حالت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میّت قبل از تراشیدن یا کوتاه کردن موی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این احتمال ضعیف به نظر می رسد، و اگر میّت بعد از طواف زیارت وفات نماید، بر سر تحریم استعمال مواد خوشبو کننده با توجه به اطلاق اسم شخص در حال احرام بر او و یا حلال بودن آن مانند زمانی که در حال حیات حلال بوده اختلاف نظر وجود دارد، در اینجا نظر نخست مورد تأیید است ولی علّامه در المنتهی نظر دوم را ترجیح داده است که درآن اشکال وجود دارد </w:t>
      </w:r>
      <w:r>
        <w:rPr>
          <w:rFonts w:eastAsia="IRNazanin" w:cs="IRNazanin"/>
          <w:color w:val="111111"/>
          <w:sz w:val="28"/>
          <w:szCs w:val="28"/>
          <w:rtl w:val="true"/>
          <w:lang w:bidi="fa-IR"/>
        </w:rPr>
        <w:t>.</w:t>
      </w:r>
    </w:p>
    <w:p>
      <w:pPr>
        <w:pStyle w:val="Heading5"/>
        <w:numPr>
          <w:ilvl w:val="4"/>
          <w:numId w:val="1"/>
        </w:numPr>
        <w:rPr/>
      </w:pPr>
      <w:bookmarkStart w:id="3174" w:name="__RefHeading___Toc607840_1934241801"/>
      <w:bookmarkStart w:id="3175" w:name="_Toc1464"/>
      <w:bookmarkEnd w:id="3174"/>
      <w:r>
        <w:rPr>
          <w:rtl w:val="true"/>
        </w:rPr>
        <w:t xml:space="preserve">روایت </w:t>
      </w:r>
      <w:r>
        <w:rPr/>
        <w:t>15</w:t>
      </w:r>
      <w:bookmarkEnd w:id="3175"/>
    </w:p>
    <w:p>
      <w:pPr>
        <w:pStyle w:val="BookText"/>
        <w:rPr/>
      </w:pPr>
      <w:r>
        <w:rPr>
          <w:rFonts w:ascii="IRNazanin" w:hAnsi="IRNazanin" w:eastAsia="IRNazanin"/>
          <w:color w:val="111111"/>
          <w:sz w:val="28"/>
          <w:sz w:val="28"/>
          <w:szCs w:val="28"/>
          <w:rtl w:val="true"/>
          <w:lang w:bidi="fa-IR"/>
        </w:rPr>
        <w:t>العیون و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از امام رضا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 شده که میّت کفن شود تا در حالی که جسم او پاک و مطهر است به ملاقات پروردگار عزّ و جلّ خویش نائل آید، همچنین به خاطر اینکه عورت او برای کسانی که حمل یا دفنش می کنند آشکار نگردد و مردم بر احوال او و قبح منظرش آگاه نگردند، و تا بر اثر کثرت نگاه به او و به خاطر رواج فسق و فساد قلب ها دچار قساوت نشود، همچنین میّت کفن می شود چرا که برای زندگان خوشایندتر است، و به خاطر اینکه نزدیکان میّت او را مورد بغض و کینه قرار ندهند در نتیجه یاد و مهر و محبتش از دل آنان به در رود و در مورد آنچه که بر جای گذاشته و وصیّت نموده و به انجام آن دستور داده و مورد علاقه اش بوده است، امانت را رعایت نکنند</w:t>
      </w:r>
      <w:r>
        <w:rPr>
          <w:rFonts w:eastAsia="IRNazanin" w:cs="IRNazanin"/>
          <w:color w:val="111111"/>
          <w:sz w:val="28"/>
          <w:szCs w:val="28"/>
          <w:rtl w:val="true"/>
          <w:lang w:bidi="fa-IR"/>
        </w:rPr>
        <w:t>.</w:t>
      </w:r>
      <w:r>
        <w:rPr>
          <w:rStyle w:val="FootnoteAnchor"/>
          <w:rtl w:val="true"/>
        </w:rPr>
        <w:footnoteReference w:id="1603"/>
      </w:r>
    </w:p>
    <w:p>
      <w:pPr>
        <w:pStyle w:val="Heading5"/>
        <w:numPr>
          <w:ilvl w:val="4"/>
          <w:numId w:val="1"/>
        </w:numPr>
        <w:rPr/>
      </w:pPr>
      <w:bookmarkStart w:id="3176" w:name="__RefHeading___Toc607842_1934241801"/>
      <w:bookmarkStart w:id="3177" w:name="_Toc1465"/>
      <w:bookmarkEnd w:id="3176"/>
      <w:r>
        <w:rPr>
          <w:rtl w:val="true"/>
        </w:rPr>
        <w:t xml:space="preserve">روایت </w:t>
      </w:r>
      <w:r>
        <w:rPr/>
        <w:t>16</w:t>
      </w:r>
      <w:bookmarkEnd w:id="3177"/>
    </w:p>
    <w:p>
      <w:pPr>
        <w:pStyle w:val="BookText"/>
        <w:rPr/>
      </w:pPr>
      <w:r>
        <w:rPr>
          <w:rFonts w:ascii="IRNazanin" w:hAnsi="IRNazanin" w:eastAsia="IRNazanin"/>
          <w:color w:val="111111"/>
          <w:sz w:val="28"/>
          <w:sz w:val="28"/>
          <w:szCs w:val="28"/>
          <w:rtl w:val="true"/>
          <w:lang w:bidi="fa-IR"/>
        </w:rPr>
        <w:t>معرفة الرجال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اسماعیل بن بزیع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تقاضا کردم که یکی از پیراهن هایش را برای من بفرستد تا آن را به عنوان کفن خویش آماده سازم، پس امام پیراهن را فرستاد، و من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این پیراهن کفن بسازم؟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آستین هایش را جدا ساز </w:t>
      </w:r>
      <w:r>
        <w:rPr>
          <w:rFonts w:eastAsia="IRNazanin" w:cs="IRNazanin"/>
          <w:color w:val="111111"/>
          <w:sz w:val="28"/>
          <w:szCs w:val="28"/>
          <w:rtl w:val="true"/>
          <w:lang w:bidi="fa-IR"/>
        </w:rPr>
        <w:t>.</w:t>
      </w:r>
      <w:r>
        <w:rPr>
          <w:rStyle w:val="FootnoteAnchor"/>
          <w:rtl w:val="true"/>
        </w:rPr>
        <w:footnoteReference w:id="1604"/>
      </w:r>
    </w:p>
    <w:p>
      <w:pPr>
        <w:pStyle w:val="Heading5"/>
        <w:numPr>
          <w:ilvl w:val="4"/>
          <w:numId w:val="1"/>
        </w:numPr>
        <w:rPr/>
      </w:pPr>
      <w:bookmarkStart w:id="3178" w:name="__RefHeading___Toc607844_1934241801"/>
      <w:bookmarkStart w:id="3179" w:name="_Toc1466"/>
      <w:bookmarkEnd w:id="3178"/>
      <w:r>
        <w:rPr>
          <w:rtl w:val="true"/>
        </w:rPr>
        <w:t>توضیح</w:t>
      </w:r>
      <w:bookmarkEnd w:id="3179"/>
    </w:p>
    <w:p>
      <w:pPr>
        <w:pStyle w:val="BookText"/>
        <w:rPr/>
      </w:pPr>
      <w:r>
        <w:rPr>
          <w:rFonts w:ascii="IRNazanin" w:hAnsi="IRNazanin" w:eastAsia="IRNazanin"/>
          <w:color w:val="111111"/>
          <w:sz w:val="28"/>
          <w:sz w:val="28"/>
          <w:szCs w:val="28"/>
          <w:rtl w:val="true"/>
          <w:lang w:bidi="fa-IR"/>
        </w:rPr>
        <w:t>حدیث مذکور بر این نکته دلالت می کند که کراهت وجود آستین فقط در مورد کفن های آغازین است، آن گونه که فقها نیز ذکر کرده اند، همچنین بر رجحان داشتن جدا ساختن آستین ها دلالت می کند، و از ظاهر کلام فقها چنین بر می آید که جدا ساختن آستین ها مستحبّ است، این حدیث بر استحباب طلب کردن پیراهن نه تنها از امام علیه السلام بلکه از جمیع صالحان به خاطر متبرّک بودن آن دلالت می کند</w:t>
      </w:r>
      <w:r>
        <w:rPr>
          <w:rFonts w:eastAsia="IRNazanin" w:cs="IRNazanin"/>
          <w:color w:val="111111"/>
          <w:sz w:val="28"/>
          <w:szCs w:val="28"/>
          <w:rtl w:val="true"/>
          <w:lang w:bidi="fa-IR"/>
        </w:rPr>
        <w:t>.</w:t>
      </w:r>
    </w:p>
    <w:p>
      <w:pPr>
        <w:pStyle w:val="Heading5"/>
        <w:numPr>
          <w:ilvl w:val="4"/>
          <w:numId w:val="1"/>
        </w:numPr>
        <w:rPr/>
      </w:pPr>
      <w:bookmarkStart w:id="3180" w:name="__RefHeading___Toc607846_1934241801"/>
      <w:bookmarkStart w:id="3181" w:name="_Toc1467"/>
      <w:bookmarkEnd w:id="3180"/>
      <w:r>
        <w:rPr>
          <w:rtl w:val="true"/>
        </w:rPr>
        <w:t xml:space="preserve">روایت </w:t>
      </w:r>
      <w:r>
        <w:rPr/>
        <w:t>17</w:t>
      </w:r>
      <w:bookmarkEnd w:id="3181"/>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زمان وفات پیامبر صلّی الله علیه و آله نزدیک شد، جبرئیل مقداری کافور را از بهشت نزد ایشان آورد، پس پیامبر آن کافور را به سه قسمت تقسیم کرد یک سوّم برای خودش، یک سوّم برای علی و یک سوّم برای من، اندازه آن کافور چهل درهم بود</w:t>
      </w:r>
      <w:r>
        <w:rPr>
          <w:rFonts w:eastAsia="IRNazanin" w:cs="IRNazanin"/>
          <w:color w:val="111111"/>
          <w:sz w:val="28"/>
          <w:szCs w:val="28"/>
          <w:rtl w:val="true"/>
          <w:lang w:bidi="fa-IR"/>
        </w:rPr>
        <w:t>.</w:t>
      </w:r>
      <w:r>
        <w:rPr>
          <w:rStyle w:val="FootnoteAnchor"/>
          <w:rtl w:val="true"/>
        </w:rPr>
        <w:footnoteReference w:id="1605"/>
      </w:r>
    </w:p>
    <w:p>
      <w:pPr>
        <w:pStyle w:val="Heading5"/>
        <w:numPr>
          <w:ilvl w:val="4"/>
          <w:numId w:val="1"/>
        </w:numPr>
        <w:rPr/>
      </w:pPr>
      <w:bookmarkStart w:id="3182" w:name="__RefHeading___Toc607848_1934241801"/>
      <w:bookmarkStart w:id="3183" w:name="_Toc1468"/>
      <w:bookmarkEnd w:id="3182"/>
      <w:r>
        <w:rPr>
          <w:rtl w:val="true"/>
        </w:rPr>
        <w:t xml:space="preserve">روایت </w:t>
      </w:r>
      <w:r>
        <w:rPr/>
        <w:t>18</w:t>
      </w:r>
      <w:bookmarkEnd w:id="3183"/>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الطُرَف سید بن طاووس و مصباح الانوار</w:t>
      </w:r>
      <w:r>
        <w:rPr>
          <w:rFonts w:eastAsia="IRNazanin" w:cs="IRNazanin"/>
          <w:color w:val="111111"/>
          <w:sz w:val="28"/>
          <w:szCs w:val="28"/>
          <w:rtl w:val="true"/>
          <w:lang w:bidi="fa-IR"/>
        </w:rPr>
        <w:t xml:space="preserve">: </w:t>
      </w:r>
      <w:bookmarkStart w:id="3184" w:name="pg13517_329356"/>
    </w:p>
    <w:p>
      <w:pPr>
        <w:pStyle w:val="BookText"/>
        <w:rPr/>
      </w:pPr>
      <w:bookmarkEnd w:id="3184"/>
      <w:r>
        <w:rPr>
          <w:rFonts w:ascii="Amiri" w:hAnsi="Amiri" w:eastAsia="Amiri" w:cs="Amiri"/>
          <w:color w:val="111111"/>
          <w:sz w:val="28"/>
          <w:sz w:val="28"/>
          <w:szCs w:val="28"/>
          <w:rtl w:val="true"/>
          <w:lang w:bidi="ar-SA"/>
        </w:rPr>
        <w:t>بِإِسْنَادِهِمَا عَنْ عِيسَي بْنِ الْمُسْتَفَادِ عَنْ أَبِي الْحَسَنِ مُوسَي بْنِ جَعْفَرٍ عَنْ أَبِيهِ قَالَ 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الْوَصِيَّةِ أَنْ يُدْفَعَ إِلَيَّ الْحَنُوطُ فَدَعَانِي رَسُولُ اللَّهِ صلي الله عليه و آله قَبْلَ وَفَاتِهِ بِقَلِيلٍ فَقَالَ يَا عَلِيُّ وَ يَا فَاطِمَةُ هَذَا حَنُوطِي مِنَ الْجَنَّةِ دَفَعَهُ إِلَيَّ جَبْرَئِيلُ عليه السلام وَ هُوَ يُقْرِئُكُمَا السَّلَامَ وَ يَقُولُ لَكُمَا اقْسِمَاهُ وَ اعْزِلَا مِنْهُ لِي وَ لَكُمَا فَقَالَتْ فَاطِمَةُ يَا أَبَتَاهْ لَكَ ثُلُثُهُ وَ لْيَكُنِ النَّاظِرُ فِي الْبَاقِي عَلِيَّ بْنَ أَبِي طَالِبٍ عليه السلام فَبَكَي رَسُولُ اللَّهِ صلي الله عليه و آله وَ ضَمَّهَا إِلَيْهِ فَقَالَ مُوَفَّقَةٌ رَشِيدَةٌ مَهْدِيَّةٌ مُلْهَمَةٌ يَا عَلِيُّ قُلْ فِي الْبَاقِي قَالَ نِصْفُ مَا بَقِيَ لَهَا وَ النِّصْفُ لِمَنْ تَرَي يَا رَسُولَ اللَّهِ قَالَ هُوَ لَكَ فَاقْبِضْهُ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كَانَ فِيمَا أَوْصَي بِهِ رَسُولُ اللَّهِ صلي الله عليه و آله أَنْ يُدْفَنَ فِي بَيْتِهِ الَّذِي قُبِضَ فِيهِ وَ يُكَفَّنَ بِثَلَاثَةِ أَثْوَابٍ أَحَدُهَا يَمَانِيٌّ وَ لَا يَدْخُلَ قَبْرَهُ غَيْرُ عَلِيٍّ عليه السلام‌</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5" w:name="__RefHeading___Toc607850_1934241801"/>
      <w:bookmarkStart w:id="3186" w:name="_Toc1469"/>
      <w:bookmarkEnd w:id="3185"/>
      <w:r>
        <w:rPr>
          <w:rtl w:val="true"/>
        </w:rPr>
        <w:t>«</w:t>
      </w:r>
      <w:r>
        <w:rPr/>
        <w:t>19</w:t>
      </w:r>
      <w:r>
        <w:rPr>
          <w:rtl w:val="true"/>
        </w:rPr>
        <w:t>»</w:t>
      </w:r>
      <w:bookmarkEnd w:id="3186"/>
    </w:p>
    <w:p>
      <w:pPr>
        <w:pStyle w:val="BookText"/>
        <w:rPr/>
      </w:pPr>
      <w:r>
        <w:rPr>
          <w:rFonts w:ascii="Amiri" w:hAnsi="Amiri" w:eastAsia="Amiri" w:cs="Amiri"/>
          <w:color w:val="111111"/>
          <w:sz w:val="28"/>
          <w:sz w:val="28"/>
          <w:szCs w:val="28"/>
          <w:rtl w:val="true"/>
          <w:lang w:bidi="ar-SA"/>
        </w:rPr>
        <w:t>الْمُقْنِعَةُ، قَالَ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آدَمَ لَمَّا أَهْبَطَهُ اللَّهُ مِنْ جَنَّتِهِ إِلَي الْأَرْضِ اسْتَوْحَشَ فَسَأَلَ اللَّهَ تَعَالَي أَنْ يُؤْنِسَهُ بِشَيْ‌ءٍ مِنْ أَشْجَارِ الْجَنَّةِ فَأَنْزَلَ اللَّهُ النَّخْلَةَ فَكَانَ يَأْنَسُ بِهَا فِي حَيَاتِهِ فَلَمَّا حَضَرَتْهُ الْوَفَاةُ قَالَ لِوُلْدِهِ إِنِّي كُنْتُ آنَسُ بِهَا فِي حَيَاتِي وَ إِنِّي لَأَرْجُو الْأُنْسَ بِهَا بَعْدَ وَفَاتِي فَإِذَا مِتُّ فَخُذُوا مِنْهَا جَرِيداً وَ شُقُّوهُ بِنِصْفَيْنِ وَ ضَعُوهُمَا مَعِي فِي أَكْفَانِي فَفَعَلَ وُلْدُهُ ذَلِكَ وَ فَعَلَتْهُ الْأَنْبِيَاءُ بَعْدَهُ ثُمَّ انْدَرَسَ ذَلِكَ فِي الْجَاهِلِيَّةِ فَأَحْيَاهُ النَّبِيُّ صلي الله عليه و آله وَ فَعَلَهُ وَ صَارَ سُنَّةً مُتَّبَعَةً</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7" w:name="__RefHeading___Toc607852_1934241801"/>
      <w:bookmarkStart w:id="3188" w:name="_Toc1470"/>
      <w:bookmarkEnd w:id="3187"/>
      <w:r>
        <w:rPr>
          <w:rtl w:val="true"/>
        </w:rPr>
        <w:t>«</w:t>
      </w:r>
      <w:r>
        <w:rPr/>
        <w:t>20</w:t>
      </w:r>
      <w:r>
        <w:rPr>
          <w:rtl w:val="true"/>
        </w:rPr>
        <w:t>»</w:t>
      </w:r>
      <w:bookmarkEnd w:id="3188"/>
    </w:p>
    <w:p>
      <w:pPr>
        <w:pStyle w:val="BookText"/>
        <w:rPr/>
      </w:pPr>
      <w:r>
        <w:rPr>
          <w:rFonts w:ascii="Amiri" w:hAnsi="Amiri" w:eastAsia="Amiri" w:cs="Amiri"/>
          <w:color w:val="111111"/>
          <w:sz w:val="28"/>
          <w:sz w:val="28"/>
          <w:szCs w:val="28"/>
          <w:rtl w:val="true"/>
          <w:lang w:bidi="ar-SA"/>
        </w:rPr>
        <w:t>مَعْرِفَةُ الرِّجَالِ لِلْكَشِّيِّ، عَنْ مُحَمَّدِ بْنِ مَسْعُودٍ عَنْ عَلِيِّ بْنِ مُحَمَّدٍ عَنْ مُحَمَّدِ بْنِ أَحْمَدَ عَنْ سَهْلِ بْنِ زَاذَوَيْهِ عَنْ أَيُّوبَ بْنِ نُوحٍ عَمَّنْ رَوَاهُ عَنْ أَبِي مَرْيَمَ الْأَنْصَارِيِّ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عَلِيٍّ عليهما السلام كَفَّنَ أُسَامَةَ بْنَ زَيْدٍ فِي بُرْدٍ أَحْمَرَ حِبَرَةٍ</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موسی کاظم از پدرش علیهما السلام روایت کرده اند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ذکر شده بود که حنوط به من داده شود، پس رسول خدا صلّی الله علیه و آله اندکی پیش از وفات خویش مرا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و ای فاطمه، این حنوط متعلق به من است که جبرئیل آن را از بهشت آورده است، جبرئیل به شما سلام رسانده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حنوط را تقسیم کرده و از آن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خودتان جدا سازید،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پدرم، یک سوم آن برای شماست، باشد که علی بن ابی طالب علیه السلام تقسیم باقی مانده آن را سرپرستی کند، پس پیامبر صلّی الله علیه و آله گریست و فاطمه را در آغوش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توفیق یافته، هدایت شده به راه راست، راه یافته و الهام شده هستی؛ ای علی، نظرت را درباره باقیمانده حنوط بگو،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حنوط باقیمانده از آنِ فاطمه باشد، ای رسول خدا نصف دیگر از آنِ هر که شما بخواهید باشد؟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از آنِ تو باشد، آن را برگیر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وصیّت های پیامبر صلّی الله علیه و آله آمده بود که ایشان در خانه ای که روح مبارکش در آن ستانده می شود دفن شود، و با سه لباس که یکی از آن ها برد یمانی است کفن شود، و کسی غیر از علی علیه السلام ایشان را وارد قبر نگرداند</w:t>
      </w:r>
      <w:r>
        <w:rPr>
          <w:rFonts w:eastAsia="IRNazanin" w:cs="IRNazanin"/>
          <w:color w:val="111111"/>
          <w:sz w:val="28"/>
          <w:szCs w:val="28"/>
          <w:rtl w:val="true"/>
          <w:lang w:bidi="fa-IR"/>
        </w:rPr>
        <w:t>.</w:t>
      </w:r>
      <w:r>
        <w:rPr>
          <w:rStyle w:val="FootnoteAnchor"/>
          <w:rtl w:val="true"/>
        </w:rPr>
        <w:footnoteReference w:id="1609"/>
      </w:r>
    </w:p>
    <w:p>
      <w:pPr>
        <w:pStyle w:val="Heading5"/>
        <w:numPr>
          <w:ilvl w:val="4"/>
          <w:numId w:val="1"/>
        </w:numPr>
        <w:rPr/>
      </w:pPr>
      <w:bookmarkStart w:id="3189" w:name="__RefHeading___Toc607854_1934241801"/>
      <w:bookmarkStart w:id="3190" w:name="_Toc1471"/>
      <w:bookmarkEnd w:id="3189"/>
      <w:r>
        <w:rPr>
          <w:rtl w:val="true"/>
        </w:rPr>
        <w:t xml:space="preserve">روایت </w:t>
      </w:r>
      <w:r>
        <w:rPr/>
        <w:t>19</w:t>
      </w:r>
      <w:bookmarkEnd w:id="3190"/>
    </w:p>
    <w:p>
      <w:pPr>
        <w:pStyle w:val="BookText"/>
        <w:rPr/>
      </w:pP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هنگامی که خداوند آدم را از بهشت خویش به سوی زمین فرو فرستاد، آدم احساس ترس و تنهایی کرد، پس از خداوند متعال درخواست نمود که او را با یکی از درختان بهشتی آرامش و تسلّی بخشد، خداوند نیز درخت نخل را فرو فرستاد و آدم در طول حیاتش با آن انس و الفت می گرفت، و هنگامی که زمان وفاتش فرا رسید به فرزندانش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طول حیاتم با درخت خرما آرامش و تسلّی می یافتم و امیدوارم که بعد از مرگم نیز با آن آرامش یابم، بنابراین هنگامی که از دنیا رفتم شاخه ای از آن را بر گرفته و دو نصفش کنید و آن ها را همراه من و در کفنم بگذارید، پس فرزندان او چنان کردند، و پیامبران پس از آدم نیز این سنت را پی گرفتند، این سنّت در زمان جاهلیّت به فراموشی سپرده شد تا اینکه پیامبر صلّی الله علیه و آله آن را احیا فرمود و به انجامش رساند و تبدیل به سنّتی گشت که از آن تبعیّت می شود</w:t>
      </w:r>
      <w:r>
        <w:rPr>
          <w:rFonts w:eastAsia="IRNazanin" w:cs="IRNazanin"/>
          <w:color w:val="111111"/>
          <w:sz w:val="28"/>
          <w:szCs w:val="28"/>
          <w:rtl w:val="true"/>
          <w:lang w:bidi="fa-IR"/>
        </w:rPr>
        <w:t>.</w:t>
      </w:r>
      <w:r>
        <w:rPr>
          <w:rStyle w:val="FootnoteAnchor"/>
          <w:rtl w:val="true"/>
        </w:rPr>
        <w:footnoteReference w:id="1610"/>
      </w:r>
    </w:p>
    <w:p>
      <w:pPr>
        <w:pStyle w:val="Heading5"/>
        <w:numPr>
          <w:ilvl w:val="4"/>
          <w:numId w:val="1"/>
        </w:numPr>
        <w:rPr/>
      </w:pPr>
      <w:bookmarkStart w:id="3191" w:name="__RefHeading___Toc607856_1934241801"/>
      <w:bookmarkStart w:id="3192" w:name="_Toc1472"/>
      <w:bookmarkEnd w:id="3191"/>
      <w:r>
        <w:rPr>
          <w:rtl w:val="true"/>
        </w:rPr>
        <w:t xml:space="preserve">روایت </w:t>
      </w:r>
      <w:r>
        <w:rPr/>
        <w:t>20</w:t>
      </w:r>
      <w:bookmarkEnd w:id="3192"/>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معرفة الرجال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علیهما السلام اسامة پسر زید را در برد یمانی قرمز رنگی کفن کرد</w:t>
      </w:r>
      <w:r>
        <w:rPr>
          <w:rStyle w:val="FootnoteAnchor"/>
          <w:rtl w:val="true"/>
        </w:rPr>
        <w:footnoteReference w:id="1611"/>
      </w:r>
      <w:bookmarkStart w:id="3193" w:name="pg13517_329357"/>
    </w:p>
    <w:p>
      <w:pPr>
        <w:pStyle w:val="Heading5"/>
        <w:numPr>
          <w:ilvl w:val="4"/>
          <w:numId w:val="1"/>
        </w:numPr>
        <w:rPr/>
      </w:pPr>
      <w:bookmarkStart w:id="3194" w:name="__RefHeading___Toc607858_1934241801"/>
      <w:bookmarkStart w:id="3195" w:name="_Toc1473"/>
      <w:bookmarkEnd w:id="3193"/>
      <w:bookmarkEnd w:id="3194"/>
      <w:r>
        <w:rPr>
          <w:rtl w:val="true"/>
        </w:rPr>
        <w:t>«</w:t>
      </w:r>
      <w:r>
        <w:rPr/>
        <w:t>21</w:t>
      </w:r>
      <w:r>
        <w:rPr>
          <w:rtl w:val="true"/>
        </w:rPr>
        <w:t>»</w:t>
      </w:r>
      <w:bookmarkEnd w:id="3195"/>
    </w:p>
    <w:p>
      <w:pPr>
        <w:pStyle w:val="BookText"/>
        <w:rPr/>
      </w:pPr>
      <w:r>
        <w:rPr>
          <w:rFonts w:ascii="Amiri" w:hAnsi="Amiri" w:eastAsia="Amiri" w:cs="Amiri"/>
          <w:color w:val="111111"/>
          <w:sz w:val="28"/>
          <w:sz w:val="28"/>
          <w:szCs w:val="28"/>
          <w:rtl w:val="true"/>
          <w:lang w:bidi="ar-SA"/>
        </w:rPr>
        <w:t>وَ مِنْهُ، عَنْ مُحَمَّدِ بْنِ مَسْعُودٍ عَنْ أَحْمَدَ بْنِ عَبْدِ اللَّهِ الْعَلَوِيِّ عَنْ عَلِيِّ بْنِ مُحَمَّدٍ عَنْ أَحْمَدَ بْنِ مُحَمَّدٍ اللَّيْثِيِّ عَنْ عَبْدِ الْغَفَّارِ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كَفَّنَ سَهْلَ بْنَ حُنَيْفٍ فِي بُرْدٍ أَحْمَرَ حِبَرَةٍ</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96" w:name="__RefHeading___Toc607860_1934241801"/>
      <w:bookmarkStart w:id="3197" w:name="_Toc1474"/>
      <w:bookmarkEnd w:id="3196"/>
      <w:r>
        <w:rPr>
          <w:rtl w:val="true"/>
        </w:rPr>
        <w:t>بيان</w:t>
      </w:r>
      <w:bookmarkEnd w:id="3197"/>
    </w:p>
    <w:p>
      <w:pPr>
        <w:pStyle w:val="BookText"/>
        <w:rPr/>
      </w:pPr>
      <w:r>
        <w:rPr>
          <w:rFonts w:ascii="Amiri" w:hAnsi="Amiri" w:eastAsia="Amiri" w:cs="Amiri"/>
          <w:color w:val="111111"/>
          <w:sz w:val="28"/>
          <w:sz w:val="28"/>
          <w:szCs w:val="28"/>
          <w:rtl w:val="true"/>
          <w:lang w:bidi="ar-SA"/>
        </w:rPr>
        <w:t>يدل الخبران علي استحباب البرد الأحمر و قال في الذكري يستحب التكفين في القطن الأبيض إلا الحبرة</w:t>
      </w:r>
      <w:r>
        <w:rPr>
          <w:rFonts w:eastAsia="Amiri" w:cs="Amiri" w:ascii="Amiri" w:hAnsi="Amiri"/>
          <w:color w:val="111111"/>
          <w:sz w:val="28"/>
          <w:szCs w:val="28"/>
          <w:rtl w:val="true"/>
          <w:lang w:bidi="ar-SA"/>
        </w:rPr>
        <w:t>.</w:t>
      </w:r>
    </w:p>
    <w:p>
      <w:pPr>
        <w:pStyle w:val="Heading5"/>
        <w:numPr>
          <w:ilvl w:val="4"/>
          <w:numId w:val="1"/>
        </w:numPr>
        <w:rPr/>
      </w:pPr>
      <w:bookmarkStart w:id="3198" w:name="__RefHeading___Toc607862_1934241801"/>
      <w:bookmarkStart w:id="3199" w:name="_Toc1475"/>
      <w:bookmarkEnd w:id="3198"/>
      <w:r>
        <w:rPr>
          <w:rtl w:val="true"/>
        </w:rPr>
        <w:t>«</w:t>
      </w:r>
      <w:r>
        <w:rPr/>
        <w:t>22</w:t>
      </w:r>
      <w:r>
        <w:rPr>
          <w:rtl w:val="true"/>
        </w:rPr>
        <w:t>»</w:t>
      </w:r>
      <w:bookmarkEnd w:id="3199"/>
    </w:p>
    <w:p>
      <w:pPr>
        <w:pStyle w:val="BookText"/>
        <w:rPr/>
      </w:pPr>
      <w:r>
        <w:rPr>
          <w:rFonts w:ascii="Amiri" w:hAnsi="Amiri" w:eastAsia="Amiri" w:cs="Amiri"/>
          <w:color w:val="111111"/>
          <w:sz w:val="28"/>
          <w:sz w:val="28"/>
          <w:szCs w:val="28"/>
          <w:rtl w:val="true"/>
          <w:lang w:bidi="ar-SA"/>
        </w:rPr>
        <w:t>مَجَالِسُ الصَّدُوقِ، عَنْ جَعْفَرِ بْنِ مُحَمَّدِ بْنِ مَسْرُورٍ عَنْ مُحَمَّدِ بْنِ عَبْدِ اللَّهِ بْنِ جَعْفَرٍ الْحِمْيَرِيِّ عَنْ أَبِيهِ عَنْ أَحْمَدَ بْنِ أَبِي عَبْدِ اللَّهِ عَنْ أَبِيهِ عَنْ خَلَفِ بْنِ حَمَّادٍ عَنْ أَبِي الْحَسَنِ الْعَبْدِيِّ عَنِ الْأَعْمَشِ عَنْ عَبَايَةَ بْنِ رِبْعِيٍّ وَ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وَفَاةِ فَاطِمَةَ بِنْتِ أَسَدٍ أُمِّ أَمِيرِ الْمُؤْمِنِينَ عليه السلام قَالَ قَالَ النَّبِيُّ لِعَلِيٍّ عليه السلام خُذْ عِمَامَتِي هَذِهِ وَ خُذْ ثَوْبَيَّ هَذَيْنِ فَكَفِّنْهَا فِيهِمَا وَ مُرِ النِّسَاءَ فَلْيُحْسِنَّ غُسْلَهَا وَ سَيَأْتِي تَمَامُهَا فِي بَابِ الصَّلَاةِ عَلَي الْمَيِّتِ‌</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0" w:name="__RefHeading___Toc607864_1934241801"/>
      <w:bookmarkStart w:id="3201" w:name="_Toc1476"/>
      <w:bookmarkEnd w:id="3200"/>
      <w:r>
        <w:rPr>
          <w:rtl w:val="true"/>
        </w:rPr>
        <w:t>«</w:t>
      </w:r>
      <w:r>
        <w:rPr/>
        <w:t>23</w:t>
      </w:r>
      <w:r>
        <w:rPr>
          <w:rtl w:val="true"/>
        </w:rPr>
        <w:t>»</w:t>
      </w:r>
      <w:bookmarkEnd w:id="3201"/>
    </w:p>
    <w:p>
      <w:pPr>
        <w:pStyle w:val="BookText"/>
        <w:rPr/>
      </w:pPr>
      <w:r>
        <w:rPr>
          <w:rFonts w:ascii="Amiri" w:hAnsi="Amiri" w:eastAsia="Amiri" w:cs="Amiri"/>
          <w:color w:val="111111"/>
          <w:sz w:val="28"/>
          <w:sz w:val="28"/>
          <w:szCs w:val="28"/>
          <w:rtl w:val="true"/>
          <w:lang w:bidi="ar-SA"/>
        </w:rPr>
        <w:t>الْعِلَلُ، عَنِ الْحَسَنِ بْنِ مُحَمَّدِ بْنِ يَحْيَي عَنْ جَدِّهِ عَنْ بَكْرِ بْنِ عَبْدِ الْوَهَّابِ عَنْ عِيسَي بْنِ عَبْدِ اللَّهِ عَنْ أَبِيهِ عَنْ جَدِّهِ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دَفَنَ فَاطِمَةَ بِنْتَ أَسَدٍ وَ كَفَّنَهَا فِي قَمِيصِهِ وَ نَزَلَ فِي قَبْرِهَا وَ تَمَرَّغَ فِي لَحْدِهَا</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2" w:name="__RefHeading___Toc607866_1934241801"/>
      <w:bookmarkStart w:id="3203" w:name="_Toc1477"/>
      <w:bookmarkEnd w:id="3202"/>
      <w:r>
        <w:rPr>
          <w:rtl w:val="true"/>
        </w:rPr>
        <w:t>«</w:t>
      </w:r>
      <w:r>
        <w:rPr/>
        <w:t>24</w:t>
      </w:r>
      <w:r>
        <w:rPr>
          <w:rtl w:val="true"/>
        </w:rPr>
        <w:t>»</w:t>
      </w:r>
      <w:bookmarkEnd w:id="3203"/>
    </w:p>
    <w:p>
      <w:pPr>
        <w:pStyle w:val="BookText"/>
        <w:rPr/>
      </w:pPr>
      <w:r>
        <w:rPr>
          <w:rFonts w:ascii="Amiri" w:hAnsi="Amiri" w:eastAsia="Amiri" w:cs="Amiri"/>
          <w:color w:val="111111"/>
          <w:sz w:val="28"/>
          <w:sz w:val="28"/>
          <w:szCs w:val="28"/>
          <w:rtl w:val="true"/>
          <w:lang w:bidi="ar-SA"/>
        </w:rPr>
        <w:t>وَ مِنْهُ، عَنِ الْحَسَنِ بْنِ مُحَمَّدٍ عَنْ جَدِّهِ يَعْقُوبَ عَنِ ابْنِ أَبِي عُمَيْرٍ عَنْ عَبْدِ اللَّهِ بْنِ سِنَانٍ عَنْ أَبِي عَبْدِ اللَّهِ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أَسَدٍ أَوْصَتْ إِلَي رَسُولِ اللَّهِ صلي الله عليه و آله فَقَبِلَ وَصِيَّتَهَا فَلَمَّا مَاتَتْ نَزَعَ قَمِيصَهُ وَ قَالَ كَفِّنُوهَا فِيهِ‌</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4" w:name="__RefHeading___Toc607868_1934241801"/>
      <w:bookmarkStart w:id="3205" w:name="_Toc1478"/>
      <w:bookmarkEnd w:id="3204"/>
      <w:r>
        <w:rPr>
          <w:rtl w:val="true"/>
        </w:rPr>
        <w:t xml:space="preserve">روایت </w:t>
      </w:r>
      <w:r>
        <w:rPr/>
        <w:t>21</w:t>
      </w:r>
      <w:bookmarkEnd w:id="3205"/>
    </w:p>
    <w:p>
      <w:pPr>
        <w:pStyle w:val="BookText"/>
        <w:rPr/>
      </w:pPr>
      <w:r>
        <w:rPr>
          <w:rFonts w:ascii="IRNazanin" w:hAnsi="IRNazanin" w:eastAsia="IRNazanin"/>
          <w:color w:val="111111"/>
          <w:sz w:val="28"/>
          <w:sz w:val="28"/>
          <w:szCs w:val="28"/>
          <w:rtl w:val="true"/>
          <w:lang w:bidi="fa-IR"/>
        </w:rPr>
        <w:t>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که امام علی علیه السلام سهل بن حنیف را در برد یمانی قرمز رنگی کفن کرد</w:t>
      </w:r>
      <w:r>
        <w:rPr>
          <w:rFonts w:eastAsia="IRNazanin" w:cs="IRNazanin"/>
          <w:color w:val="111111"/>
          <w:sz w:val="28"/>
          <w:szCs w:val="28"/>
          <w:rtl w:val="true"/>
          <w:lang w:bidi="fa-IR"/>
        </w:rPr>
        <w:t>.</w:t>
      </w:r>
      <w:r>
        <w:rPr>
          <w:rStyle w:val="FootnoteAnchor"/>
          <w:rtl w:val="true"/>
        </w:rPr>
        <w:footnoteReference w:id="1616"/>
      </w:r>
    </w:p>
    <w:p>
      <w:pPr>
        <w:pStyle w:val="Heading5"/>
        <w:numPr>
          <w:ilvl w:val="4"/>
          <w:numId w:val="1"/>
        </w:numPr>
        <w:rPr/>
      </w:pPr>
      <w:bookmarkStart w:id="3206" w:name="__RefHeading___Toc607870_1934241801"/>
      <w:bookmarkStart w:id="3207" w:name="_Toc1479"/>
      <w:bookmarkEnd w:id="3206"/>
      <w:r>
        <w:rPr>
          <w:rtl w:val="true"/>
        </w:rPr>
        <w:t>توضیح</w:t>
      </w:r>
      <w:bookmarkEnd w:id="3207"/>
    </w:p>
    <w:p>
      <w:pPr>
        <w:pStyle w:val="BookText"/>
        <w:rPr/>
      </w:pPr>
      <w:r>
        <w:rPr>
          <w:rFonts w:ascii="IRNazanin" w:hAnsi="IRNazanin" w:eastAsia="IRNazanin"/>
          <w:color w:val="111111"/>
          <w:sz w:val="28"/>
          <w:sz w:val="28"/>
          <w:szCs w:val="28"/>
          <w:rtl w:val="true"/>
          <w:lang w:bidi="fa-IR"/>
        </w:rPr>
        <w:t>دو حدیث اخیر بر استحباب استفاده از برد یمانی قرمز رنگ دلالت می کنند، شهید 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کردن میّت در پنبه سفید غیر از برد یمانی مستحبّ است</w:t>
      </w:r>
      <w:r>
        <w:rPr>
          <w:rFonts w:eastAsia="IRNazanin" w:cs="IRNazanin"/>
          <w:color w:val="111111"/>
          <w:sz w:val="28"/>
          <w:szCs w:val="28"/>
          <w:rtl w:val="true"/>
          <w:lang w:bidi="fa-IR"/>
        </w:rPr>
        <w:t>.</w:t>
      </w:r>
    </w:p>
    <w:p>
      <w:pPr>
        <w:pStyle w:val="Heading5"/>
        <w:numPr>
          <w:ilvl w:val="4"/>
          <w:numId w:val="1"/>
        </w:numPr>
        <w:rPr/>
      </w:pPr>
      <w:bookmarkStart w:id="3208" w:name="__RefHeading___Toc607872_1934241801"/>
      <w:bookmarkStart w:id="3209" w:name="_Toc1480"/>
      <w:bookmarkEnd w:id="3208"/>
      <w:r>
        <w:rPr>
          <w:rtl w:val="true"/>
        </w:rPr>
        <w:t xml:space="preserve">روایت </w:t>
      </w:r>
      <w:r>
        <w:rPr/>
        <w:t>22</w:t>
      </w:r>
      <w:bookmarkEnd w:id="3209"/>
    </w:p>
    <w:p>
      <w:p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عبابه بن ربعیّ و عبدالله بن عباس در حدیث وفات فاطمه بنت أسد مادر امام علی علیه السلام روایت شده که 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و این دو لباس مرا بگیر و مادرت را در آن ها کفن کن، و به زنان فرمان ده که او را به شیوه ای نیکو غسل دهند، این حدیث به صورت کامل در باب نماز گزاردن بر میّت ذکر خواهد شد</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10" w:name="__RefHeading___Toc607874_1934241801"/>
      <w:bookmarkStart w:id="3211" w:name="_Toc1481"/>
      <w:bookmarkEnd w:id="3210"/>
      <w:r>
        <w:rPr>
          <w:rtl w:val="true"/>
        </w:rPr>
        <w:t xml:space="preserve">روایت </w:t>
      </w:r>
      <w:r>
        <w:rPr/>
        <w:t>23</w:t>
      </w:r>
      <w:bookmarkEnd w:id="3211"/>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عبدالله از پدرش و او نیز از جدّش روایت کرده است که رسول خدا صلّی الله علیه و آله فاطمه بنت أسد را دفن و او را در پیراهن خویش کفن نمود، سپس در قبرش فرود آمد و در خاک آن غوطه ور شد</w:t>
      </w:r>
      <w:r>
        <w:rPr>
          <w:rFonts w:eastAsia="IRNazanin" w:cs="IRNazanin"/>
          <w:color w:val="111111"/>
          <w:sz w:val="28"/>
          <w:szCs w:val="28"/>
          <w:rtl w:val="true"/>
          <w:lang w:bidi="fa-IR"/>
        </w:rPr>
        <w:t>.</w:t>
      </w:r>
      <w:r>
        <w:rPr>
          <w:rStyle w:val="FootnoteAnchor"/>
          <w:rtl w:val="true"/>
        </w:rPr>
        <w:footnoteReference w:id="1618"/>
      </w:r>
    </w:p>
    <w:p>
      <w:pPr>
        <w:pStyle w:val="Heading5"/>
        <w:numPr>
          <w:ilvl w:val="4"/>
          <w:numId w:val="1"/>
        </w:numPr>
        <w:rPr/>
      </w:pPr>
      <w:bookmarkStart w:id="3212" w:name="__RefHeading___Toc607876_1934241801"/>
      <w:bookmarkStart w:id="3213" w:name="_Toc1482"/>
      <w:bookmarkEnd w:id="3212"/>
      <w:r>
        <w:rPr>
          <w:rtl w:val="true"/>
        </w:rPr>
        <w:t xml:space="preserve">روایت </w:t>
      </w:r>
      <w:r>
        <w:rPr/>
        <w:t>24</w:t>
      </w:r>
      <w:bookmarkEnd w:id="3213"/>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در حدیثی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أسد نزد رسول خدا صلّی الله علیه و آله وصیّت نمود، پیامبر نیز وصیّت او را پذیرفت و هنگامی که وفات نمود پیراهن خویش را در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در این پیراهن کفن کنید</w:t>
      </w:r>
      <w:r>
        <w:rPr>
          <w:rFonts w:eastAsia="IRNazanin" w:cs="IRNazanin"/>
          <w:color w:val="111111"/>
          <w:sz w:val="28"/>
          <w:szCs w:val="28"/>
          <w:rtl w:val="true"/>
          <w:lang w:bidi="fa-IR"/>
        </w:rPr>
        <w:t>.</w:t>
      </w:r>
      <w:r>
        <w:rPr>
          <w:rStyle w:val="FootnoteAnchor"/>
          <w:rtl w:val="true"/>
        </w:rPr>
        <w:footnoteReference w:id="1619"/>
      </w:r>
      <w:bookmarkStart w:id="3214" w:name="pg13517_329358"/>
    </w:p>
    <w:p>
      <w:pPr>
        <w:pStyle w:val="BookText"/>
        <w:rPr/>
      </w:pPr>
      <w:bookmarkEnd w:id="3214"/>
      <w:r>
        <w:rPr>
          <w:rFonts w:ascii="Amiri" w:hAnsi="Amiri" w:eastAsia="Amiri" w:cs="Amiri"/>
          <w:color w:val="111111"/>
          <w:sz w:val="28"/>
          <w:sz w:val="28"/>
          <w:szCs w:val="28"/>
          <w:rtl w:val="true"/>
          <w:lang w:bidi="ar-SA"/>
        </w:rPr>
        <w:t>أَقُولُ وَ قَدْ مَرَّ فِي بَابِ الِاحْتِضَارِ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الصَّادِقَ عليه السلام كَتَبَ فِي حَاشِيَةِ كَفَنِ إِسْمَاعِيلَ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يَشْهَدُ أَنْ لَا إِلَهَ إِلَّا اللَّهُ‌</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15" w:name="__RefHeading___Toc607878_1934241801"/>
      <w:bookmarkStart w:id="3216" w:name="_Toc1483"/>
      <w:bookmarkEnd w:id="3215"/>
      <w:r>
        <w:rPr>
          <w:rtl w:val="true"/>
        </w:rPr>
        <w:t>«</w:t>
      </w:r>
      <w:r>
        <w:rPr/>
        <w:t>25</w:t>
      </w:r>
      <w:r>
        <w:rPr>
          <w:rtl w:val="true"/>
        </w:rPr>
        <w:t>»</w:t>
      </w:r>
      <w:bookmarkEnd w:id="3216"/>
    </w:p>
    <w:p>
      <w:pPr>
        <w:pStyle w:val="BookText"/>
        <w:rPr/>
      </w:pPr>
      <w:r>
        <w:rPr>
          <w:rFonts w:ascii="Amiri" w:hAnsi="Amiri" w:eastAsia="Amiri" w:cs="Amiri"/>
          <w:color w:val="111111"/>
          <w:sz w:val="28"/>
          <w:sz w:val="28"/>
          <w:szCs w:val="28"/>
          <w:rtl w:val="true"/>
          <w:lang w:bidi="ar-SA"/>
        </w:rPr>
        <w:t>إِكْمَالُ الدِّينِ، عَنْ أَحْمَدَ بْنِ مُحَمَّدِ بْنِ يَحْيَي عَنْ سَعْدِ بْنِ عَبْدِ اللَّهِ عَنْ إِبْرَاهِيمَ بْنِ هَاشِمٍ وَ مُحَمَّدِ بْنِ الْحُسَيْنِ بْنِ أَبِي الْخَطَّابِ عَنْ عَمْرِو بْنِ عُثْمَانَ عَنْ أَبِي كَهْمَسٍ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مَوْتَ إِسْمَاعِيلَ وَ رَأَيْتُ أَبَا عَبْدِ اللَّهِ عليه السلام وَ قَدْ سَجَدَ سَجْدَةً فَأَطَالَ السُّجُودَ ثُمَّ رَفَعَ رَأْسَهُ فَنَظَرَ إِلَيْهِ ثُمَّ سَجَدَ سَجْدَةً أُخْرَي أَطْوَلَ مِنَ الْأُولَي ثُمَّ رَفَعَ رَأْسَهُ وَ قَدْ حَضَرَهُ الْمَوْتُ فَغَمَّضَهُ وَ رَبَطَ لَحْيَيْهِ وَ غَطَّي عَلَيْهِ الْمِلْحَفَةَ ثُمَّ قَامَ وَ رَأَيْتُ وَجْهَهُ وَ قَدْ دَخَلَهُ مِنْهُ شَيْ‌ءٌ اللَّهُ أَعْلَمُ بِهِ ثُمَّ قَامَ وَ دَخَلَ مَنْزِلَهُ فَمَكَثَ سَاعَةً ثُمَّ خَرَجَ عَلَيْنَا مُدَّهِناً مُكْتَحِلًا عَلَيْهِ ثِيَابٌ غَيْرُ ثِيَابِهِ الَّتِي كَانَتْ عَلَيْهِ وَ وَجْهُهُ غَيْرُ الَّذِي دَخَلَ بِهِ فَأَمَرَ وَ نَهَي فِي أَمْرِهِ حَتَّي إِذَا فَرَغَ دُعِيَ بِكَفَنِهِ فَكَتَبَ فِي حَاشِيَةِ الْكَفَنِ إِسْمَاعِيلُ يَشْهَدُ أَنْ لَا إِلَهَ إِلَّا اللَّهُ‌</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17" w:name="__RefHeading___Toc607880_1934241801"/>
      <w:bookmarkStart w:id="3218" w:name="_Toc1484"/>
      <w:bookmarkEnd w:id="3217"/>
      <w:r>
        <w:rPr>
          <w:rtl w:val="true"/>
        </w:rPr>
        <w:t>بيان</w:t>
      </w:r>
      <w:bookmarkEnd w:id="3218"/>
    </w:p>
    <w:p>
      <w:pPr>
        <w:pStyle w:val="BookText"/>
        <w:rPr/>
      </w:pPr>
      <w:r>
        <w:rPr>
          <w:rFonts w:ascii="Amiri" w:hAnsi="Amiri" w:eastAsia="Amiri" w:cs="Amiri"/>
          <w:color w:val="111111"/>
          <w:sz w:val="28"/>
          <w:sz w:val="28"/>
          <w:szCs w:val="28"/>
          <w:rtl w:val="true"/>
          <w:lang w:bidi="ar-SA"/>
        </w:rPr>
        <w:t>ذكر الأصحاب أنه لم يرد في كتابه الكفن غير هذه الرواية لكن الأصحاب زادوا أشياء كما و كيفا و مكتوبا به و مكتوبا عليه للعمومات و بعض المناسبات قال الشهيد في الذكري يستحب أن يكتب علي الحبرة و اللفافة و القميص و العمامة و الجريدتين فلان يشهد أن لا إله إلا الله لخبر أبي كهمس و زاد ابن الجنيد و أن محمدا رسول الله و زاد الشيخ في النهاية و المبسوط و الخلاف أسماء النبي صلي الله عليه و آله و الأئمة و ظاهره في الخلاف دعوي الإجماع عليه و العمامة ذكرها الشيخ في المبسوط و ابن البراج لعدم تخصيص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لتكن الكتابة بتربة الحسين عليه السلام و مع عدمها بطين و ماء و مع عدمه بالإصبع و في العزية للمفيد بالتربة أو غيرها من الطين و ابن الجنيد بالطين و الماء و لم يعين ابن بابويه ما يكتب به و الظاهر اشتراط التأثير في الكتابة لأنه المعهود و يكره بالسواد قال المفيد و بغيره من الأصباغ و لم ينقل استحباب كتابة شي‌ء</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احتضار ذکر شد که امام صادق علیه السلام در حاشیه کفن پسرش اسماعیل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یشهد أن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شهادت می دهد که خدایی جز الله وجود ندارد</w:t>
      </w:r>
      <w:r>
        <w:rPr>
          <w:rFonts w:eastAsia="IRNazanin" w:cs="IRNazanin"/>
          <w:color w:val="111111"/>
          <w:sz w:val="28"/>
          <w:szCs w:val="28"/>
          <w:rtl w:val="true"/>
          <w:lang w:bidi="fa-IR"/>
        </w:rPr>
        <w:t>.</w:t>
      </w:r>
      <w:r>
        <w:rPr>
          <w:rStyle w:val="FootnoteAnchor"/>
          <w:rtl w:val="true"/>
        </w:rPr>
        <w:footnoteReference w:id="1622"/>
      </w:r>
    </w:p>
    <w:p>
      <w:pPr>
        <w:pStyle w:val="Heading5"/>
        <w:numPr>
          <w:ilvl w:val="4"/>
          <w:numId w:val="1"/>
        </w:numPr>
        <w:rPr/>
      </w:pPr>
      <w:bookmarkStart w:id="3219" w:name="__RefHeading___Toc607882_1934241801"/>
      <w:bookmarkStart w:id="3220" w:name="_Toc1485"/>
      <w:bookmarkEnd w:id="3219"/>
      <w:r>
        <w:rPr>
          <w:rtl w:val="true"/>
        </w:rPr>
        <w:t xml:space="preserve">روایت </w:t>
      </w:r>
      <w:r>
        <w:rPr/>
        <w:t>25</w:t>
      </w:r>
      <w:bookmarkEnd w:id="3220"/>
    </w:p>
    <w:p>
      <w:pPr>
        <w:pStyle w:val="BookText"/>
        <w:rPr/>
      </w:pP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ابوکَهمَس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وفات اسماعیل بر بالین او حاضر شدم و امام صادق علیه السلام را در حال سجده گزاردن مشاهده نمودم، پس امام سجده را طولانی گرداند، آن گاه سرش را بلند کرده و به اسماعیل نگاهی انداخت، سپس دوباره به سجده رفت و آن را بیشتر از سجده نخست طول داد، آن گاه سرش را بلند کرد در حالی که اسماعیل وفات نموده بود، پس امام چشمان او را بر هم نهاد و محاسنش را بست و ملحفه را بر روی او کشید، آن گاه برخاست، و من امام را مشاهده کردم حال آن که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غمی به خاطر از دست دادن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چهره اش عارض گشته بود که فقط خداوند از میزان آن آگاه بود، سپس امام برخاست و وارد منزل خویش شد، یک ساعت در آن جا درنگ کرد و بعد از آن که به موی سرش روغن مالیده و چشمانش را سرمه کشیده بود از منزل خارج شد و لباس هایی غیر از آنچه قبلاً به تن داشت پوشیده بود و حالت چهره اش غیر از حالتی بود که هنگام وارد شدن مشاهده نموده بودیم، پس امر و نهی لازم را در مورد تجهیز و غسل اسماعیل بیان فرمود، هنگامی که فارغ گشت خواست که کفن او را حاضر کنند و بر حاشیه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یشهد أن لا اله إلا الله</w:t>
      </w:r>
      <w:r>
        <w:rPr>
          <w:rFonts w:eastAsia="IRNazanin" w:cs="IRNazanin"/>
          <w:color w:val="111111"/>
          <w:sz w:val="28"/>
          <w:szCs w:val="28"/>
          <w:rtl w:val="true"/>
          <w:lang w:bidi="fa-IR"/>
        </w:rPr>
        <w:t>.</w:t>
      </w:r>
      <w:r>
        <w:rPr>
          <w:rStyle w:val="FootnoteAnchor"/>
          <w:rtl w:val="true"/>
        </w:rPr>
        <w:footnoteReference w:id="1623"/>
      </w:r>
    </w:p>
    <w:p>
      <w:pPr>
        <w:pStyle w:val="Heading5"/>
        <w:numPr>
          <w:ilvl w:val="4"/>
          <w:numId w:val="1"/>
        </w:numPr>
        <w:rPr/>
      </w:pPr>
      <w:bookmarkStart w:id="3221" w:name="__RefHeading___Toc607884_1934241801"/>
      <w:bookmarkStart w:id="3222" w:name="_Toc1486"/>
      <w:bookmarkEnd w:id="3221"/>
      <w:r>
        <w:rPr>
          <w:rtl w:val="true"/>
        </w:rPr>
        <w:t>توضیح</w:t>
      </w:r>
      <w:bookmarkEnd w:id="3222"/>
    </w:p>
    <w:p>
      <w:pPr>
        <w:pStyle w:val="BookText"/>
        <w:rPr/>
      </w:pPr>
      <w:r>
        <w:rPr>
          <w:rFonts w:ascii="IRNazanin" w:hAnsi="IRNazanin" w:eastAsia="IRNazanin"/>
          <w:color w:val="111111"/>
          <w:sz w:val="28"/>
          <w:sz w:val="28"/>
          <w:szCs w:val="28"/>
          <w:rtl w:val="true"/>
          <w:lang w:bidi="fa-IR"/>
        </w:rPr>
        <w:t>فقها ذکر کرده اند که در تأیید کتابت بر کفن، حدیثی غیر از این حدیث روایت نشده است، امّا فقها به خاطر عمومات و برخی مناسبت ها، چیزهایی از لحاظ کمّی، کیفی و همچنین وسیله ای که کتابت به وسیله آن یا بر آن انجام می پذیرد را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حدیث ابو کهمس مستحب است که بر روانداز، لفافه، پیراهن، عمامه و دو شاخه نخل که در کنار میّت قرار داده می شود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یشهد أن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شهادت می دهد که خدایی جز الله نیست؛ ابن جنید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افزوده است؛ شیخ نیز در النهایه و المبسوط و الخلاف اسم پیامبر و امامان علیهم السلام را به عبارت مذکور افزوده است، چنان که از ظاهر سخنان شیخ در الخلاف ادّعای وجود اجماع بر این عبارت آشکار می گردد، و شیخ در المبسوط و همچنین ابن برّاج به خاطر عدم تخصیص، حدیث عمّامه را نیز ذکر کرده اند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شایسته است که کتابت بر کفن با تربت مزار امام حسین علیه السلام صورت پذیرد، و در صورت عدم دسترسی به آن با خاک و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وجود آن نیز با انگشتان صورت پذیرد، در العزیّه از شیخ مفید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با تربت مزار امام حسین یا خاک های دیگر انجام می پذیرد؛ ابن جنید نیز به خاک و آب اشاره کرده است، ولی ابن بابویه ابزار کتابت را تعیین نکرده است، و ظاهرا تأثیر در کتابت، شرط است چون آن مورد عهد قرار گرفته، و کتابت با رنگ سیاه کراهت دارد، شیخ مفید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با رنگ هایی غیر از رنگ سیاه انجام می پذیرد، و استحباب کتابت چیزی بر </w:t>
      </w:r>
      <w:bookmarkStart w:id="3223" w:name="pg13517_329359"/>
    </w:p>
    <w:p>
      <w:pPr>
        <w:pStyle w:val="BookText"/>
        <w:rPr/>
      </w:pPr>
      <w:bookmarkEnd w:id="3223"/>
      <w:r>
        <w:rPr>
          <w:rFonts w:ascii="Amiri" w:hAnsi="Amiri" w:eastAsia="Amiri" w:cs="Amiri"/>
          <w:color w:val="111111"/>
          <w:sz w:val="28"/>
          <w:sz w:val="28"/>
          <w:szCs w:val="28"/>
          <w:rtl w:val="true"/>
          <w:lang w:bidi="ar-SA"/>
        </w:rPr>
        <w:t>علي الكفن سوي ذلك فيمكن أن يقال بجوازه قضية للأصل و بالمنع لأنه تصرف لم يعلم إباحة الشرع له انتهي</w:t>
      </w:r>
      <w:r>
        <w:rPr>
          <w:rFonts w:eastAsia="Amiri" w:cs="Amiri" w:ascii="Amiri" w:hAnsi="Amiri"/>
          <w:color w:val="111111"/>
          <w:sz w:val="28"/>
          <w:szCs w:val="28"/>
          <w:rtl w:val="true"/>
          <w:lang w:bidi="ar-SA"/>
        </w:rPr>
        <w:t>.</w:t>
      </w:r>
    </w:p>
    <w:p>
      <w:pPr>
        <w:pStyle w:val="Heading5"/>
        <w:numPr>
          <w:ilvl w:val="4"/>
          <w:numId w:val="1"/>
        </w:numPr>
        <w:rPr/>
      </w:pPr>
      <w:bookmarkStart w:id="3224" w:name="__RefHeading___Toc607886_1934241801"/>
      <w:bookmarkStart w:id="3225" w:name="_Toc1487"/>
      <w:bookmarkEnd w:id="3224"/>
      <w:r>
        <w:rPr>
          <w:rtl w:val="true"/>
        </w:rPr>
        <w:t>أقول</w:t>
      </w:r>
      <w:bookmarkEnd w:id="3225"/>
    </w:p>
    <w:p>
      <w:pPr>
        <w:pStyle w:val="BookText"/>
        <w:rPr/>
      </w:pPr>
      <w:r>
        <w:rPr>
          <w:rFonts w:ascii="Amiri" w:hAnsi="Amiri" w:eastAsia="Amiri" w:cs="Amiri"/>
          <w:color w:val="111111"/>
          <w:sz w:val="28"/>
          <w:sz w:val="28"/>
          <w:szCs w:val="28"/>
          <w:rtl w:val="true"/>
          <w:lang w:bidi="ar-SA"/>
        </w:rPr>
        <w:t>قد مر استحباب الكتابة بالتربة في توقيع الناحية المقدسة و ربما يؤيد تعميم المكتوب حديث الجوشن و حديث لوح محمد بن عثمان كما سيأتي في باب الدفن</w:t>
      </w:r>
      <w:r>
        <w:rPr>
          <w:rFonts w:eastAsia="Amiri" w:cs="Amiri" w:ascii="Amiri" w:hAnsi="Amiri"/>
          <w:color w:val="111111"/>
          <w:sz w:val="28"/>
          <w:szCs w:val="28"/>
          <w:rtl w:val="true"/>
          <w:lang w:bidi="ar-SA"/>
        </w:rPr>
        <w:t>.</w:t>
      </w:r>
    </w:p>
    <w:p>
      <w:pPr>
        <w:pStyle w:val="Heading5"/>
        <w:numPr>
          <w:ilvl w:val="4"/>
          <w:numId w:val="1"/>
        </w:numPr>
        <w:rPr/>
      </w:pPr>
      <w:bookmarkStart w:id="3226" w:name="__RefHeading___Toc607888_1934241801"/>
      <w:bookmarkStart w:id="3227" w:name="_Toc1488"/>
      <w:bookmarkEnd w:id="3226"/>
      <w:r>
        <w:rPr>
          <w:rtl w:val="true"/>
        </w:rPr>
        <w:t>«</w:t>
      </w:r>
      <w:r>
        <w:rPr/>
        <w:t>26</w:t>
      </w:r>
      <w:r>
        <w:rPr>
          <w:rtl w:val="true"/>
        </w:rPr>
        <w:t>»</w:t>
      </w:r>
      <w:bookmarkEnd w:id="3227"/>
    </w:p>
    <w:p>
      <w:pPr>
        <w:pStyle w:val="BookText"/>
        <w:rPr/>
      </w:pPr>
      <w:r>
        <w:rPr>
          <w:rFonts w:ascii="Amiri" w:hAnsi="Amiri" w:eastAsia="Amiri" w:cs="Amiri"/>
          <w:color w:val="111111"/>
          <w:sz w:val="28"/>
          <w:sz w:val="28"/>
          <w:szCs w:val="28"/>
          <w:rtl w:val="true"/>
          <w:lang w:bidi="ar-SA"/>
        </w:rPr>
        <w:t>الْعُيُونُ، عَنِ ابْنِ عُبْدُوسٍ عَنِ ابْنِ قُتَيْبَةَ عَنْ حَمْدَانَ بْنِ سُلَيْمَانَ عَنِ الْحَسَنِ بْنِ عَبْدِ اللَّهِ الصَّيْرَفِيِّ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مُوسَي بْنُ جَعْفَرٍ عليهما السلام فِي يَدَيْ سِنْدِيِّ بْنِ شَاهَكَ فَحُمِلَ عَلَي نَعْشٍ وَ نُودِيَ عَلَيْهِ هَذَا إِمَامُ الرَّافِضَةِ فَسَمِعَ سُلَيْمَانُ بْنُ أَبِي جَعْفَرٍ الصِّيَاحَ وَ نَزَلَ عَنْ قَصْرِهِ وَ حَضَرَ جَنَازَتَهُ وَ غَسَّلَهُ وَ حَنَّطَهُ بِحَنُوطٍ فَاخِرٍ وَ كَفَّنَهُ بِكَفَنٍ فِيهِ حِبَرَةٌ اسْتُعْمِلَتْ لَهُ بِأَلْفَيْنِ وَ خَمْسِمِائَةِ دِينَارٍ عَلَيْهَا الْقُرْآنُ كُلُّهُ وَ احْتَفَي وَ مَشَي فِي جَنَازَتِهِ مُتَسَلِّباً مَشْقُوقَ الْجَيْبِ إِلَي مَقَابِرِ قُرَيْشٍ فَدَفَنَهُ عليه السلام هُنَاكَ‌</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28" w:name="__RefHeading___Toc607890_1934241801"/>
      <w:bookmarkStart w:id="3229" w:name="_Toc1489"/>
      <w:bookmarkEnd w:id="3228"/>
      <w:r>
        <w:rPr>
          <w:rtl w:val="true"/>
        </w:rPr>
        <w:t>بيان</w:t>
      </w:r>
      <w:bookmarkEnd w:id="3229"/>
    </w:p>
    <w:p>
      <w:pPr>
        <w:pStyle w:val="BookText"/>
        <w:rPr/>
      </w:pPr>
      <w:r>
        <w:rPr>
          <w:rFonts w:ascii="Amiri" w:hAnsi="Amiri" w:eastAsia="Amiri" w:cs="Amiri"/>
          <w:color w:val="111111"/>
          <w:sz w:val="28"/>
          <w:sz w:val="28"/>
          <w:szCs w:val="28"/>
          <w:rtl w:val="true"/>
          <w:lang w:bidi="ar-SA"/>
        </w:rPr>
        <w:t>الاستدلال بهذا الخبر علي استحباب كتابة القرآن في الكفن بعيد إذ ليس من فعل المعصوم و لا تقرير منه فيه إلا أن يقال ورد في الرواية حضور الرضا عليه السلام فيتضمن تقريره و لا يخفي ما فيه</w:t>
      </w:r>
      <w:r>
        <w:rPr>
          <w:rFonts w:eastAsia="Amiri" w:cs="Amiri" w:ascii="Amiri" w:hAnsi="Amiri"/>
          <w:color w:val="111111"/>
          <w:sz w:val="28"/>
          <w:szCs w:val="28"/>
          <w:rtl w:val="true"/>
          <w:lang w:bidi="ar-SA"/>
        </w:rPr>
        <w:t>.</w:t>
      </w:r>
    </w:p>
    <w:p>
      <w:pPr>
        <w:pStyle w:val="Heading5"/>
        <w:numPr>
          <w:ilvl w:val="4"/>
          <w:numId w:val="1"/>
        </w:numPr>
        <w:rPr/>
      </w:pPr>
      <w:bookmarkStart w:id="3230" w:name="__RefHeading___Toc607892_1934241801"/>
      <w:bookmarkStart w:id="3231" w:name="_Toc1490"/>
      <w:bookmarkEnd w:id="3230"/>
      <w:r>
        <w:rPr>
          <w:rtl w:val="true"/>
        </w:rPr>
        <w:t>«</w:t>
      </w:r>
      <w:r>
        <w:rPr/>
        <w:t>27</w:t>
      </w:r>
      <w:r>
        <w:rPr>
          <w:rtl w:val="true"/>
        </w:rPr>
        <w:t>»</w:t>
      </w:r>
      <w:bookmarkEnd w:id="3231"/>
    </w:p>
    <w:p>
      <w:pPr>
        <w:pStyle w:val="BookText"/>
        <w:rPr/>
      </w:pPr>
      <w:r>
        <w:rPr>
          <w:rFonts w:ascii="Amiri" w:hAnsi="Amiri" w:eastAsia="Amiri" w:cs="Amiri"/>
          <w:color w:val="111111"/>
          <w:sz w:val="28"/>
          <w:sz w:val="28"/>
          <w:szCs w:val="28"/>
          <w:rtl w:val="true"/>
          <w:lang w:bidi="ar-SA"/>
        </w:rPr>
        <w:t>قُرْبُ الْإِسْنَادِ، عَنْ أَحْمَدَ بْنِ مُحَمَّدٍ عَنِ ابْنِ مَحْبُوبٍ عَنِ الْفَضْلِ بْنِ يُونُسَ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رَجُلٍ مِنْ أَصْحَابِنَا يَمُوتُ وَ لَمْ يَتْرُكْ مَا يُكَفَّنُ بِهِ أَ فَأَشْتَرِي لَهُ كَفَنَهُ مِنَ الزَّكَاةِ قَالَ فَقَالَ أَعْطِ عِيَالَهُ مِنَ الزَّكَاةِ قَدْرَ مَا يُجَهِّزُونَهُ فَيَكُونُونَ هُمُ الَّذِينَ يُجَهِّزُونَهُ قُلْتُ فَإِنْ لَمْ يَكُنْ لَهُ وَلَدٌ وَ لَا أَحَدٌ يَقُومُ بِأَمْرِهِ أَ فَأُجَهِّزُهُ أَنَا مِنَ الزَّكَاةِ قَالَ فَقَالَ كَانَ أَبِي يَقُولُ إِنَّ حُرْمَةَ عَوْرَةِ الْمُؤْمِنِ وَ حُرْمَةَ بَدَنِهِ وَ هُوَ مَيِّتٌ كَحُرْمَتِهِ وَ هُوَ حَيٌّ فَوَارِ عَوْرَتَهُ وَ بَدَنَهُ وَ جَهِّزْهُ وَ كَفِّنْهُ وَ حَنِّطْهُ وَ احْتَسِبْ بِذَلِكَ مِنَ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کفن غیر از آنچه از امام صادق علیه السلام روایت شده نقل نشده است؛ پس ممکن است با استناد به اصل، حُکم به جواز آن صادر کرد و از سوی دیگر با توجه به اینکه جواز چنین عملی به صورت مشخص از سوی شریعت تعیین نشده است می توان آن را ممنوع دانست، پایان نقل قول</w:t>
      </w:r>
      <w:r>
        <w:rPr>
          <w:rFonts w:eastAsia="IRNazanin" w:cs="IRNazanin"/>
          <w:color w:val="111111"/>
          <w:sz w:val="28"/>
          <w:szCs w:val="28"/>
          <w:rtl w:val="true"/>
          <w:lang w:bidi="fa-IR"/>
        </w:rPr>
        <w:t>.</w:t>
      </w:r>
    </w:p>
    <w:p>
      <w:pPr>
        <w:pStyle w:val="Heading5"/>
        <w:numPr>
          <w:ilvl w:val="4"/>
          <w:numId w:val="1"/>
        </w:numPr>
        <w:rPr/>
      </w:pPr>
      <w:bookmarkStart w:id="3232" w:name="__RefHeading___Toc607894_1934241801"/>
      <w:bookmarkStart w:id="3233" w:name="_Toc1491"/>
      <w:bookmarkEnd w:id="3232"/>
      <w:r>
        <w:rPr>
          <w:rtl w:val="true"/>
        </w:rPr>
        <w:t>می گویم</w:t>
      </w:r>
      <w:bookmarkEnd w:id="3233"/>
    </w:p>
    <w:p>
      <w:pPr>
        <w:pStyle w:val="BookText"/>
        <w:rPr/>
      </w:pPr>
      <w:r>
        <w:rPr>
          <w:rFonts w:ascii="IRNazanin" w:hAnsi="IRNazanin" w:eastAsia="IRNazanin"/>
          <w:color w:val="111111"/>
          <w:sz w:val="28"/>
          <w:sz w:val="28"/>
          <w:szCs w:val="28"/>
          <w:rtl w:val="true"/>
          <w:lang w:bidi="fa-IR"/>
        </w:rPr>
        <w:t>در باب های پیشین سخن از استحباب کتابت با تربت مزار امام حسین علیه السلام در توقیعِ ناحیه مقدسه به میان آمد، و چه بسا حدیث جوشن و حدیث لوح محمّد بن عثمان تعمیم مکتوب را تأیید می کنند آن گونه که در باب دفن نیز ذکر خواهد شد</w:t>
      </w:r>
      <w:r>
        <w:rPr>
          <w:rFonts w:eastAsia="IRNazanin" w:cs="IRNazanin"/>
          <w:color w:val="111111"/>
          <w:sz w:val="28"/>
          <w:szCs w:val="28"/>
          <w:rtl w:val="true"/>
          <w:lang w:bidi="fa-IR"/>
        </w:rPr>
        <w:t>.</w:t>
      </w:r>
    </w:p>
    <w:p>
      <w:pPr>
        <w:pStyle w:val="Heading5"/>
        <w:numPr>
          <w:ilvl w:val="4"/>
          <w:numId w:val="1"/>
        </w:numPr>
        <w:rPr/>
      </w:pPr>
      <w:bookmarkStart w:id="3234" w:name="__RefHeading___Toc607896_1934241801"/>
      <w:bookmarkStart w:id="3235" w:name="_Toc1492"/>
      <w:bookmarkEnd w:id="3234"/>
      <w:r>
        <w:rPr>
          <w:rtl w:val="true"/>
        </w:rPr>
        <w:t xml:space="preserve">روایت </w:t>
      </w:r>
      <w:r>
        <w:rPr/>
        <w:t>26</w:t>
      </w:r>
      <w:bookmarkEnd w:id="3235"/>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عبدالله صیرفیّ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به دستان سندی بن شاهک وفات نمود، پس بر تابوتی حمل شد و ندا بر او سر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جنازه امام رافضی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أبی جعفر صیّاح این ندا را شنید و از قصرش پایین آمد و در مراسم تشییع جنازه شرکت کرد و امام را غسل داد و او را با حنوطی گرانبها و فاخر معطّر گرداند و در کفنش از بُردی یمانی به ارزش دو هزار و پانصد دینار استفاده کرد که تمام قرآن بر روی آن نوشته شده بود، آن گاه سلیمان با پای پیاده و در حالی که بر سینه خود می کوفت دنبال جنازه امام به راه افتاد تا به قبرستان قریشیان رسیدند، پس امام را در آنجا به خاک سپرد</w:t>
      </w:r>
      <w:r>
        <w:rPr>
          <w:rFonts w:eastAsia="IRNazanin" w:cs="IRNazanin"/>
          <w:color w:val="111111"/>
          <w:sz w:val="28"/>
          <w:szCs w:val="28"/>
          <w:rtl w:val="true"/>
          <w:lang w:bidi="fa-IR"/>
        </w:rPr>
        <w:t>.</w:t>
      </w:r>
      <w:r>
        <w:rPr>
          <w:rStyle w:val="FootnoteAnchor"/>
          <w:rtl w:val="true"/>
        </w:rPr>
        <w:footnoteReference w:id="1625"/>
      </w:r>
    </w:p>
    <w:p>
      <w:pPr>
        <w:pStyle w:val="Heading5"/>
        <w:numPr>
          <w:ilvl w:val="4"/>
          <w:numId w:val="1"/>
        </w:numPr>
        <w:rPr/>
      </w:pPr>
      <w:bookmarkStart w:id="3236" w:name="__RefHeading___Toc607898_1934241801"/>
      <w:bookmarkStart w:id="3237" w:name="_Toc1493"/>
      <w:bookmarkEnd w:id="3236"/>
      <w:r>
        <w:rPr>
          <w:rtl w:val="true"/>
        </w:rPr>
        <w:t>توضیح</w:t>
      </w:r>
      <w:bookmarkEnd w:id="3237"/>
    </w:p>
    <w:p>
      <w:pPr>
        <w:pStyle w:val="BookText"/>
        <w:rPr/>
      </w:pPr>
      <w:r>
        <w:rPr>
          <w:rFonts w:ascii="IRNazanin" w:hAnsi="IRNazanin" w:eastAsia="IRNazanin"/>
          <w:color w:val="111111"/>
          <w:sz w:val="28"/>
          <w:sz w:val="28"/>
          <w:szCs w:val="28"/>
          <w:rtl w:val="true"/>
          <w:lang w:bidi="fa-IR"/>
        </w:rPr>
        <w:t>استدلال به حدیث مذکور در تأیید استحباب کتابت قرآن بر روی کفن بعید است، چرا که این عمل از جمله افعال و تقریر امام معصوم به شمار نمی رود مگر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حدیث امام رضا علیه السلام در مراسم تشییع جنازه پدر حضور داشته و انجام این عمل، تأیید وی را به همراه داشته است، و ایرادی که در آن است پوشیده نیست</w:t>
      </w:r>
      <w:r>
        <w:rPr>
          <w:rFonts w:eastAsia="IRNazanin" w:cs="IRNazanin"/>
          <w:color w:val="111111"/>
          <w:sz w:val="28"/>
          <w:szCs w:val="28"/>
          <w:rtl w:val="true"/>
          <w:lang w:bidi="fa-IR"/>
        </w:rPr>
        <w:t>.</w:t>
      </w:r>
    </w:p>
    <w:p>
      <w:pPr>
        <w:pStyle w:val="Heading5"/>
        <w:numPr>
          <w:ilvl w:val="4"/>
          <w:numId w:val="1"/>
        </w:numPr>
        <w:rPr/>
      </w:pPr>
      <w:bookmarkStart w:id="3238" w:name="__RefHeading___Toc607900_1934241801"/>
      <w:bookmarkStart w:id="3239" w:name="_Toc1494"/>
      <w:bookmarkEnd w:id="3238"/>
      <w:r>
        <w:rPr>
          <w:rtl w:val="true"/>
        </w:rPr>
        <w:t xml:space="preserve">روایت </w:t>
      </w:r>
      <w:r>
        <w:rPr/>
        <w:t>27</w:t>
      </w:r>
      <w:bookmarkEnd w:id="3239"/>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بن یونس کاتب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درباره مردی از یاران خویش پرسیدم که اموالی بر جای نگذاشته بود تا به وسیله آن کفن شود و اینکه آیا جایز است هزینه کفن او را از زکات تأمین کنم؟ امام فرمود به خانواده او به اندازه ای که قادر باشند هزینه تجهیز او را تأمین کنند ببخشید، زیرا این خانواده میّت هستند که عهده دار تجهیز او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فرزند یا کسی نداشته باشد که امورات او را به انجام رساند آیا من می توانم با استفاده از زکات تجهیز او را به عهده بگیرم؟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حرمت عورت و بدن مؤمن در حالی که وفات نموده مانند زمانی است که در قید حیات می باشد، پس عورت و بدن او را بپوشان و آماده اش گردان و او را کفن کرده و با حنوط معطرش گردان و به اندازه ای که برای انجام این امور کفایت می کند از زکات استفاده کن</w:t>
      </w:r>
      <w:r>
        <w:rPr>
          <w:rFonts w:eastAsia="IRNazanin" w:cs="IRNazanin"/>
          <w:color w:val="111111"/>
          <w:sz w:val="28"/>
          <w:szCs w:val="28"/>
          <w:rtl w:val="true"/>
          <w:lang w:bidi="fa-IR"/>
        </w:rPr>
        <w:t xml:space="preserve">. </w:t>
      </w:r>
      <w:bookmarkStart w:id="3240" w:name="pg13517_329360"/>
    </w:p>
    <w:p>
      <w:pPr>
        <w:pStyle w:val="BookText"/>
        <w:rPr/>
      </w:pPr>
      <w:bookmarkEnd w:id="3240"/>
      <w:r>
        <w:rPr>
          <w:rFonts w:ascii="Amiri" w:hAnsi="Amiri" w:eastAsia="Amiri" w:cs="Amiri"/>
          <w:color w:val="111111"/>
          <w:sz w:val="28"/>
          <w:sz w:val="28"/>
          <w:szCs w:val="28"/>
          <w:rtl w:val="true"/>
          <w:lang w:bidi="ar-SA"/>
        </w:rPr>
        <w:t>قُلْتُ فَإِنِ اتَّجَرَ عَلَيْهِ‌</w:t>
      </w:r>
      <w:r>
        <w:rPr>
          <w:rStyle w:val="FootnoteAnchor"/>
          <w:rtl w:val="true"/>
        </w:rPr>
        <w:footnoteReference w:id="1626"/>
      </w:r>
      <w:r>
        <w:rPr>
          <w:rFonts w:ascii="Amiri" w:hAnsi="Amiri" w:eastAsia="Amiri" w:cs="Amiri"/>
          <w:color w:val="111111"/>
          <w:sz w:val="28"/>
          <w:sz w:val="28"/>
          <w:szCs w:val="28"/>
          <w:rtl w:val="true"/>
          <w:lang w:bidi="ar-SA"/>
        </w:rPr>
        <w:t>بَعْضُ إِخْوَانِهِ بِكَفَنٍ آخَرَ وَ كَانَ عَلَيْهِ دَيْنٌ أَ يُكَفَّنُ بِوَاحِدٍ وَ يُقْضَي بِالْآخَرِ دَيْنُهُ قَالَ فَقَالَ هَذَا لَيْسَ مِيرَاثاً تَرَكَهُ وَ إِنَّمَا هَذَا شَيْ‌ءٌ صَارَ إِلَيْهِمْ بَعْدَ وَفَاتِهِ فَلْيُكَفِّنُوهُ بِالَّذِي اتَّجَرَ عَلَيْهِمْ بِهِ وَ لْيَكُنِ الَّذِي مِنَ الزَّكَاةِ لَهُمْ يُصْلِحُونَ بِهِ شَأْنَهُمْ‌</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41" w:name="__RefHeading___Toc607902_1934241801"/>
      <w:bookmarkStart w:id="3242" w:name="_Toc1495"/>
      <w:bookmarkEnd w:id="3241"/>
      <w:r>
        <w:rPr>
          <w:rtl w:val="true"/>
        </w:rPr>
        <w:t>بيان</w:t>
      </w:r>
      <w:bookmarkEnd w:id="3242"/>
    </w:p>
    <w:p>
      <w:pPr>
        <w:pStyle w:val="BookText"/>
        <w:rPr/>
      </w:pPr>
      <w:r>
        <w:rPr>
          <w:rFonts w:ascii="Amiri" w:hAnsi="Amiri" w:eastAsia="Amiri" w:cs="Amiri"/>
          <w:color w:val="111111"/>
          <w:sz w:val="28"/>
          <w:sz w:val="28"/>
          <w:szCs w:val="28"/>
          <w:rtl w:val="true"/>
          <w:lang w:bidi="ar-SA"/>
        </w:rPr>
        <w:t>ذكر جماعة من الأصحاب أنه يجوز تكفين الميت من الزكاة مع احتياجه إلي ذلك بل صرح بعضهم بالوجوب و توقف فيه بعض المتأخرين لضعف السند و قال الجزري في حديث الأضاحي كلوا و ادخروا و اتجروا أي تصدقوا طالبين الأجر و لا يجوز فيه اتجروا بالإدغام لأن الهمزة لا تدغم في التاء و إنما هو من الأجر لا من التجارة و قد أجازه الهروي في كتابه و استشهد عليه بقوله في حديثه الآخر أن رجلا دخل المسجد و قد قضي النبي صلي الله عليه و آله صلاته فقال من يتجر فيقوم فيصلي معه و الرواية إنما هي يأتجر و إن صح فيها يتجر فيكون من التجارة لا الأجر كأنه بصلاته معه قد حصل لنفسه تجارة أي مكسبا و منه حديث الزكاة و من أعطاها مؤتجرا بها</w:t>
      </w:r>
      <w:r>
        <w:rPr>
          <w:rFonts w:eastAsia="Amiri" w:cs="Amiri" w:ascii="Amiri" w:hAnsi="Amiri"/>
          <w:color w:val="111111"/>
          <w:sz w:val="28"/>
          <w:szCs w:val="28"/>
          <w:rtl w:val="true"/>
          <w:lang w:bidi="ar-SA"/>
        </w:rPr>
        <w:t>.</w:t>
      </w:r>
    </w:p>
    <w:p>
      <w:pPr>
        <w:pStyle w:val="Heading5"/>
        <w:numPr>
          <w:ilvl w:val="4"/>
          <w:numId w:val="1"/>
        </w:numPr>
        <w:rPr/>
      </w:pPr>
      <w:bookmarkStart w:id="3243" w:name="__RefHeading___Toc607904_1934241801"/>
      <w:bookmarkStart w:id="3244" w:name="_Toc1496"/>
      <w:bookmarkEnd w:id="3243"/>
      <w:r>
        <w:rPr>
          <w:rtl w:val="true"/>
        </w:rPr>
        <w:t>«</w:t>
      </w:r>
      <w:r>
        <w:rPr/>
        <w:t>28</w:t>
      </w:r>
      <w:r>
        <w:rPr>
          <w:rtl w:val="true"/>
        </w:rPr>
        <w:t>»</w:t>
      </w:r>
      <w:bookmarkEnd w:id="3244"/>
    </w:p>
    <w:p>
      <w:pPr>
        <w:pStyle w:val="BookText"/>
        <w:rPr/>
      </w:pPr>
      <w:r>
        <w:rPr>
          <w:rFonts w:ascii="Amiri" w:hAnsi="Amiri" w:eastAsia="Amiri" w:cs="Amiri"/>
          <w:color w:val="111111"/>
          <w:sz w:val="28"/>
          <w:sz w:val="28"/>
          <w:szCs w:val="28"/>
          <w:rtl w:val="true"/>
          <w:lang w:bidi="ar-SA"/>
        </w:rPr>
        <w:t>فَلَاحُ السَّائِلِ، مِنْ كِتَابِ مَدِينَةِ الْعِلْمِ بِإِسْنَادِهِ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تَنَوَّقُوا فِي الْأَكْفَانِ فَإِنَّكُمْ تُبْعَثُونَ بِهَا</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وَجَدْتُ فِي تَارِيخِ نَيْسَابُورَ فِي تَرْجَمَةِ إِبْرَاهِيمَ بْنِ عَبْدِ الرَّحْمَنِ بْنِ سَهْلٍ بِإِسْنَادِهِ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ثِيَابِكُمُ الْبَيَاضُ فَلْيَلْبَسْهَا أَحْيَاؤُكُمْ وَ كَفِّنُوا فِيهَا مَوْتَاكُمْ فَإِنَّهَا مِنْ خَيْرِ ثِيَابِكُمْ‌</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كِتَابِ سِيَرِ الْأَئِمَّةِ بِإِسْنَادِهِ إِلَي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عليه السلام أَوْصَانِي عِنْدَ الْمَوْتِ فَقَالَ يَا جَعْفَرُ كَفِّنِّي فِي ثَوْبِ كَذَا وَ كَذَا وَ ثَوْبِ كَذَا وَ كَذَا فَإِنَّ الْمَوْتَي يَتَبَاهَوْنَ بِأَكْفَانِهِمْ الْخَبَرَ</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برادرانش کفن دیگری را به میّت بخشیدند و او دَینی بر گردن داشت، آیا می توان یکی از کفن ها را بر او پوشاند و دَین او را با هزینه کفن دیگر اداء 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میراثی نیست که او برجای گذاشته باشد بلکه چیزی است که بعد از وفات میّت در اختیار نزدیکانش قرار می گیرد، پس شایسته است که او را با کفنی که برادرانش به آنان بخشیده اند کفن کنند و با زکاتی که برای آنها تأمین شده است به اصلاح امورات زندگی خویش بپردازند</w:t>
      </w:r>
      <w:r>
        <w:rPr>
          <w:rFonts w:eastAsia="IRNazanin" w:cs="IRNazanin"/>
          <w:color w:val="111111"/>
          <w:sz w:val="28"/>
          <w:szCs w:val="28"/>
          <w:rtl w:val="true"/>
          <w:lang w:bidi="fa-IR"/>
        </w:rPr>
        <w:t>.</w:t>
      </w:r>
      <w:r>
        <w:rPr>
          <w:rStyle w:val="FootnoteAnchor"/>
          <w:rtl w:val="true"/>
        </w:rPr>
        <w:footnoteReference w:id="1631"/>
      </w:r>
    </w:p>
    <w:p>
      <w:pPr>
        <w:pStyle w:val="Heading5"/>
        <w:numPr>
          <w:ilvl w:val="4"/>
          <w:numId w:val="1"/>
        </w:numPr>
        <w:rPr/>
      </w:pPr>
      <w:bookmarkStart w:id="3245" w:name="__RefHeading___Toc607906_1934241801"/>
      <w:bookmarkStart w:id="3246" w:name="_Toc1497"/>
      <w:bookmarkEnd w:id="3245"/>
      <w:r>
        <w:rPr>
          <w:rtl w:val="true"/>
        </w:rPr>
        <w:t>توضیح</w:t>
      </w:r>
      <w:bookmarkEnd w:id="3246"/>
    </w:p>
    <w:p>
      <w:pPr>
        <w:pStyle w:val="BookText"/>
        <w:rPr/>
      </w:pPr>
      <w:r>
        <w:rPr>
          <w:rFonts w:ascii="IRNazanin" w:hAnsi="IRNazanin" w:eastAsia="IRNazanin"/>
          <w:color w:val="111111"/>
          <w:sz w:val="28"/>
          <w:sz w:val="28"/>
          <w:szCs w:val="28"/>
          <w:rtl w:val="true"/>
          <w:lang w:bidi="fa-IR"/>
        </w:rPr>
        <w:t>گروهی از فقها ذکر کرده اند که کفن کردن میّت با هزینه زکات در صورتی که محتاج آن باشد جایز است، بلکه برخی از آنان به وجوب این امر اشاره کرده اند، ولی بعضی متأخرین به دلیل ضعف سند حدیث در این امر توقف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جزری در تفسیر حدیث أضاحی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ادّخروا و اتجروا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خواهان اجر و پاداش هستید صدقه دهید؛ و جایز نیست که این فعل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مشدّد تلفظ کرد، چرا که همزه در تاء ادغام نمی شود و ریشه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در حالی است که هرویّ در کتاب خویش جایز دانسته که ریشه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حدیث دیگری را به عنوان شاهد بر کلام خود ذکر کرده است به این ترتیب که مردی وارد مسجد شد حال آنکه رسول خدا صلّی الله علیه و آله نمازش را به پایان رسانده بود،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یتّجر فیقوم فیصلّی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کسب منفعت کند پس برخیزد و با او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دیگر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باشد ریشه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گویا منظور چنین است که هر کسی با آن مرد نماز بگزارد تجارت کرده و برای خود کسب منفعت نموده است، امّا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زکات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أعطاها مؤتجراً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آن را ببخشد در حالی که به واسطه اش کسب اجر و مزد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w:t>
      </w:r>
      <w:r>
        <w:rPr>
          <w:rFonts w:eastAsia="IRNazanin" w:cs="IRNazanin"/>
          <w:color w:val="111111"/>
          <w:sz w:val="28"/>
          <w:szCs w:val="28"/>
          <w:rtl w:val="true"/>
          <w:lang w:bidi="fa-IR"/>
        </w:rPr>
        <w:t>.</w:t>
      </w:r>
    </w:p>
    <w:p>
      <w:pPr>
        <w:pStyle w:val="Heading5"/>
        <w:numPr>
          <w:ilvl w:val="4"/>
          <w:numId w:val="1"/>
        </w:numPr>
        <w:rPr/>
      </w:pPr>
      <w:bookmarkStart w:id="3247" w:name="__RefHeading___Toc607908_1934241801"/>
      <w:bookmarkStart w:id="3248" w:name="_Toc1498"/>
      <w:bookmarkEnd w:id="3247"/>
      <w:r>
        <w:rPr>
          <w:rtl w:val="true"/>
        </w:rPr>
        <w:t xml:space="preserve">روایت </w:t>
      </w:r>
      <w:r>
        <w:rPr/>
        <w:t>28</w:t>
      </w:r>
      <w:bookmarkEnd w:id="3248"/>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اسناد خویش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دوختن کفن ها سلیقه به خرج داده و آن ها را نیکو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 چرا که در آن ها مبعوث می شوید</w:t>
      </w:r>
      <w:r>
        <w:rPr>
          <w:rFonts w:eastAsia="IRNazanin" w:cs="IRNazanin"/>
          <w:color w:val="111111"/>
          <w:sz w:val="28"/>
          <w:szCs w:val="28"/>
          <w:rtl w:val="true"/>
          <w:lang w:bidi="fa-IR"/>
        </w:rPr>
        <w:t>.</w:t>
      </w:r>
      <w:r>
        <w:rPr>
          <w:rStyle w:val="FootnoteAnchor"/>
          <w:rtl w:val="true"/>
        </w:rPr>
        <w:footnoteReference w:id="1632"/>
      </w:r>
    </w:p>
    <w:p>
      <w:pPr>
        <w:pStyle w:val="BookText"/>
        <w:rPr/>
      </w:pPr>
      <w:r>
        <w:rPr>
          <w:rFonts w:ascii="IRNazanin" w:hAnsi="IRNazanin" w:eastAsia="IRNazanin"/>
          <w:color w:val="111111"/>
          <w:sz w:val="28"/>
          <w:sz w:val="28"/>
          <w:szCs w:val="28"/>
          <w:rtl w:val="true"/>
          <w:lang w:bidi="fa-IR"/>
        </w:rPr>
        <w:t>همچنین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نیشابور و در شرح حال ابراهیم بن عبدالرحمن بن سهل یافتم که با اسناد خویش از رسول خدا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لباس های شما لباس های سفید رنگ هستند، باشد که زندگان شما آن را بپوشند و با آن مردگان خویش را کفن کنید، به راستی که لباس های سفید رنگ از بهترین لباس های شما هستند</w:t>
      </w:r>
      <w:r>
        <w:rPr>
          <w:rFonts w:eastAsia="IRNazanin" w:cs="IRNazanin"/>
          <w:color w:val="111111"/>
          <w:sz w:val="28"/>
          <w:szCs w:val="28"/>
          <w:rtl w:val="true"/>
          <w:lang w:bidi="fa-IR"/>
        </w:rPr>
        <w:t>.</w:t>
      </w:r>
      <w:r>
        <w:rPr>
          <w:rStyle w:val="FootnoteAnchor"/>
          <w:rtl w:val="true"/>
        </w:rPr>
        <w:footnoteReference w:id="1633"/>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اسناد خویش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باقر علیه السلام نزد من وصیّت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مرا در فلان و فلان لباس کفن کن، به راستی که مردگان به کفن های خویش مباهات می ورزند، تا آخرحدیث</w:t>
      </w:r>
      <w:r>
        <w:rPr>
          <w:rFonts w:eastAsia="IRNazanin" w:cs="IRNazanin"/>
          <w:color w:val="111111"/>
          <w:sz w:val="28"/>
          <w:szCs w:val="28"/>
          <w:rtl w:val="true"/>
          <w:lang w:bidi="fa-IR"/>
        </w:rPr>
        <w:t>.</w:t>
      </w:r>
      <w:r>
        <w:rPr>
          <w:rStyle w:val="FootnoteAnchor"/>
          <w:rtl w:val="true"/>
        </w:rPr>
        <w:footnoteReference w:id="1634"/>
      </w:r>
      <w:bookmarkStart w:id="3249" w:name="pg13517_329361"/>
    </w:p>
    <w:p>
      <w:pPr>
        <w:pStyle w:val="BookText"/>
        <w:rPr/>
      </w:pPr>
      <w:bookmarkEnd w:id="3249"/>
      <w:r>
        <w:rPr>
          <w:rFonts w:ascii="Amiri" w:hAnsi="Amiri" w:eastAsia="Amiri" w:cs="Amiri"/>
          <w:color w:val="111111"/>
          <w:sz w:val="28"/>
          <w:sz w:val="28"/>
          <w:szCs w:val="28"/>
          <w:rtl w:val="true"/>
          <w:lang w:bidi="ar-SA"/>
        </w:rPr>
        <w:t>وَ مِنْ كِتَابِ مَدِينَةِ الْعِلْمِ بِإِسْنَادِهِ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كَفَنُهُ فِي بَيْتِهِ لَمْ يُكْتَبْ مِنَ الْغَافِلِينَ وَ كَانَ مَأْجُوراً كُلَّمَا نَظَرَ إِلَيْهِ‌</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المعجم الكبير للطبراني في مسند حذيفة بن اليمان قال بعث حذيفة من يبتاع له كفنا فابتاعوا له كفنا بثلاثمائة درهم فقال حذيفة ليس أريد هذا و لكن ابتاعوا ريطتين بيضاوين خشنتين‌</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فِي كِتَابِ دَلَائِلِ الْأَئِمَّةِ عليهم السلام أَخْبَارٌ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هَيَّئُوا أَكْفَانَ جَمَاعَةٍ مِنْ شِيعَتِهِمْ قَبْلَ وَفَاتِهِمْ وَ نَفَّذُوا الْأَكْفَانَ إِلَيْهِمْ‌</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50" w:name="__RefHeading___Toc607910_1934241801"/>
      <w:bookmarkStart w:id="3251" w:name="_Toc1499"/>
      <w:bookmarkEnd w:id="3250"/>
      <w:r>
        <w:rPr>
          <w:rtl w:val="true"/>
        </w:rPr>
        <w:t>بيان</w:t>
      </w:r>
      <w:bookmarkEnd w:id="3251"/>
    </w:p>
    <w:p>
      <w:pPr>
        <w:pStyle w:val="BookText"/>
        <w:rPr/>
      </w:pPr>
      <w:r>
        <w:rPr>
          <w:rFonts w:ascii="Amiri" w:hAnsi="Amiri" w:eastAsia="Amiri" w:cs="Amiri"/>
          <w:color w:val="111111"/>
          <w:sz w:val="28"/>
          <w:sz w:val="28"/>
          <w:szCs w:val="28"/>
          <w:rtl w:val="true"/>
          <w:lang w:bidi="ar-SA"/>
        </w:rPr>
        <w:t>قال الفيروزآبادي النواق رائض الأمور و مصلحها و تنيق في مطعمه و ملبسه تجود و بالغ كتنوق</w:t>
      </w:r>
      <w:r>
        <w:rPr>
          <w:rFonts w:eastAsia="Amiri" w:cs="Amiri" w:ascii="Amiri" w:hAnsi="Amiri"/>
          <w:color w:val="111111"/>
          <w:sz w:val="28"/>
          <w:szCs w:val="28"/>
          <w:rtl w:val="true"/>
          <w:lang w:bidi="ar-SA"/>
        </w:rPr>
        <w:t>.</w:t>
      </w:r>
    </w:p>
    <w:p>
      <w:pPr>
        <w:pStyle w:val="Heading5"/>
        <w:numPr>
          <w:ilvl w:val="4"/>
          <w:numId w:val="1"/>
        </w:numPr>
        <w:rPr/>
      </w:pPr>
      <w:bookmarkStart w:id="3252" w:name="__RefHeading___Toc607912_1934241801"/>
      <w:bookmarkStart w:id="3253" w:name="_Toc1500"/>
      <w:bookmarkEnd w:id="3252"/>
      <w:r>
        <w:rPr>
          <w:rtl w:val="true"/>
        </w:rPr>
        <w:t>أقول</w:t>
      </w:r>
      <w:bookmarkEnd w:id="3253"/>
    </w:p>
    <w:p>
      <w:pPr>
        <w:pStyle w:val="BookText"/>
        <w:rPr/>
      </w:pPr>
      <w:r>
        <w:rPr>
          <w:rFonts w:ascii="Amiri" w:hAnsi="Amiri" w:eastAsia="Amiri" w:cs="Amiri"/>
          <w:color w:val="111111"/>
          <w:sz w:val="28"/>
          <w:sz w:val="28"/>
          <w:szCs w:val="28"/>
          <w:rtl w:val="true"/>
          <w:lang w:bidi="ar-SA"/>
        </w:rPr>
        <w:t>عمل حذيفة لا حجة فيه لا سيما مع معارضة الأخبار المعتبرة</w:t>
      </w:r>
      <w:r>
        <w:rPr>
          <w:rFonts w:eastAsia="Amiri" w:cs="Amiri" w:ascii="Amiri" w:hAnsi="Amiri"/>
          <w:color w:val="111111"/>
          <w:sz w:val="28"/>
          <w:szCs w:val="28"/>
          <w:rtl w:val="true"/>
          <w:lang w:bidi="ar-SA"/>
        </w:rPr>
        <w:t>.</w:t>
      </w:r>
    </w:p>
    <w:p>
      <w:pPr>
        <w:pStyle w:val="Heading5"/>
        <w:numPr>
          <w:ilvl w:val="4"/>
          <w:numId w:val="1"/>
        </w:numPr>
        <w:rPr/>
      </w:pPr>
      <w:bookmarkStart w:id="3254" w:name="__RefHeading___Toc607914_1934241801"/>
      <w:bookmarkStart w:id="3255" w:name="_Toc1501"/>
      <w:bookmarkEnd w:id="3254"/>
      <w:r>
        <w:rPr>
          <w:rtl w:val="true"/>
        </w:rPr>
        <w:t>«</w:t>
      </w:r>
      <w:r>
        <w:rPr/>
        <w:t>29</w:t>
      </w:r>
      <w:r>
        <w:rPr>
          <w:rtl w:val="true"/>
        </w:rPr>
        <w:t>»</w:t>
      </w:r>
      <w:bookmarkEnd w:id="3255"/>
    </w:p>
    <w:p>
      <w:pPr>
        <w:pStyle w:val="BookText"/>
        <w:rPr/>
      </w:pPr>
      <w:r>
        <w:rPr>
          <w:rFonts w:ascii="Amiri" w:hAnsi="Amiri" w:eastAsia="Amiri" w:cs="Amiri"/>
          <w:color w:val="111111"/>
          <w:sz w:val="28"/>
          <w:sz w:val="28"/>
          <w:szCs w:val="28"/>
          <w:rtl w:val="true"/>
          <w:lang w:bidi="ar-SA"/>
        </w:rPr>
        <w:t>إِرْشَادُ الْقُلُوبِ، قَالَ سِنْدِيُّ بْنُ شَاهَكَ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سَأَلْتُ مُوسَي بْنَ جَعْفَرٍ عليه السلام أَنْ يَأْذَنَ لِي فِي أَنْ أُكَفِّنَهُ فَأَبَي وَ قَالَ إِنَّا أَهْلُ بَيْتٍ مُهُورُ نِسَائِنَا وَ حَجُّ صَرُورَتِنَا وَ أَكْفَانُ مَوْتَانَا مِنْ طَاهِرِ أَمْوَالِنَا وَ عِنْدِي كَفَنِي‌</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56" w:name="__RefHeading___Toc607916_1934241801"/>
      <w:bookmarkStart w:id="3257" w:name="_Toc1502"/>
      <w:bookmarkEnd w:id="3256"/>
      <w:r>
        <w:rPr>
          <w:rtl w:val="true"/>
        </w:rPr>
        <w:t>«</w:t>
      </w:r>
      <w:r>
        <w:rPr/>
        <w:t>30</w:t>
      </w:r>
      <w:r>
        <w:rPr>
          <w:rtl w:val="true"/>
        </w:rPr>
        <w:t>»</w:t>
      </w:r>
      <w:bookmarkEnd w:id="3257"/>
    </w:p>
    <w:p>
      <w:pPr>
        <w:pStyle w:val="BookText"/>
        <w:rPr/>
      </w:pPr>
      <w:r>
        <w:rPr>
          <w:rFonts w:ascii="Amiri" w:hAnsi="Amiri" w:eastAsia="Amiri" w:cs="Amiri"/>
          <w:color w:val="111111"/>
          <w:sz w:val="28"/>
          <w:sz w:val="28"/>
          <w:szCs w:val="28"/>
          <w:rtl w:val="true"/>
          <w:lang w:bidi="ar-SA"/>
        </w:rPr>
        <w:t>دَعَوَاتُ الرَّاوَنْدِيِّ،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أَجِيدُوا أَكْفَانَ مَوْتَاكُمْ فَإِنَّهَا زِينَتُهُمْ‌</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58" w:name="__RefHeading___Toc607918_1934241801"/>
      <w:bookmarkStart w:id="3259" w:name="_Toc1503"/>
      <w:bookmarkEnd w:id="3258"/>
      <w:r>
        <w:rPr>
          <w:rtl w:val="true"/>
        </w:rPr>
        <w:t>«</w:t>
      </w:r>
      <w:r>
        <w:rPr/>
        <w:t>31</w:t>
      </w:r>
      <w:r>
        <w:rPr>
          <w:rtl w:val="true"/>
        </w:rPr>
        <w:t>»</w:t>
      </w:r>
      <w:bookmarkEnd w:id="3259"/>
    </w:p>
    <w:p>
      <w:pPr>
        <w:pStyle w:val="BookText"/>
        <w:rPr/>
      </w:pPr>
      <w:r>
        <w:rPr>
          <w:rFonts w:ascii="Amiri" w:hAnsi="Amiri" w:eastAsia="Amiri" w:cs="Amiri"/>
          <w:color w:val="111111"/>
          <w:sz w:val="28"/>
          <w:sz w:val="28"/>
          <w:szCs w:val="28"/>
          <w:rtl w:val="true"/>
          <w:lang w:bidi="ar-SA"/>
        </w:rPr>
        <w:t>الْمَكَارِمُ، عَنْ جَابِرٍ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لِبَاسِكُمْ شَيْ‌ءٌ أَحْسَنُ مِنَ الْبَيَاضِ فَالْبَسُوهُ وَ كَفِّنُوا فِيهِ مَوْتَاكُمْ‌</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الْحُسَيْنِ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يُحْرِمُ الرَّجُلُ فِي الثَّوْبِ</w:t>
      </w:r>
    </w:p>
    <w:p>
      <w:pPr>
        <w:pStyle w:val="BookText"/>
        <w:rPr/>
      </w:pPr>
      <w:r>
        <w:rPr>
          <w:rFonts w:ascii="IRNazanin" w:hAnsi="IRNazanin" w:eastAsia="IRNazanin"/>
          <w:color w:val="111111"/>
          <w:sz w:val="28"/>
          <w:sz w:val="28"/>
          <w:szCs w:val="28"/>
          <w:rtl w:val="true"/>
          <w:lang w:bidi="fa-IR"/>
        </w:rPr>
        <w:t>از کتاب مدینة العلم و با اسناد خویش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کفنش در خانه اش آماده باشد، در جمله غافلان نوشته نخواهد شد و هرگاه به آن نگاه اندازد مأجور خواهد بود</w:t>
      </w:r>
      <w:r>
        <w:rPr>
          <w:rFonts w:eastAsia="IRNazanin" w:cs="IRNazanin"/>
          <w:color w:val="111111"/>
          <w:sz w:val="28"/>
          <w:szCs w:val="28"/>
          <w:rtl w:val="true"/>
          <w:lang w:bidi="fa-IR"/>
        </w:rPr>
        <w:t>.</w:t>
      </w:r>
      <w:r>
        <w:rPr>
          <w:rStyle w:val="FootnoteAnchor"/>
          <w:rtl w:val="true"/>
        </w:rPr>
        <w:footnoteReference w:id="1641"/>
      </w:r>
    </w:p>
    <w:p>
      <w:pPr>
        <w:pStyle w:val="BookText"/>
        <w:rPr/>
      </w:pPr>
      <w:r>
        <w:rPr>
          <w:rFonts w:ascii="IRNazanin" w:hAnsi="IRNazanin" w:eastAsia="IRNazanin"/>
          <w:color w:val="111111"/>
          <w:sz w:val="28"/>
          <w:sz w:val="28"/>
          <w:szCs w:val="28"/>
          <w:rtl w:val="true"/>
          <w:lang w:bidi="fa-IR"/>
        </w:rPr>
        <w:t xml:space="preserve">و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در مسند حذیفه بن الیمان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شخصی را فرستاد تا برای او کفنی را خریداری کند، پس آن شخص کفنی به مبلغ سیصد درهم را برای او خریداری کرد، 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کفن را نمی خواهم بلکه برای من دو تکّه پارچه سفید زِبر حاضر گردانید</w:t>
      </w:r>
      <w:r>
        <w:rPr>
          <w:rFonts w:eastAsia="IRNazanin" w:cs="IRNazanin"/>
          <w:color w:val="111111"/>
          <w:sz w:val="28"/>
          <w:szCs w:val="28"/>
          <w:rtl w:val="true"/>
          <w:lang w:bidi="fa-IR"/>
        </w:rPr>
        <w:t>.</w:t>
      </w:r>
      <w:r>
        <w:rPr>
          <w:rStyle w:val="FootnoteAnchor"/>
          <w:rtl w:val="true"/>
        </w:rPr>
        <w:footnoteReference w:id="1642"/>
      </w:r>
    </w:p>
    <w:p>
      <w:pPr>
        <w:pStyle w:val="BookText"/>
        <w:rPr/>
      </w:pPr>
      <w:r>
        <w:rPr>
          <w:rFonts w:ascii="IRNazanin" w:hAnsi="IRNazanin" w:eastAsia="IRNazanin"/>
          <w:color w:val="111111"/>
          <w:sz w:val="28"/>
          <w:sz w:val="28"/>
          <w:szCs w:val="28"/>
          <w:rtl w:val="true"/>
          <w:lang w:bidi="fa-IR"/>
        </w:rPr>
        <w:t>در کتاب دلائل الائمه نیز احادیث بسیاری روایت شده که امامان علیهم السلام کفن های گروهی از شیعیان خود قبل از اینکه وفات نمایند را برای آن ها آماده ساخته و برایشان می فرستادند</w:t>
      </w:r>
      <w:r>
        <w:rPr>
          <w:rFonts w:eastAsia="IRNazanin" w:cs="IRNazanin"/>
          <w:color w:val="111111"/>
          <w:sz w:val="28"/>
          <w:szCs w:val="28"/>
          <w:rtl w:val="true"/>
          <w:lang w:bidi="fa-IR"/>
        </w:rPr>
        <w:t>.</w:t>
      </w:r>
      <w:r>
        <w:rPr>
          <w:rStyle w:val="FootnoteAnchor"/>
          <w:rtl w:val="true"/>
        </w:rPr>
        <w:footnoteReference w:id="1643"/>
      </w:r>
    </w:p>
    <w:p>
      <w:pPr>
        <w:pStyle w:val="Heading5"/>
        <w:numPr>
          <w:ilvl w:val="4"/>
          <w:numId w:val="1"/>
        </w:numPr>
        <w:rPr/>
      </w:pPr>
      <w:bookmarkStart w:id="3260" w:name="__RefHeading___Toc607920_1934241801"/>
      <w:bookmarkStart w:id="3261" w:name="_Toc1504"/>
      <w:bookmarkEnd w:id="3260"/>
      <w:r>
        <w:rPr>
          <w:rtl w:val="true"/>
        </w:rPr>
        <w:t>توضیح</w:t>
      </w:r>
      <w:bookmarkEnd w:id="3261"/>
    </w:p>
    <w:p>
      <w:pPr>
        <w:pStyle w:val="BookText"/>
        <w:rPr/>
      </w:pPr>
      <w:r>
        <w:rPr>
          <w:rFonts w:ascii="IRNazanin" w:hAnsi="IRNazanin" w:eastAsia="IRNazanin"/>
          <w:color w:val="111111"/>
          <w:sz w:val="28"/>
          <w:sz w:val="28"/>
          <w:szCs w:val="28"/>
          <w:rtl w:val="true"/>
          <w:lang w:bidi="fa-IR"/>
        </w:rPr>
        <w:t>فیروز آبادی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کارها را سر و سامان می دهد و درست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تنیّق فی مطعمه و ملبسه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غذا خوردن یا لباس پوشیدن خود با سلیقه و نیکو و مشکل پسند شد،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معنی هستند</w:t>
      </w:r>
      <w:r>
        <w:rPr>
          <w:rFonts w:eastAsia="IRNazanin" w:cs="IRNazanin"/>
          <w:color w:val="111111"/>
          <w:sz w:val="28"/>
          <w:szCs w:val="28"/>
          <w:rtl w:val="true"/>
          <w:lang w:bidi="fa-IR"/>
        </w:rPr>
        <w:t>.</w:t>
      </w:r>
    </w:p>
    <w:p>
      <w:pPr>
        <w:pStyle w:val="Heading5"/>
        <w:numPr>
          <w:ilvl w:val="4"/>
          <w:numId w:val="1"/>
        </w:numPr>
        <w:rPr/>
      </w:pPr>
      <w:bookmarkStart w:id="3262" w:name="__RefHeading___Toc607922_1934241801"/>
      <w:bookmarkStart w:id="3263" w:name="_Toc1505"/>
      <w:bookmarkEnd w:id="3262"/>
      <w:r>
        <w:rPr>
          <w:rtl w:val="true"/>
        </w:rPr>
        <w:t>می گویم</w:t>
      </w:r>
      <w:bookmarkEnd w:id="3263"/>
    </w:p>
    <w:p>
      <w:pPr>
        <w:pStyle w:val="BookText"/>
        <w:rPr/>
      </w:pPr>
      <w:r>
        <w:rPr>
          <w:rFonts w:ascii="IRNazanin" w:hAnsi="IRNazanin" w:eastAsia="IRNazanin"/>
          <w:color w:val="111111"/>
          <w:sz w:val="28"/>
          <w:sz w:val="28"/>
          <w:szCs w:val="28"/>
          <w:rtl w:val="true"/>
          <w:lang w:bidi="fa-IR"/>
        </w:rPr>
        <w:t>عمل حذیفه به عنوان حجّت و دلیل پذیرفته نیست، مخصوصاً با توجه به معارضه با احادیث معتبر</w:t>
      </w:r>
      <w:r>
        <w:rPr>
          <w:rFonts w:eastAsia="IRNazanin" w:cs="IRNazanin"/>
          <w:color w:val="111111"/>
          <w:sz w:val="28"/>
          <w:szCs w:val="28"/>
          <w:rtl w:val="true"/>
          <w:lang w:bidi="fa-IR"/>
        </w:rPr>
        <w:t>.</w:t>
      </w:r>
    </w:p>
    <w:p>
      <w:pPr>
        <w:pStyle w:val="Heading5"/>
        <w:numPr>
          <w:ilvl w:val="4"/>
          <w:numId w:val="1"/>
        </w:numPr>
        <w:rPr/>
      </w:pPr>
      <w:bookmarkStart w:id="3264" w:name="__RefHeading___Toc607924_1934241801"/>
      <w:bookmarkStart w:id="3265" w:name="_Toc1506"/>
      <w:bookmarkEnd w:id="3264"/>
      <w:r>
        <w:rPr>
          <w:rtl w:val="true"/>
        </w:rPr>
        <w:t xml:space="preserve">روایت </w:t>
      </w:r>
      <w:r>
        <w:rPr/>
        <w:t>29</w:t>
      </w:r>
      <w:bookmarkEnd w:id="3265"/>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بن شاهک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در خواست نمودم که به من اجازه دهد هنگام وفات او را کفن کنم ، پس امام امتناع ورزید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خاندانی هستیم که مَهر زنان ما و حج اول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حجة الاسلام است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کفن مردگان ما از پاکیزه ترین اموال خودمان تهیّه می شود و کفن من نیز نزد خودم می باشد</w:t>
      </w:r>
      <w:r>
        <w:rPr>
          <w:rFonts w:eastAsia="IRNazanin" w:cs="IRNazanin"/>
          <w:color w:val="111111"/>
          <w:sz w:val="28"/>
          <w:szCs w:val="28"/>
          <w:rtl w:val="true"/>
          <w:lang w:bidi="fa-IR"/>
        </w:rPr>
        <w:t>.</w:t>
      </w:r>
      <w:r>
        <w:rPr>
          <w:rStyle w:val="FootnoteAnchor"/>
          <w:rtl w:val="true"/>
        </w:rPr>
        <w:footnoteReference w:id="1644"/>
      </w:r>
    </w:p>
    <w:p>
      <w:pPr>
        <w:pStyle w:val="Heading5"/>
        <w:numPr>
          <w:ilvl w:val="4"/>
          <w:numId w:val="1"/>
        </w:numPr>
        <w:rPr/>
      </w:pPr>
      <w:bookmarkStart w:id="3266" w:name="__RefHeading___Toc607926_1934241801"/>
      <w:bookmarkStart w:id="3267" w:name="_Toc1507"/>
      <w:bookmarkEnd w:id="3266"/>
      <w:r>
        <w:rPr>
          <w:rtl w:val="true"/>
        </w:rPr>
        <w:t xml:space="preserve">روایت </w:t>
      </w:r>
      <w:r>
        <w:rPr/>
        <w:t>30</w:t>
      </w:r>
      <w:bookmarkEnd w:id="3267"/>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مردگان خویش را نیکو گردانید، چرا که زینت آنان محسوب می شود</w:t>
      </w:r>
      <w:r>
        <w:rPr>
          <w:rFonts w:eastAsia="IRNazanin" w:cs="IRNazanin"/>
          <w:color w:val="111111"/>
          <w:sz w:val="28"/>
          <w:szCs w:val="28"/>
          <w:rtl w:val="true"/>
          <w:lang w:bidi="fa-IR"/>
        </w:rPr>
        <w:t>.</w:t>
      </w:r>
      <w:r>
        <w:rPr>
          <w:rStyle w:val="FootnoteAnchor"/>
          <w:rtl w:val="true"/>
        </w:rPr>
        <w:footnoteReference w:id="1645"/>
      </w:r>
    </w:p>
    <w:p>
      <w:pPr>
        <w:pStyle w:val="Heading5"/>
        <w:numPr>
          <w:ilvl w:val="4"/>
          <w:numId w:val="1"/>
        </w:numPr>
        <w:rPr/>
      </w:pPr>
      <w:bookmarkStart w:id="3268" w:name="__RefHeading___Toc607928_1934241801"/>
      <w:bookmarkStart w:id="3269" w:name="_Toc1508"/>
      <w:bookmarkEnd w:id="3268"/>
      <w:r>
        <w:rPr>
          <w:rtl w:val="true"/>
        </w:rPr>
        <w:t xml:space="preserve">روایت </w:t>
      </w:r>
      <w:r>
        <w:rPr/>
        <w:t>31</w:t>
      </w:r>
      <w:bookmarkEnd w:id="3269"/>
    </w:p>
    <w:p>
      <w:pPr>
        <w:pStyle w:val="BookText"/>
        <w:rPr/>
      </w:pP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لباس های شما لباسی بهتر از لباس های سفید رنگ وجود ندارد، پس لباس سفید بپوشید و مردگان خویش را با آن کفن کنید</w:t>
      </w:r>
      <w:r>
        <w:rPr>
          <w:rFonts w:eastAsia="IRNazanin" w:cs="IRNazanin"/>
          <w:color w:val="111111"/>
          <w:sz w:val="28"/>
          <w:szCs w:val="28"/>
          <w:rtl w:val="true"/>
          <w:lang w:bidi="fa-IR"/>
        </w:rPr>
        <w:t>.</w:t>
      </w:r>
      <w:r>
        <w:rPr>
          <w:rStyle w:val="FootnoteAnchor"/>
          <w:rtl w:val="true"/>
        </w:rPr>
        <w:footnoteReference w:id="1646"/>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حسین بن مختار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که شخص در </w:t>
      </w:r>
      <w:bookmarkStart w:id="3270" w:name="pg13517_329362"/>
    </w:p>
    <w:p>
      <w:pPr>
        <w:pStyle w:val="BookText"/>
        <w:rPr/>
      </w:pPr>
      <w:bookmarkEnd w:id="3270"/>
      <w:r>
        <w:rPr>
          <w:rFonts w:ascii="Amiri" w:hAnsi="Amiri" w:eastAsia="Amiri" w:cs="Amiri"/>
          <w:color w:val="111111"/>
          <w:sz w:val="28"/>
          <w:sz w:val="28"/>
          <w:szCs w:val="28"/>
          <w:rtl w:val="true"/>
          <w:lang w:bidi="ar-SA"/>
        </w:rPr>
        <w:t>الْأَسْوَدِ فَقَالَ لَا يَجُوزُ فِي الثَّوْبِ الْأَسْوَدِ وَ لَا يُكَفَّنُ بِهِ الْمَيِّتُ‌</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71" w:name="__RefHeading___Toc607930_1934241801"/>
      <w:bookmarkStart w:id="3272" w:name="_Toc1509"/>
      <w:bookmarkEnd w:id="3271"/>
      <w:r>
        <w:rPr>
          <w:rtl w:val="true"/>
        </w:rPr>
        <w:t>«</w:t>
      </w:r>
      <w:r>
        <w:rPr/>
        <w:t>32</w:t>
      </w:r>
      <w:r>
        <w:rPr>
          <w:rtl w:val="true"/>
        </w:rPr>
        <w:t>»</w:t>
      </w:r>
      <w:bookmarkEnd w:id="3272"/>
    </w:p>
    <w:p>
      <w:pPr>
        <w:pStyle w:val="BookText"/>
        <w:rPr/>
      </w:pPr>
      <w:r>
        <w:rPr>
          <w:rFonts w:ascii="Amiri" w:hAnsi="Amiri" w:eastAsia="Amiri" w:cs="Amiri"/>
          <w:color w:val="111111"/>
          <w:sz w:val="28"/>
          <w:sz w:val="28"/>
          <w:szCs w:val="28"/>
          <w:rtl w:val="true"/>
          <w:lang w:bidi="ar-SA"/>
        </w:rPr>
        <w:t>جُنَّةُ الْأَمَانِ، لِلْكَفْعَمِيِّ عَنِ السَّجَّادِ زَيْنِ الْعَابِدِينَ عَنْ أَبِيهِ عَنْ جَدِّهِ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عَلَي النَّبِيِّ صلي الله عليه و آله فِي بَعْضِ غَزَوَاتِهِ وَ عَلَيْهِ جَوْشَنٌ ثَقِيلٌ آلَمَهُ ثِقْلُهُ فَقَالَ يَا مُحَمَّدُ رَبُّكَ يُقْرِئُكَ السَّلَامَ وَ يَقُولُ لَكَ اخْلَعْ هَذَا الْجَوْشَنَ وَ اقْرَأْ هَذَا الدُّعَاءَ فَهُوَ أَمَانٌ لَكَ وَ لِأُمَّتِكَ وَ سَاقَ الْحَدِيثَ إِلَي أَنْ قَالَ وَ مَنْ كَتَبَهُ عَلَي كَفَنِهِ اسْتَحْيَا اللَّهُ أَنْ يُعَذِّبَهُ بِالنَّارِ وَ سَاقَ الْحَدِيثَ إِلَي أَنْ قَالَ قَالَ الْحُسَيْنُ عليه السلام أَوْصَانِي أَبِي عليه السلام بِحِفْظِ هَذَا الدُّعَاءِ وَ تَعْظِيمِهِ وَ أَنْ أَكْتُبَهُ عَلَي كَفَنِهِ وَ أَنْ أُعَلِّمَهُ أَهْلِي وَ أَحُثَّهُمْ عَلَيْهِ ثُمَّ ذَكَرَ الْجَوْشَنَ الْكَبِيرَ كَمَا سَيَأْتِي فِي كِتَابِ الدُّعَاءِ</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73" w:name="__RefHeading___Toc607932_1934241801"/>
      <w:bookmarkStart w:id="3274" w:name="_Toc1510"/>
      <w:bookmarkEnd w:id="3273"/>
      <w:r>
        <w:rPr>
          <w:rtl w:val="true"/>
        </w:rPr>
        <w:t>أَقُولُ</w:t>
      </w:r>
      <w:bookmarkEnd w:id="3274"/>
    </w:p>
    <w:p>
      <w:pPr>
        <w:pStyle w:val="BookText"/>
        <w:rPr/>
      </w:pPr>
      <w:r>
        <w:rPr>
          <w:rFonts w:ascii="Amiri" w:hAnsi="Amiri" w:eastAsia="Amiri" w:cs="Amiri"/>
          <w:color w:val="111111"/>
          <w:sz w:val="28"/>
          <w:sz w:val="28"/>
          <w:szCs w:val="28"/>
          <w:rtl w:val="true"/>
          <w:lang w:bidi="ar-SA"/>
        </w:rPr>
        <w:t>رَوَاهُ فِي الْبَلَدِ الْأَمِينِ‌</w:t>
      </w:r>
      <w:r>
        <w:rPr>
          <w:rStyle w:val="FootnoteAnchor"/>
          <w:rtl w:val="true"/>
        </w:rPr>
        <w:footnoteReference w:id="1649"/>
      </w:r>
      <w:r>
        <w:rPr>
          <w:rFonts w:ascii="Amiri" w:hAnsi="Amiri" w:eastAsia="Amiri" w:cs="Amiri"/>
          <w:color w:val="111111"/>
          <w:sz w:val="28"/>
          <w:sz w:val="28"/>
          <w:szCs w:val="28"/>
          <w:rtl w:val="true"/>
          <w:lang w:bidi="ar-SA"/>
        </w:rPr>
        <w:t>أَيْضاً بِهَذَا السَّنَدِ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كَتَبَ فِي جَامٍ بِكَافُورٍ أَوْ مِسْكٍ ثُمَّ غَسَلَهُ وَ رَشَّهُ عَلَي كَفَنِ مَيِّتٍ أَنْزَلَ اللَّهُ تَعَالَي فِي قَبْرِهِ أَلْفَ نُورٍ وَ آمَنَهُ مِنْ هَوْلِ مُنْكَرٍ وَ نَكِيرٍ وَ رَفَعَ عَنْهُ عَذَابَ الْقَبْرِ وَ يَدْخُلُ كُلَّ يَوْمٍ سَبْعُونَ أَلْفَ مَلَكٍ إِلَي قَبْرِهِ يُبَشِّرُونَهُ بِالْجَنَّةِ وَ يُوَسِّعُ عَلَيْهِ قَبْرَهُ مَدَّ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الغرائب أن السيد بن طاوس قدس الله روحه بعد ما أورد الجوشن الصغير المفتتح بقوله إلهي كم من عدو انتضي علي سيف عداوته فِي كِتَابِ مُهَجِ الدَّعَوَاتِ‌</w:t>
      </w:r>
      <w:r>
        <w:rPr>
          <w:rStyle w:val="FootnoteAnchor"/>
          <w:rtl w:val="true"/>
        </w:rPr>
        <w:footnoteReference w:id="1650"/>
      </w:r>
      <w:r>
        <w:rPr>
          <w:rFonts w:ascii="Amiri" w:hAnsi="Amiri" w:eastAsia="Amiri" w:cs="Amiri"/>
          <w:color w:val="111111"/>
          <w:sz w:val="28"/>
          <w:sz w:val="28"/>
          <w:szCs w:val="28"/>
          <w:rtl w:val="true"/>
          <w:lang w:bidi="ar-SA"/>
        </w:rPr>
        <w:t>، قَالَ خَبَرُ دُعَاءِ الْجَوْشَنِ وَ فَضْلُهُ وَ مَا لِقَارِئِهِ وَ حَامِلِهِ مِنَ الثَّوَابِ بِحَذْفِ الْإِسْنَادِ عَنْ مَوْلَانَا وَ سَيِّدِنَا مُوسَي بْنِ جَعْفَرٍ عليهما السلام عَنْ أَبِيهِ عَنْ جَدِّهِ عَنْ أَبِيهِ الْحُسَيْنِ بْنِ عَلِيٍّ أَمِيرِ الْمُؤْمِنِينَ 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نَحْواً مِمَّا رَوَاهُ الْكَفْعَمِيُّ فِي فَضْلِ</w:t>
      </w:r>
    </w:p>
    <w:p>
      <w:pPr>
        <w:pStyle w:val="BookText"/>
        <w:rPr/>
      </w:pPr>
      <w:r>
        <w:rPr>
          <w:rFonts w:ascii="IRNazanin" w:hAnsi="IRNazanin" w:eastAsia="IRNazanin"/>
          <w:color w:val="111111"/>
          <w:sz w:val="28"/>
          <w:sz w:val="28"/>
          <w:szCs w:val="28"/>
          <w:rtl w:val="true"/>
          <w:lang w:bidi="fa-IR"/>
        </w:rPr>
        <w:t>لباس سیاه مُحرِم 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شدن در لباس سیاه جایز نیست و میّت نیز با آن کفن نمی شود</w:t>
      </w:r>
      <w:r>
        <w:rPr>
          <w:rFonts w:eastAsia="IRNazanin" w:cs="IRNazanin"/>
          <w:color w:val="111111"/>
          <w:sz w:val="28"/>
          <w:szCs w:val="28"/>
          <w:rtl w:val="true"/>
          <w:lang w:bidi="fa-IR"/>
        </w:rPr>
        <w:t>.</w:t>
      </w:r>
      <w:r>
        <w:rPr>
          <w:rStyle w:val="FootnoteAnchor"/>
          <w:rtl w:val="true"/>
        </w:rPr>
        <w:footnoteReference w:id="1651"/>
      </w:r>
    </w:p>
    <w:p>
      <w:pPr>
        <w:pStyle w:val="Heading5"/>
        <w:numPr>
          <w:ilvl w:val="4"/>
          <w:numId w:val="1"/>
        </w:numPr>
        <w:rPr/>
      </w:pPr>
      <w:bookmarkStart w:id="3275" w:name="__RefHeading___Toc607934_1934241801"/>
      <w:bookmarkStart w:id="3276" w:name="_Toc1511"/>
      <w:bookmarkEnd w:id="3275"/>
      <w:r>
        <w:rPr>
          <w:rtl w:val="true"/>
        </w:rPr>
        <w:t xml:space="preserve">روایت </w:t>
      </w:r>
      <w:r>
        <w:rPr/>
        <w:t>32</w:t>
      </w:r>
      <w:bookmarkEnd w:id="3276"/>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جنّة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از امام سجّاد از پدرش از جدّش از پیامبر صلّی الله علیه و آله روایت کرده که جبرئیل در یکی از غزوه ها بر پیامبر که زره سنگینی به تن داشت و سنگینی آن آزارش می داد فرو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پروردگارت به تو سلام رسانده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زره را از تن در آور و این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جوشن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که امنیّت تو و امتت با خواندن آن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حدیث را پی گرفته تا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دعا را بر کفن خویش بنویسد، خداوند از عذاب دادن او با آتش جهنم امتناع می ورزد، همچنین در ادامه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به حفظ و بزرگداشت این دعا سفارش کرده و وصیّت فرمود که آن را بر روی کفنش نوشته و به خاندانم آموزش دهم و آنان را به حفظ کردنش ترغیب و تشویق نمایم، سپس دعای جوشن کبیر را به ترتیبی که در کتاب دعا ذکر خواهد شد، ذکر کرد</w:t>
      </w:r>
      <w:r>
        <w:rPr>
          <w:rFonts w:eastAsia="IRNazanin" w:cs="IRNazanin"/>
          <w:color w:val="111111"/>
          <w:sz w:val="28"/>
          <w:szCs w:val="28"/>
          <w:rtl w:val="true"/>
          <w:lang w:bidi="fa-IR"/>
        </w:rPr>
        <w:t>.</w:t>
      </w:r>
      <w:r>
        <w:rPr>
          <w:rStyle w:val="FootnoteAnchor"/>
          <w:rtl w:val="true"/>
        </w:rPr>
        <w:footnoteReference w:id="1652"/>
      </w:r>
      <w:bookmarkStart w:id="3277" w:name="pg13517_329363"/>
    </w:p>
    <w:p>
      <w:pPr>
        <w:pStyle w:val="BookText"/>
        <w:rPr/>
      </w:pPr>
      <w:bookmarkEnd w:id="3277"/>
      <w:r>
        <w:rPr>
          <w:rFonts w:ascii="Amiri" w:hAnsi="Amiri" w:eastAsia="Amiri" w:cs="Amiri"/>
          <w:color w:val="111111"/>
          <w:sz w:val="28"/>
          <w:sz w:val="28"/>
          <w:szCs w:val="28"/>
          <w:rtl w:val="true"/>
          <w:lang w:bidi="ar-SA"/>
        </w:rPr>
        <w:t>الْجَوْشَنِ الْكَبِيرِ وَ سَاقَ الْحَدِيثَ إِلَي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جَبْرَئِيلُ عليه السلام يَا نَبِيَّ اللَّهِ لَوْ كَتَبَ إِنْسَانٌ هَذَا الدُّعَاءَ فِي جَامٍ بِكَافُورٍ وَ مِسْكٍ وَ غَسَلَهُ وَ رَشَّ ذَلِكَ عَلَي كَفَنِ مَيِّتٍ أَنْزَلَ اللَّهُ عَلَيْهِ فِي قَبْرِهِ مِائَةَ أَلْفِ نُورٍ وَ يَدْفَعُ اللَّهُ عَنْهُ هَوْلَ مُنْكَرٍ وَ نَكِيرٍ وَ يَأْمَنُ مِنْ عَذَابِ الْقَبْرِ وَ يَبْعَثُ اللَّهُ إِلَيْهِ فِي قَبْرِهِ سَبْعِينَ أَلْفَ مَلَكٍ مَعَ كُلِّ مَلَكٍ طَبَقٌ مِنَ النُّورِ يَنْثُرُونَهُ عَلَيْهِ وَ يَحْمِلُونَهُ إِلَي الْجَنَّةِ وَ يَقُولُونَ لَهُ إِنَّ اللَّهَ تَبَارَكَ وَ تَعَالَي أَمَرَنَا بِهَذَا وَ نُؤْنِسُكَ إِلَي يَوْمِ الْقِيَامَةِ وَ يُوَسِّعُ اللَّهُ عَلَيْهِ قَبْرَهُ مَدَّ بَصَرِهِ وَ يَفْتَحُ لَهُ بَاباً إِلَي الْجَنَّةِ وَ يُوَسِّدُونَهُ مِثْلَ الْعَرُوسِ فِي حَجَلَتِهَا مِنْ حُرْمَةِ هَذَا الدُّعَاءِ وَ عَظَمَتِهِ وَ يَقُولُ اللَّهُ تَعَالَي إِنَّنِي أَسْتَحْيِي مِنْ عَبْدٍ يَكُونُ هَذَا الدُّعَاءُ عَلَي كَفَنِهِ وَ سَاقَهُ إِلَي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بْنُ عَلِيٍّ صَلَوَاتُ اللَّهِ عَلَيْهِمَا أَوْصَانِي أَبِي أَمِيرُ الْمُؤْمِنِينَ عليه السلام وَصِيَّةً عَظِيمَةً بِهَذَا الدُّعَاءِ وَ قَالَ لِي يَا بُنَيَّ اكْتُبْ هَذَا الدُّعَاءَ عَلَي كَفَنِي وَ قَالَ الْحُسَيْنُ عليه السلام فَعَلْتُ كَمَا أَمَرَنِي أَبِي عليه السلام‌</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78" w:name="__RefHeading___Toc607936_1934241801"/>
      <w:bookmarkStart w:id="3279" w:name="_Toc1512"/>
      <w:bookmarkEnd w:id="3278"/>
      <w:r>
        <w:rPr>
          <w:rtl w:val="true"/>
        </w:rPr>
        <w:t>أقول</w:t>
      </w:r>
      <w:bookmarkEnd w:id="3279"/>
    </w:p>
    <w:p>
      <w:pPr>
        <w:pStyle w:val="BookText"/>
        <w:rPr/>
      </w:pPr>
      <w:r>
        <w:rPr>
          <w:rFonts w:ascii="Amiri" w:hAnsi="Amiri" w:eastAsia="Amiri" w:cs="Amiri"/>
          <w:color w:val="111111"/>
          <w:sz w:val="28"/>
          <w:sz w:val="28"/>
          <w:szCs w:val="28"/>
          <w:rtl w:val="true"/>
          <w:lang w:bidi="ar-SA"/>
        </w:rPr>
        <w:t>ظهر لي من بعض القرائن أن هذا ليس من السيد قدس الله روحه و ليس هذا إلا شرح الجوشن الكبير و كان كتب الشيخ أبو طالب بن رجب هذا الشرح من كتب جده السعيد تقي الدين الحسن بن داود لمناسبة لفظة الجوشن و اشتراكهما في هذا اللقب في حاشية الكتاب فأدخله النساخ في المتن و علي أي حال الأحوط لمن عمل بذلك أن لا يتعدي عن الكافور لما عرفت من أن الأفضل أن لا يقرب الميت غير الكافور من الطيب</w:t>
      </w:r>
      <w:r>
        <w:rPr>
          <w:rFonts w:eastAsia="Amiri" w:cs="Amiri" w:ascii="Amiri" w:hAnsi="Amiri"/>
          <w:color w:val="111111"/>
          <w:sz w:val="28"/>
          <w:szCs w:val="28"/>
          <w:rtl w:val="true"/>
          <w:lang w:bidi="ar-SA"/>
        </w:rPr>
        <w:t>.</w:t>
      </w:r>
    </w:p>
    <w:p>
      <w:pPr>
        <w:pStyle w:val="Heading5"/>
        <w:numPr>
          <w:ilvl w:val="4"/>
          <w:numId w:val="1"/>
        </w:numPr>
        <w:rPr/>
      </w:pPr>
      <w:bookmarkStart w:id="3280" w:name="__RefHeading___Toc607938_1934241801"/>
      <w:bookmarkStart w:id="3281" w:name="_Toc1513"/>
      <w:bookmarkEnd w:id="3280"/>
      <w:r>
        <w:rPr>
          <w:rtl w:val="true"/>
        </w:rPr>
        <w:t>«</w:t>
      </w:r>
      <w:r>
        <w:rPr/>
        <w:t>33</w:t>
      </w:r>
      <w:r>
        <w:rPr>
          <w:rtl w:val="true"/>
        </w:rPr>
        <w:t>»</w:t>
      </w:r>
      <w:bookmarkEnd w:id="3281"/>
    </w:p>
    <w:p>
      <w:pPr>
        <w:pStyle w:val="BookText"/>
        <w:rPr/>
      </w:pPr>
      <w:r>
        <w:rPr>
          <w:rFonts w:ascii="Amiri" w:hAnsi="Amiri" w:eastAsia="Amiri" w:cs="Amiri"/>
          <w:color w:val="111111"/>
          <w:sz w:val="28"/>
          <w:sz w:val="28"/>
          <w:szCs w:val="28"/>
          <w:rtl w:val="true"/>
          <w:lang w:bidi="ar-SA"/>
        </w:rPr>
        <w:t>الْبَلَدُ الْأَمِينُ،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هَذَا الدُّعَاءَ فِي كَفَنِهِ شَهِدَ لَهُ عِنْدَ اللَّهِ أَنَّهُ وَفَي بِعَهْدِهِ وَ يُكْفَي مُنْكَراً وَ نَكِيراً وَ تَحُفُّهُ الْمَلَائِكَةُ عَنْ يَمِينِهِ وَ شِمَالِهِ بِالْوِلْدَانِ وَ الْحُورِ وَ يُجْعَلُ فِي أَعْلَي عِلِّيِّينَ وَ يُبْنَي لَهُ بَيْتٌ فِي الْجَنَّةِ مِنْ لُؤْلُؤَةٍ بَيْضَاءَ يُرَي بَاطِنُهَا مِنْ ظَاهِرِهَا وَ ظَاهِرُهَا مِنْ بَاطِنِهَا لَهَا مِائَةُ أَلْفِ بَابٍ وَ يُعْطَي مِائَةَ أَلْفِ مَدِينَةٍ إِلَي آخِرِ مَا سَيَأْتِي وَ هُوَ هَذَا الدُّعَاءُ بِسْمِ اللَّهِ الرَّحْمَنِ</w:t>
      </w:r>
    </w:p>
    <w:p>
      <w:pPr>
        <w:pStyle w:val="Heading5"/>
        <w:numPr>
          <w:ilvl w:val="4"/>
          <w:numId w:val="1"/>
        </w:numPr>
        <w:rPr/>
      </w:pPr>
      <w:bookmarkStart w:id="3282" w:name="__RefHeading___Toc607940_1934241801"/>
      <w:bookmarkStart w:id="3283" w:name="_Toc1514"/>
      <w:bookmarkEnd w:id="3282"/>
      <w:r>
        <w:rPr>
          <w:rtl w:val="true"/>
        </w:rPr>
        <w:t>می گویم</w:t>
      </w:r>
      <w:bookmarkEnd w:id="3283"/>
    </w:p>
    <w:p>
      <w:pPr>
        <w:pStyle w:val="BookText"/>
        <w:rPr/>
      </w:pPr>
      <w:r>
        <w:rPr>
          <w:rFonts w:ascii="IRNazanin" w:hAnsi="IRNazanin" w:eastAsia="IRNazanin"/>
          <w:color w:val="111111"/>
          <w:sz w:val="28"/>
          <w:sz w:val="28"/>
          <w:szCs w:val="28"/>
          <w:rtl w:val="true"/>
          <w:lang w:bidi="fa-IR"/>
        </w:rPr>
        <w:t>این حدیث در کتاب البلد الأمین نیز با همین سند روایت شده است</w:t>
      </w:r>
      <w:r>
        <w:rPr>
          <w:rStyle w:val="FootnoteAnchor"/>
          <w:rtl w:val="true"/>
        </w:rPr>
        <w:footnoteReference w:id="1654"/>
      </w:r>
      <w:r>
        <w:rPr>
          <w:rFonts w:ascii="IRNazanin" w:hAnsi="IRNazanin" w:eastAsia="IRNazanin"/>
          <w:color w:val="111111"/>
          <w:sz w:val="28"/>
          <w:sz w:val="28"/>
          <w:szCs w:val="28"/>
          <w:rtl w:val="true"/>
          <w:lang w:bidi="fa-IR"/>
        </w:rPr>
        <w:t>، و این عبارت به آخر آن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این دعا را نوشته و در جامی از کافور یا مُشک حل گرداند، سپس میّت را غسل داده و محتویات جام را بر کفن او بپاشد، خداوند هزار نور را بر قبر آن میّت نازل گردانده و از ترس منکر و نکیر در امانش می دارد، عذاب قبر را از او برداشته و هر روز هفتاد هزار فرشته را به قبرش وارد می گرداند تا او را به بهشت بشارت دهند، همچنین قبر او را به اندازه میدان دیدش واسع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شگفتی ها آن است که سیّد بن طاووس، قدّس الله روحه، پس از آنکه دعای جوشن صغیر که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کَم مَن عدّوا انتضی علیّ سیف عداوته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چه بسیار دشمنانی که شمشیر عداوت را به روی من برکشیده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 را در کتاب مهج الدّعوات</w:t>
      </w:r>
      <w:r>
        <w:rPr>
          <w:rStyle w:val="FootnoteAnchor"/>
          <w:rtl w:val="true"/>
        </w:rPr>
        <w:footnoteReference w:id="1655"/>
      </w:r>
    </w:p>
    <w:p>
      <w:pPr>
        <w:pStyle w:val="BookText"/>
        <w:rPr/>
      </w:pPr>
      <w:r>
        <w:rPr>
          <w:rFonts w:ascii="IRNazanin" w:hAnsi="IRNazanin" w:eastAsia="IRNazanin"/>
          <w:color w:val="111111"/>
          <w:sz w:val="28"/>
          <w:sz w:val="28"/>
          <w:szCs w:val="28"/>
          <w:rtl w:val="true"/>
          <w:lang w:bidi="fa-IR"/>
        </w:rPr>
        <w:t>ذکر کرده است، حدیث دعای جوشن و فضیلت آن و ثواب حافظ آن را با حفظ سند از امام موسی کاظم از پدرش از جدّش از امام حسین از امام علی علیهم السلام روایت کرده و مانند آنچه کفعمی در فضیلت دعای جوشن کبیر ذکر کرده را نقل کرده است، و حدیث را پی گرفته تا آنجا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اگر انسان این دعا را نوشته و در جامی از کافور و مُشک حلّ نماید، سپس میّت را غسل داده و محتویات جام را بر کفن او بپاشد، خداوند صد هزار نور بر قبر آن میّت نازل می کند، و ترس از منکر و نکیر را از او دفع می نماید و از عذاب قبر در امان می ماند، و خداوند هفتاد هزار فرشته را به سوی او در قبر روانه می کند که همراه هر فرشته طبقی از نور است که بر او می پاشند، آن گاه او را به سوی بهشت حمل کرده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ما را به انجام این کار امر فرموده است و ما تا روز قیامت مونس و همدم تو در قبر هستیم، و خداوند قبر را برای او به اندازه میدان دیدش واسع می گرداند و دروازه ای رو به بهشت برای او می گشاید و فرشتگان به خاطر احترام و عظمت این دعا او را مانند عروسی که در حجله اش نشسته بر جایگاهش می نشانند و در اطراف او قرار می گیرند، آن گاه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بنده ای که این دعا بر کفن او قرار داشته باشد شرم و حیا می کنم، سپس حدیث را پی گرفته تا جایی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علیهما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امیرالمؤمنین علیه السلام در مورد این دعا نزد من وصیّت بزرگی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 این دعا را بر روی کفن من بنویس، و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کردم که پدرم مرا به آن امر فرموده بود</w:t>
      </w:r>
      <w:r>
        <w:rPr>
          <w:rFonts w:eastAsia="IRNazanin" w:cs="IRNazanin"/>
          <w:color w:val="111111"/>
          <w:sz w:val="28"/>
          <w:szCs w:val="28"/>
          <w:rtl w:val="true"/>
          <w:lang w:bidi="fa-IR"/>
        </w:rPr>
        <w:t>.</w:t>
      </w:r>
      <w:r>
        <w:rPr>
          <w:rStyle w:val="FootnoteAnchor"/>
          <w:rtl w:val="true"/>
        </w:rPr>
        <w:footnoteReference w:id="1656"/>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برخی از قرائن و شواهد برای من آشکار گشته که این سخنان متعلّق به سیّد رحمه الله نیست و چیزی جز شرح دعای جوشن کبیر نمی باشد، و شیخ ابوطالب بن رجب این شرح را به نقل از کتاب های جدّش سعید تقی الدین حسن بن داوود و به خاطر مناسبت لفظ جوشن و اشتراک آن دو در این دو لقب در حاشیه کتاب نوشته است، ولی ناسخان آن را وارد متن اصلی کرده اند؛ در هر صورت احوط برای کسی که می خواهد به این حدیث عمل کند این است که جز کافور از چیز دیگری استفاده نکند، چرا که پیش تر آگاه گشتی بهتر است غیر از کافور هیچ ماده خوشبو کننده ای به میّت نزدیک گردانده نشود</w:t>
      </w:r>
      <w:r>
        <w:rPr>
          <w:rFonts w:eastAsia="IRNazanin" w:cs="IRNazanin"/>
          <w:color w:val="111111"/>
          <w:sz w:val="28"/>
          <w:szCs w:val="28"/>
          <w:rtl w:val="true"/>
          <w:lang w:bidi="fa-IR"/>
        </w:rPr>
        <w:t>.</w:t>
      </w:r>
    </w:p>
    <w:p>
      <w:pPr>
        <w:pStyle w:val="Heading5"/>
        <w:numPr>
          <w:ilvl w:val="4"/>
          <w:numId w:val="1"/>
        </w:numPr>
        <w:rPr/>
      </w:pPr>
      <w:bookmarkStart w:id="3284" w:name="__RefHeading___Toc607942_1934241801"/>
      <w:bookmarkStart w:id="3285" w:name="_Toc1515"/>
      <w:bookmarkEnd w:id="3284"/>
      <w:r>
        <w:rPr>
          <w:rtl w:val="true"/>
        </w:rPr>
        <w:t xml:space="preserve">روایت </w:t>
      </w:r>
      <w:r>
        <w:rPr/>
        <w:t>33</w:t>
      </w:r>
      <w:bookmarkEnd w:id="3285"/>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این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کفن خود بگذارد، نزد خداوند برای او شهادت می دهد که به پیمان خویش وفا نموده است، نسبت به منکر و نکیر کفایت می شود و فرشتگان او را با پسرکان خردسال و حوریان احاطه می کنند و در بالاترین جایگاه های بهشت نشانده می شود و خانه ا ی از مروارید سفید در بهشت برای او ساخته می  شود که داخل آن از بیرون و بیرونش از داخل نمایان است و دارای صد هزار دروازه می باشد، همچنین مالکیت صد هزار شهر به او بخشیده می شود، تا پایان آنچه در ادامه ذکر خواهد شد، و آن دعا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bookmarkStart w:id="3286" w:name="pg13517_329364"/>
    </w:p>
    <w:p>
      <w:pPr>
        <w:pStyle w:val="BookText"/>
        <w:rPr/>
      </w:pPr>
      <w:bookmarkEnd w:id="3286"/>
      <w:r>
        <w:rPr>
          <w:rFonts w:ascii="Amiri" w:hAnsi="Amiri" w:eastAsia="Amiri" w:cs="Amiri"/>
          <w:color w:val="111111"/>
          <w:sz w:val="28"/>
          <w:sz w:val="28"/>
          <w:szCs w:val="28"/>
          <w:rtl w:val="true"/>
          <w:lang w:bidi="ar-SA"/>
        </w:rPr>
        <w:t>الرَّحِيمِ اللَّهُمَّ إِنَّكَ حَمِيدٌ مَجِيدٌ وَدُودٌ شَكُورٌ كَرِيمٌ وَفِيٌّ مَلِيٌّ إِلَي آخِرِ مَا سَيَأْتِي فِي كِتَابِ الدُّعَاءِ</w:t>
      </w:r>
      <w:r>
        <w:rPr>
          <w:rFonts w:eastAsia="Amiri" w:cs="Amiri" w:ascii="Amiri" w:hAnsi="Amiri"/>
          <w:color w:val="111111"/>
          <w:sz w:val="28"/>
          <w:szCs w:val="28"/>
          <w:rtl w:val="true"/>
          <w:lang w:bidi="ar-SA"/>
        </w:rPr>
        <w:t>.</w:t>
      </w:r>
    </w:p>
    <w:p>
      <w:pPr>
        <w:pStyle w:val="Heading5"/>
        <w:numPr>
          <w:ilvl w:val="4"/>
          <w:numId w:val="1"/>
        </w:numPr>
        <w:rPr/>
      </w:pPr>
      <w:bookmarkStart w:id="3287" w:name="__RefHeading___Toc607944_1934241801"/>
      <w:bookmarkStart w:id="3288" w:name="_Toc1516"/>
      <w:bookmarkEnd w:id="3287"/>
      <w:r>
        <w:rPr>
          <w:rtl w:val="true"/>
        </w:rPr>
        <w:t>«</w:t>
      </w:r>
      <w:r>
        <w:rPr/>
        <w:t>34</w:t>
      </w:r>
      <w:r>
        <w:rPr>
          <w:rtl w:val="true"/>
        </w:rPr>
        <w:t>»</w:t>
      </w:r>
      <w:bookmarkEnd w:id="3288"/>
    </w:p>
    <w:p>
      <w:pPr>
        <w:pStyle w:val="BookText"/>
        <w:rPr/>
      </w:pPr>
      <w:r>
        <w:rPr>
          <w:rFonts w:ascii="Amiri" w:hAnsi="Amiri" w:eastAsia="Amiri" w:cs="Amiri"/>
          <w:color w:val="111111"/>
          <w:sz w:val="28"/>
          <w:sz w:val="28"/>
          <w:szCs w:val="28"/>
          <w:rtl w:val="true"/>
          <w:lang w:bidi="ar-SA"/>
        </w:rPr>
        <w:t>دَعَائِمُ الْإِسْلَامِ،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سَقَطَ مِنَ الْمَيِّتِ مِنْ عَظْمٍ أَوْ غَيْرِ ذَلِكَ جُعِلَ فِي كَفَنِهِ وَ دُفِنَ بِهِ‌</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مِنْ غُسْلِ الْمَيِّتِ نُشِّفَ فِي ثَوْبٍ وَ جُعِلَ الْكَافُورُ وَ الْحَنُوطُ فِي مَوَاضِعِ سُجُودِهِ جَبْهَتِهِ وَ أَنْفِهِ وَ يَدَيْهِ وَ رُكْبَتَيْهِ وَ رِجْلَيْهِ وَ يُجْعَلُ ذَلِكَ فِي مَسَامِعِهِ وَ فِيهِ وَ لِحْيَتِهِ وَ صَدْرِهِ وَ حَنُوطُ الرَّجُلِ وَ الْمَرْأَةِ سَوَاءٌ</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آبَائِهِ عليهم السلام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لَا يَرَي بِالْمِسْكِ فِي الْحَنُوطِ بَأْساً</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يُحَنَّطُ الْمَيِّتُ بِزَعْفَرَانٍ وَ لَا وَرْسٍ وَ كَانَ لَا يَرَي بِتَجْمِيرِ الْمَيِّتِ بَأْساً وَ تَجْمِيرِ كَفَنِهِ وَ الْمَوْضِعِ الَّذِي يُغَسَّلُ فِيهِ وَ يُكَفَّنُ‌</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الْمُحْرِمِ يَمُوتُ مُحْرِماً قَالَ يُغَطَّي رَأْسُهُ وَ يُصْنَعُ بِهِ مَا يُصْنَعُ بِالْحِلِّ خَلَا أَنَّهُ لَا يُقَرَّبُ بِطِيبٍ‌</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كَفَّنَ رَسُولَ اللَّهِ صلي الله عليه و آله فِي ثَلَاثَةِ أَثْوَابٍ ثَوْبَيْنِ صُحَارِيَّيْنِ لَهُ وَ ثَوْبٍ يَمَنِيَّةٍ وَ إِزَارٍ وَ عِمَامَةٍ</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الْكَفَنُ ثَلَاثَةُ أَثْوَابٍ قَمِيصٌ غَيْرُ مَزْرُورٍ وَ لَا مَكْفُوفٍ وَ لِفَافَةٌ وَ إِزَارٌ وَ قَالَ أَوْصَي أَبِي أَنْ أُكَفِّنَهُ فِي ثَلَاثَةِ أَثْوَابٍ أَحَدُهَا رِدَاءٌ حِبَرَةٌ كَانَ يُصَلِّي فِيهَا الْجُمُعَةَ وَ ثَوْبٌ آخَرُ وَ قَمِيصٌ‌</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إِزَارٍ وَ عِمَامَةٍ وَ لَا يُعَدَّانِ فِي الْكَفَنِ‌</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كَانَ يُغَسِّلُ الْمَوْتَي سَأَلَهُ كَيْفَ يُعَمِّمُ الْمَيِّتَ قَالَ لَا تُعَمِّمْهُ عِمَّةَ الْأَعْرَابِيِّ وَ لَكِنْ خُذِ الْعِمَامَةَ مِنْ وَسَطِهَا ثُمَّ انْشُرْهَا عَلَي رَأْسِهِ</w:t>
      </w:r>
    </w:p>
    <w:p>
      <w:pPr>
        <w:pStyle w:val="BookText"/>
        <w:rPr/>
      </w:pPr>
      <w:r>
        <w:rPr>
          <w:rFonts w:ascii="IRNazanin" w:hAnsi="IRNazanin" w:eastAsia="IRNazanin"/>
          <w:color w:val="111111"/>
          <w:sz w:val="28"/>
          <w:sz w:val="28"/>
          <w:szCs w:val="28"/>
          <w:rtl w:val="true"/>
          <w:lang w:bidi="fa-IR"/>
        </w:rPr>
        <w:t xml:space="preserve">اللهم إنّک حمید مجید، ودود شکور، کریم وفیّ،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دعا که به صورت کامل در باب الدعا ذکر خواهد شد</w:t>
      </w:r>
      <w:r>
        <w:rPr>
          <w:rFonts w:eastAsia="IRNazanin" w:cs="IRNazanin"/>
          <w:color w:val="111111"/>
          <w:sz w:val="28"/>
          <w:szCs w:val="28"/>
          <w:rtl w:val="true"/>
          <w:lang w:bidi="fa-IR"/>
        </w:rPr>
        <w:t>.</w:t>
      </w:r>
    </w:p>
    <w:p>
      <w:pPr>
        <w:pStyle w:val="Heading5"/>
        <w:numPr>
          <w:ilvl w:val="4"/>
          <w:numId w:val="1"/>
        </w:numPr>
        <w:rPr/>
      </w:pPr>
      <w:bookmarkStart w:id="3289" w:name="__RefHeading___Toc607946_1934241801"/>
      <w:bookmarkStart w:id="3290" w:name="_Toc1517"/>
      <w:bookmarkEnd w:id="3289"/>
      <w:r>
        <w:rPr>
          <w:rtl w:val="true"/>
        </w:rPr>
        <w:t xml:space="preserve">روایت </w:t>
      </w:r>
      <w:r>
        <w:rPr/>
        <w:t>34</w:t>
      </w:r>
      <w:bookmarkEnd w:id="3290"/>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یا هر قسمت دیگری که از بدن میّت جدا می شود باید در کفن او قرار داده شده و همراهش دفن گردد</w:t>
      </w:r>
      <w:r>
        <w:rPr>
          <w:rFonts w:eastAsia="IRNazanin" w:cs="IRNazanin"/>
          <w:color w:val="111111"/>
          <w:sz w:val="28"/>
          <w:szCs w:val="28"/>
          <w:rtl w:val="true"/>
          <w:lang w:bidi="fa-IR"/>
        </w:rPr>
        <w:t>.</w:t>
      </w:r>
      <w:r>
        <w:rPr>
          <w:rStyle w:val="FootnoteAnchor"/>
          <w:rtl w:val="true"/>
        </w:rPr>
        <w:footnoteReference w:id="1665"/>
      </w:r>
    </w:p>
    <w:p>
      <w:pPr>
        <w:pStyle w:val="BookText"/>
        <w:rPr/>
      </w:pPr>
      <w:r>
        <w:rPr>
          <w:rFonts w:ascii="IRNazanin" w:hAnsi="IRNazanin" w:eastAsia="IRNazanin"/>
          <w:color w:val="111111"/>
          <w:sz w:val="28"/>
          <w:sz w:val="28"/>
          <w:szCs w:val="28"/>
          <w:rtl w:val="true"/>
          <w:lang w:bidi="fa-IR"/>
        </w:rPr>
        <w:t>همچنین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غسل دادن میّت به پایان رسید، بدن او به وسیله لباسی خشک می گردد و کافور و حنوط بر روی اعضایی که هنگام سجده با زمین تماس پیدا می کند قرار داده می شود، این اعضاء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بینی، دست ها، زانوها و پاهای میّت، همچنین کافور و حنوط در گوش ها، دهان و بر روی محاسن و سینه او نیز قرار داده می شود، و حنوط مرد و زن یکسان است</w:t>
      </w:r>
      <w:r>
        <w:rPr>
          <w:rFonts w:eastAsia="IRNazanin" w:cs="IRNazanin"/>
          <w:color w:val="111111"/>
          <w:sz w:val="28"/>
          <w:szCs w:val="28"/>
          <w:rtl w:val="true"/>
          <w:lang w:bidi="fa-IR"/>
        </w:rPr>
        <w:t>.</w:t>
      </w:r>
      <w:r>
        <w:rPr>
          <w:rStyle w:val="FootnoteAnchor"/>
          <w:rtl w:val="true"/>
        </w:rPr>
        <w:footnoteReference w:id="1666"/>
      </w:r>
    </w:p>
    <w:p>
      <w:pPr>
        <w:pStyle w:val="BookText"/>
        <w:rPr/>
      </w:pPr>
      <w:r>
        <w:rPr>
          <w:rFonts w:ascii="IRNazanin" w:hAnsi="IRNazanin" w:eastAsia="IRNazanin"/>
          <w:color w:val="111111"/>
          <w:sz w:val="28"/>
          <w:sz w:val="28"/>
          <w:szCs w:val="28"/>
          <w:rtl w:val="true"/>
          <w:lang w:bidi="fa-IR"/>
        </w:rPr>
        <w:t>امام صادق از پدارنش علیهم السلام روایت کرده که به نظر امام علی علیه السلام اشکالی دراستفاده از مُشک به عنوان حنوط وجود ندارد</w:t>
      </w:r>
      <w:r>
        <w:rPr>
          <w:rFonts w:eastAsia="IRNazanin" w:cs="IRNazanin"/>
          <w:color w:val="111111"/>
          <w:sz w:val="28"/>
          <w:szCs w:val="28"/>
          <w:rtl w:val="true"/>
          <w:lang w:bidi="fa-IR"/>
        </w:rPr>
        <w:t>.</w:t>
      </w:r>
      <w:r>
        <w:rPr>
          <w:rStyle w:val="FootnoteAnchor"/>
          <w:rtl w:val="true"/>
        </w:rPr>
        <w:footnoteReference w:id="1667"/>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زعفران و وَرس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گیاهی است که در رنگرزی از آن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حنوط کردن میّت استفاده نمی شود؛ ولی امام در بخور دادن میّت و کفن او و همچنین بخور دادن مکانی که در آن غسل داده و کفن کرده می شود اشکالی نمی بیند</w:t>
      </w:r>
      <w:r>
        <w:rPr>
          <w:rFonts w:eastAsia="IRNazanin" w:cs="IRNazanin"/>
          <w:color w:val="111111"/>
          <w:sz w:val="28"/>
          <w:szCs w:val="28"/>
          <w:rtl w:val="true"/>
          <w:lang w:bidi="fa-IR"/>
        </w:rPr>
        <w:t>.</w:t>
      </w:r>
      <w:r>
        <w:rPr>
          <w:rStyle w:val="FootnoteAnchor"/>
          <w:rtl w:val="true"/>
        </w:rPr>
        <w:footnoteReference w:id="1668"/>
      </w:r>
    </w:p>
    <w:p>
      <w:pPr>
        <w:pStyle w:val="BookText"/>
        <w:rPr/>
      </w:pPr>
      <w:r>
        <w:rPr>
          <w:rFonts w:ascii="IRNazanin" w:hAnsi="IRNazanin" w:eastAsia="IRNazanin"/>
          <w:color w:val="111111"/>
          <w:sz w:val="28"/>
          <w:sz w:val="28"/>
          <w:szCs w:val="28"/>
          <w:rtl w:val="true"/>
          <w:lang w:bidi="fa-IR"/>
        </w:rPr>
        <w:t>از امام باقر علیه السلام درباره شیوه کفن کردن شخصی سؤالی شد که در حال احرام وفات می کند، امام فرمود سر او پوشانده می شود و اموری که در مورد شخص غیر مُحرِم انجام داده می شود در مورد او نیز انجام داده می شود، جز اینکه مواد خوشبو به او نزدیک گردانده نمی شود</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است که امام علی علیه السلام پیامبر صلّی الله علیه و آله را در سه لباس کفن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لباس صُحاری، لباسی یمنی، إزار و عمّامه</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نوع کفن آن است که شامل سه لباس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پیراهنی که بدون آستین و دوخت باشد، لفافه و إزار ؛ 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سفارش کرد که او را در سه لباس کفن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عبایی از جنس بُرد یمانی که با آن نماز جمعه را ادا می کرد، لباسی دیگر و یک پیراهن</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از إزار و عمّامه استفاده شود حال آنکه جزء قسمت های اصلی کفن محسوب نمی شوند</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مردی که مردگان را غسل می داد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عمّامه به دور سر میّت پیچیده می 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شیوه اعراب بادیه نشین عمّامه را به دور سر او مپیچ، بلکه عمّامه را از وسط بگیر و بر روی سر میّت بگستران و آن را </w:t>
      </w:r>
      <w:bookmarkStart w:id="3291" w:name="pg13517_329365"/>
    </w:p>
    <w:p>
      <w:pPr>
        <w:pStyle w:val="BookText"/>
        <w:rPr/>
      </w:pPr>
      <w:bookmarkEnd w:id="3291"/>
      <w:r>
        <w:rPr>
          <w:rFonts w:ascii="Amiri" w:hAnsi="Amiri" w:eastAsia="Amiri" w:cs="Amiri"/>
          <w:color w:val="111111"/>
          <w:sz w:val="28"/>
          <w:sz w:val="28"/>
          <w:szCs w:val="28"/>
          <w:rtl w:val="true"/>
          <w:lang w:bidi="ar-SA"/>
        </w:rPr>
        <w:t xml:space="preserve">وَ رُدَّهَا مِنْ تَحْتِ لِحْيَتِهِ وَ عَمِّمْهُ وَ أَرْخِ ذَيْلَيْهَا مَعَ صَدْرِهِ وَ اشْدُدْ عَلَي حَقْوَيْهِ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خِرْقَةً كَالْإِزَارِ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أَنْعِمْ شَدَّهَا وَ افْرُشِ الْقُطْنَ تَحْتَ مَقْعَدَتِهِ لِئَلَّا يَخْرُجَ مِنْهُ شَيْ‌ءٌ وَ لَيْسَتِ الْعِمَامَةُ وَ لَا الْخِرْقَةُ مِنَ الْكَفَنِ وَ إِنَّمَا الْكَفَنُ مَا لُفَّ بِهِ الْبَدَنُ‌</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نَهَي أَنْ يُكَفَّنَ الرِّجَالُ فِي ثِيَابِ الْحَرِيرِ</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الْقُطْنُ فِي مَقْعَدَةِ الْمَيِّتِ لِئَلَّا يَبْدُوَ مِنْهُ شَيْ‌ءٌ وَ يُجْعَلُ مِنْهُ عَلَي فَرْجِهِ وَ بَيْنَ رِجْلَيْهِ وَ يُخَمَّرُ رَأْسُ المَرْأَةِ بِخِمَارٍ وَ تَعَمَّمَ الرَّجُلُ‌</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رُوِّينَا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كَفَّنَ حَمْزَةَ فِي نَمِرَةٍ سَوْدَاءَ</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كَفَّنَ أُسَامَةَ بْنَ زَيْدٍ فِي بُرْدٍ أَحْمَرَ</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رُوِّينَا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يُبْدَأُ بِهِ مِنْ تَرِكَةِ الْمَيِّتِ الْكَفَنُ ثُمَّ الدَّيْنُ ثُمَّ الْوَصِيَّةُ ثُمَّ الْمِيرَاثُ‌</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92" w:name="__RefHeading___Toc607948_1934241801"/>
      <w:bookmarkStart w:id="3293" w:name="_Toc1518"/>
      <w:bookmarkEnd w:id="3292"/>
      <w:r>
        <w:rPr>
          <w:rtl w:val="true"/>
        </w:rPr>
        <w:t>بيان</w:t>
      </w:r>
      <w:bookmarkEnd w:id="3293"/>
    </w:p>
    <w:p>
      <w:pPr>
        <w:pStyle w:val="BookText"/>
        <w:rPr/>
      </w:pPr>
      <w:r>
        <w:rPr>
          <w:rFonts w:ascii="Amiri" w:hAnsi="Amiri" w:eastAsia="Amiri" w:cs="Amiri"/>
          <w:color w:val="111111"/>
          <w:sz w:val="28"/>
          <w:sz w:val="28"/>
          <w:szCs w:val="28"/>
          <w:rtl w:val="true"/>
          <w:lang w:bidi="ar-SA"/>
        </w:rPr>
        <w:t>قوله عليه السلام أن يكفن الرجال يشعر بجواز تكفين المرأة في الحرير و المشهور بين الأصحاب عموم التحريم كما هو مدلول أكثر الأخبار و إثبات الجواز بمثل هذا الخبر مشكل مع أن في دلالته أيضا ضعفا و احتمل العلامة في النهاية كراهته للمرأة لإباحته لها في حال الحياة و لا يخفي وهنه</w:t>
      </w:r>
      <w:r>
        <w:rPr>
          <w:rFonts w:eastAsia="Amiri" w:cs="Amiri" w:ascii="Amiri" w:hAnsi="Amiri"/>
          <w:color w:val="111111"/>
          <w:sz w:val="28"/>
          <w:szCs w:val="28"/>
          <w:rtl w:val="true"/>
          <w:lang w:bidi="ar-SA"/>
        </w:rPr>
        <w:t>.</w:t>
      </w:r>
    </w:p>
    <w:p>
      <w:pPr>
        <w:pStyle w:val="Heading5"/>
        <w:numPr>
          <w:ilvl w:val="4"/>
          <w:numId w:val="1"/>
        </w:numPr>
        <w:rPr/>
      </w:pPr>
      <w:bookmarkStart w:id="3294" w:name="__RefHeading___Toc607950_1934241801"/>
      <w:bookmarkStart w:id="3295" w:name="_Toc1519"/>
      <w:bookmarkEnd w:id="3294"/>
      <w:r>
        <w:rPr>
          <w:rtl w:val="true"/>
        </w:rPr>
        <w:t>«</w:t>
      </w:r>
      <w:r>
        <w:rPr/>
        <w:t>35</w:t>
      </w:r>
      <w:r>
        <w:rPr>
          <w:rtl w:val="true"/>
        </w:rPr>
        <w:t>»</w:t>
      </w:r>
      <w:bookmarkEnd w:id="3295"/>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يَقْطَعُ غَاسِلُ الْمَيِّتِ كَفَنَهُ يَبْدَأُ بِالنَّمَطِ فَيَبْسُطُهُ وَ يَبْسُطُ عَلَيْهِ الْحِبَرَةَ وَ يَنْثُرُ عَلَيْهِ شَيْئاً مِنَ الذَّرِيرَةِ وَ يَبْسُطُ الْإِزَارَ عَلَي الْحِبَرَةِ وَ يَنْثُرُ عَلَيْهِ شَيْئاً مِنَ الذَّرِيرَةِ وَ يُكْثِرُ مِنْهُ وَ يَكْتُبُ عَلَي قَمِيصِهِ وَ إِزَارِهِ وَ حِبَرَتِهِ وَ الْجَرِيدَةِ فُلَانٌ يَشْهَدُ أَنْ لَا إِلَهَ إِلَّا اللَّهُ وَ يَلُفُّهَا جَمِيعاً وَ يُعِدُّ مِئْزَراً وَ يَأْخُذُ جَرِيدَتَيْنِ مِنَ النَّخْلِ خَضْرَاوَيْنِ</w:t>
      </w:r>
    </w:p>
    <w:p>
      <w:pPr>
        <w:pStyle w:val="BookText"/>
        <w:rPr/>
      </w:pPr>
      <w:r>
        <w:rPr>
          <w:rFonts w:ascii="IRNazanin" w:hAnsi="IRNazanin" w:eastAsia="IRNazanin"/>
          <w:color w:val="111111"/>
          <w:sz w:val="28"/>
          <w:sz w:val="28"/>
          <w:szCs w:val="28"/>
          <w:rtl w:val="true"/>
          <w:lang w:bidi="fa-IR"/>
        </w:rPr>
        <w:t xml:space="preserve">از زیر محاسنش باز گردان و به دور سرش بپیچ و کناره های عمّامه را بر روی سینه او آویزان کن، سپس پارچه ای مانند ازار را بر روی لگن های میّت به خوبی محکم گردان و تکّه پنبه ای را زیر مقعد او پهن کن تا چیزی از آن خارج نشود، عمّامه و خرقه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 استفاده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کفن به حساب نمی آیند بلکه کفن پارچه ای است که بدن با آن پیچیده می شود</w:t>
      </w:r>
      <w:r>
        <w:rPr>
          <w:rFonts w:eastAsia="IRNazanin" w:cs="IRNazanin"/>
          <w:color w:val="111111"/>
          <w:sz w:val="28"/>
          <w:szCs w:val="28"/>
          <w:rtl w:val="true"/>
          <w:lang w:bidi="fa-IR"/>
        </w:rPr>
        <w:t>.</w:t>
      </w:r>
      <w:r>
        <w:rPr>
          <w:rStyle w:val="FootnoteAnchor"/>
          <w:rtl w:val="true"/>
        </w:rPr>
        <w:footnoteReference w:id="1679"/>
      </w:r>
    </w:p>
    <w:p>
      <w:pPr>
        <w:pStyle w:val="BookText"/>
        <w:rPr/>
      </w:pPr>
      <w:r>
        <w:rPr>
          <w:rFonts w:ascii="IRNazanin" w:hAnsi="IRNazanin" w:eastAsia="IRNazanin"/>
          <w:color w:val="111111"/>
          <w:sz w:val="28"/>
          <w:sz w:val="28"/>
          <w:szCs w:val="28"/>
          <w:rtl w:val="true"/>
          <w:lang w:bidi="fa-IR"/>
        </w:rPr>
        <w:t>از امام علی علیه السلام روایت شده که رسول خدا صلّی الله علیه و آله نهی فرمود از اینکه میّت در لباس حریر کفن شود</w:t>
      </w:r>
      <w:r>
        <w:rPr>
          <w:rFonts w:eastAsia="IRNazanin" w:cs="IRNazanin"/>
          <w:color w:val="111111"/>
          <w:sz w:val="28"/>
          <w:szCs w:val="28"/>
          <w:rtl w:val="true"/>
          <w:lang w:bidi="fa-IR"/>
        </w:rPr>
        <w:t>.</w:t>
      </w:r>
      <w:r>
        <w:rPr>
          <w:rStyle w:val="FootnoteAnchor"/>
          <w:rtl w:val="true"/>
        </w:rPr>
        <w:footnoteReference w:id="1680"/>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 در مقعد میّت قرار داده می شود تا چیزی از آن خارج نشود، همچنین مقداری پنبه نیز بر روی فرج او از پیش و مابین پاهایش قرار داده می شود، و سر میّتی که زن باشد با روسری پوشیده می شود و سر میّت مرد نیز با عمّامه پیچیده می شود</w:t>
      </w:r>
      <w:r>
        <w:rPr>
          <w:rFonts w:eastAsia="IRNazanin" w:cs="IRNazanin"/>
          <w:color w:val="111111"/>
          <w:sz w:val="28"/>
          <w:szCs w:val="28"/>
          <w:rtl w:val="true"/>
          <w:lang w:bidi="fa-IR"/>
        </w:rPr>
        <w:t>.</w:t>
      </w:r>
      <w:r>
        <w:rPr>
          <w:rStyle w:val="FootnoteAnchor"/>
          <w:rtl w:val="true"/>
        </w:rPr>
        <w:footnoteReference w:id="1681"/>
      </w:r>
    </w:p>
    <w:p>
      <w:pPr>
        <w:pStyle w:val="BookText"/>
        <w:rPr/>
      </w:pPr>
      <w:r>
        <w:rPr>
          <w:rFonts w:ascii="IRNazanin" w:hAnsi="IRNazanin" w:eastAsia="IRNazanin"/>
          <w:color w:val="111111"/>
          <w:sz w:val="28"/>
          <w:sz w:val="28"/>
          <w:szCs w:val="28"/>
          <w:rtl w:val="true"/>
          <w:lang w:bidi="fa-IR"/>
        </w:rPr>
        <w:t>از امام علی علیه السلام برای ما روایت شده که رسول خدا صلّی الله علیه و آله حمزه را در بُردی سیاه رنگ و راه راه کفن فرمود</w:t>
      </w:r>
      <w:r>
        <w:rPr>
          <w:rFonts w:eastAsia="IRNazanin" w:cs="IRNazanin"/>
          <w:color w:val="111111"/>
          <w:sz w:val="28"/>
          <w:szCs w:val="28"/>
          <w:rtl w:val="true"/>
          <w:lang w:bidi="fa-IR"/>
        </w:rPr>
        <w:t>.</w:t>
      </w:r>
      <w:r>
        <w:rPr>
          <w:rStyle w:val="FootnoteAnchor"/>
          <w:rtl w:val="true"/>
        </w:rPr>
        <w:footnoteReference w:id="1682"/>
      </w:r>
    </w:p>
    <w:p>
      <w:pPr>
        <w:pStyle w:val="BookText"/>
        <w:rPr/>
      </w:pPr>
      <w:r>
        <w:rPr>
          <w:rFonts w:ascii="IRNazanin" w:hAnsi="IRNazanin" w:eastAsia="IRNazanin"/>
          <w:color w:val="111111"/>
          <w:sz w:val="28"/>
          <w:sz w:val="28"/>
          <w:szCs w:val="28"/>
          <w:rtl w:val="true"/>
          <w:lang w:bidi="fa-IR"/>
        </w:rPr>
        <w:t>همچنین روایت شده که امام حسن بن علی علیه السلام اسامه بن زید را در بُردی قرمز رنگ کفن فرمود</w:t>
      </w:r>
      <w:r>
        <w:rPr>
          <w:rFonts w:eastAsia="IRNazanin" w:cs="IRNazanin"/>
          <w:color w:val="111111"/>
          <w:sz w:val="28"/>
          <w:szCs w:val="28"/>
          <w:rtl w:val="true"/>
          <w:lang w:bidi="fa-IR"/>
        </w:rPr>
        <w:t>.</w:t>
      </w:r>
      <w:r>
        <w:rPr>
          <w:rStyle w:val="FootnoteAnchor"/>
          <w:rtl w:val="true"/>
        </w:rPr>
        <w:footnoteReference w:id="1683"/>
      </w:r>
    </w:p>
    <w:p>
      <w:pPr>
        <w:pStyle w:val="BookText"/>
        <w:rPr/>
      </w:pPr>
      <w:r>
        <w:rPr>
          <w:rFonts w:ascii="IRNazanin" w:hAnsi="IRNazanin" w:eastAsia="IRNazanin"/>
          <w:color w:val="111111"/>
          <w:sz w:val="28"/>
          <w:sz w:val="28"/>
          <w:szCs w:val="28"/>
          <w:rtl w:val="true"/>
          <w:lang w:bidi="fa-IR"/>
        </w:rPr>
        <w:t>از امام علی علیه السلام برای ما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در میان ماترک میّت به آن پرداخته می شود کفن اوست، سپس دَین و بدهی، آن گاه وصیّت و در پایان میراث او</w:t>
      </w:r>
      <w:r>
        <w:rPr>
          <w:rFonts w:eastAsia="IRNazanin" w:cs="IRNazanin"/>
          <w:color w:val="111111"/>
          <w:sz w:val="28"/>
          <w:szCs w:val="28"/>
          <w:rtl w:val="true"/>
          <w:lang w:bidi="fa-IR"/>
        </w:rPr>
        <w:t>.</w:t>
      </w:r>
      <w:r>
        <w:rPr>
          <w:rStyle w:val="FootnoteAnchor"/>
          <w:rtl w:val="true"/>
        </w:rPr>
        <w:footnoteReference w:id="1684"/>
      </w:r>
    </w:p>
    <w:p>
      <w:pPr>
        <w:pStyle w:val="Heading5"/>
        <w:numPr>
          <w:ilvl w:val="4"/>
          <w:numId w:val="1"/>
        </w:numPr>
        <w:rPr/>
      </w:pPr>
      <w:bookmarkStart w:id="3296" w:name="__RefHeading___Toc607952_1934241801"/>
      <w:bookmarkStart w:id="3297" w:name="_Toc1520"/>
      <w:bookmarkEnd w:id="3296"/>
      <w:r>
        <w:rPr>
          <w:rtl w:val="true"/>
        </w:rPr>
        <w:t>توضیح</w:t>
      </w:r>
      <w:bookmarkEnd w:id="3297"/>
    </w:p>
    <w:p>
      <w:pPr>
        <w:pStyle w:val="BookText"/>
        <w:rPr/>
      </w:pPr>
      <w:r>
        <w:rPr>
          <w:rFonts w:ascii="IRNazanin" w:hAnsi="IRNazanin" w:eastAsia="IRNazanin"/>
          <w:color w:val="111111"/>
          <w:sz w:val="28"/>
          <w:sz w:val="28"/>
          <w:szCs w:val="28"/>
          <w:rtl w:val="true"/>
          <w:lang w:bidi="fa-IR"/>
        </w:rPr>
        <w:t>این فرموده امام علی علیه السلام که پیامبر صلّی الله علیه و آله استفاده از حریر را برای کفن مردان ممنوع کرده است، چنین شائبه ای ایجاد می کند که کفن کردن زنان در حریر جایز است، ولی نظر مشهور در بین فقها عمومیّت تحریم استفاده از حریر است، چنان که اغلب احادیث نیز بر این نکته دلالت می کنند، و اثبات جواز استفاده از حریر برای کفن زنان با استناد به حدیث مذکور مشکل است هر چند در دلالت کردن این حدیث بر چنین نکته ای نیز ضعف وجود دارد، و علّامه در النهایه چنین پنداشته که استفاده از حریر برای کفن زنان مکروه است، چرا که استفاده از حریر در حال حیات برای آنان مباح است، وسستی این نظر بر کسی پوشیده نیست</w:t>
      </w:r>
      <w:r>
        <w:rPr>
          <w:rFonts w:eastAsia="IRNazanin" w:cs="IRNazanin"/>
          <w:color w:val="111111"/>
          <w:sz w:val="28"/>
          <w:szCs w:val="28"/>
          <w:rtl w:val="true"/>
          <w:lang w:bidi="fa-IR"/>
        </w:rPr>
        <w:t>.</w:t>
      </w:r>
    </w:p>
    <w:p>
      <w:pPr>
        <w:pStyle w:val="Heading5"/>
        <w:numPr>
          <w:ilvl w:val="4"/>
          <w:numId w:val="1"/>
        </w:numPr>
        <w:rPr/>
      </w:pPr>
      <w:bookmarkStart w:id="3298" w:name="__RefHeading___Toc607954_1934241801"/>
      <w:bookmarkStart w:id="3299" w:name="_Toc1521"/>
      <w:bookmarkEnd w:id="3298"/>
      <w:r>
        <w:rPr>
          <w:rtl w:val="true"/>
        </w:rPr>
        <w:t xml:space="preserve">روایت </w:t>
      </w:r>
      <w:r>
        <w:rPr/>
        <w:t>35</w:t>
      </w:r>
      <w:bookmarkEnd w:id="3299"/>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دهنده میّت کفن او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زیر انداز آغاز کرده و آن را می گستراند و سپس روانداز را بر روی آن پهن می کند و مقداری ذریره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می پراکند، آن گاه ازار را بر روی روانداز می گستراند و اندکی بیشتر از بار نخست ذریره بر آن می پاشد، و بر روی پیراهن ، ازار، روانداز و شاخه درخت خرما که در کنار او قرار داده شده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یشهد أن 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تمام تکه های مذکور را می پیچد و پوششی را آماده می گرداند و دو شاخه سبز </w:t>
      </w:r>
      <w:bookmarkStart w:id="3300" w:name="pg13517_329366"/>
    </w:p>
    <w:p>
      <w:pPr>
        <w:pStyle w:val="BookText"/>
        <w:rPr/>
      </w:pPr>
      <w:bookmarkEnd w:id="3300"/>
      <w:r>
        <w:rPr>
          <w:rFonts w:ascii="Amiri" w:hAnsi="Amiri" w:eastAsia="Amiri" w:cs="Amiri"/>
          <w:color w:val="111111"/>
          <w:sz w:val="28"/>
          <w:sz w:val="28"/>
          <w:szCs w:val="28"/>
          <w:rtl w:val="true"/>
          <w:lang w:bidi="ar-SA"/>
        </w:rPr>
        <w:t>رَطْبَتَيْنِ طُولُ كُلِّ وَاحِدَةٍ قَدْرُ عَظْمِ الذِّرَاعِ‌</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فِي الْكَافُورِ لِلْمَيِّتِ وَزْنُ ثَلَاثَةَ عَشَرَ دِرْهَماً وَ ثُلُثٍ وَ الْعِلَّةُ فِي ذَلِكَ أَنَّ جَبْرَئِيلَ عليه السلام أَتَي النَّبِيَّ صلي الله عليه و آله بِأُوقِيَّةِ كَافُورٍ مِنَ الْجَنَّةِ فَجَعَلَهَا النَّبِيُّ صلي الله عليه و آله ثَلَاثَةَ أَثْلَاثٍ ثُلُثاً لَهُ وَ ثُلُثاً لِعَلِيٍّ وَ ثُلُثاً لِفَاطِمَةَ فَمَنْ لَمْ يَقْدِرْ عَلَي وَزْنِ ثَلَاثَةَ عَشَرَ دِرْهَماً وَ ثُلُثٍ كَافُوراً حَنَّطَ الْمَيِّتَ بِأَرْبَعَةِ دَرَاهِمَ فَإِنْ لَمْ يَقْدِرْ فَمِثْقَالٍ وَاحِدَةٍ لَا أَقَلَّ مِنْهُ لِمَنْ وَجَدَهُ‌</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01" w:name="__RefHeading___Toc607956_1934241801"/>
      <w:bookmarkStart w:id="3302" w:name="_Toc1522"/>
      <w:bookmarkEnd w:id="3301"/>
      <w:r>
        <w:rPr>
          <w:rtl w:val="true"/>
        </w:rPr>
        <w:t>«</w:t>
      </w:r>
      <w:r>
        <w:rPr/>
        <w:t>36</w:t>
      </w:r>
      <w:r>
        <w:rPr>
          <w:rtl w:val="true"/>
        </w:rPr>
        <w:t>»</w:t>
      </w:r>
      <w:bookmarkEnd w:id="3302"/>
    </w:p>
    <w:p>
      <w:pPr>
        <w:pStyle w:val="BookText"/>
        <w:rPr/>
      </w:pPr>
      <w:r>
        <w:rPr>
          <w:rFonts w:ascii="Amiri" w:hAnsi="Amiri" w:eastAsia="Amiri" w:cs="Amiri"/>
          <w:color w:val="111111"/>
          <w:sz w:val="28"/>
          <w:sz w:val="28"/>
          <w:szCs w:val="28"/>
          <w:rtl w:val="true"/>
          <w:lang w:bidi="ar-SA"/>
        </w:rPr>
        <w:t>مِصْبَاحُ الْأَنْوَارِ، عَنْ جَعْفَرِ بْنِ مُحَمَّدٍ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كُفِّنَتْ فِي سَبْعَةِ أَثْوَابٍ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إِبْرَاهِيمَ بْنِ مُحَمَّدٍ عَنْ مُحَمَّدِ بْنِ الْمُنْكَدِرِ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كَفَّنَ فَاطِمَةَ عليها السلام فِي سَبْعَةِ أَثْوَابٍ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مُحَمَّدِ 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فَاطِمَةَ الْوَفَاةُ دَعَتْ بِمَاءٍ فَاغْتَسَلَتْ ثُمَّ دَعَتْ بِطِيبٍ فَتَحَنَّطَتْ بِهِ ثُمَّ دَعَتْ بِأَثْوَابِ كَفَنِهَا فَأُتِيَتْ بِأَثْوَابٍ غِلَاظٍ خَشِنَةٍ فَتَلَفَّفَتْ بِهَا ثُمَّ قَالَتْ إِذَا أَنَا مِتُّ فَادْفِنُونِي كَمَا أَنَا وَ لَا تُغَسِّلُونِي فَقُلْتُ هَلْ شَهِدَ مَعَكِ ذَلِكِ أَحَدٌ قَالَ نَعَمْ شَهِدَ كَثِيرُ بْنُ عَبَّاسٍ وَ كَتَبَ فِي أَطْرَافِ كَفَنِهَا كَثِيرُ بْنُ عَبَّاسٍ تَشْهَدُ أَنْ لَا إِلَهَ إِلَّا اللَّهُ وَ أَنَّ مُحَمَّداً رَسُولُ اللَّهِ صلي الله عليه و آله‌</w:t>
      </w:r>
      <w:r>
        <w:rPr>
          <w:rStyle w:val="FootnoteAnchor"/>
          <w:rtl w:val="true"/>
        </w:rPr>
        <w:footnoteReference w:id="1687"/>
      </w:r>
    </w:p>
    <w:p>
      <w:pPr>
        <w:pStyle w:val="BookText"/>
        <w:rPr/>
      </w:pPr>
      <w:r>
        <w:rPr>
          <w:rFonts w:ascii="Amiri" w:hAnsi="Amiri" w:eastAsia="Amiri" w:cs="Amiri"/>
          <w:color w:val="111111"/>
          <w:sz w:val="28"/>
          <w:sz w:val="28"/>
          <w:szCs w:val="28"/>
          <w:rtl w:val="true"/>
          <w:lang w:bidi="ar-SA"/>
        </w:rPr>
        <w:t>و لعلّ الظاهر من لفظ الحديث في آخره أن المراد من قولها 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أكشفن فاني قد اغتسلت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يكشف عنها ثيابها، فيبدو جثتها النحيفة الناحلة، و لذلك حملها عليّ عليه السلام و غسلها من وراء الثياب، و قد أخرج المؤلّف العلّامة المجلسيّ هذا الحديث في تاريخها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عليها السلام انما نهت عن كشف العورة و الجسد للتنظيف، و لم تنه عن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ابن شهرآشوب في المناقب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حمويه و ابن حنبل و ابن بطة بأسانيدهم قالت سلمي امرأة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اشتكت فاطمة شكواها التي قبضت فيها و كنت أمرضها فأصبحت يوما أسكن ما كانت فخرج عليّ عليه السلام الي بعض حوائجه،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اسكبي لي غسلا فسكبت، فقامت و اغتسلت أحسن ما يكون من الغسل ثمّ لبست أثوابها الجدد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افرشي فراشي وسط البيت ثمّ استقبلت القبلة و نامت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مقبوضة، و قد اغتسلت فلا يكشفني أحد، ثمّ وضعت خدها علي يدها و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نقله ابن بابويه علي ما في كشف الغمّة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مرفوعا الي سلمي أم بني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الحديث الي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فرغت من نفسي فلا أكشفن اني مقبوضة الآن ثمّ توسدت يدها اليمني و استقبلت القبلة و قضت، فجاء علي عليه السّلام و نحن نصيح، فسأل عنها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اللّه لا تكشف، فاحتملت في ثيابها فغيبت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الاربلي بعد نقل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الحديث قد رواه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تري، و قد روي أحمد بن حنبل في مسنده عن سلمي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الحديث الي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فأخبرته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اتفاقهما من طرق الشيعة و السنة علي نقله، مع كون الحكم علي خلافه عجيب، فان الفقهاء من الطريقين لا يجيزون الدفن الا بعد الغسل الا في مواضع ليس هذا منه، فكيف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رويا هذا الحديث و لم يعللاه و لا ذكرا فقهه و لا نبها علي الجواز و لا المنع، و لعلّ هذا أمر يخصها عليها السلام، و انما استدلّ الفقهاء علي أنّه يجوز للرجل أن يغسل زوجته، بأن عليا غسل فاطمة عليهما السلام و هو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مع كونه مرفوعا يناقض الاخبار القطعية من أن عليّا عليه السلام غسلها و دفنها في البيت، و لا يجري فيه ما ذكرناه قبلا في حديث الأمالي كما لا يجري في حديث المتن المنقول من مصباح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يظهر من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فاحتملت في ثيابها فغيبت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ابن بابويه، أن قولها في حديث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فحملها يغسلها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 عن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فحملها فغيبها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أنّه عليها السلام حملها الي البقيع و دفنها، و الا فلا معني لحملها من وسط البيت الي خارج البيت لتغسل و لم يكن لهما الا بيت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يسلم هذا هو حديث المصباح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فاغتسلت ثمّ دعت بطيب فتحنطت به ثمّ دعت بأثواب كفنها فتلفقت بها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أنامت فادفنوني كما أنا و لا تغسلوني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فلو كان المراد بالغسل النظافة لئلا يكشف قميصها فما معني الحنوط و أثواب الكفن و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ادفنوني كما أنا و لا تغسلوني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عندي أن هذا الحديث و سائر ما قيل في كيفية غسلها و دفنها من أساطير القصاصين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تجهيزها خفية بحيث لم يشعر بذلك أحد الا بعد غد، و كل من سئل عن كيفية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ليعترف بجهله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اختلق حديثا و رواه للناس، فبعض ذكر أسماء بنت عميس زوجة أبي بكر، و قد عرفت ما فيه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ذكر سلمي امرأة أبي رافع و أتي بهذه العجيبة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وصيتها أن لا تكشف و تواري كما هي، و حاشا فاطمة صلوات اللّه عليها أن تجهل أن الغسل انما يجب بسبب الموت و فيضان النفس، و حاشا عليا صلوات اللّه عليه أن يواريها من دون دفن، و يخالف بذلك سنة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راوي المصباح زاد علي ذلك الحنوط، و أن كثير بن عبّاس كتب في اطراف كفنها صلوات اللّه عليها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أن لا إله إلّا اللّه و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ذهب عليه أن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العباس ولد قبل وفاة النبيّ صلّي اللّه عليه و آله بأشهر في سنة عشر من الهجرة، نص علي ذلك ابن عبد البر في الاستيعاب و ابن الأثير في أسد الغابة، فكيف كان كاتبا و لم يكن له عند وفاتها الا سنة؟</w:t>
      </w:r>
    </w:p>
    <w:p>
      <w:pPr>
        <w:pStyle w:val="BookText"/>
        <w:rPr/>
      </w:pPr>
      <w:r>
        <w:rPr>
          <w:rFonts w:ascii="Amiri" w:hAnsi="Amiri" w:eastAsia="Amiri" w:cs="Amiri"/>
          <w:color w:val="111111"/>
          <w:sz w:val="28"/>
          <w:sz w:val="28"/>
          <w:szCs w:val="28"/>
          <w:rtl w:val="true"/>
          <w:lang w:bidi="ar-SA"/>
        </w:rPr>
        <w:t>فبعد ما صح أن عليا عليه السّلام غسلها و دفنها في بيتها ليلا حفية من الناس لا عبرة بهذه الأحاديث المختلفة و ما شابهها، و لا حاجة لتوجيهها و تأويلها، و لا حول و لا قوة الا باللّه العلي العظيم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مرطوب از درخت خرما که طول هر یک به اندازه استخوان ساعد است را حاضر می کند</w:t>
      </w:r>
      <w:r>
        <w:rPr>
          <w:rFonts w:eastAsia="IRNazanin" w:cs="IRNazanin"/>
          <w:color w:val="111111"/>
          <w:sz w:val="28"/>
          <w:szCs w:val="28"/>
          <w:rtl w:val="true"/>
          <w:lang w:bidi="fa-IR"/>
        </w:rPr>
        <w:t>.</w:t>
      </w:r>
      <w:r>
        <w:rPr>
          <w:rStyle w:val="FootnoteAnchor"/>
          <w:rtl w:val="true"/>
        </w:rPr>
        <w:footnoteReference w:id="1688"/>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در کافور استفاده شده برای معطر گرداندن، آن است که مقدارش سیزده و یک سوّم درهم باشد، این امر بدین خاطر است که جبرئیل علیه السلام ظرف هایی از کافور بهشتی را نزد پیامبر صلّی الله علیه و آله آورد، پیامبر نیز آن کافور را به سه قسمت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برای خودش، یک سوّم برای علی و یک سوم برای فاطمه؛ امّا اگر کسی توانایی فراهم کردن کافوری به اندازه سیزده و یک سوّم درهم را نداشته باشد، می تواند میّت را با کافوری به اندازه چهار درهم معطر نماید، اگر کافوری به اندازه چهار درهم نیز نیافت می تواند از یک مثقال کافور استفاده کند، و استفاده از کافور کمتر از یک مثقال برای یابنده آن جایز نیست</w:t>
      </w:r>
      <w:r>
        <w:rPr>
          <w:rFonts w:eastAsia="IRNazanin" w:cs="IRNazanin"/>
          <w:color w:val="111111"/>
          <w:sz w:val="28"/>
          <w:szCs w:val="28"/>
          <w:rtl w:val="true"/>
          <w:lang w:bidi="fa-IR"/>
        </w:rPr>
        <w:t>.</w:t>
      </w:r>
      <w:r>
        <w:rPr>
          <w:rStyle w:val="FootnoteAnchor"/>
          <w:rtl w:val="true"/>
        </w:rPr>
        <w:footnoteReference w:id="1689"/>
      </w:r>
    </w:p>
    <w:p>
      <w:pPr>
        <w:pStyle w:val="Heading5"/>
        <w:numPr>
          <w:ilvl w:val="4"/>
          <w:numId w:val="1"/>
        </w:numPr>
        <w:rPr/>
      </w:pPr>
      <w:bookmarkStart w:id="3303" w:name="__RefHeading___Toc607958_1934241801"/>
      <w:bookmarkStart w:id="3304" w:name="_Toc1523"/>
      <w:bookmarkEnd w:id="3303"/>
      <w:r>
        <w:rPr>
          <w:rtl w:val="true"/>
        </w:rPr>
        <w:t xml:space="preserve">روایت </w:t>
      </w:r>
      <w:r>
        <w:rPr/>
        <w:t>36</w:t>
      </w:r>
      <w:bookmarkEnd w:id="3304"/>
    </w:p>
    <w:p>
      <w:pPr>
        <w:pStyle w:val="BookText"/>
        <w:rPr/>
      </w:pP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روایت کرده که فاطمه علیهما السلام در هفت لباس کفن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بن محمّد از محمّد بن منکدر روایت کرده که امام علی علیه السلام فاطمه علیها السلام را در هفت لباس کفن کرد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عبدالله بن محمّد بن عقیل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زمان وفات فاطمه علیها السلام نزدیک گردید، خواست که مقداری آب حاضر کنند پس غسل نمود، آن گاه خواست که مقداری مواد خوشبو بیاورند و با آن خود را معطر ساخت، سپس خواست که لباس های کفنش را حاضر کنند، پس لباس های زبر و خشنی را برای او حاضر کردند و آن ها را به دور خود پیچید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وفات نمودم مرا آن گونه که اکنون هستم دفن کرده و غسلم ندهید،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همراه تو شاهد این ماجرا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کثیر بن عباس شاهد بود و در اطراف کفن فاطمه علیه السلام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تشهد أن لا اله الا الله و أنّ محمد رسول الله صلّی الله علیه و آله</w:t>
      </w:r>
      <w:r>
        <w:rPr>
          <w:rFonts w:eastAsia="IRNazanin" w:cs="IRNazanin"/>
          <w:color w:val="111111"/>
          <w:sz w:val="28"/>
          <w:szCs w:val="28"/>
          <w:rtl w:val="true"/>
          <w:lang w:bidi="fa-IR"/>
        </w:rPr>
        <w:t>».</w:t>
      </w:r>
      <w:r>
        <w:rPr>
          <w:rStyle w:val="FootnoteAnchor"/>
          <w:rtl w:val="true"/>
        </w:rPr>
        <w:footnoteReference w:id="1690"/>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05" w:name="pg13517_329369"/>
      <w:bookmarkStart w:id="3306" w:name="pg13517_329369"/>
      <w:bookmarkEnd w:id="3306"/>
    </w:p>
    <w:p>
      <w:pPr>
        <w:pStyle w:val="Heading5"/>
        <w:numPr>
          <w:ilvl w:val="4"/>
          <w:numId w:val="1"/>
        </w:numPr>
        <w:rPr/>
      </w:pPr>
      <w:bookmarkStart w:id="3307" w:name="pg13517_329369"/>
      <w:bookmarkStart w:id="3308" w:name="__RefHeading___Toc607960_1934241801"/>
      <w:bookmarkStart w:id="3309" w:name="_Toc1524"/>
      <w:bookmarkEnd w:id="3307"/>
      <w:bookmarkEnd w:id="3308"/>
      <w:r>
        <w:rPr>
          <w:rtl w:val="true"/>
        </w:rPr>
        <w:t>«</w:t>
      </w:r>
      <w:r>
        <w:rPr/>
        <w:t>37</w:t>
      </w:r>
      <w:r>
        <w:rPr>
          <w:rtl w:val="true"/>
        </w:rPr>
        <w:t>»</w:t>
      </w:r>
      <w:bookmarkEnd w:id="3309"/>
    </w:p>
    <w:p>
      <w:pPr>
        <w:pStyle w:val="BookText"/>
        <w:rPr/>
      </w:pPr>
      <w:r>
        <w:rPr>
          <w:rFonts w:ascii="Amiri" w:hAnsi="Amiri" w:eastAsia="Amiri" w:cs="Amiri"/>
          <w:color w:val="111111"/>
          <w:sz w:val="28"/>
          <w:sz w:val="28"/>
          <w:szCs w:val="28"/>
          <w:rtl w:val="true"/>
          <w:lang w:bidi="ar-SA"/>
        </w:rPr>
        <w:t>كِتَابُ عَاصِمِ بْنِ حُمَيْدٍ، عَنْ سَلَّامِ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عَبَّادٌ الْبَصْرِيُّ أَبَا عَبْدِ اللَّهِ عليه السلام فِيمَا كُفِّنَ رَسُولُ اللَّهِ صلي الله عليه و آله قَالَ فِي ثَوْبَيْنِ صُحَارِيَّيْنِ وَ بُرْدٍ حِبَرَةٍ الْخَبَرَ</w:t>
      </w:r>
      <w:r>
        <w:rPr>
          <w:rFonts w:eastAsia="Amiri" w:cs="Amiri" w:ascii="Amiri" w:hAnsi="Amiri"/>
          <w:color w:val="111111"/>
          <w:sz w:val="28"/>
          <w:szCs w:val="28"/>
          <w:rtl w:val="true"/>
          <w:lang w:bidi="ar-SA"/>
        </w:rPr>
        <w:t>.</w:t>
      </w:r>
    </w:p>
    <w:p>
      <w:pPr>
        <w:pStyle w:val="Heading5"/>
        <w:numPr>
          <w:ilvl w:val="4"/>
          <w:numId w:val="1"/>
        </w:numPr>
        <w:rPr/>
      </w:pPr>
      <w:bookmarkStart w:id="3310" w:name="__RefHeading___Toc607962_1934241801"/>
      <w:bookmarkStart w:id="3311" w:name="_Toc1525"/>
      <w:bookmarkEnd w:id="3310"/>
      <w:r>
        <w:rPr>
          <w:rtl w:val="true"/>
        </w:rPr>
        <w:t>«</w:t>
      </w:r>
      <w:r>
        <w:rPr/>
        <w:t>38</w:t>
      </w:r>
      <w:r>
        <w:rPr>
          <w:rtl w:val="true"/>
        </w:rPr>
        <w:t>»</w:t>
      </w:r>
      <w:bookmarkEnd w:id="3311"/>
    </w:p>
    <w:p>
      <w:pPr>
        <w:pStyle w:val="BookText"/>
        <w:rPr/>
      </w:pPr>
      <w:r>
        <w:rPr>
          <w:rFonts w:ascii="Amiri" w:hAnsi="Amiri" w:eastAsia="Amiri" w:cs="Amiri"/>
          <w:color w:val="111111"/>
          <w:sz w:val="28"/>
          <w:sz w:val="28"/>
          <w:szCs w:val="28"/>
          <w:rtl w:val="true"/>
          <w:lang w:bidi="ar-SA"/>
        </w:rPr>
        <w:t>كِتَابُ مُحَمَّدِ بْنِ الْمُثَنَّي، عَنْ جَعْفَرِ بْنِ مُحَمَّدِ بْنِ شُرَيْحٍ عَنْ ذَرِيحٍ الْمُحَارِبِيِّ عَنْ عُمَرَ بْنِ حَنْظَلَةَ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مَرَّ عَلَي قَبْرِ قَيْسِ بْنِ فَهْدٍ الْأَنْصَارِيِّ وَ هُوَ يُعَذَّبُ فِيهِ فَسَمِعَ صَوْتَهُ فَوَضَعَ عَلَي قَبْرِهِ جَرِيدَتَيْنِ فَقِيلَ لَهُ لِمَ وَضَعْتَهَا قَالَ يُخَفَّفُ مَا كَانَتَا خَضْرَاوَيْنِ</w:t>
      </w:r>
      <w:r>
        <w:rPr>
          <w:rFonts w:eastAsia="Amiri" w:cs="Amiri" w:ascii="Amiri" w:hAnsi="Amiri"/>
          <w:color w:val="111111"/>
          <w:sz w:val="28"/>
          <w:szCs w:val="28"/>
          <w:rtl w:val="true"/>
          <w:lang w:bidi="ar-SA"/>
        </w:rPr>
        <w:t>.</w:t>
      </w:r>
    </w:p>
    <w:p>
      <w:pPr>
        <w:pStyle w:val="Heading5"/>
        <w:numPr>
          <w:ilvl w:val="4"/>
          <w:numId w:val="1"/>
        </w:numPr>
        <w:rPr/>
      </w:pPr>
      <w:bookmarkStart w:id="3312" w:name="__RefHeading___Toc607964_1934241801"/>
      <w:bookmarkStart w:id="3313" w:name="_Toc1526"/>
      <w:bookmarkEnd w:id="3312"/>
      <w:r>
        <w:rPr>
          <w:rtl w:val="true"/>
        </w:rPr>
        <w:t xml:space="preserve">روایت </w:t>
      </w:r>
      <w:r>
        <w:rPr/>
        <w:t>37</w:t>
      </w:r>
      <w:bookmarkEnd w:id="3313"/>
    </w:p>
    <w:p>
      <w:pPr>
        <w:pStyle w:val="BookText"/>
        <w:rPr/>
      </w:pPr>
      <w:r>
        <w:rPr>
          <w:rFonts w:ascii="IRNazanin" w:hAnsi="IRNazanin" w:eastAsia="IRNazanin"/>
          <w:color w:val="111111"/>
          <w:sz w:val="28"/>
          <w:sz w:val="28"/>
          <w:szCs w:val="28"/>
          <w:rtl w:val="true"/>
          <w:lang w:bidi="fa-IR"/>
        </w:rPr>
        <w:t>کتاب عاصم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سلّام بن سعید روایت شده که عَبّاد بصریّ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چه لباسی کفن 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لباس صُحاری و یک بُرد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w:t>
      </w:r>
    </w:p>
    <w:p>
      <w:pPr>
        <w:pStyle w:val="Heading5"/>
        <w:numPr>
          <w:ilvl w:val="4"/>
          <w:numId w:val="1"/>
        </w:numPr>
        <w:rPr/>
      </w:pPr>
      <w:bookmarkStart w:id="3314" w:name="__RefHeading___Toc607966_1934241801"/>
      <w:bookmarkStart w:id="3315" w:name="_Toc1527"/>
      <w:bookmarkEnd w:id="3314"/>
      <w:r>
        <w:rPr>
          <w:rtl w:val="true"/>
        </w:rPr>
        <w:t xml:space="preserve">روایت </w:t>
      </w:r>
      <w:r>
        <w:rPr/>
        <w:t>38</w:t>
      </w:r>
      <w:bookmarkEnd w:id="3315"/>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محمد بن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رسول خدا صلّی الله علیه و آله بر قبر قَیس بن فَهد انصاری که در آن عذاب داده می شد گذر کرد، پس صدای او را شنید، و دو شاخه نخل بر روی قبرش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دو شاخه نخل را بر روی قبر می گذارید؟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این دو شاخه نخل سبز هستند از عذاب او کاسته می شود </w:t>
      </w:r>
      <w:r>
        <w:rPr>
          <w:rFonts w:eastAsia="IRNazanin" w:cs="IRNazanin"/>
          <w:color w:val="111111"/>
          <w:sz w:val="28"/>
          <w:szCs w:val="28"/>
          <w:rtl w:val="true"/>
          <w:lang w:bidi="fa-IR"/>
        </w:rPr>
        <w:t xml:space="preserve">. </w:t>
      </w:r>
      <w:bookmarkStart w:id="3316" w:name="pg13517_329370"/>
    </w:p>
    <w:p>
      <w:pPr>
        <w:pStyle w:val="Heading3"/>
        <w:numPr>
          <w:ilvl w:val="2"/>
          <w:numId w:val="1"/>
        </w:numPr>
        <w:rPr/>
      </w:pPr>
      <w:bookmarkStart w:id="3317" w:name="__RefHeading___Toc607968_1934241801"/>
      <w:bookmarkStart w:id="3318" w:name="_Toc1528"/>
      <w:bookmarkEnd w:id="3316"/>
      <w:bookmarkEnd w:id="3317"/>
      <w:r>
        <w:rPr>
          <w:rtl w:val="true"/>
        </w:rPr>
        <w:t xml:space="preserve">باب </w:t>
      </w:r>
      <w:r>
        <w:rPr/>
        <w:t>10</w:t>
      </w:r>
      <w:r>
        <w:rPr>
          <w:rtl w:val="true"/>
        </w:rPr>
        <w:t xml:space="preserve"> </w:t>
      </w:r>
      <w:r>
        <w:rPr>
          <w:rtl w:val="true"/>
        </w:rPr>
        <w:t>وجوب الصلاة علي الميت و عللها و آدابها و أحكامها</w:t>
      </w:r>
      <w:bookmarkEnd w:id="3318"/>
    </w:p>
    <w:p>
      <w:pPr>
        <w:pStyle w:val="Heading4"/>
        <w:numPr>
          <w:ilvl w:val="3"/>
          <w:numId w:val="1"/>
        </w:numPr>
        <w:rPr/>
      </w:pPr>
      <w:bookmarkStart w:id="3319" w:name="__RefHeading___Toc607970_1934241801"/>
      <w:bookmarkStart w:id="3320" w:name="_Toc1529"/>
      <w:bookmarkEnd w:id="3319"/>
      <w:r>
        <w:rPr>
          <w:rtl w:val="true"/>
        </w:rPr>
        <w:t>روايات</w:t>
      </w:r>
      <w:bookmarkEnd w:id="3320"/>
    </w:p>
    <w:p>
      <w:pPr>
        <w:pStyle w:val="Heading5"/>
        <w:numPr>
          <w:ilvl w:val="4"/>
          <w:numId w:val="1"/>
        </w:numPr>
        <w:rPr/>
      </w:pPr>
      <w:bookmarkStart w:id="3321" w:name="__RefHeading___Toc607972_1934241801"/>
      <w:bookmarkStart w:id="3322" w:name="_Toc1530"/>
      <w:bookmarkEnd w:id="3321"/>
      <w:r>
        <w:rPr>
          <w:rtl w:val="true"/>
        </w:rPr>
        <w:t>«</w:t>
      </w:r>
      <w:r>
        <w:rPr/>
        <w:t>1</w:t>
      </w:r>
      <w:r>
        <w:rPr>
          <w:rtl w:val="true"/>
        </w:rPr>
        <w:t>»</w:t>
      </w:r>
      <w:bookmarkEnd w:id="3322"/>
    </w:p>
    <w:p>
      <w:pPr>
        <w:pStyle w:val="BookText"/>
        <w:rPr/>
      </w:pPr>
      <w:r>
        <w:rPr>
          <w:rFonts w:ascii="Amiri" w:hAnsi="Amiri" w:eastAsia="Amiri" w:cs="Amiri"/>
          <w:color w:val="111111"/>
          <w:sz w:val="28"/>
          <w:sz w:val="28"/>
          <w:szCs w:val="28"/>
          <w:rtl w:val="true"/>
          <w:lang w:bidi="ar-SA"/>
        </w:rPr>
        <w:t>الْعِلَلُ، عَنْ عَلِيِّ بْنِ حَاتِمٍ عَنْ عَلِيِّ بْنِ مُحَمَّدٍ عَنِ الْعَبَّاسِ بْنِ مُحَمَّدٍ عَنْ أَبِيهِ عَنِ ابْنِ أَبِي عُمَيْرٍ عَنْ مُحَمَّدِ بْنِ الْمُهَاجِرِ عَنْ أُمِّهِ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إِلَي مَكَّةَ فَصَحِبَتْنِي امْرَأَةٌ مِنَ الْمُرْجِئَةِ فَلَمَّا أَتَيْنَا الرَّبَذَةَ أَحْرَمَ النَّاسُ وَ أَحْرَمْتُ مَعَهُمْ فَأَخَّرْتُ إِحْرَامِي إِلَي الْعَقِيقِ فَقَالَتْ يَا مَعْشَرَ الشِّيعَةِ تُخَالِفُونَ فِي كُلِّ شَيْ‌ءٍ يُحْرِمُ النَّاسُ مِنَ الرَّبَذَةِ وَ تُحْرِمُونَ مِنَ الْعَقِيقِ وَ كَذَلِكَ تُخَالِفُونَ فِي الصَّلَاةِ عَلَي الْمَيِّتِ يُكَبِّرُ النَّاسُ أَرْبَعاً وَ تُكَبِّرُونَ خَمْساً وَ هِيَ تَشْهَدُ عَلَي اللَّهِ أَنَّ التَّكْبِيرَ عَلَي الْمَيِّتِ أَرْبَعٌ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فَدَخَلْتُ عَلَي أَبِي عَبْدِ اللَّهِ عليه السلام فَقُلْتُ لَهُ أَصْلَحَكَ اللَّهُ صَحِبْتَنِي امْرَأَةٌ مِنَ الْمُرْجِئَةِ فَقَالَتْ كَذَا وَ كَذَا فَأَخْبَرْتُهُ بِمَقَالَتِهَا فَقَالَ أَبُو عَبْدِ اللَّهِ عليه السلام كَانَ رَسُولُ اللَّهِ صلي الله عليه و آله إِذَا صَلَّي عَلَي الْمَيِّتِ كَبَّرَ فَتَشَهَّدَ ثُمَّ كَبَّرَ فَصَلَّي عَلَي النَّبِيِّ صلي الله عليه و آله وَ دَعَا ثُمَّ كَبَّرَ وَ اسْتَغْفَرَ لِلْمُؤْمِنِينَ وَ الْمُؤْمِنَاتِ ثُمَّ كَبَّرَ فَدَعَا لِلْمَيِّتِ ثُمَّ يُكَبِّرُ وَ يَنْصَرِفُ فَلَمَّا نَهَاهُ اللَّهُ عَزَّ وَ جَلَّ عَنِ الصَّلَاةِ عَلَي الْمُنَافِقِينَ كَبَّرَ فَتَشَهَّدَ ثُمَّ كَبَّرَ فَصَلَّي عَلَي النَّبِيِّ صلي الله عليه و آله ثُمَّ كَبَّرَ فَدَعَا لِلْمُؤْمِنِينَ وَ الْمُؤْمِنَاتِ ثُمَّ كَبَّرَ الرَّابِعَةَ وَ انْصَرَفَ وَ لَمْ يَدْعُ لِلْمَيِّتِ‌</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23" w:name="__RefHeading___Toc607974_1934241801"/>
      <w:bookmarkStart w:id="3324" w:name="_Toc1531"/>
      <w:bookmarkEnd w:id="3323"/>
      <w:r>
        <w:rPr>
          <w:rtl w:val="true"/>
        </w:rPr>
        <w:t>تحقيق و تفصيل</w:t>
      </w:r>
      <w:bookmarkEnd w:id="3324"/>
    </w:p>
    <w:p>
      <w:pPr>
        <w:pStyle w:val="BookText"/>
        <w:rPr/>
      </w:pPr>
      <w:r>
        <w:rPr>
          <w:rFonts w:ascii="Amiri" w:hAnsi="Amiri" w:eastAsia="Amiri" w:cs="Amiri"/>
          <w:color w:val="111111"/>
          <w:sz w:val="28"/>
          <w:sz w:val="28"/>
          <w:szCs w:val="28"/>
          <w:rtl w:val="true"/>
          <w:lang w:bidi="ar-SA"/>
        </w:rPr>
        <w:t>اعلم أن الشيخ في التهذيب‌</w:t>
      </w:r>
      <w:r>
        <w:rPr>
          <w:rStyle w:val="FootnoteAnchor"/>
          <w:rtl w:val="true"/>
        </w:rPr>
        <w:footnoteReference w:id="1692"/>
      </w:r>
      <w:r>
        <w:rPr>
          <w:rFonts w:ascii="Amiri" w:hAnsi="Amiri" w:eastAsia="Amiri" w:cs="Amiri"/>
          <w:color w:val="111111"/>
          <w:sz w:val="28"/>
          <w:sz w:val="28"/>
          <w:szCs w:val="28"/>
          <w:rtl w:val="true"/>
          <w:lang w:bidi="ar-SA"/>
        </w:rPr>
        <w:t>روي هذا الخبر بإسناد فيه أيضا جهالة عنه عليه السلام من قوله كان رسول الله صلي الله عليه و آله إذا صلي علي ميت إلي آخر الخبر و</w:t>
      </w:r>
    </w:p>
    <w:p>
      <w:pPr>
        <w:pStyle w:val="Heading3"/>
        <w:numPr>
          <w:ilvl w:val="2"/>
          <w:numId w:val="1"/>
        </w:numPr>
        <w:rPr/>
      </w:pPr>
      <w:bookmarkStart w:id="3325" w:name="__RefHeading___Toc607976_1934241801"/>
      <w:bookmarkStart w:id="3326" w:name="_Toc1532"/>
      <w:bookmarkEnd w:id="3325"/>
      <w:r>
        <w:rPr>
          <w:rtl w:val="true"/>
        </w:rPr>
        <w:t xml:space="preserve">باب دهم </w:t>
      </w:r>
      <w:r>
        <w:rPr>
          <w:rtl w:val="true"/>
        </w:rPr>
        <w:t xml:space="preserve">: </w:t>
      </w:r>
      <w:r>
        <w:rPr>
          <w:rtl w:val="true"/>
        </w:rPr>
        <w:t>وجوب نماز گزاردن بر میّت و علل، آداب و احکام آن</w:t>
      </w:r>
      <w:bookmarkEnd w:id="3326"/>
    </w:p>
    <w:p>
      <w:pPr>
        <w:pStyle w:val="Heading4"/>
        <w:numPr>
          <w:ilvl w:val="3"/>
          <w:numId w:val="1"/>
        </w:numPr>
        <w:rPr/>
      </w:pPr>
      <w:bookmarkStart w:id="3327" w:name="__RefHeading___Toc607978_1934241801"/>
      <w:bookmarkStart w:id="3328" w:name="_Toc1533"/>
      <w:bookmarkEnd w:id="3327"/>
      <w:r>
        <w:rPr>
          <w:rtl w:val="true"/>
        </w:rPr>
        <w:t>روایات</w:t>
      </w:r>
      <w:bookmarkEnd w:id="3328"/>
    </w:p>
    <w:p>
      <w:pPr>
        <w:pStyle w:val="Heading5"/>
        <w:numPr>
          <w:ilvl w:val="4"/>
          <w:numId w:val="1"/>
        </w:numPr>
        <w:rPr/>
      </w:pPr>
      <w:bookmarkStart w:id="3329" w:name="__RefHeading___Toc607980_1934241801"/>
      <w:bookmarkStart w:id="3330" w:name="_Toc1534"/>
      <w:bookmarkEnd w:id="3329"/>
      <w:r>
        <w:rPr>
          <w:rtl w:val="true"/>
        </w:rPr>
        <w:t xml:space="preserve">روایت </w:t>
      </w:r>
      <w:r>
        <w:rPr/>
        <w:t>1</w:t>
      </w:r>
      <w:bookmarkEnd w:id="3330"/>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سلمه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مکّه خارج شدم، پس زنی از گروه مرجئه با من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ربذه رسیدیم، مردم وارد إحرام شدند و آن زن نیز با آن مُحرِم گشت، ولی من مُحرِم شدن خود را تا رسیدن به عقیق به تأخیر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شیعیان در هر کاری با دیگران اختلاف دارید، مردم از ربذه وارد احرام می شوند و شما از عقیق؟ همچنین در نماز گزاردن بر میّت با مردم اختلاف دارید، مردم چهار مرتبه تکبیر می گویند و شما پنج مرتبه؛ و خداوند را شاهد می گرفت که تعداد تکبیرها در نماز میّت چهار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نزد امام صادق علیه السلام رفتم و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حال شما را نیکو گرداند، زنی از مرجئه با من همراه گشت و چنین و چنان گفت، و امام را از آنچه آن زن گفته بود آگاه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هنگامی که بر میّت نماز می گزارد تکبیر می گفت، سپس شهادتین را به زبان می آورد، آن گاه تکبیر می گفت و بر پیامبر صلّی الله علیه وآله درود می فرستاد و دعا می خواند، سپس تکبیر می گفت و برای مردان و زنان مؤمن طلب آمرزش می کرد، بعد از آن تکبیر می گفت و برای میّت دعا می خواند، در نهایت نیز تکبیر می گفت و نماز را پایان می بخشید، و هنگامی که خداوند عزّ و جلّ پیامبر را از نماز گزاردن بر منافقان منع فرمود، پیامبر تکبیر می گفت و شهادتین را به زبان می آورد، سپس تکبیر می گفت و بر پیامبر صلّی الله علیه و آله درود می فرستاد، آن گاه تکبیر می گفت و برای مردان و زنان مؤمن طلب آمرزش می کرد، در نهایت نیز برای بار چهارم تکبیر می گفت و نماز را به پایان می رساند و برای میّت دعا نمی خواند</w:t>
      </w:r>
      <w:r>
        <w:rPr>
          <w:rFonts w:eastAsia="IRNazanin" w:cs="IRNazanin"/>
          <w:color w:val="111111"/>
          <w:sz w:val="28"/>
          <w:szCs w:val="28"/>
          <w:rtl w:val="true"/>
          <w:lang w:bidi="fa-IR"/>
        </w:rPr>
        <w:t>.</w:t>
      </w:r>
      <w:r>
        <w:rPr>
          <w:rStyle w:val="FootnoteAnchor"/>
          <w:rtl w:val="true"/>
        </w:rPr>
        <w:footnoteReference w:id="1693"/>
      </w:r>
    </w:p>
    <w:p>
      <w:pPr>
        <w:pStyle w:val="Heading5"/>
        <w:numPr>
          <w:ilvl w:val="4"/>
          <w:numId w:val="1"/>
        </w:numPr>
        <w:rPr/>
      </w:pPr>
      <w:bookmarkStart w:id="3331" w:name="__RefHeading___Toc607982_1934241801"/>
      <w:bookmarkStart w:id="3332" w:name="_Toc1535"/>
      <w:bookmarkEnd w:id="3331"/>
      <w:r>
        <w:rPr>
          <w:rtl w:val="true"/>
        </w:rPr>
        <w:t>تحقیق و تفصیل</w:t>
      </w:r>
      <w:bookmarkEnd w:id="3332"/>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شیخ در التهذیب این حدیث را با اسنادی که در آن سند ناشناس وجود دارد از امام صادق علیه السلام و از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هنگامی که بر میّت نماز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حدیث روایت کرده است، </w:t>
      </w:r>
    </w:p>
    <w:p>
      <w:pPr>
        <w:pStyle w:val="BookText"/>
        <w:rPr/>
      </w:pPr>
      <w:r>
        <w:rPr>
          <w:rFonts w:ascii="Amiri" w:hAnsi="Amiri" w:eastAsia="Amiri" w:cs="Amiri"/>
          <w:color w:val="111111"/>
          <w:sz w:val="28"/>
          <w:sz w:val="28"/>
          <w:szCs w:val="28"/>
          <w:rtl w:val="true"/>
          <w:lang w:bidi="ar-SA"/>
        </w:rPr>
        <w:t>فيه ثم كبر و صلي علي الأنبياء و في الثانية علي النبيين و في الأولي أيضا و دعا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اختلف الأصحاب في أنه هل تجب الصلاة علي غير المؤمن من فرق المسلمين فذهب الشيخ في جملة من كتبه و ابن الجنيد و المحقق إلي الوجوب و قال المفيد في المقنعة و لا يجوز لأحد من أهل الإيمان أن يغسل مخالفا للحق في الولاية و لا يصلي عليه إلا أن يدعوه ضرورة إلي ذلك من جهة التقية و إليه ذهب أبو الصلاح و ابن إدريس و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الاستدلال بهذا الخبر علي الوجوب لأن فعله صلي الله عليه و آله أعم منه و أيضا يمكن أن يكون صلاته عليهم لإظهارهم الإسلام و كونهم ظاهرا من المسلمين و التكبير عليهم أربعا بأمر الله تعالي لتبين نفاقهم لا ينافي لزوم الصلاة عليهم ظاهرا بل يتعين أن يكون كذلك لأن الله تعالي نهاه عن الصلاة علي الكافرين و لم تكن واسطة بين الإيمان و الكفر إلا بالنفاق و إسرار الكفر و مع إسرار الكفر كان يلزمه الصلاة عليهم بظاهر الإسلام كسائر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دل عليه الخبر من كون الصلاة علي المؤمن خمس تكبيرات فقد أجمع أصحابنا علي وجوبها و أخبارنا به مستفيضة بل متواترة و ذهب الفقهاء الأربعة من المخالفين و جماعة أخري منهم إلي أن التكبير أربع و أما كون الصلاة علي غير المؤمن أربعا فهو المقطوع به في كلامهم و يظهر لك من أمثال هذا الخبر أن منشأ اشتباه العامة لعنهم الله في الأربع هو فعل النبي صلي الله عليه و آله ذلك أحيانا و لم يفهموا جهة فعله بل أعماهم الله تعالي عن ذلك ليتيسر للشيعة العمل بهذا في الصلاة عليهم لكونهم من أخبث المنافقين لعنة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الأصحاب اختلفوا في وجوب الأدعية بين التكبيرات و استحبابها و الأشهر الوجوب و ربما يستدل عليه بهذا الخبر للتأسي مع أن قوله عليه السلام كان رسول الله صلي الله عليه و آله إذا صلي علي الميت كبر ظاهره المواظبة عليه و هذا مما</w:t>
      </w:r>
    </w:p>
    <w:p>
      <w:pPr>
        <w:pStyle w:val="BookText"/>
        <w:rPr/>
      </w:pPr>
      <w:r>
        <w:rPr>
          <w:rFonts w:ascii="IRNazanin" w:hAnsi="IRNazanin" w:eastAsia="IRNazanin"/>
          <w:color w:val="111111"/>
          <w:sz w:val="28"/>
          <w:sz w:val="28"/>
          <w:szCs w:val="28"/>
          <w:rtl w:val="true"/>
          <w:lang w:bidi="fa-IR"/>
        </w:rPr>
        <w:t>و این عبارت نیز به آن افزوده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تکبیر می گفت و بر انبیاء درود می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در حالت دوّم یعنی بعد از نهی نماز بر منافقان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حالت اول یعنی قبل از نهی نماز بر منافقان همین عبارت و دعا برای مؤمنین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فقها بر سر این نکته که آیا نماز گزاردن بر افراد غیر شیعه که در میان فرقه های مسلمانان وجود دارند واجب است یا خیر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تعدادی از کتاب های خویش، ابن جنید و محقّق به وجوب این امر اعتقاد دارند، ولی شیخ مفید در المقنعه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یک از اهل ایمان جایز نیست که جسد شخصی که در امور مربوط به ولایت با حقّ مخالف است را غسل دهد یا بر او نماز بگزارد، مگر اینکه دعوت شود و از سر تقیّه و بنا به ضرورت اقدام به انجام چنین عملی کند، ابوصلاح و ابن ادریس نیز قائل به این نظر هستند و این نظر خالی از صحّت و قوّت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این حدیث در تأیید حُکم وجوب مشکل به نظر می رسد، چرا که رفتار پیامبر صلّی الله علیه و آله اعّم از این امور است، همچنین ممکن است که نماز گزاردن پیامبر بر آنان به خاطر اظهار اسلام از سوی ایشان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مسلمان بودن ظاهری آنان و چهار مرتبه تکبیر گفتن بر میّت شان به امر خداوند متعال به منظور بیان نفاق شان، لزوم نماز گزاردن ظاهری بر آنان را نفی نمی کند، بلکه نماز خواندن این چنینی را متعین می کند چرا که خداوند متعال پیامبر را از نماز گزاردن بر کافران منع فرموده است، و هیچ واسطه ای میان ایمان و کفر به جز نفاق و پنهان داشتن کفر وجود ندارد، و با وجود پنهان داشتن کفر،و به دلیل اظهار اسلام نماز گزاردن بر آنان مانند سایر احکام لازم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حُکمی که حدیث مذکور برآن دلالت می کند که نماز گزاردن بر میّت مؤمن با پنج تکبیر است فقهای ما بر وجوب آن اتفاق نظر دارند، و احادیث ما در مورد آن به صورت مستفیض بلکه به صورت متواتر است، و فقهای اربعه از میان مخالفین و گروه دیگری از آنان قائل به چهار تکبیر هستند، ولی آن گونه که از کلام آنان برمی آید نماز گزاردن بر میّت غیر مؤمن با چهار تکبیر نظری قطعی به شمار می آید و با بررسی چنین احادیثی برای تو آشکار می گردد که منشاء مشتبه شدن امور برعامّه –لعنت خدا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نماز گزاردن بر میّت با چهار تکبیر، استناد به فعل پیامبر صلّی الله علیه و آله در برخی مواقع است، این در حالی است که آنان دلیل فعل پیامبر را درک نکرده اند، بلکه خداوند متعال از درک کردن و فهمیدن آن عاجز شان گردانده است تا برای شیعیان میّسر گردد که با نماز گزاردن بر آنان با چهار تکبیر به این حُکم عمل کنند، چرا که از خبیث ترین منافقان هستند، لعنت خدا بر همه آنان</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آگاه باش که فقها در مورد وجوب خواندن ادعیه در بین تکبیرها و استحباب آن اختلاف نظر دارند و نظر مشهورتر وجوب این امر است، و چه بسا تأیید چنین حکمی با استدلال بر این حدیث به منظور تأسّی و تبعیت باشد، چنان که از ظاهر این فرموده 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هنگامی که بر میّت نماز می گزارد تکبیر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مواظبت بر این عمل استنباط می شود، و این از جمله دلایلی است که بر وجود </w:t>
      </w:r>
      <w:bookmarkStart w:id="3333" w:name="pg13517_329372"/>
    </w:p>
    <w:p>
      <w:pPr>
        <w:pStyle w:val="BookText"/>
        <w:rPr/>
      </w:pPr>
      <w:bookmarkEnd w:id="3333"/>
      <w:r>
        <w:rPr>
          <w:rFonts w:ascii="Amiri" w:hAnsi="Amiri" w:eastAsia="Amiri" w:cs="Amiri"/>
          <w:color w:val="111111"/>
          <w:sz w:val="28"/>
          <w:sz w:val="28"/>
          <w:szCs w:val="28"/>
          <w:rtl w:val="true"/>
          <w:lang w:bidi="ar-SA"/>
        </w:rPr>
        <w:t>يؤكد التأسي و فيه كلام ليس المقام موضع تحقيقه و قد أومأنا إليه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اختلفوا في أنه هل يجب فيها لفظ مخصوص أم لا و الأشهر العدم و ربما يستدل علي الوجوب بنحو ما مر من التقريب و قد عرفت ما فيه 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المشهور بين القائلين بالتعيين العمل بهذا الخبر و بين القائلين بعدمه أفضليته لكن الأكثر لم يتعرضوا للصلاة علي الأنبياء مع دلالة الخبر عليه علي ما في التهذيب و إليه كان رجوعهم غالبا و الأحوط ضم الصلاة عليهم إلي الصلاة عليه و آله صلوات الله عليه و عليهم قال في الذكري تضمن خبر أم سلمة الصلاة علي الأنبياء من فعل النبي صلي الله عليه و آله فتحمل علي الاستحباب ثم قال نعم تجب الصلاة علي آل محمد إذا صلي عليه كما تضمنت الأخبار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مقتضي كلام ابن أبي عقيل أن الأفضل جمع الأذكار الأربعة عقيب كل تكبيرة و لا يعلم مستنده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 في أنه علي تقدير وجوب الصلاة علي المنافق و وجوب الأدعية هل يجب الدعاء عقيب الرابعة علي الميت أم لا فظاهر هذا الخبر سقوطه حيث قال ثم كبر الرابعة و انصرف و إن احتمل أن يكون المراد بالانصراف الانصراف عن التكبير و قوله و لم يدع للميت لا ينافي الدعاء عليه لكنه بعيد جدا قال في الذكري و الظاهر أن الدعاء علي هذا القسم غير واجب لأن التكبير عليه أربع و بها تخرج عن الصلاة و اعترض عليه بأن الدعاء للميت أو عليه لا يتعين وقوعه بعد الرابعة و قد ورد بالأمر بالدعاء علي المنافق روايات</w:t>
      </w:r>
      <w:r>
        <w:rPr>
          <w:rFonts w:eastAsia="Amiri" w:cs="Amiri" w:ascii="Amiri" w:hAnsi="Amiri"/>
          <w:color w:val="111111"/>
          <w:sz w:val="28"/>
          <w:szCs w:val="28"/>
          <w:rtl w:val="true"/>
          <w:lang w:bidi="ar-SA"/>
        </w:rPr>
        <w:t>.</w:t>
      </w:r>
    </w:p>
    <w:p>
      <w:pPr>
        <w:pStyle w:val="Heading5"/>
        <w:numPr>
          <w:ilvl w:val="4"/>
          <w:numId w:val="1"/>
        </w:numPr>
        <w:rPr/>
      </w:pPr>
      <w:bookmarkStart w:id="3334" w:name="__RefHeading___Toc607984_1934241801"/>
      <w:bookmarkStart w:id="3335" w:name="_Toc1536"/>
      <w:bookmarkEnd w:id="3334"/>
      <w:r>
        <w:rPr>
          <w:rtl w:val="true"/>
        </w:rPr>
        <w:t>أقول</w:t>
      </w:r>
      <w:bookmarkEnd w:id="3335"/>
    </w:p>
    <w:p>
      <w:pPr>
        <w:pStyle w:val="BookText"/>
        <w:rPr/>
      </w:pPr>
      <w:r>
        <w:rPr>
          <w:rFonts w:ascii="Amiri" w:hAnsi="Amiri" w:eastAsia="Amiri" w:cs="Amiri"/>
          <w:color w:val="111111"/>
          <w:sz w:val="28"/>
          <w:sz w:val="28"/>
          <w:szCs w:val="28"/>
          <w:rtl w:val="true"/>
          <w:lang w:bidi="ar-SA"/>
        </w:rPr>
        <w:t>و يرد عليه أيضا أن الخروج بالتكبيرة الرابعة غير مسلم إذ يمكن أن يكون الخروج بإتمام الدعاء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فصلي علي النبي صلي الله عليه و آله و دعا أي للنبي صلي الله عليه و آله أو للميت أو الأعم و تركه في الصلاة علي المنافق ربما يؤيد الثاني قوله عليه السلام فلما نهاه الله عز و جل عن الصلاة علي المنافقين أي الدعاء لهم لأنه ذكر</w:t>
      </w:r>
    </w:p>
    <w:p>
      <w:pPr>
        <w:pStyle w:val="BookText"/>
        <w:rPr/>
      </w:pPr>
      <w:r>
        <w:rPr>
          <w:rFonts w:ascii="IRNazanin" w:hAnsi="IRNazanin" w:eastAsia="IRNazanin"/>
          <w:color w:val="111111"/>
          <w:sz w:val="28"/>
          <w:sz w:val="28"/>
          <w:szCs w:val="28"/>
          <w:rtl w:val="true"/>
          <w:lang w:bidi="fa-IR"/>
        </w:rPr>
        <w:t>تأسّی و تبعیّت تأکید دارد؛ و در این باره نظراتی وجود دارد که اکنون و در این جایگاه امکان بحث و بررسی در مورد آن وجود ندارد و پیش تر به آنان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بر سر این موضوع نیز دچار اختلاف شده اند که آیا برای ادعیه بین تکبیرها باید از الفاظ مخصوصی استفاده شود یا خیر؟ نظر مشهور این است که نیازی به استخدام الفاظ مخصوص نیست، و چه بسا با استناد به نمونه هایی شبیه به آنچه تقریب شد، بر وجوب ذکر الفاظ مخصوص استدلال شود، و کمی پیش از این از اشکالات آن آگاه 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نظر مشهور در میان فقهایی که قائل به تعیین هستند عمل کردن به مفاد این حدیث می باشد، و فقهایی که قائل به عدم تعیین هستند به افضلیّت و برتری این حدیث اعتقاد دارند، امّا غالبا آنان با وجود دلالت حدیث روایت شده در التهذیب بر درود فرستادن بر تمام انبیاء در خلال تکبیرها به این مسأله اهتمام و توجه نشان نداده اند، این در حالی است که مرجع آنان در ارائه نظرات غالبا کتاب التهذیب بوده است، و احوط فرستان درود و صلوات بر انبیاء علیهم السلام همراه با درود و صلوات فرستادن بر پیامبر و اهل بیت علیهم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أم سلمه در بردارنده این نکته است که درود فرستادن بر انبیاء از جمله افعال پیامبر صلّی الله علیه و آله می باشد، بنابراین حمل بر استحباب می شود،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هنگامی که بر پیامبر درود و صلوات می فرستی واجب است که بر اهل بیت او نیز درود و صلوات بفرستی، چنان که احادیث نیز در بردارنده این نکته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ابن أبی عقیل نیز چنین اقتضا می کند که بعد از هر تکبیر همگی اذکار اربعه ذکر گردد، و منبع استناد او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بر سر این نکته هم اختلاف نظر پیش آمده است که در صورت پذیرفتن حکم وجوب نماز گزاردن بر منافق و ذکر ادعیّه، آیا واجب است پس از تکبیر چهارم بر میّت دعا خوانده شود یا خیر؟ از ظاهر حدیث مذکور چنین بر می آید که پس از تکبیر چهارم نیازی به دعا خواندن بر میّت منافق وجود ندارد، چرا که امام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برای بار چهارم تکبیر می گفت و نماز را به پایان می رساند، هر چند این احتمال نیز وجود دارد که مقصود از انصراف، منصرف شدن از ذکر تکبیر باشد؛ و این فرموده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یدع للمیّت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میّت دعا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منافی دعا کردن علیه میّت نمی باشد، ولی بسیار بعید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است که دعا خواندن علیه این گروه واجب نیست، چرا که تعداد تکبیر هایی که هنگام نماز گزاردن بر آنان به زبان آورده می شود چهار است و با تکبیر چهارم نماز را به پایان می رسانی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ردّ دلیل شهید گفته اند که زمان دعا خواندن برای میّت یا علیه او پس از تکبیر چهارم تعیین نشده است، و در تأیید دعا خواندن علیه منافق احادیث متعددی روایت شده است</w:t>
      </w:r>
      <w:r>
        <w:rPr>
          <w:rFonts w:eastAsia="IRNazanin" w:cs="IRNazanin"/>
          <w:color w:val="111111"/>
          <w:sz w:val="28"/>
          <w:szCs w:val="28"/>
          <w:rtl w:val="true"/>
          <w:lang w:bidi="fa-IR"/>
        </w:rPr>
        <w:t>.</w:t>
      </w:r>
    </w:p>
    <w:p>
      <w:pPr>
        <w:pStyle w:val="Heading5"/>
        <w:numPr>
          <w:ilvl w:val="4"/>
          <w:numId w:val="1"/>
        </w:numPr>
        <w:rPr/>
      </w:pPr>
      <w:bookmarkStart w:id="3336" w:name="__RefHeading___Toc607986_1934241801"/>
      <w:bookmarkStart w:id="3337" w:name="_Toc1537"/>
      <w:bookmarkEnd w:id="3336"/>
      <w:r>
        <w:rPr>
          <w:rtl w:val="true"/>
        </w:rPr>
        <w:t>می گویم</w:t>
      </w:r>
      <w:bookmarkEnd w:id="3337"/>
    </w:p>
    <w:p>
      <w:pPr>
        <w:pStyle w:val="BookText"/>
        <w:rPr/>
      </w:pPr>
      <w:r>
        <w:rPr>
          <w:rFonts w:ascii="IRNazanin" w:hAnsi="IRNazanin" w:eastAsia="IRNazanin"/>
          <w:color w:val="111111"/>
          <w:sz w:val="28"/>
          <w:sz w:val="28"/>
          <w:szCs w:val="28"/>
          <w:rtl w:val="true"/>
          <w:lang w:bidi="fa-IR"/>
        </w:rPr>
        <w:t>همچنین در پاسخ به دلیل شهید می توان گفت که خروج از نماز همزمان با ذکر تکبیر چهارم ضروری و قطعی نیست، چرا که ممکن است نماز با اتمام دعای چهارم به پایان رسانده شود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فرموده 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فصلّی علی النبیّ صلّی الله علیه و آله 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صلوات بر پیامبر برای ایشان و یا میّت دعا خواند و یا اینکه به صورت عامّ به دعا کردن پرداخت، و ترک دعا خواندن در نمازی که بر میّت منافق گزارده می شود چه بسا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خواندن برای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نهاه الله عزّ و جلّ من الصلاة علی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خواندن برای منافقین می باشد، زیرا </w:t>
      </w:r>
      <w:bookmarkStart w:id="3338" w:name="pg13517_329373"/>
    </w:p>
    <w:p>
      <w:pPr>
        <w:pStyle w:val="BookText"/>
        <w:rPr/>
      </w:pPr>
      <w:bookmarkEnd w:id="3338"/>
      <w:r>
        <w:rPr>
          <w:rFonts w:ascii="Amiri" w:hAnsi="Amiri" w:eastAsia="Amiri" w:cs="Amiri"/>
          <w:color w:val="111111"/>
          <w:sz w:val="28"/>
          <w:sz w:val="28"/>
          <w:szCs w:val="28"/>
          <w:rtl w:val="true"/>
          <w:lang w:bidi="ar-SA"/>
        </w:rPr>
        <w:t>بعد ذلك الصلاة و قال و لم يدع للميت و إن احتمل أن يكون المراد به النهي عن الصلاة الكاملة المعهودة التي كان يأتي بها للمؤمنين بل أمره بنقصها لكنه بعيد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الظاهر من الأخبار و كلام الأصحاب أن المراد بالمنافق غير الإمامي لإطلاقه في مقابلة المؤمن</w:t>
      </w:r>
      <w:r>
        <w:rPr>
          <w:rFonts w:eastAsia="Amiri" w:cs="Amiri" w:ascii="Amiri" w:hAnsi="Amiri"/>
          <w:color w:val="111111"/>
          <w:sz w:val="28"/>
          <w:szCs w:val="28"/>
          <w:rtl w:val="true"/>
          <w:lang w:bidi="ar-SA"/>
        </w:rPr>
        <w:t>.</w:t>
      </w:r>
    </w:p>
    <w:p>
      <w:pPr>
        <w:pStyle w:val="Heading5"/>
        <w:numPr>
          <w:ilvl w:val="4"/>
          <w:numId w:val="1"/>
        </w:numPr>
        <w:rPr/>
      </w:pPr>
      <w:bookmarkStart w:id="3339" w:name="__RefHeading___Toc607988_1934241801"/>
      <w:bookmarkStart w:id="3340" w:name="_Toc1538"/>
      <w:bookmarkEnd w:id="3339"/>
      <w:r>
        <w:rPr>
          <w:rtl w:val="true"/>
        </w:rPr>
        <w:t>«</w:t>
      </w:r>
      <w:r>
        <w:rPr/>
        <w:t>2</w:t>
      </w:r>
      <w:r>
        <w:rPr>
          <w:rtl w:val="true"/>
        </w:rPr>
        <w:t>»</w:t>
      </w:r>
      <w:bookmarkEnd w:id="3340"/>
    </w:p>
    <w:p>
      <w:pPr>
        <w:pStyle w:val="BookText"/>
        <w:rPr/>
      </w:pPr>
      <w:r>
        <w:rPr>
          <w:rFonts w:ascii="Amiri" w:hAnsi="Amiri" w:eastAsia="Amiri" w:cs="Amiri"/>
          <w:color w:val="111111"/>
          <w:sz w:val="28"/>
          <w:sz w:val="28"/>
          <w:szCs w:val="28"/>
          <w:rtl w:val="true"/>
          <w:lang w:bidi="ar-SA"/>
        </w:rPr>
        <w:t>الْخِصَالُ، وَ الْعِلَلُ، عَنْ أَبِيهِ عَنْ سَعْدِ بْنِ عَبْدِ اللَّهِ عَنْ أَحْمَدَ بْنِ مُحَمَّدٍ وَ عَنِ ابْنِ الْوَلِيدِ عَنِ الصَّفَّارِ عَنْ أَحْمَدَ بْنِ مُحَمَّدٍ عَنْ عَلِيِّ بْنِ الْحَكَمِ عَنْ عُثْمَانَ بْنِ عَبْدِ الْمَلِكِ عَنْ أَبِي بَكْرٍ الْحَضْرَمِيِّ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بَكْرٍ تَدْرِي كَمِ الصَّلَاةُ عَلَي الْمَيِّتِ قُلْتُ لَا قَالَ خَمْسُ تَكْبِيرَاتٍ ثُمَّ قَالَ فَتَدْرِي مِنْ أَيْنَ أُخِذَتْ قُلْتُ لَا قَالَ أُخِذَتِ الْخَمْسُ مِنَ الْخَمْسِ صَلَوَاتٍ مِنْ كُلِّ صَلَاةٍ تَكْبِيرَةٌ</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علي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1" w:name="__RefHeading___Toc607990_1934241801"/>
      <w:bookmarkStart w:id="3342" w:name="_Toc1539"/>
      <w:bookmarkEnd w:id="3341"/>
      <w:r>
        <w:rPr>
          <w:rtl w:val="true"/>
        </w:rPr>
        <w:t>«</w:t>
      </w:r>
      <w:r>
        <w:rPr/>
        <w:t>3</w:t>
      </w:r>
      <w:r>
        <w:rPr>
          <w:rtl w:val="true"/>
        </w:rPr>
        <w:t>»</w:t>
      </w:r>
      <w:bookmarkEnd w:id="3342"/>
    </w:p>
    <w:p>
      <w:pPr>
        <w:pStyle w:val="BookText"/>
        <w:rPr/>
      </w:pPr>
      <w:r>
        <w:rPr>
          <w:rFonts w:ascii="Amiri" w:hAnsi="Amiri" w:eastAsia="Amiri" w:cs="Amiri"/>
          <w:color w:val="111111"/>
          <w:sz w:val="28"/>
          <w:sz w:val="28"/>
          <w:szCs w:val="28"/>
          <w:rtl w:val="true"/>
          <w:lang w:bidi="ar-SA"/>
        </w:rPr>
        <w:t>الْعِلَلُ، عَنْ مُحَمَّدِ بْنِ الْحَسَنِ عَنْ مُحَمَّدِ بْنِ الْحَسَنِ الصَّفَّارِ عَنِ الْفَضْلِ بْنِ عَامِرٍ عَنْ مُوسَي بْنِ الْقَاسِمِ عَنْ سُلَيْمَانَ بْنِ جَعْفَرٍ الْجَعْفَرِيِّ عَنْ أَبِيهِ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مِنَ الصَّلَاةِ خَمْساً وَ جَعَلَ لِلْمَيِّتِ مِنْ كُلِّ صَلَاةٍ تَكْبِيرَةً</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697"/>
      </w:r>
    </w:p>
    <w:p>
      <w:pPr>
        <w:pStyle w:val="Heading5"/>
        <w:numPr>
          <w:ilvl w:val="4"/>
          <w:numId w:val="1"/>
        </w:numPr>
        <w:rPr/>
      </w:pPr>
      <w:bookmarkStart w:id="3343" w:name="__RefHeading___Toc607992_1934241801"/>
      <w:bookmarkStart w:id="3344" w:name="_Toc1540"/>
      <w:bookmarkEnd w:id="3343"/>
      <w:r>
        <w:rPr>
          <w:rtl w:val="true"/>
        </w:rPr>
        <w:t>بيان</w:t>
      </w:r>
      <w:bookmarkEnd w:id="3344"/>
    </w:p>
    <w:p>
      <w:pPr>
        <w:pStyle w:val="BookText"/>
        <w:rPr/>
      </w:pPr>
      <w:r>
        <w:rPr>
          <w:rFonts w:ascii="Amiri" w:hAnsi="Amiri" w:eastAsia="Amiri" w:cs="Amiri"/>
          <w:color w:val="111111"/>
          <w:sz w:val="28"/>
          <w:sz w:val="28"/>
          <w:szCs w:val="28"/>
          <w:rtl w:val="true"/>
          <w:lang w:bidi="ar-SA"/>
        </w:rPr>
        <w:t>اعلم أن الظاهر من كلام أكثر المتأخرين أن التكبيرات فيها ركن تبطل الصلاة بتركها عمدا و سهوا و ربما يستدل عليه بأمثال هذا الخبر فإن الظاهر منها كونها مأخوذة من التكبيرات الإحرامية و هي ركن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این کلام به ذکر نماز گزاردن نیز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احتمال دارد که منظور از این کلام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یَدع للمیّت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پیامبر از گزاردن نماز کامل و معهودی باشد که بر مؤمنان می گزارده است، بلکه امر به ناقص گزاردن نماز بر منافقان باشد، ولی چنان که پوشیده نیست این احتمال بعید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آگاه باش آنچه از ظاهر احادیث و کلام فقها برداشت می شود این است که منظور از منافق کسی است که شیعه امامیّه نباشد، به دلیل این اطلاق که در مقابل لفظ مؤمن قرار گرفته</w:t>
      </w:r>
      <w:r>
        <w:rPr>
          <w:rFonts w:eastAsia="IRNazanin" w:cs="IRNazanin"/>
          <w:color w:val="111111"/>
          <w:sz w:val="28"/>
          <w:szCs w:val="28"/>
          <w:rtl w:val="true"/>
          <w:lang w:bidi="fa-IR"/>
        </w:rPr>
        <w:t>.</w:t>
      </w:r>
    </w:p>
    <w:p>
      <w:pPr>
        <w:pStyle w:val="Heading5"/>
        <w:numPr>
          <w:ilvl w:val="4"/>
          <w:numId w:val="1"/>
        </w:numPr>
        <w:rPr/>
      </w:pPr>
      <w:bookmarkStart w:id="3345" w:name="__RefHeading___Toc607994_1934241801"/>
      <w:bookmarkStart w:id="3346" w:name="_Toc1541"/>
      <w:bookmarkEnd w:id="3345"/>
      <w:r>
        <w:rPr>
          <w:rtl w:val="true"/>
        </w:rPr>
        <w:t xml:space="preserve">روایت </w:t>
      </w:r>
      <w:r>
        <w:rPr/>
        <w:t>2</w:t>
      </w:r>
      <w:bookmarkEnd w:id="3346"/>
    </w:p>
    <w:p>
      <w:pPr>
        <w:pStyle w:val="BookText"/>
        <w:rPr/>
      </w:pPr>
      <w:r>
        <w:rPr>
          <w:rFonts w:ascii="IRNazanin" w:hAnsi="IRNazanin" w:eastAsia="IRNazanin"/>
          <w:color w:val="111111"/>
          <w:sz w:val="28"/>
          <w:sz w:val="28"/>
          <w:szCs w:val="28"/>
          <w:rtl w:val="true"/>
          <w:lang w:bidi="fa-IR"/>
        </w:rPr>
        <w:t>الخصال و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حضرمیّ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آیا می دانی که در نماز بر میّت چند تکبیر وجود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تکبیر، سپس فرمود آیا می دانی این پنج تکبیر با عنایت به چه چیزی تعیین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نماز های پنج گانه که از هر یک از آن ها یک تکبیر گرفته شده است</w:t>
      </w:r>
      <w:r>
        <w:rPr>
          <w:rFonts w:eastAsia="IRNazanin" w:cs="IRNazanin"/>
          <w:color w:val="111111"/>
          <w:sz w:val="28"/>
          <w:szCs w:val="28"/>
          <w:rtl w:val="true"/>
          <w:lang w:bidi="fa-IR"/>
        </w:rPr>
        <w:t>.</w:t>
      </w:r>
      <w:r>
        <w:rPr>
          <w:rStyle w:val="FootnoteAnchor"/>
          <w:rtl w:val="true"/>
        </w:rPr>
        <w:footnoteReference w:id="1698"/>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حکم نظیر این حدیث روایت شده است</w:t>
      </w:r>
      <w:r>
        <w:rPr>
          <w:rFonts w:eastAsia="IRNazanin" w:cs="IRNazanin"/>
          <w:color w:val="111111"/>
          <w:sz w:val="28"/>
          <w:szCs w:val="28"/>
          <w:rtl w:val="true"/>
          <w:lang w:bidi="fa-IR"/>
        </w:rPr>
        <w:t>.</w:t>
      </w:r>
      <w:r>
        <w:rPr>
          <w:rStyle w:val="FootnoteAnchor"/>
          <w:rtl w:val="true"/>
        </w:rPr>
        <w:footnoteReference w:id="1699"/>
      </w:r>
    </w:p>
    <w:p>
      <w:pPr>
        <w:pStyle w:val="Heading5"/>
        <w:numPr>
          <w:ilvl w:val="4"/>
          <w:numId w:val="1"/>
        </w:numPr>
        <w:rPr/>
      </w:pPr>
      <w:bookmarkStart w:id="3347" w:name="__RefHeading___Toc607996_1934241801"/>
      <w:bookmarkStart w:id="3348" w:name="_Toc1542"/>
      <w:bookmarkEnd w:id="3347"/>
      <w:r>
        <w:rPr>
          <w:rtl w:val="true"/>
        </w:rPr>
        <w:t xml:space="preserve">روایت </w:t>
      </w:r>
      <w:r>
        <w:rPr/>
        <w:t>3</w:t>
      </w:r>
      <w:bookmarkEnd w:id="3348"/>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در هر شبانه روز پنج نماز را واجب گردانده است و در نمازی که بر میّت گذارده می شود از هر یک از نمازهای پنج گانه یک تکبیر قرار داده شده است</w:t>
      </w:r>
      <w:r>
        <w:rPr>
          <w:rFonts w:eastAsia="IRNazanin" w:cs="IRNazanin"/>
          <w:color w:val="111111"/>
          <w:sz w:val="28"/>
          <w:szCs w:val="28"/>
          <w:rtl w:val="true"/>
          <w:lang w:bidi="fa-IR"/>
        </w:rPr>
        <w:t>.</w:t>
      </w:r>
      <w:r>
        <w:rPr>
          <w:rStyle w:val="FootnoteAnchor"/>
          <w:rtl w:val="true"/>
        </w:rPr>
        <w:footnoteReference w:id="1700"/>
      </w:r>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به صورت مرسل روایت شده است</w:t>
      </w:r>
      <w:r>
        <w:rPr>
          <w:rFonts w:eastAsia="IRNazanin" w:cs="IRNazanin"/>
          <w:color w:val="111111"/>
          <w:sz w:val="28"/>
          <w:szCs w:val="28"/>
          <w:rtl w:val="true"/>
          <w:lang w:bidi="fa-IR"/>
        </w:rPr>
        <w:t>.</w:t>
      </w:r>
      <w:r>
        <w:rPr>
          <w:rStyle w:val="FootnoteAnchor"/>
          <w:rtl w:val="true"/>
        </w:rPr>
        <w:footnoteReference w:id="1701"/>
      </w:r>
    </w:p>
    <w:p>
      <w:pPr>
        <w:pStyle w:val="Heading5"/>
        <w:numPr>
          <w:ilvl w:val="4"/>
          <w:numId w:val="1"/>
        </w:numPr>
        <w:rPr/>
      </w:pPr>
      <w:bookmarkStart w:id="3349" w:name="__RefHeading___Toc607998_1934241801"/>
      <w:bookmarkStart w:id="3350" w:name="_Toc1543"/>
      <w:bookmarkEnd w:id="3349"/>
      <w:r>
        <w:rPr>
          <w:rtl w:val="true"/>
        </w:rPr>
        <w:t>توضیح</w:t>
      </w:r>
      <w:bookmarkEnd w:id="3350"/>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از ظاهر کلام اکثر فقهای معاصر چنین بر می آید که تکبیرها در نماز میّت جزء ارکان به شمار می آیند و ترک عمدی یا سهوی آن ها باعث باطل شدن نماز می گردد، و چه بسا که در تأیید این نظر به امثال این حدیث استدلال می شود، چرا که ظاهر احادیث بیان گر این مطلب است که تکبیرهای نماز میّت از تکبیره الإحرام نمازهای پنج گانه که خود از ارکان نماز است گرفته شده است</w:t>
      </w:r>
      <w:r>
        <w:rPr>
          <w:rFonts w:eastAsia="IRNazanin" w:cs="IRNazanin"/>
          <w:color w:val="111111"/>
          <w:sz w:val="28"/>
          <w:szCs w:val="28"/>
          <w:rtl w:val="true"/>
          <w:lang w:bidi="fa-IR"/>
        </w:rPr>
        <w:t xml:space="preserve">. </w:t>
      </w:r>
      <w:bookmarkStart w:id="3351" w:name="pg13517_329374"/>
    </w:p>
    <w:p>
      <w:pPr>
        <w:pStyle w:val="BookText"/>
        <w:rPr/>
      </w:pPr>
      <w:bookmarkEnd w:id="3351"/>
      <w:r>
        <w:rPr>
          <w:rFonts w:ascii="Amiri" w:hAnsi="Amiri" w:eastAsia="Amiri" w:cs="Amiri"/>
          <w:color w:val="111111"/>
          <w:sz w:val="28"/>
          <w:sz w:val="28"/>
          <w:szCs w:val="28"/>
          <w:rtl w:val="true"/>
          <w:lang w:bidi="ar-SA"/>
        </w:rPr>
        <w:t>و فيه نظر من وجهين الأول عدم صراحة الأخبار في كون المأخوذ منها التكبيرات الإحرامية إذ لعل المعني أنه جعل بإزاء كل صلاة هنا تكبيرة لكن سيأتي في علل الفضل ما يدل علي أنها مأخوذة من التكبيرات الإحرامية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أنه علي تقدير تسليم كونها مأخوذة من التكبيرات الإحرامية لا يلزم من كونها في المأخوذ منها ركنا كونها في تلك الصلاة أيضا ركنا نعم يمكن أن يتمسك بأنه لو أخل بواحدة منها لم يأت بالهيئة المأثورة فلم يتحقق الامتثال المقتضي للأجزاء</w:t>
      </w:r>
      <w:r>
        <w:rPr>
          <w:rFonts w:eastAsia="Amiri" w:cs="Amiri" w:ascii="Amiri" w:hAnsi="Amiri"/>
          <w:color w:val="111111"/>
          <w:sz w:val="28"/>
          <w:szCs w:val="28"/>
          <w:rtl w:val="true"/>
          <w:lang w:bidi="ar-SA"/>
        </w:rPr>
        <w:t>.</w:t>
      </w:r>
    </w:p>
    <w:p>
      <w:pPr>
        <w:pStyle w:val="Heading5"/>
        <w:numPr>
          <w:ilvl w:val="4"/>
          <w:numId w:val="1"/>
        </w:numPr>
        <w:rPr/>
      </w:pPr>
      <w:bookmarkStart w:id="3352" w:name="__RefHeading___Toc608000_1934241801"/>
      <w:bookmarkStart w:id="3353" w:name="_Toc1544"/>
      <w:bookmarkEnd w:id="3352"/>
      <w:r>
        <w:rPr>
          <w:rtl w:val="true"/>
        </w:rPr>
        <w:t>«</w:t>
      </w:r>
      <w:r>
        <w:rPr/>
        <w:t>4</w:t>
      </w:r>
      <w:r>
        <w:rPr>
          <w:rtl w:val="true"/>
        </w:rPr>
        <w:t>»</w:t>
      </w:r>
      <w:bookmarkEnd w:id="3353"/>
    </w:p>
    <w:p>
      <w:pPr>
        <w:pStyle w:val="BookText"/>
        <w:rPr/>
      </w:pPr>
      <w:r>
        <w:rPr>
          <w:rFonts w:ascii="Amiri" w:hAnsi="Amiri" w:eastAsia="Amiri" w:cs="Amiri"/>
          <w:color w:val="111111"/>
          <w:sz w:val="28"/>
          <w:sz w:val="28"/>
          <w:szCs w:val="28"/>
          <w:rtl w:val="true"/>
          <w:lang w:bidi="ar-SA"/>
        </w:rPr>
        <w:t>الْعِلَلُ، عَنْ عَلِيِّ بْنِ أَحْمَدَ عَنْ مُحَمَّدِ بْنِ أَبِي عَبْدِ اللَّهِ عَنْ مُوسَي بْنِ عِمْرَانَ عَنْ عَمِّهِ الْحُسَيْنِ بْنِ يَزِيدَ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لِأَيِّ عِلَّةٍ نُكَبِّرُ عَلَي الْمَيِّتِ خَمْسَ تَكْبِيرَاتٍ وَ يُكَبِّرُ مُخَالِفُونَا أَرْبَعَ تَكْبِيرَاتٍ قَالَ لِأَنَّ الدَّعَائِمَ الَّتِي بُنِيَ عَلَيْهَا الْإِسْلَامُ خَمْسٌ الصَّلَاةُ وَ الزَّكَاةُ وَ الصَّوْمُ وَ الْحَجُّ وَ الْوَلَايَةُ لَنَا أَهْلَ الْبَيْتِ فَجَعَلَ اللَّهُ عَزَّ وَ جَلَّ مِنْ كُلِّ دِعَامَةٍ تَكْبِيرَةً وَ إِنَّكُمْ أَقْرَرْتُمْ بِالْخَمْسِ كُلِّهَا وَ أَقَرَّ مُخَالِفُوكُمْ بِأَرْبَعٍ وَ أَنْكَرُوا وَاحِدَةً فَمِنْ ذَاكَ يُكَبِّرُونَ عَلَي مَوْتَاهُمْ أَرْبَعَ تَكْبِيرَاتٍ وَ تُكَبِّرُونَ خَمْساً</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54" w:name="__RefHeading___Toc608002_1934241801"/>
      <w:bookmarkStart w:id="3355" w:name="_Toc1545"/>
      <w:bookmarkEnd w:id="3354"/>
      <w:r>
        <w:rPr>
          <w:rtl w:val="true"/>
        </w:rPr>
        <w:t>«</w:t>
      </w:r>
      <w:r>
        <w:rPr/>
        <w:t>5</w:t>
      </w:r>
      <w:r>
        <w:rPr>
          <w:rtl w:val="true"/>
        </w:rPr>
        <w:t>»</w:t>
      </w:r>
      <w:bookmarkEnd w:id="3355"/>
    </w:p>
    <w:p>
      <w:pPr>
        <w:pStyle w:val="BookText"/>
        <w:rPr/>
      </w:pPr>
      <w:r>
        <w:rPr>
          <w:rFonts w:ascii="Amiri" w:hAnsi="Amiri" w:eastAsia="Amiri" w:cs="Amiri"/>
          <w:color w:val="111111"/>
          <w:sz w:val="28"/>
          <w:sz w:val="28"/>
          <w:szCs w:val="28"/>
          <w:rtl w:val="true"/>
          <w:lang w:bidi="ar-SA"/>
        </w:rPr>
        <w:t>وَ مِنْهُ، عَنْ أَبِيهِ عَنْ عَلِيِّ بْنِ إِبْرَاهِيمَ عَنْ أَبِيهِ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يُكَبِّرُ عَلَي قَوْمٍ خَمْساً وَ عَلَي قَوْمٍ أَرْبَعاً فَإِذَا كَبَّرَ عَلَي رَجُلٍ أَرْبَعاً اتُّهِمَ الرَّجُلُ‌</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56" w:name="__RefHeading___Toc608004_1934241801"/>
      <w:bookmarkStart w:id="3357" w:name="_Toc1546"/>
      <w:bookmarkEnd w:id="3356"/>
      <w:r>
        <w:rPr>
          <w:rtl w:val="true"/>
        </w:rPr>
        <w:t>«</w:t>
      </w:r>
      <w:r>
        <w:rPr/>
        <w:t>6</w:t>
      </w:r>
      <w:r>
        <w:rPr>
          <w:rtl w:val="true"/>
        </w:rPr>
        <w:t>»</w:t>
      </w:r>
      <w:bookmarkEnd w:id="3357"/>
    </w:p>
    <w:p>
      <w:pPr>
        <w:pStyle w:val="BookText"/>
        <w:rPr/>
      </w:pPr>
      <w:r>
        <w:rPr>
          <w:rFonts w:ascii="Amiri" w:hAnsi="Amiri" w:eastAsia="Amiri" w:cs="Amiri"/>
          <w:color w:val="111111"/>
          <w:sz w:val="28"/>
          <w:sz w:val="28"/>
          <w:szCs w:val="28"/>
          <w:rtl w:val="true"/>
          <w:lang w:bidi="ar-SA"/>
        </w:rPr>
        <w:t>وَ مِنْهُ، عَنْ مُحَمَّدِ بْنِ عَلِيٍّ مَاجِيلَوَيْهِ عَنْ مُحَمَّدِ بْنِ يَحْيَي الْعَطَّارِ عَنْ جَعْفَرِ بْنِ مُحَمَّدِ بْنِ مَالِكٍ عَنْ أَحْمَدَ بْنِ هَيْثَمٍ عَنْ عَلِيِّ بْنِ خَطَّابٍ الْحَلَّالِ عَنْ إِبْرَاهِيمَ بْنِ مُحَمَّدِ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مِنْ مَكَّةَ فَدَخَلْنَا عَلَي أَبِي عَبْدِ اللَّهِ عليه السلام فَذَكَرَ الصَّلَاةَ عَلَي الْجَنَائِزِ فَقَالَ كَانَ يُعْرَفُ الْمُؤْمِنُ وَ الْمُنَافِقُ بِتَكْبِيرِ رَسُولِ اللَّهِ صلي الله عليه و آله</w:t>
      </w:r>
    </w:p>
    <w:p>
      <w:pPr>
        <w:pStyle w:val="BookText"/>
        <w:rPr/>
      </w:pPr>
      <w:r>
        <w:rPr>
          <w:rFonts w:ascii="IRNazanin" w:hAnsi="IRNazanin" w:eastAsia="IRNazanin"/>
          <w:color w:val="111111"/>
          <w:sz w:val="28"/>
          <w:sz w:val="28"/>
          <w:szCs w:val="28"/>
          <w:rtl w:val="true"/>
          <w:lang w:bidi="fa-IR"/>
        </w:rPr>
        <w:t>این نظر از دوجنبه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عدم صراحت احادیث در گرفته شدن تکبیرهای نماز میّت از تکبیره الإحرام نمازهای پنج گانه، چرا که ممکن است معنا چنین باشد که به ازای هر یک از نمازهای پنج گانه یک تکبیر در نماز میّت قرار داده شده است، ولی در علل فضیلت نماز نکاتی ذکر خواهد شد که بر گرفته شدن تکبیرهای این نماز از تکبیره الإحرام نمازهای پنج گانه دلالت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پذیرفتن این نکته که تکبیرهای نماز میّت برگرفته از تکبیره الإحرام نمازهای پنج گانه هستند، ضرورت و الزامی وجود ندارد که رکن بودن این تکبیرها در نماز های پنج گانه به معنای رکن بودن آن ها در نماز میّت باشد، آری ممکن است به این نکته تمسّک شود که اگر در یکی از تکبیرهای نماز میّت اخلال ایجاد شود، حقّ نماز به صورتی که در روایات نقل شده است ادا نمی شود، بنابراین امتثال و تبعیّتی که اقتضای إجزا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تکلیف از گردن ساقط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نمی شود </w:t>
      </w:r>
      <w:r>
        <w:rPr>
          <w:rFonts w:eastAsia="IRNazanin" w:cs="IRNazanin"/>
          <w:color w:val="111111"/>
          <w:sz w:val="28"/>
          <w:szCs w:val="28"/>
          <w:rtl w:val="true"/>
          <w:lang w:bidi="fa-IR"/>
        </w:rPr>
        <w:t>.</w:t>
      </w:r>
    </w:p>
    <w:p>
      <w:pPr>
        <w:pStyle w:val="Heading5"/>
        <w:numPr>
          <w:ilvl w:val="4"/>
          <w:numId w:val="1"/>
        </w:numPr>
        <w:rPr/>
      </w:pPr>
      <w:bookmarkStart w:id="3358" w:name="__RefHeading___Toc608006_1934241801"/>
      <w:bookmarkStart w:id="3359" w:name="_Toc1547"/>
      <w:bookmarkEnd w:id="3358"/>
      <w:r>
        <w:rPr>
          <w:rtl w:val="true"/>
        </w:rPr>
        <w:t xml:space="preserve">روایت </w:t>
      </w:r>
      <w:r>
        <w:rPr/>
        <w:t>4</w:t>
      </w:r>
      <w:bookmarkEnd w:id="3359"/>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ما شیعیان در نماز میّت پنج بار تکبیر می گوییم در حالی که مخالفان ما چهار بار تکبیر می گویند؟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اسلام بر پنج پایه بنیان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حج، دوستی و ولایت پذیری ما اهل بیت، خداوند با عنایت به هر یک از این پایه ها تکبیری را در نماز میّت قرار داده است، شما به هر پنج پایه اقرار کرده و به آن ها گردن نهاده اید در حالی که مخالفان شما چهار پایه را پذیرفته و یکی را انکار کرده اند، از این روست که آنان بر مردگان خویش چهار بار تکبیر می گویند و شما پنج بار</w:t>
      </w:r>
      <w:r>
        <w:rPr>
          <w:rFonts w:eastAsia="IRNazanin" w:cs="IRNazanin"/>
          <w:color w:val="111111"/>
          <w:sz w:val="28"/>
          <w:szCs w:val="28"/>
          <w:rtl w:val="true"/>
          <w:lang w:bidi="fa-IR"/>
        </w:rPr>
        <w:t>.</w:t>
      </w:r>
      <w:r>
        <w:rPr>
          <w:rStyle w:val="FootnoteAnchor"/>
          <w:rtl w:val="true"/>
        </w:rPr>
        <w:footnoteReference w:id="1704"/>
      </w:r>
    </w:p>
    <w:p>
      <w:pPr>
        <w:pStyle w:val="Heading5"/>
        <w:numPr>
          <w:ilvl w:val="4"/>
          <w:numId w:val="1"/>
        </w:numPr>
        <w:rPr/>
      </w:pPr>
      <w:bookmarkStart w:id="3360" w:name="__RefHeading___Toc608008_1934241801"/>
      <w:bookmarkStart w:id="3361" w:name="_Toc1548"/>
      <w:bookmarkEnd w:id="3360"/>
      <w:r>
        <w:rPr>
          <w:rtl w:val="true"/>
        </w:rPr>
        <w:t xml:space="preserve">روایت </w:t>
      </w:r>
      <w:r>
        <w:rPr/>
        <w:t>5</w:t>
      </w:r>
      <w:bookmarkEnd w:id="3361"/>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نماز میّت بر گروهی از مردم پنج بار تکبیر می گفت و در نماز میّت بر گروه دیگر چهار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که پیامبر بر شخصی چهار بار تکبیر می گفت، آن شخص در موضع اتهّام قرار می گرفت</w:t>
      </w:r>
      <w:r>
        <w:rPr>
          <w:rFonts w:eastAsia="IRNazanin" w:cs="IRNazanin"/>
          <w:color w:val="111111"/>
          <w:sz w:val="28"/>
          <w:szCs w:val="28"/>
          <w:rtl w:val="true"/>
          <w:lang w:bidi="fa-IR"/>
        </w:rPr>
        <w:t>.</w:t>
      </w:r>
      <w:r>
        <w:rPr>
          <w:rStyle w:val="FootnoteAnchor"/>
          <w:rtl w:val="true"/>
        </w:rPr>
        <w:footnoteReference w:id="1705"/>
      </w:r>
    </w:p>
    <w:p>
      <w:pPr>
        <w:pStyle w:val="Heading5"/>
        <w:numPr>
          <w:ilvl w:val="4"/>
          <w:numId w:val="1"/>
        </w:numPr>
        <w:rPr/>
      </w:pPr>
      <w:bookmarkStart w:id="3362" w:name="__RefHeading___Toc608010_1934241801"/>
      <w:bookmarkStart w:id="3363" w:name="_Toc1549"/>
      <w:bookmarkEnd w:id="3362"/>
      <w:r>
        <w:rPr>
          <w:rtl w:val="true"/>
        </w:rPr>
        <w:t xml:space="preserve">روایت </w:t>
      </w:r>
      <w:r>
        <w:rPr/>
        <w:t>6</w:t>
      </w:r>
      <w:bookmarkEnd w:id="3363"/>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محمّد بن حُمران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خارج شده و بر امام صادق علیه السلام وارد گشتم، پس به ذکر نماز میّت پرداخته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و منافق با تکبیر رسول خدا صلّی الله علیه و آله از هم تشخیص داده می شوند، پیامبر </w:t>
      </w:r>
      <w:bookmarkStart w:id="3364" w:name="pg13517_329375"/>
    </w:p>
    <w:p>
      <w:pPr>
        <w:pStyle w:val="BookText"/>
        <w:rPr/>
      </w:pPr>
      <w:bookmarkEnd w:id="3364"/>
      <w:r>
        <w:rPr>
          <w:rFonts w:ascii="Amiri" w:hAnsi="Amiri" w:eastAsia="Amiri" w:cs="Amiri"/>
          <w:color w:val="111111"/>
          <w:sz w:val="28"/>
          <w:sz w:val="28"/>
          <w:szCs w:val="28"/>
          <w:rtl w:val="true"/>
          <w:lang w:bidi="ar-SA"/>
        </w:rPr>
        <w:t>عَلَي الْمُؤْمِنِ خَمْساً وَ عَلَي الْمُنَافِقِ أَرْبَعاً</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65" w:name="__RefHeading___Toc608012_1934241801"/>
      <w:bookmarkStart w:id="3366" w:name="_Toc1550"/>
      <w:bookmarkEnd w:id="3365"/>
      <w:r>
        <w:rPr>
          <w:rtl w:val="true"/>
        </w:rPr>
        <w:t>«</w:t>
      </w:r>
      <w:r>
        <w:rPr/>
        <w:t>7</w:t>
      </w:r>
      <w:r>
        <w:rPr>
          <w:rtl w:val="true"/>
        </w:rPr>
        <w:t>»</w:t>
      </w:r>
      <w:bookmarkEnd w:id="3366"/>
    </w:p>
    <w:p>
      <w:pPr>
        <w:pStyle w:val="BookText"/>
        <w:rPr/>
      </w:pPr>
      <w:r>
        <w:rPr>
          <w:rFonts w:ascii="Amiri" w:hAnsi="Amiri" w:eastAsia="Amiri" w:cs="Amiri"/>
          <w:color w:val="111111"/>
          <w:sz w:val="28"/>
          <w:sz w:val="28"/>
          <w:szCs w:val="28"/>
          <w:rtl w:val="true"/>
          <w:lang w:bidi="ar-SA"/>
        </w:rPr>
        <w:t>الْعُيُونُ، وَ الْعِلَلُ، عَنْ مُحَمَّدِ بْنِ الْحَسَنِ عَنْ مُحَمَّدِ بْنِ الْحَسَنِ الصَّفَّارِ عَنْ مُحَمَّدِ بْنِ عِيسَي عَنِ الْحَسَنِ بْنِ النَّضْرِ قَالَ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الْعِلَّةُ فِي التَّكْبِيرِ عَلَي الْمَيِّتِ خَمْسُ تَكْبِيرَاتٍ قُلْتُ رَوَوْا أَنَّهَا قَدِ اشْتُقَّتْ مِنْ خَمْسِ صَلَوَاتٍ فَقَالَ هَذَا ظَاهِرُ الْحَدِيثِ فَأَمَّا بَاطِنُهُ فَإِنَّ اللَّهَ عَزَّ وَ جَلَّ فَرَضَ عَلَي الْعِبَادِ خَمْسَ فَرَائِضَ الصَّلَاةَ وَ الزَّكَاةَ وَ الصِّيَامَ وَ الْحَجَّ وَ الْوَلَايَةَ فَجَعَلَ لِلْمَيِّتِ مِنْ كُلِّ فَرِيضَةٍ تَكْبِيرَةً وَاحِدَةً فَمَنْ قَبِلَ الْوَلَايَةَ كَبَّرَ خَمْساً وَ مَنْ لَمْ يَقْبَلِ الْوَلَايَةَ كَبَّرَ أَرْبَعاً فَمِنْ أَجْلِ ذَلِكَ تُكَبِّرُونَ خَمْساً وَ مَنْ خَالَفَكُمْ يُكَبِّرُ أَرْبَعاً</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67" w:name="__RefHeading___Toc608014_1934241801"/>
      <w:bookmarkStart w:id="3368" w:name="_Toc1551"/>
      <w:bookmarkEnd w:id="3367"/>
      <w:r>
        <w:rPr>
          <w:rtl w:val="true"/>
        </w:rPr>
        <w:t>«</w:t>
      </w:r>
      <w:r>
        <w:rPr/>
        <w:t>8</w:t>
      </w:r>
      <w:r>
        <w:rPr>
          <w:rtl w:val="true"/>
        </w:rPr>
        <w:t>»</w:t>
      </w:r>
      <w:bookmarkEnd w:id="3368"/>
    </w:p>
    <w:p>
      <w:pPr>
        <w:pStyle w:val="BookText"/>
        <w:rPr/>
      </w:pPr>
      <w:r>
        <w:rPr>
          <w:rFonts w:ascii="Amiri" w:hAnsi="Amiri" w:eastAsia="Amiri" w:cs="Amiri"/>
          <w:color w:val="111111"/>
          <w:sz w:val="28"/>
          <w:sz w:val="28"/>
          <w:szCs w:val="28"/>
          <w:rtl w:val="true"/>
          <w:lang w:bidi="ar-SA"/>
        </w:rPr>
        <w:t>الْعِلَلُ، عَنْ أَبِيهِ عَنْ سَعْدٍ عَنْ أَحْمَدَ بْنِ أَبِي عَبْدِ اللَّهِ عَنْ أَبِي الْجَوْزَاءِ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الْأَغْلَفُ لَا يَؤُمُّ الْقَوْمَ وَ إِنْ كَانَ أَقْرَأَهُمْ لِأَنَّهُ ضَيَّعَ مِنَ السُّنَّةِ أَعْظَمَهَا وَ لَا تُقْبَلُ لَهُ شَهَادَةٌ وَ لَا تُصَلَّي عَلَيْهِ إِذَا مَاتَ إِلَّا أَنْ يَكُونَ تَرَكَ ذَلِكَ خَوْفاً عَلَي نَفْسِهِ‌</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69" w:name="__RefHeading___Toc608016_1934241801"/>
      <w:bookmarkStart w:id="3370" w:name="_Toc1552"/>
      <w:bookmarkEnd w:id="3369"/>
      <w:r>
        <w:rPr>
          <w:rtl w:val="true"/>
        </w:rPr>
        <w:t>بيان</w:t>
      </w:r>
      <w:bookmarkEnd w:id="3370"/>
    </w:p>
    <w:p>
      <w:pPr>
        <w:pStyle w:val="BookText"/>
        <w:rPr/>
      </w:pPr>
      <w:r>
        <w:rPr>
          <w:rFonts w:ascii="Amiri" w:hAnsi="Amiri" w:eastAsia="Amiri" w:cs="Amiri"/>
          <w:color w:val="111111"/>
          <w:sz w:val="28"/>
          <w:sz w:val="28"/>
          <w:szCs w:val="28"/>
          <w:rtl w:val="true"/>
          <w:lang w:bidi="ar-SA"/>
        </w:rPr>
        <w:t>عدم وجوب الصلاة علي الأغلف لم أر قائلا به و ظاهر الأصحاب اتفاقهم علي وجوب الصلاة علي أرباب الكبائر و الخبر ضعيف موقوف‌</w:t>
      </w:r>
      <w:r>
        <w:rPr>
          <w:rStyle w:val="FootnoteAnchor"/>
          <w:rtl w:val="true"/>
        </w:rPr>
        <w:footnoteReference w:id="1709"/>
      </w:r>
      <w:r>
        <w:rPr>
          <w:rFonts w:ascii="Amiri" w:hAnsi="Amiri" w:eastAsia="Amiri" w:cs="Amiri"/>
          <w:color w:val="111111"/>
          <w:sz w:val="28"/>
          <w:sz w:val="28"/>
          <w:szCs w:val="28"/>
          <w:rtl w:val="true"/>
          <w:lang w:bidi="ar-SA"/>
        </w:rPr>
        <w:t>و يمكن حمله علي أنه لا يلزم الاهتمام في الصلاة عليه فإذا صلي بعضهم عليه لا يستحب للباقين الإتيان بها أو لا يتأكد استحبابه</w:t>
      </w:r>
      <w:r>
        <w:rPr>
          <w:rFonts w:eastAsia="Amiri" w:cs="Amiri" w:ascii="Amiri" w:hAnsi="Amiri"/>
          <w:color w:val="111111"/>
          <w:sz w:val="28"/>
          <w:szCs w:val="28"/>
          <w:rtl w:val="true"/>
          <w:lang w:bidi="ar-SA"/>
        </w:rPr>
        <w:t>.</w:t>
      </w:r>
    </w:p>
    <w:p>
      <w:pPr>
        <w:pStyle w:val="Heading5"/>
        <w:numPr>
          <w:ilvl w:val="4"/>
          <w:numId w:val="1"/>
        </w:numPr>
        <w:rPr/>
      </w:pPr>
      <w:bookmarkStart w:id="3371" w:name="__RefHeading___Toc608018_1934241801"/>
      <w:bookmarkStart w:id="3372" w:name="_Toc1553"/>
      <w:bookmarkEnd w:id="3371"/>
      <w:r>
        <w:rPr>
          <w:rtl w:val="true"/>
        </w:rPr>
        <w:t>«</w:t>
      </w:r>
      <w:r>
        <w:rPr/>
        <w:t>9</w:t>
      </w:r>
      <w:r>
        <w:rPr>
          <w:rtl w:val="true"/>
        </w:rPr>
        <w:t>»</w:t>
      </w:r>
      <w:bookmarkEnd w:id="3372"/>
    </w:p>
    <w:p>
      <w:pPr>
        <w:pStyle w:val="BookText"/>
        <w:rPr/>
      </w:pPr>
      <w:r>
        <w:rPr>
          <w:rFonts w:ascii="Amiri" w:hAnsi="Amiri" w:eastAsia="Amiri" w:cs="Amiri"/>
          <w:color w:val="111111"/>
          <w:sz w:val="28"/>
          <w:sz w:val="28"/>
          <w:szCs w:val="28"/>
          <w:rtl w:val="true"/>
          <w:lang w:bidi="ar-SA"/>
        </w:rPr>
        <w:t>الْعِلَلُ، عَنِ الْحُسَيْنِ بْنِ أَحْمَدَ عَنْ أَبِيهِ عَنْ مُحَمَّدِ بْنِ أَحْمَدَ عَنْ يَعْقُوبَ بْنِ يَزِيدَ عَنْ بَعْضِ أَصْحَابِنَا رَفَعَهُ عَنْ أَحَدِهِمْ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عَهْدِ رَسُولِ اللَّهِ</w:t>
      </w:r>
    </w:p>
    <w:p>
      <w:pPr>
        <w:pStyle w:val="BookText"/>
        <w:rPr/>
      </w:pPr>
      <w:r>
        <w:rPr>
          <w:rFonts w:ascii="IRNazanin" w:hAnsi="IRNazanin" w:eastAsia="IRNazanin"/>
          <w:color w:val="111111"/>
          <w:sz w:val="28"/>
          <w:sz w:val="28"/>
          <w:szCs w:val="28"/>
          <w:rtl w:val="true"/>
          <w:lang w:bidi="fa-IR"/>
        </w:rPr>
        <w:t>بر مؤمن پنج بار و بر منافق چهار بار تکبیر می گفت</w:t>
      </w:r>
      <w:r>
        <w:rPr>
          <w:rFonts w:eastAsia="IRNazanin" w:cs="IRNazanin"/>
          <w:color w:val="111111"/>
          <w:sz w:val="28"/>
          <w:szCs w:val="28"/>
          <w:rtl w:val="true"/>
          <w:lang w:bidi="fa-IR"/>
        </w:rPr>
        <w:t>.</w:t>
      </w:r>
      <w:r>
        <w:rPr>
          <w:rStyle w:val="FootnoteAnchor"/>
          <w:rtl w:val="true"/>
        </w:rPr>
        <w:footnoteReference w:id="1710"/>
      </w:r>
    </w:p>
    <w:p>
      <w:pPr>
        <w:pStyle w:val="Heading5"/>
        <w:numPr>
          <w:ilvl w:val="4"/>
          <w:numId w:val="1"/>
        </w:numPr>
        <w:rPr/>
      </w:pPr>
      <w:bookmarkStart w:id="3373" w:name="__RefHeading___Toc608020_1934241801"/>
      <w:bookmarkStart w:id="3374" w:name="_Toc1554"/>
      <w:bookmarkEnd w:id="3373"/>
      <w:r>
        <w:rPr>
          <w:rtl w:val="true"/>
        </w:rPr>
        <w:t xml:space="preserve">روایت </w:t>
      </w:r>
      <w:r>
        <w:rPr/>
        <w:t>7</w:t>
      </w:r>
      <w:bookmarkEnd w:id="3374"/>
    </w:p>
    <w:p>
      <w:pPr>
        <w:pStyle w:val="BookText"/>
        <w:rPr/>
      </w:pPr>
      <w:r>
        <w:rPr>
          <w:rFonts w:ascii="IRNazanin" w:hAnsi="IRNazanin" w:eastAsia="IRNazanin"/>
          <w:color w:val="111111"/>
          <w:sz w:val="28"/>
          <w:sz w:val="28"/>
          <w:szCs w:val="28"/>
          <w:rtl w:val="true"/>
          <w:lang w:bidi="fa-IR"/>
        </w:rPr>
        <w:t>العیون و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نضر روایت کرده که امام رضا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پنج بار تکبیر گفتن در نماز میّت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این پنج تکبیر از نمازهای پنج گانه گرفته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سخن چنین است، امّا باطن امر این گونه است که خداوند عزّ و جلّ پنج فریضه را بر بندگان واجب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حج، و ولایت، و بنا به هر یک از این فرایض تکبیری را در نماز میّت قرار داده است، پس هر کسی که ولایت را بپذیرد پنج بار و هر که ولایت را نپذیرد چهار بار تکبیر می گوید، به همین سبب است که شما شیعیان پنج بار تکبیر می گویید و آنان که با شما مخالفند چهار بار تکبیر می گویند</w:t>
      </w:r>
      <w:r>
        <w:rPr>
          <w:rFonts w:eastAsia="IRNazanin" w:cs="IRNazanin"/>
          <w:color w:val="111111"/>
          <w:sz w:val="28"/>
          <w:szCs w:val="28"/>
          <w:rtl w:val="true"/>
          <w:lang w:bidi="fa-IR"/>
        </w:rPr>
        <w:t>.</w:t>
      </w:r>
      <w:r>
        <w:rPr>
          <w:rStyle w:val="FootnoteAnchor"/>
          <w:rtl w:val="true"/>
        </w:rPr>
        <w:footnoteReference w:id="1711"/>
      </w:r>
    </w:p>
    <w:p>
      <w:pPr>
        <w:pStyle w:val="Heading5"/>
        <w:numPr>
          <w:ilvl w:val="4"/>
          <w:numId w:val="1"/>
        </w:numPr>
        <w:rPr/>
      </w:pPr>
      <w:bookmarkStart w:id="3375" w:name="__RefHeading___Toc608022_1934241801"/>
      <w:bookmarkStart w:id="3376" w:name="_Toc1555"/>
      <w:bookmarkEnd w:id="3375"/>
      <w:r>
        <w:rPr>
          <w:rtl w:val="true"/>
        </w:rPr>
        <w:t xml:space="preserve">روایت </w:t>
      </w:r>
      <w:r>
        <w:rPr/>
        <w:t>8</w:t>
      </w:r>
      <w:bookmarkEnd w:id="3376"/>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الجَوزاء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شخص ختنه نکرده قوم را امامت کند، هر چند که آگاه ترین آن ها به قرائت قرآن باشد، چرا که از انجام بزرگ ترین سنّت سر باز زده است؛ همچنین شهادت و گواهی دادن چنین شخصی پذیرفته نیست و هنگامی که وفات کند بر او نماز گزارده نمی شود، مگر این که به خاطر ترس بر جان خود از انجام این عمل امتناع ورزیده باشد</w:t>
      </w:r>
      <w:r>
        <w:rPr>
          <w:rFonts w:eastAsia="IRNazanin" w:cs="IRNazanin"/>
          <w:color w:val="111111"/>
          <w:sz w:val="28"/>
          <w:szCs w:val="28"/>
          <w:rtl w:val="true"/>
          <w:lang w:bidi="fa-IR"/>
        </w:rPr>
        <w:t>.</w:t>
      </w:r>
      <w:r>
        <w:rPr>
          <w:rStyle w:val="FootnoteAnchor"/>
          <w:rtl w:val="true"/>
        </w:rPr>
        <w:footnoteReference w:id="1712"/>
      </w:r>
    </w:p>
    <w:p>
      <w:pPr>
        <w:pStyle w:val="Heading5"/>
        <w:numPr>
          <w:ilvl w:val="4"/>
          <w:numId w:val="1"/>
        </w:numPr>
        <w:rPr/>
      </w:pPr>
      <w:bookmarkStart w:id="3377" w:name="__RefHeading___Toc608024_1934241801"/>
      <w:bookmarkStart w:id="3378" w:name="_Toc1556"/>
      <w:bookmarkEnd w:id="3377"/>
      <w:r>
        <w:rPr>
          <w:rtl w:val="true"/>
        </w:rPr>
        <w:t>توضیح</w:t>
      </w:r>
      <w:bookmarkEnd w:id="3378"/>
    </w:p>
    <w:p>
      <w:pPr>
        <w:pStyle w:val="BookText"/>
        <w:rPr/>
      </w:pPr>
      <w:r>
        <w:rPr>
          <w:rFonts w:ascii="IRNazanin" w:hAnsi="IRNazanin" w:eastAsia="IRNazanin"/>
          <w:color w:val="111111"/>
          <w:sz w:val="28"/>
          <w:sz w:val="28"/>
          <w:szCs w:val="28"/>
          <w:rtl w:val="true"/>
          <w:lang w:bidi="fa-IR"/>
        </w:rPr>
        <w:t>هیچ فقیهی را نیافته ام که قائل به عدم وجوب نماز بر میّت ختنه نکرده باشد، بلکه از ظاهر کلام فقها چنین برمی آید که همه بر وجوب نماز گزاردن بر میّت شخصی که حتی مرتکب گناهان کبیره شده است اتفاق نظر دارند؛ پس حدیث مذکور ضعیف و موقوف است، همچنین ممکن است حدیث بر این نکته حمل شود که اهتمام داشتن به نماز گزاردن بر میّت شخص ختنه ناکرده لزومی ندارد، و اگر عده ای از مردم بر او نماز گزاردند، نماز گزاردن دیگران مستحبّ نمی باشد و یا استحباب آن مؤکَّد نیست</w:t>
      </w:r>
      <w:r>
        <w:rPr>
          <w:rFonts w:eastAsia="IRNazanin" w:cs="IRNazanin"/>
          <w:color w:val="111111"/>
          <w:sz w:val="28"/>
          <w:szCs w:val="28"/>
          <w:rtl w:val="true"/>
          <w:lang w:bidi="fa-IR"/>
        </w:rPr>
        <w:t>.</w:t>
      </w:r>
    </w:p>
    <w:p>
      <w:pPr>
        <w:pStyle w:val="Heading5"/>
        <w:numPr>
          <w:ilvl w:val="4"/>
          <w:numId w:val="1"/>
        </w:numPr>
        <w:rPr/>
      </w:pPr>
      <w:bookmarkStart w:id="3379" w:name="__RefHeading___Toc608026_1934241801"/>
      <w:bookmarkStart w:id="3380" w:name="_Toc1557"/>
      <w:bookmarkEnd w:id="3379"/>
      <w:r>
        <w:rPr>
          <w:rtl w:val="true"/>
        </w:rPr>
        <w:t xml:space="preserve">روایت </w:t>
      </w:r>
      <w:r>
        <w:rPr/>
        <w:t>9</w:t>
      </w:r>
      <w:bookmarkEnd w:id="3380"/>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ما از امام باقر یا امام صادق علیهما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رسول خدا </w:t>
      </w:r>
      <w:bookmarkStart w:id="3381" w:name="pg13517_329376"/>
    </w:p>
    <w:p>
      <w:pPr>
        <w:pStyle w:val="BookText"/>
        <w:rPr/>
      </w:pPr>
      <w:bookmarkEnd w:id="3381"/>
      <w:r>
        <w:rPr>
          <w:rFonts w:ascii="Amiri" w:hAnsi="Amiri" w:eastAsia="Amiri" w:cs="Amiri"/>
          <w:color w:val="111111"/>
          <w:sz w:val="28"/>
          <w:sz w:val="28"/>
          <w:szCs w:val="28"/>
          <w:rtl w:val="true"/>
          <w:lang w:bidi="ar-SA"/>
        </w:rPr>
        <w:t>صلي الله عليه و آله مَاتَ رَجُلٌ وَ عَلَيْهِ دِينَارَانِ فَأُخْبِرَ النَّبِيُّ صلي الله عليه و آله فَأَبَي أَنْ يُصَلِّيَ عَلَيْهِ وَ إِنَّمَا فَعَلَ ذَلِكَ لِكَيْلَا يَجْتَرِءُوا عَلَي الدَّيْنِ وَ قَالَ قَدْ مَاتَ رَسُولُ اللَّهِ صلي الله عليه و آله وَ عَلَيْهِ دَيْنٌ وَ مَاتَ الْحَسَنُ عليه السلام وَ عَلَيْهِ دَيْنٌ وَ قُتِلَ الْحُسَيْنُ عليه السلام وَ عَلَيْهِ دَيْنٌ‌</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2" w:name="__RefHeading___Toc608028_1934241801"/>
      <w:bookmarkStart w:id="3383" w:name="_Toc1558"/>
      <w:bookmarkEnd w:id="3382"/>
      <w:r>
        <w:rPr>
          <w:rtl w:val="true"/>
        </w:rPr>
        <w:t>بيان</w:t>
      </w:r>
      <w:bookmarkEnd w:id="3383"/>
    </w:p>
    <w:p>
      <w:pPr>
        <w:pStyle w:val="BookText"/>
        <w:rPr/>
      </w:pPr>
      <w:r>
        <w:rPr>
          <w:rFonts w:ascii="Amiri" w:hAnsi="Amiri" w:eastAsia="Amiri" w:cs="Amiri"/>
          <w:color w:val="111111"/>
          <w:sz w:val="28"/>
          <w:sz w:val="28"/>
          <w:szCs w:val="28"/>
          <w:rtl w:val="true"/>
          <w:lang w:bidi="ar-SA"/>
        </w:rPr>
        <w:t>يفهم من آخر الخبر أن ترك الصلاة إنما كان لأنه كان مستخفا بالدين و لا ينوي قضاءه تأديبا و لا ينافي ذلك وجوب الصلاة عليه لأنه لم ينه الناس عن الصلاة عليه و مع فعل غيره كانت تسقط عنه و لعل مثل هذا من خصائص النبي و الإمام عليه السلام أو مطلق الولاة علي احتمال</w:t>
      </w:r>
      <w:r>
        <w:rPr>
          <w:rFonts w:eastAsia="Amiri" w:cs="Amiri" w:ascii="Amiri" w:hAnsi="Amiri"/>
          <w:color w:val="111111"/>
          <w:sz w:val="28"/>
          <w:szCs w:val="28"/>
          <w:rtl w:val="true"/>
          <w:lang w:bidi="ar-SA"/>
        </w:rPr>
        <w:t>.</w:t>
      </w:r>
    </w:p>
    <w:p>
      <w:pPr>
        <w:pStyle w:val="Heading5"/>
        <w:numPr>
          <w:ilvl w:val="4"/>
          <w:numId w:val="1"/>
        </w:numPr>
        <w:rPr/>
      </w:pPr>
      <w:bookmarkStart w:id="3384" w:name="__RefHeading___Toc608030_1934241801"/>
      <w:bookmarkStart w:id="3385" w:name="_Toc1559"/>
      <w:bookmarkEnd w:id="3384"/>
      <w:r>
        <w:rPr>
          <w:rtl w:val="true"/>
        </w:rPr>
        <w:t>«</w:t>
      </w:r>
      <w:r>
        <w:rPr/>
        <w:t>10</w:t>
      </w:r>
      <w:r>
        <w:rPr>
          <w:rtl w:val="true"/>
        </w:rPr>
        <w:t>»</w:t>
      </w:r>
      <w:bookmarkEnd w:id="3385"/>
    </w:p>
    <w:p>
      <w:pPr>
        <w:pStyle w:val="BookText"/>
        <w:rPr/>
      </w:pPr>
      <w:r>
        <w:rPr>
          <w:rFonts w:ascii="Amiri" w:hAnsi="Amiri" w:eastAsia="Amiri" w:cs="Amiri"/>
          <w:color w:val="111111"/>
          <w:sz w:val="28"/>
          <w:sz w:val="28"/>
          <w:szCs w:val="28"/>
          <w:rtl w:val="true"/>
          <w:lang w:bidi="ar-SA"/>
        </w:rPr>
        <w:t>مَجَالِسُ الصَّدُوقِ، عَنْ مُحَمَّدِ بْنِ مُوسَي بْنِ الْمُتَوَكِّلِ عَنْ عَبْدِ اللَّهِ بْنِ جَعْفَرٍ الْحِمْيَرِيِّ عَنْ مُحَمَّدِ بْنِ الْحُسَيْنِ بْنِ أَبِي الْخَطَّابِ عَنِ الْحَسَنِ بْنِ مَحْبُوبٍ عَنْ إِبْرَاهِيمَ بْنِ مِهْزَمٍ عَنْ طَلْحَةَ بْنِ زَيْدٍ عَنِ الصَّادِقِ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عَلَي مَنْ مَاتَ مِنْ أَهْلِ الْقِبْلَةِ وَ حِسَابُهُ عَلَي اللَّهِ عَزَّ وَ جَلَ‌</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6" w:name="__RefHeading___Toc608032_1934241801"/>
      <w:bookmarkStart w:id="3387" w:name="_Toc1560"/>
      <w:bookmarkEnd w:id="3386"/>
      <w:r>
        <w:rPr>
          <w:rtl w:val="true"/>
        </w:rPr>
        <w:t>«</w:t>
      </w:r>
      <w:r>
        <w:rPr/>
        <w:t>11</w:t>
      </w:r>
      <w:r>
        <w:rPr>
          <w:rtl w:val="true"/>
        </w:rPr>
        <w:t>»</w:t>
      </w:r>
      <w:bookmarkEnd w:id="3387"/>
    </w:p>
    <w:p>
      <w:pPr>
        <w:pStyle w:val="BookText"/>
        <w:rPr/>
      </w:pPr>
      <w:r>
        <w:rPr>
          <w:rFonts w:ascii="Amiri" w:hAnsi="Amiri" w:eastAsia="Amiri" w:cs="Amiri"/>
          <w:color w:val="111111"/>
          <w:sz w:val="28"/>
          <w:sz w:val="28"/>
          <w:szCs w:val="28"/>
          <w:rtl w:val="true"/>
          <w:lang w:bidi="ar-SA"/>
        </w:rPr>
        <w:t>الْخِصَالُ، عَنْ أَحْمَدَ الْقَطَّانِ عَنِ الْحَسَنِ السُّكَّرِيِّ عَنْ مُحَمَّدِ بْنِ زَكَرِيَّا عَنْ جَعْفَرِ بْنِ مُحَمَّدِ بْنِ عُمَارَةَ عَنْ أَبِيهِ عَنْ جَابِرٍ الْجُعْفِيِّ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النَّاسِ بِالصَّلَاةِ عَلَي الْمَرْأَةِ إِذَا مَاتَتْ زَوْجُهَا وَ إِذَا مَاتَتِ الْمَرْأَةُ وَقَفَ الْمُصَلِّي عَلَيْهَا عِنْدَ صَدْرِهَا وَ مِنَ الرَّجُلِ إِذَا صَلَّي عَلَيْهِ عِنْدَ رَأْسِهِ وَ إِذَا أُدْخِلَتِ الْمَرْأَةُ الْقَبْرَ وَقَفَ زَوْجُهَا فِي مَوْضِعٍ يَتَنَاوَلُ وَرِكَهَا وَ لَا شَفِيعَ لِلْمَرْأَةِ أَنْجَحُ عِنْدَ رَبِّهَا مِنْ رِضَا زَوْجِهَا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مَاتَتْ فَاطِمَةُ عليها السلام قَامَ أَمِيرُ الْمُؤْمِنِينَ عليه السلام وَ قَالَ اللَّهُمَّ إِنِّي رَاضٍ عَنِ ابْنَةِ نَبِيِّكَ اللَّهُمَّ إِنَّهَا قَدْ أُوحِشَتْ فَآنِسْهَا اللَّهُمَّ إِنَّهَا قَدْ هُجِرَتْ فَصِلْهَا اللَّهُمَّ إِنَّهَا قَدْ ظُلِمَتْ فَاحْكُمْ لَهَا وَ أَنْتَ خَيْرُ الْحَاكِمِينَ‌</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صلّی الله علیه و آله مردی وفات کرد که دو دینار بدهی بر گردن داشت، هنگامی که پیامبر صلّی الله علیه و آله را از این موضوع آگاه ساختند از نماز گزاردن بر او امتناع ورزید؛ پیامبر این کار را انجام داد تا کسی نسبت به دین و بدهی جسارت و بی ادبی به خرج ندهد،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حالی که بدهی به گردن داشت وفات نمود، امام حسن علیه السلام در حالی که بدهی به گردن داشت وفات نمود، و امام حسین علیه السلام در حالی که بدهی به گردن داشت شهید شد</w:t>
      </w:r>
      <w:r>
        <w:rPr>
          <w:rFonts w:eastAsia="IRNazanin" w:cs="IRNazanin"/>
          <w:color w:val="111111"/>
          <w:sz w:val="28"/>
          <w:szCs w:val="28"/>
          <w:rtl w:val="true"/>
          <w:lang w:bidi="fa-IR"/>
        </w:rPr>
        <w:t>.</w:t>
      </w:r>
      <w:r>
        <w:rPr>
          <w:rStyle w:val="FootnoteAnchor"/>
          <w:rtl w:val="true"/>
        </w:rPr>
        <w:footnoteReference w:id="1716"/>
      </w:r>
    </w:p>
    <w:p>
      <w:pPr>
        <w:pStyle w:val="Heading5"/>
        <w:numPr>
          <w:ilvl w:val="4"/>
          <w:numId w:val="1"/>
        </w:numPr>
        <w:rPr/>
      </w:pPr>
      <w:bookmarkStart w:id="3388" w:name="__RefHeading___Toc608034_1934241801"/>
      <w:bookmarkStart w:id="3389" w:name="_Toc1561"/>
      <w:bookmarkEnd w:id="3388"/>
      <w:r>
        <w:rPr>
          <w:rtl w:val="true"/>
        </w:rPr>
        <w:t>توضیح</w:t>
      </w:r>
      <w:bookmarkEnd w:id="3389"/>
    </w:p>
    <w:p>
      <w:pPr>
        <w:pStyle w:val="BookText"/>
        <w:rPr/>
      </w:pPr>
      <w:r>
        <w:rPr>
          <w:rFonts w:ascii="IRNazanin" w:hAnsi="IRNazanin" w:eastAsia="IRNazanin"/>
          <w:color w:val="111111"/>
          <w:sz w:val="28"/>
          <w:sz w:val="28"/>
          <w:szCs w:val="28"/>
          <w:rtl w:val="true"/>
          <w:lang w:bidi="fa-IR"/>
        </w:rPr>
        <w:t>از عبارت پایانی حدیث چنین برداشت می شود که ترک نماز از سوی پیامبر صلّی الله علیه و آله به خاطر خفیف و خوار شمردن دین و بدهی از جانب آن مرد بوده و اینکه قصد پرداخت آن را به صورت مؤدبانه نداشته است، و این امر وجوب نماز گزاردن بر این شخص را نفی نمی کند، چرا که پیامبر مردم را از نماز گزاردن بر او منع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نماز گزاردن افرادی دیگر بر او، این امرِ واجب از گردن خود پیامبر ساقط شده است، شاید انجام چنین اعمالی از خصایص پیامبر و امام علیهما السلام و یا احتمالا تمام حاکمان باشد</w:t>
      </w:r>
      <w:r>
        <w:rPr>
          <w:rFonts w:eastAsia="IRNazanin" w:cs="IRNazanin"/>
          <w:color w:val="111111"/>
          <w:sz w:val="28"/>
          <w:szCs w:val="28"/>
          <w:rtl w:val="true"/>
          <w:lang w:bidi="fa-IR"/>
        </w:rPr>
        <w:t>.</w:t>
      </w:r>
    </w:p>
    <w:p>
      <w:pPr>
        <w:pStyle w:val="Heading5"/>
        <w:numPr>
          <w:ilvl w:val="4"/>
          <w:numId w:val="1"/>
        </w:numPr>
        <w:rPr/>
      </w:pPr>
      <w:bookmarkStart w:id="3390" w:name="__RefHeading___Toc608036_1934241801"/>
      <w:bookmarkStart w:id="3391" w:name="_Toc1562"/>
      <w:bookmarkEnd w:id="3390"/>
      <w:r>
        <w:rPr>
          <w:rtl w:val="true"/>
        </w:rPr>
        <w:t xml:space="preserve">روایت </w:t>
      </w:r>
      <w:r>
        <w:rPr/>
        <w:t>10</w:t>
      </w:r>
      <w:bookmarkEnd w:id="3391"/>
    </w:p>
    <w:p>
      <w:p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میّت هر کسی که مسلمان و اهل قبله است نماز بگزار که حساب و کتاب او با خداوند عزّ و جلّ است</w:t>
      </w:r>
      <w:r>
        <w:rPr>
          <w:rFonts w:eastAsia="IRNazanin" w:cs="IRNazanin"/>
          <w:color w:val="111111"/>
          <w:sz w:val="28"/>
          <w:szCs w:val="28"/>
          <w:rtl w:val="true"/>
          <w:lang w:bidi="fa-IR"/>
        </w:rPr>
        <w:t>.</w:t>
      </w:r>
      <w:r>
        <w:rPr>
          <w:rStyle w:val="FootnoteAnchor"/>
          <w:rtl w:val="true"/>
        </w:rPr>
        <w:footnoteReference w:id="1717"/>
      </w:r>
    </w:p>
    <w:p>
      <w:pPr>
        <w:pStyle w:val="Heading5"/>
        <w:numPr>
          <w:ilvl w:val="4"/>
          <w:numId w:val="1"/>
        </w:numPr>
        <w:rPr/>
      </w:pPr>
      <w:bookmarkStart w:id="3392" w:name="__RefHeading___Toc608038_1934241801"/>
      <w:bookmarkStart w:id="3393" w:name="_Toc1563"/>
      <w:bookmarkEnd w:id="3392"/>
      <w:r>
        <w:rPr>
          <w:rtl w:val="true"/>
        </w:rPr>
        <w:t xml:space="preserve">روایت </w:t>
      </w:r>
      <w:r>
        <w:rPr/>
        <w:t>11</w:t>
      </w:r>
      <w:bookmarkEnd w:id="3393"/>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ترین شخص برای نماز گزاردن بر میّتِ زن آن گاه که وفات نمود شوهر اوست، و هنگامی که زنی وفات کند کسی که بر او نماز می گزارد رو به روی سینه اش می ایستد، و اگر میّت مرد باشد نمازگزار کنار سرش می ایستد، و آن گاه که زن وارد قبر گرادنده می شود شوهر او باید در مکانی قرار گیرد که بتواند کفلش را حمل نماید، و هیچ شفاعت کننده ای مقبول تر از رضایت شوهر برای همسرش نزد خداوند وجود ندارد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فاطمه علیها السلام وفات نمود، امام علی علیه السلام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راستی که من از دختر پیامبرت راضی هستم؛ خداوندا، فاطمه در قبر تنها گشته است پس مونس و همدمش باش؛ خداوندا، او هجرت کرده است پس به وصالش برسان؛ خداوندا، او مورد ظلم واقع شده پس در مورد او به قضاوت بپرداز که تو بهترین قضاوت کنندگان هستی</w:t>
      </w:r>
      <w:r>
        <w:rPr>
          <w:rFonts w:eastAsia="IRNazanin" w:cs="IRNazanin"/>
          <w:color w:val="111111"/>
          <w:sz w:val="28"/>
          <w:szCs w:val="28"/>
          <w:rtl w:val="true"/>
          <w:lang w:bidi="fa-IR"/>
        </w:rPr>
        <w:t>.</w:t>
      </w:r>
      <w:r>
        <w:rPr>
          <w:rStyle w:val="FootnoteAnchor"/>
          <w:rtl w:val="true"/>
        </w:rPr>
        <w:footnoteReference w:id="1718"/>
      </w:r>
      <w:bookmarkStart w:id="3394" w:name="pg13517_329377"/>
    </w:p>
    <w:p>
      <w:pPr>
        <w:pStyle w:val="Heading5"/>
        <w:numPr>
          <w:ilvl w:val="4"/>
          <w:numId w:val="1"/>
        </w:numPr>
        <w:rPr/>
      </w:pPr>
      <w:bookmarkStart w:id="3395" w:name="__RefHeading___Toc608040_1934241801"/>
      <w:bookmarkStart w:id="3396" w:name="_Toc1564"/>
      <w:bookmarkEnd w:id="3394"/>
      <w:bookmarkEnd w:id="3395"/>
      <w:r>
        <w:rPr>
          <w:rtl w:val="true"/>
        </w:rPr>
        <w:t>بيان</w:t>
      </w:r>
      <w:bookmarkEnd w:id="3396"/>
    </w:p>
    <w:p>
      <w:pPr>
        <w:pStyle w:val="BookText"/>
        <w:rPr/>
      </w:pPr>
      <w:r>
        <w:rPr>
          <w:rFonts w:ascii="Amiri" w:hAnsi="Amiri" w:eastAsia="Amiri" w:cs="Amiri"/>
          <w:color w:val="111111"/>
          <w:sz w:val="28"/>
          <w:sz w:val="28"/>
          <w:szCs w:val="28"/>
          <w:rtl w:val="true"/>
          <w:lang w:bidi="ar-SA"/>
        </w:rPr>
        <w:t>ما اشتمل عليه الخبر من كون الزوج أولي من سائر الأقارب هو المعروف من مذهب الأصحاب و وردت بعض الروايات بأن الأخ أولي من الزوج و حملها الشيخ و غيره علي التقية لكونه أشهر بين العامة و إن وقع الخلاف بينهم أيضا و أما الموضع الذي يقف فيه المصلي فقال الشيخ في المبسوط و المفيد و أبو الصلاح يقف الإمام في الجنازة عند وسط الرجل و صدر المرأة و عليه معظم الأصحاب لا سيما المتأخرين منهم و قال في الخلاف يقف عند رأس الرجل و صدر المرأة كما هو مدلول الخبر و به قال علي بن بابويه و قال ابنه في المقنع إذا صليت علي الميت فقف عند صدره و كبر ثم قال و إذا صليت علي المرأة فقف عند صدرها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للشيخ في الاستبصار قول ثالث أنه يقف عند رأس المرأة و صدر الرجل و القول بالتخيير بين هذا القول و القول الأول لا يخلو من قوة لورود الأخبار المعتبرة بهما كما هو ظاهر المنتهي و لا يمكن حمل إحداهما علي التقية لاختلاف الأخبار و الأقوال بينهم أيضا</w:t>
      </w:r>
      <w:r>
        <w:rPr>
          <w:rFonts w:eastAsia="Amiri" w:cs="Amiri" w:ascii="Amiri" w:hAnsi="Amiri"/>
          <w:color w:val="111111"/>
          <w:sz w:val="28"/>
          <w:szCs w:val="28"/>
          <w:rtl w:val="true"/>
          <w:lang w:bidi="ar-SA"/>
        </w:rPr>
        <w:t>.</w:t>
      </w:r>
    </w:p>
    <w:p>
      <w:pPr>
        <w:pStyle w:val="Heading5"/>
        <w:numPr>
          <w:ilvl w:val="4"/>
          <w:numId w:val="1"/>
        </w:numPr>
        <w:rPr/>
      </w:pPr>
      <w:bookmarkStart w:id="3397" w:name="__RefHeading___Toc608042_1934241801"/>
      <w:bookmarkStart w:id="3398" w:name="_Toc1565"/>
      <w:bookmarkEnd w:id="3397"/>
      <w:r>
        <w:rPr>
          <w:rtl w:val="true"/>
        </w:rPr>
        <w:t>«</w:t>
      </w:r>
      <w:r>
        <w:rPr/>
        <w:t>12</w:t>
      </w:r>
      <w:r>
        <w:rPr>
          <w:rtl w:val="true"/>
        </w:rPr>
        <w:t>»</w:t>
      </w:r>
      <w:bookmarkEnd w:id="3398"/>
    </w:p>
    <w:p>
      <w:pPr>
        <w:pStyle w:val="BookText"/>
        <w:rPr/>
      </w:pPr>
      <w:r>
        <w:rPr>
          <w:rFonts w:ascii="Amiri" w:hAnsi="Amiri" w:eastAsia="Amiri" w:cs="Amiri"/>
          <w:color w:val="111111"/>
          <w:sz w:val="28"/>
          <w:sz w:val="28"/>
          <w:szCs w:val="28"/>
          <w:rtl w:val="true"/>
          <w:lang w:bidi="ar-SA"/>
        </w:rPr>
        <w:t>الْخِصَالُ، عَنْ أَبِيهِ عَنْ سَعْدِ بْنِ عَبْدِ اللَّهِ عَنْ أَحْمَدَ بْنِ مُحَمَّدِ بْنِ عِيسَي وَ أَحْمَدَ بْنَ أَبِي عَبْدِ اللَّهِ عَنِ الْحَسَنِ بْنِ فَضَّالٍ عَنْ يُونُسَ بْنِ يَعْقُوبَ عَنْ سُفْيَانَ بْنِ السِّمْطِ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آدَمُ عليه السلام غَسَّلَتْهُ الْمَلَائِكَةُ ثُمَّ وُضِعَ فَتَقَدَّمَ هِبَةُ اللَّهِ فَصَلَّي عَلَيْهِ وَ الْمَلَائِكَةُ خَلْفَهُ وَ أَوْحَي اللَّهُ عَزَّ وَ جَلَّ إِلَيْهِ أَنْ يُكَبِّرَ عَلَيْهِ خَمْساً وَ أَنْ يَسُلَّهُ وَ أَنْ يُسَوِّيَ قَبْرَهُ ثُمَّ قَالَ هَكَذَا فَاصْنَعُوا بِمَوْتَاكُمْ‌</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99" w:name="__RefHeading___Toc608044_1934241801"/>
      <w:bookmarkStart w:id="3400" w:name="_Toc1566"/>
      <w:bookmarkEnd w:id="3399"/>
      <w:r>
        <w:rPr>
          <w:rtl w:val="true"/>
        </w:rPr>
        <w:t>«</w:t>
      </w:r>
      <w:r>
        <w:rPr/>
        <w:t>13</w:t>
      </w:r>
      <w:r>
        <w:rPr>
          <w:rtl w:val="true"/>
        </w:rPr>
        <w:t>»</w:t>
      </w:r>
      <w:bookmarkEnd w:id="3400"/>
    </w:p>
    <w:p>
      <w:pPr>
        <w:pStyle w:val="BookText"/>
        <w:rPr/>
      </w:pPr>
      <w:r>
        <w:rPr>
          <w:rFonts w:ascii="Amiri" w:hAnsi="Amiri" w:eastAsia="Amiri" w:cs="Amiri"/>
          <w:color w:val="111111"/>
          <w:sz w:val="28"/>
          <w:sz w:val="28"/>
          <w:szCs w:val="28"/>
          <w:rtl w:val="true"/>
          <w:lang w:bidi="ar-SA"/>
        </w:rPr>
        <w:t>الْخِصَالُ، وَ الْعُيُونُ، وَ تَفْسِيرُ الْإِمَامِ، عَنْ مُحَمَّدِ بْنِ الْقَاسِمِ الْأَسْتَرْآبَادِيِّ عَنْ يُوسُفَ بْنِ زِيَادٍ عَنْ أَبِيهِ عَنْ أَبِي مُحَمَّدٍ الْعَسْكَرِيِّ عليه السلام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لَمَّا أَتَاهُ جَبْرَئِيلُ بِنَعْيِ النَّجَاشِيِّ بَكَي بُكَاءَ حَزِينٍ عَلَيْهِ وَ قَالَ إِنَّ أَخَاكُمْ أَصْحَمَةَ مَاتَ ثُمَّ خَرَجَ إِلَي الْجَبَّانَةِ وَ صَلَّي عَلَيْهِ وَ كَبَّرَ سَبْعاً فَخَفَضَ</w:t>
      </w:r>
    </w:p>
    <w:p>
      <w:pPr>
        <w:pStyle w:val="Heading5"/>
        <w:numPr>
          <w:ilvl w:val="4"/>
          <w:numId w:val="1"/>
        </w:numPr>
        <w:rPr/>
      </w:pPr>
      <w:bookmarkStart w:id="3401" w:name="__RefHeading___Toc608046_1934241801"/>
      <w:bookmarkStart w:id="3402" w:name="_Toc1567"/>
      <w:bookmarkEnd w:id="3401"/>
      <w:r>
        <w:rPr>
          <w:rtl w:val="true"/>
        </w:rPr>
        <w:t>توضیح</w:t>
      </w:r>
      <w:bookmarkEnd w:id="3402"/>
    </w:p>
    <w:p>
      <w:pPr>
        <w:pStyle w:val="BookText"/>
        <w:rPr/>
      </w:pPr>
      <w:r>
        <w:rPr>
          <w:rFonts w:ascii="IRNazanin" w:hAnsi="IRNazanin" w:eastAsia="IRNazanin"/>
          <w:color w:val="111111"/>
          <w:sz w:val="28"/>
          <w:sz w:val="28"/>
          <w:szCs w:val="28"/>
          <w:rtl w:val="true"/>
          <w:lang w:bidi="fa-IR"/>
        </w:rPr>
        <w:t>نظری که حدیث شامل آن است مبنی بر اینکه شوهر به نسبت سایر بستگانِ زن برای نمازگزاردن بر میّت او شایسته تر است، نظری معروف و شناخته شده در میان فقهاست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احادیث روایت شده که برادر زن از شوهرش به منظور نماز گزاردن بر او شایسته تر است، که شیخ و دیگران این احادیث را حمل بر تقیّه کرده اند به خاطر اینکه در میان عامّه شهرت دارند، اگر چه در میان آنان نیز بر سر این نکته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در المبسوط، شیخ مفید و ابوصلاح در مورد جایگاهی که نماز گزار بر میّت باید در آن قرار گیرد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نماز میّت در میانه پیکر مرد یا رو به روی سینه پیکر زن قرار می گیرد، اغلب فقها و مخصوصاً فقهای متأخر قائل به این نظر هستند، امّا شیخ در الخلاف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نماز میّت کنار سر میّت مرد و رو به روی سینه میّت زن قرار می گیرد، چنان که حدیث نیز بر این شیوه دلالت می کند و علی بن بابویه نیز قائل به آن است، پسرش نیز در المقنع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بر میّت نماز گزاردی رو به روی سینه اش بایست و تکبیر بگوی،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میّت زن نماز گزاردی رو به روی سینه اش بایست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شیخ در الاستبصار نظر سوّمی را مطرح کرده است به این ترتیب که امام در نماز میّت در کنار سر میّت زن و سینه میّت مرد می ایستد، و مختار گرداندن نمازگزار در انتخاب این قول و قول نخست خالی از صحّت و قوّت نیست، چرا که احادیث معتبر در تأیید هر دو قول روایت شده اند، و از ظاهر کلام علّامه در المنتهی نیز همین نظر برداشت می شود، همچنین امکان حمل یکی از این دو قول بر تقّیه وجود ندارد، چرا که احادیث روایت شده و اقوال خودِ مخالفان نیز در این زمینه متفاوت است</w:t>
      </w:r>
      <w:r>
        <w:rPr>
          <w:rFonts w:eastAsia="IRNazanin" w:cs="IRNazanin"/>
          <w:color w:val="111111"/>
          <w:sz w:val="28"/>
          <w:szCs w:val="28"/>
          <w:rtl w:val="true"/>
          <w:lang w:bidi="fa-IR"/>
        </w:rPr>
        <w:t>.</w:t>
      </w:r>
    </w:p>
    <w:p>
      <w:pPr>
        <w:pStyle w:val="Heading5"/>
        <w:numPr>
          <w:ilvl w:val="4"/>
          <w:numId w:val="1"/>
        </w:numPr>
        <w:rPr/>
      </w:pPr>
      <w:bookmarkStart w:id="3403" w:name="__RefHeading___Toc608048_1934241801"/>
      <w:bookmarkStart w:id="3404" w:name="_Toc1568"/>
      <w:bookmarkEnd w:id="3403"/>
      <w:r>
        <w:rPr>
          <w:rtl w:val="true"/>
        </w:rPr>
        <w:t xml:space="preserve">روایت </w:t>
      </w:r>
      <w:r>
        <w:rPr/>
        <w:t>12</w:t>
      </w:r>
      <w:bookmarkEnd w:id="3404"/>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آدم علیه السلام وفات نمود فرشتگان او را غسل دادند، سپس بر زمین گذارده شد، آن گاه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 در حالی که فرشتگان پشت سر او قرار داشتند بر آدم علیه السلام نماز گزارد، و خداوند متعال به هبة الله وحی فرمود که در نماز خود بر پیکر آدم پنج بار تکبیر بگوید و او را در قبر پنهان کرده و قبرش را با زمین یکسان گرداند،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با مردگان خویش رفتار کنید</w:t>
      </w:r>
      <w:r>
        <w:rPr>
          <w:rFonts w:eastAsia="IRNazanin" w:cs="IRNazanin"/>
          <w:color w:val="111111"/>
          <w:sz w:val="28"/>
          <w:szCs w:val="28"/>
          <w:rtl w:val="true"/>
          <w:lang w:bidi="fa-IR"/>
        </w:rPr>
        <w:t>.</w:t>
      </w:r>
      <w:r>
        <w:rPr>
          <w:rStyle w:val="FootnoteAnchor"/>
          <w:rtl w:val="true"/>
        </w:rPr>
        <w:footnoteReference w:id="1720"/>
      </w:r>
    </w:p>
    <w:p>
      <w:pPr>
        <w:pStyle w:val="Heading5"/>
        <w:numPr>
          <w:ilvl w:val="4"/>
          <w:numId w:val="1"/>
        </w:numPr>
        <w:rPr/>
      </w:pPr>
      <w:bookmarkStart w:id="3405" w:name="__RefHeading___Toc608050_1934241801"/>
      <w:bookmarkStart w:id="3406" w:name="_Toc1569"/>
      <w:bookmarkEnd w:id="3405"/>
      <w:r>
        <w:rPr>
          <w:rtl w:val="true"/>
        </w:rPr>
        <w:t xml:space="preserve">روایت </w:t>
      </w:r>
      <w:r>
        <w:rPr/>
        <w:t>13</w:t>
      </w:r>
      <w:bookmarkEnd w:id="3406"/>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و العیون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وتفسیر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از پدرانش علیهم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جبرئیل پیامبر صلّی الله علیه و آله را از خبر وفات نجاشی آگاه کرد، پیامبر بسیار بر او اندوهگین گشت و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برادر شما أصحمه وفات کرده است، سپس به سوی کوه جَبّانه خارج شد و از دور بر او نماز گزارد و هفت مرتبه تکبیر گفت</w:t>
      </w:r>
      <w:r>
        <w:rPr>
          <w:rFonts w:eastAsia="IRNazanin" w:cs="IRNazanin"/>
          <w:color w:val="111111"/>
          <w:sz w:val="28"/>
          <w:szCs w:val="28"/>
          <w:rtl w:val="true"/>
          <w:lang w:bidi="fa-IR"/>
        </w:rPr>
        <w:t xml:space="preserve">. </w:t>
      </w:r>
      <w:bookmarkStart w:id="3407" w:name="pg13517_329378"/>
    </w:p>
    <w:p>
      <w:pPr>
        <w:pStyle w:val="BookText"/>
        <w:rPr/>
      </w:pPr>
      <w:bookmarkEnd w:id="3407"/>
      <w:r>
        <w:rPr>
          <w:rFonts w:ascii="Amiri" w:hAnsi="Amiri" w:eastAsia="Amiri" w:cs="Amiri"/>
          <w:color w:val="111111"/>
          <w:sz w:val="28"/>
          <w:sz w:val="28"/>
          <w:szCs w:val="28"/>
          <w:rtl w:val="true"/>
          <w:lang w:bidi="ar-SA"/>
        </w:rPr>
        <w:t>اللَّهُ لَهُ كُلَّ مُرْتَفِعٍ حَتَّي رَأَي جِنَازَتَهُ وَ هُوَ بِالْحَبَشَةِ</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08" w:name="__RefHeading___Toc608052_1934241801"/>
      <w:bookmarkStart w:id="3409" w:name="_Toc1570"/>
      <w:bookmarkEnd w:id="3408"/>
      <w:r>
        <w:rPr>
          <w:rtl w:val="true"/>
        </w:rPr>
        <w:t>بيان</w:t>
      </w:r>
      <w:bookmarkEnd w:id="3409"/>
    </w:p>
    <w:p>
      <w:pPr>
        <w:pStyle w:val="BookText"/>
        <w:rPr/>
      </w:pPr>
      <w:r>
        <w:rPr>
          <w:rFonts w:ascii="Amiri" w:hAnsi="Amiri" w:eastAsia="Amiri" w:cs="Amiri"/>
          <w:color w:val="111111"/>
          <w:sz w:val="28"/>
          <w:sz w:val="28"/>
          <w:szCs w:val="28"/>
          <w:rtl w:val="true"/>
          <w:lang w:bidi="ar-SA"/>
        </w:rPr>
        <w:t>لا خلاف بين أصحابنا في عدم جواز الصلاة علي الغائب و لعل هذا الحكم مخصوص بتلك الواقعة كعدد التكبيرات قال في المنتهي و لا يصلي علي الغائب عن بلد المصلي ذهب إليه علماؤنا و به قال أبو حنيفة و مالك و قال الشافعي يجوز و عن أحمد روايتان ثم قال احتج الجمهور بما روي عن النبي صلي الله عليه و آله أنه نعي النجاشي صاحب الحبشة اليوم الذي مات فيه و صلي بهم في المصلي و كبر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 الأرض زويت للنبي صلي الله عليه و آله فصلي عليه و هو حاضر عنده بخلاف غيره و لأنه حكاية فعل فلا يقتضي العموم و لأنه يمكن أن يكون دعا له لا أنه صلي عليه و أطلق علي الدعاء اسم الصلاة بالنظر إلي الحقيقة الأصلية و قد ورد هذا في أخبار أهل البيت عليهم السلام رَوَي الشَّيْخُ‌</w:t>
      </w:r>
      <w:r>
        <w:rPr>
          <w:rStyle w:val="FootnoteAnchor"/>
          <w:rtl w:val="true"/>
        </w:rPr>
        <w:footnoteReference w:id="1722"/>
      </w:r>
      <w:r>
        <w:rPr>
          <w:rFonts w:ascii="Amiri" w:hAnsi="Amiri" w:eastAsia="Amiri" w:cs="Amiri"/>
          <w:color w:val="111111"/>
          <w:sz w:val="28"/>
          <w:sz w:val="28"/>
          <w:szCs w:val="28"/>
          <w:rtl w:val="true"/>
          <w:lang w:bidi="ar-SA"/>
        </w:rPr>
        <w:t>عَنْ مُحَمَّدِ بْنِ مُسْلِمٍ وَ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فَالنَّجَاشِيُّ لَمْ يُصَلِّ عَلَيْهِ النَّبِيُّ صلي الله عليه و آله فَقَالَ لَا إِنَّمَا دَعَا لَهُ</w:t>
      </w:r>
      <w:r>
        <w:rPr>
          <w:rFonts w:eastAsia="Amiri" w:cs="Amiri" w:ascii="Amiri" w:hAnsi="Amiri"/>
          <w:color w:val="111111"/>
          <w:sz w:val="28"/>
          <w:szCs w:val="28"/>
          <w:rtl w:val="true"/>
          <w:lang w:bidi="ar-SA"/>
        </w:rPr>
        <w:t>.</w:t>
      </w:r>
    </w:p>
    <w:p>
      <w:pPr>
        <w:pStyle w:val="Heading5"/>
        <w:numPr>
          <w:ilvl w:val="4"/>
          <w:numId w:val="1"/>
        </w:numPr>
        <w:rPr/>
      </w:pPr>
      <w:bookmarkStart w:id="3410" w:name="__RefHeading___Toc608054_1934241801"/>
      <w:bookmarkStart w:id="3411" w:name="_Toc1571"/>
      <w:bookmarkEnd w:id="3410"/>
      <w:r>
        <w:rPr>
          <w:rtl w:val="true"/>
        </w:rPr>
        <w:t>«</w:t>
      </w:r>
      <w:r>
        <w:rPr/>
        <w:t>14</w:t>
      </w:r>
      <w:r>
        <w:rPr>
          <w:rtl w:val="true"/>
        </w:rPr>
        <w:t>»</w:t>
      </w:r>
      <w:bookmarkEnd w:id="3411"/>
    </w:p>
    <w:p>
      <w:pPr>
        <w:pStyle w:val="BookText"/>
        <w:rPr/>
      </w:pPr>
      <w:r>
        <w:rPr>
          <w:rFonts w:ascii="Amiri" w:hAnsi="Amiri" w:eastAsia="Amiri" w:cs="Amiri"/>
          <w:color w:val="111111"/>
          <w:sz w:val="28"/>
          <w:sz w:val="28"/>
          <w:szCs w:val="28"/>
          <w:rtl w:val="true"/>
          <w:lang w:bidi="ar-SA"/>
        </w:rPr>
        <w:t>الْعُيُونُ، عَنِ ابْنِ عُبْدُوسٍ عَنِ ابْنِ قُتَيْبَةَ عَنِ الْفَضْلِ بْنِ شَاذَانَ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لِلْمَأْمُونِ مِنْ شَرَائِعِ الدِّينِ الصَّلَاةُ عَلَي الْمَيِّتِ خَمْسُ تَكْبِيرَاتٍ فَمَنْ نَقَصَ فَقَدْ خَالَفَ وَ الْمَيِّتُ يُسَلُّ مِنْ قِبَلِ رِجْلَيْهِ وَ يُرْفَقُ بِهِ إِذَا أُدْخِلَ قَبْرَهُ‌</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12" w:name="__RefHeading___Toc608056_1934241801"/>
      <w:bookmarkStart w:id="3413" w:name="_Toc1572"/>
      <w:bookmarkEnd w:id="3412"/>
      <w:r>
        <w:rPr>
          <w:rtl w:val="true"/>
        </w:rPr>
        <w:t>«</w:t>
      </w:r>
      <w:r>
        <w:rPr/>
        <w:t>15</w:t>
      </w:r>
      <w:r>
        <w:rPr>
          <w:rtl w:val="true"/>
        </w:rPr>
        <w:t>»</w:t>
      </w:r>
      <w:bookmarkEnd w:id="3413"/>
    </w:p>
    <w:p>
      <w:pPr>
        <w:pStyle w:val="BookText"/>
        <w:rPr/>
      </w:pPr>
      <w:r>
        <w:rPr>
          <w:rFonts w:ascii="Amiri" w:hAnsi="Amiri" w:eastAsia="Amiri" w:cs="Amiri"/>
          <w:color w:val="111111"/>
          <w:sz w:val="28"/>
          <w:sz w:val="28"/>
          <w:szCs w:val="28"/>
          <w:rtl w:val="true"/>
          <w:lang w:bidi="ar-SA"/>
        </w:rPr>
        <w:t>مَجَالِسُ الصَّدُوقِ، عَنْ مُحَمَّدِ بْنِ عَلِيٍّ مَاجِيلَوَيْهِ عَنْ عَمِّهِ عَنْ أَحْمَدَ الْبَرْقِيِّ عَنْ عَلِيِّ بْنِ الْحُسَيْنِ الْبَرْقِيِّ عَنْ عَبْدِ اللَّهِ بْنِ جَبَلَةَ عَنْ مُعَاوِيَةَ بْنِ عَمَّارٍ عَنِ الْحَسَنِ بْنِ عَبْدِ اللَّهِ عَنْ أَبِيهِ عَنْ جَدِّهِ الْحَسَنِ بْنِ عَلِيٍّ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يُصَلِّي عَلَي الْجَنَائِزِ إِلَّا أَوْجَبَ اللَّهُ لَهُ الْجَنَّةَ إِلَّا أَنْ يَكُونَ مُنَافِقاً أَوْ عَاقّاً الْخَبَرَ</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خداوند متعال تمام بلندی ها را در مقابل پیامبر پست گردانید تا اینکه جنازه نجاشی را در حبشه مشاهده فرمود</w:t>
      </w:r>
      <w:r>
        <w:rPr>
          <w:rFonts w:eastAsia="IRNazanin" w:cs="IRNazanin"/>
          <w:color w:val="111111"/>
          <w:sz w:val="28"/>
          <w:szCs w:val="28"/>
          <w:rtl w:val="true"/>
          <w:lang w:bidi="fa-IR"/>
        </w:rPr>
        <w:t>.</w:t>
      </w:r>
      <w:r>
        <w:rPr>
          <w:rStyle w:val="FootnoteAnchor"/>
          <w:rtl w:val="true"/>
        </w:rPr>
        <w:footnoteReference w:id="1725"/>
      </w:r>
    </w:p>
    <w:p>
      <w:pPr>
        <w:pStyle w:val="Heading5"/>
        <w:numPr>
          <w:ilvl w:val="4"/>
          <w:numId w:val="1"/>
        </w:numPr>
        <w:rPr/>
      </w:pPr>
      <w:bookmarkStart w:id="3414" w:name="__RefHeading___Toc608058_1934241801"/>
      <w:bookmarkStart w:id="3415" w:name="_Toc1573"/>
      <w:bookmarkEnd w:id="3414"/>
      <w:r>
        <w:rPr>
          <w:rtl w:val="true"/>
        </w:rPr>
        <w:t>توضیح</w:t>
      </w:r>
      <w:bookmarkEnd w:id="3415"/>
    </w:p>
    <w:p>
      <w:pPr>
        <w:pStyle w:val="BookText"/>
        <w:rPr/>
      </w:pPr>
      <w:r>
        <w:rPr>
          <w:rFonts w:ascii="IRNazanin" w:hAnsi="IRNazanin" w:eastAsia="IRNazanin"/>
          <w:color w:val="111111"/>
          <w:sz w:val="28"/>
          <w:sz w:val="28"/>
          <w:szCs w:val="28"/>
          <w:rtl w:val="true"/>
          <w:lang w:bidi="fa-IR"/>
        </w:rPr>
        <w:t>در میان فقهای ما اختلاف نظری بر سر عدم جواز نمازگزاردن بر میّت غائب وجود ندارد، و شاید حُکم مذکور در این حدیث همانند تعداد تکبیرها مخصوص آن واقعه باشد، علّامه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نمازگزار بر میّت غائب نمازگزارده نمی شود؛علمای ما به این نظر تمایل نشان دادند و ابو حنیفه و مالک نیز چنین نظری دارند، ولی شافعی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جایز است، و از احمد دو روایت نقل شده است،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فقها به این روایت استناد کرده اند که رسول خدا صلّی الله علیه و آله خبر وفات نجاشی صاحب حبشه را در روز وفاتش به آگاهی اصحاب خود رساند و در مصلّی نماز میّت را برای آنان امامت کرد و چهار بار تکبیر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این سخن چنین است که زمین در مقابل پیامبر صلّی الله علیه و آله درهم پیچیده شده و جمع گردید و ایشان بر خلاف دیگران در کنار جنازه نجاشی حاضر گشت، و این فقط حکایت عملی است که اختصاص به پیامبر دارد، پس اقتضای عموم نمی کند، همچنین ممکن است که پیامبر بر جنازه نجاشی نماز نگزارده باشد بلکه برای او دعا خوانده باشد، 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مفهوم دعا خواندن نیز اطلاق می شود و این امر با عنایت به حقیقت اصلی معنای نماز است؛ این نظر در احادیث منقول از اهل بیت علیهم السلام نیز نمود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از محمّد بن مسلم و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صلّی الله علیه و آله از راه دور بر جنازه نجاشی نماز نگزارد؟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پیامبر فقط برای او دعا خواند</w:t>
      </w:r>
      <w:r>
        <w:rPr>
          <w:rFonts w:eastAsia="IRNazanin" w:cs="IRNazanin"/>
          <w:color w:val="111111"/>
          <w:sz w:val="28"/>
          <w:szCs w:val="28"/>
          <w:rtl w:val="true"/>
          <w:lang w:bidi="fa-IR"/>
        </w:rPr>
        <w:t>.</w:t>
      </w:r>
      <w:r>
        <w:rPr>
          <w:rStyle w:val="FootnoteAnchor"/>
          <w:rtl w:val="true"/>
        </w:rPr>
        <w:footnoteReference w:id="1726"/>
      </w:r>
    </w:p>
    <w:p>
      <w:pPr>
        <w:pStyle w:val="Heading5"/>
        <w:numPr>
          <w:ilvl w:val="4"/>
          <w:numId w:val="1"/>
        </w:numPr>
        <w:rPr/>
      </w:pPr>
      <w:bookmarkStart w:id="3416" w:name="__RefHeading___Toc608060_1934241801"/>
      <w:bookmarkStart w:id="3417" w:name="_Toc1574"/>
      <w:bookmarkEnd w:id="3416"/>
      <w:r>
        <w:rPr>
          <w:rtl w:val="true"/>
        </w:rPr>
        <w:t xml:space="preserve">روایت </w:t>
      </w:r>
      <w:r>
        <w:rPr/>
        <w:t>14</w:t>
      </w:r>
      <w:bookmarkEnd w:id="3417"/>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در میان نوشته هایی که امام رضا علیه السلام در تشریح شرایع دین برای مأمون نگاشته بود از ایشان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میّت دارای پنج تکبیر است و هر کسی یکی از آن ها را ناقص گرداند مخالفت ورزیده است، و میّت از سمت پاهایش در خاک پوشانده شده و با آرامش و نرمی در قبر گذاشته می شود</w:t>
      </w:r>
      <w:r>
        <w:rPr>
          <w:rFonts w:eastAsia="IRNazanin" w:cs="IRNazanin"/>
          <w:color w:val="111111"/>
          <w:sz w:val="28"/>
          <w:szCs w:val="28"/>
          <w:rtl w:val="true"/>
          <w:lang w:bidi="fa-IR"/>
        </w:rPr>
        <w:t>.</w:t>
      </w:r>
      <w:r>
        <w:rPr>
          <w:rStyle w:val="FootnoteAnchor"/>
          <w:rtl w:val="true"/>
        </w:rPr>
        <w:footnoteReference w:id="1727"/>
      </w:r>
    </w:p>
    <w:p>
      <w:pPr>
        <w:pStyle w:val="Heading5"/>
        <w:numPr>
          <w:ilvl w:val="4"/>
          <w:numId w:val="1"/>
        </w:numPr>
        <w:rPr/>
      </w:pPr>
      <w:bookmarkStart w:id="3418" w:name="__RefHeading___Toc608062_1934241801"/>
      <w:bookmarkStart w:id="3419" w:name="_Toc1575"/>
      <w:bookmarkEnd w:id="3418"/>
      <w:r>
        <w:rPr>
          <w:rtl w:val="true"/>
        </w:rPr>
        <w:t xml:space="preserve">روایت </w:t>
      </w:r>
      <w:r>
        <w:rPr/>
        <w:t>15</w:t>
      </w:r>
      <w:bookmarkEnd w:id="3419"/>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بن علی علیهما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برجنازه ها نماز بگزارد، خداوند بهشت را برای او واجب می گرداند، مگر اینکه منافق باشد و یا والدینش او را عاقّ کرده باشند، تا پایان حدیث</w:t>
      </w:r>
      <w:r>
        <w:rPr>
          <w:rFonts w:eastAsia="IRNazanin" w:cs="IRNazanin"/>
          <w:color w:val="111111"/>
          <w:sz w:val="28"/>
          <w:szCs w:val="28"/>
          <w:rtl w:val="true"/>
          <w:lang w:bidi="fa-IR"/>
        </w:rPr>
        <w:t>.</w:t>
      </w:r>
      <w:r>
        <w:rPr>
          <w:rStyle w:val="FootnoteAnchor"/>
          <w:rtl w:val="true"/>
        </w:rPr>
        <w:footnoteReference w:id="1728"/>
      </w:r>
      <w:bookmarkStart w:id="3420" w:name="pg13517_329379"/>
    </w:p>
    <w:p>
      <w:pPr>
        <w:pStyle w:val="Heading5"/>
        <w:numPr>
          <w:ilvl w:val="4"/>
          <w:numId w:val="1"/>
        </w:numPr>
        <w:rPr/>
      </w:pPr>
      <w:bookmarkStart w:id="3421" w:name="__RefHeading___Toc608064_1934241801"/>
      <w:bookmarkStart w:id="3422" w:name="_Toc1576"/>
      <w:bookmarkEnd w:id="3420"/>
      <w:bookmarkEnd w:id="3421"/>
      <w:r>
        <w:rPr>
          <w:rtl w:val="true"/>
        </w:rPr>
        <w:t>«</w:t>
      </w:r>
      <w:r>
        <w:rPr/>
        <w:t>16</w:t>
      </w:r>
      <w:r>
        <w:rPr>
          <w:rtl w:val="true"/>
        </w:rPr>
        <w:t>»</w:t>
      </w:r>
      <w:bookmarkEnd w:id="3422"/>
    </w:p>
    <w:p>
      <w:pPr>
        <w:pStyle w:val="BookText"/>
        <w:rPr/>
      </w:pPr>
      <w:r>
        <w:rPr>
          <w:rFonts w:ascii="Amiri" w:hAnsi="Amiri" w:eastAsia="Amiri" w:cs="Amiri"/>
          <w:color w:val="111111"/>
          <w:sz w:val="28"/>
          <w:sz w:val="28"/>
          <w:szCs w:val="28"/>
          <w:rtl w:val="true"/>
          <w:lang w:bidi="ar-SA"/>
        </w:rPr>
        <w:t>وَ مِنْهُ، فِي خَبَرِ الْمَنَاهِي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عَلَي مَيِّتٍ صَلَّي عَلَيْهِ سَبْعُونَ أَلْفَ مَلَكٍ وَ غَفَرَ اللَّهُ لَهُ مَا تَقَدَّمَ مِنْ ذَنْبِهِ فَإِنْ أَقَامَ حَتَّي يُدْفَنَ وَ يُحْثَي عَلَيْهِ التُّرَابُ كَانَ لَهُ بِكُلِّ قَدَمٍ نَقَلَهَا قِيرَاطٌ مِنَ الْأَجْرِ وَ الْقِيرَاطُ مِثْلُ جَبَلِ أُحُدٍ</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23" w:name="__RefHeading___Toc608066_1934241801"/>
      <w:bookmarkStart w:id="3424" w:name="_Toc1577"/>
      <w:bookmarkEnd w:id="3423"/>
      <w:r>
        <w:rPr>
          <w:rtl w:val="true"/>
        </w:rPr>
        <w:t>«</w:t>
      </w:r>
      <w:r>
        <w:rPr/>
        <w:t>17</w:t>
      </w:r>
      <w:r>
        <w:rPr>
          <w:rtl w:val="true"/>
        </w:rPr>
        <w:t>»</w:t>
      </w:r>
      <w:bookmarkEnd w:id="3424"/>
    </w:p>
    <w:p>
      <w:pPr>
        <w:pStyle w:val="BookText"/>
        <w:rPr/>
      </w:pPr>
      <w:r>
        <w:rPr>
          <w:rFonts w:ascii="Amiri" w:hAnsi="Amiri" w:eastAsia="Amiri" w:cs="Amiri"/>
          <w:color w:val="111111"/>
          <w:sz w:val="28"/>
          <w:sz w:val="28"/>
          <w:szCs w:val="28"/>
          <w:rtl w:val="true"/>
          <w:lang w:bidi="ar-SA"/>
        </w:rPr>
        <w:t>الْخِصَالُ، عَنْ أَبِيهِ عَنْ عَلِيِّ بْنِ إِبْرَاهِيمَ عَنْ أَبِيهِ عَنْ حَمَّادِ بْنِ عِيسَي عَنْ حَرِيزٍ عَنْ زُرَارَةَ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صَلَوَاتٍ يُصَلِّيهَا الرَّجُلُ فِي كُلِّ سَاعَةٍ صَلَاةٌ فَاتَتْكَ فَمَتَي ذَكَرْتَهَا أَدَّيْتَهَا وَ صَلَاةُ رَكْعَتَيْ طَوَافِ الْفَرِيضَةِ وَ صَلَاةُ الْكُسُوفِ وَ الصَّلَاةُ عَلَي الْمَيِّتِ هَؤُلَاءِ يُصَلِّيهِنَّ الرَّجُلُ فِي السَّاعَاتِ كُلِّهَا</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25" w:name="__RefHeading___Toc608068_1934241801"/>
      <w:bookmarkStart w:id="3426" w:name="_Toc1578"/>
      <w:bookmarkEnd w:id="3425"/>
      <w:r>
        <w:rPr>
          <w:rtl w:val="true"/>
        </w:rPr>
        <w:t>«</w:t>
      </w:r>
      <w:r>
        <w:rPr/>
        <w:t>18</w:t>
      </w:r>
      <w:r>
        <w:rPr>
          <w:rtl w:val="true"/>
        </w:rPr>
        <w:t>»</w:t>
      </w:r>
      <w:bookmarkEnd w:id="3426"/>
    </w:p>
    <w:p>
      <w:pPr>
        <w:pStyle w:val="BookText"/>
        <w:rPr/>
      </w:pPr>
      <w:r>
        <w:rPr>
          <w:rFonts w:ascii="Amiri" w:hAnsi="Amiri" w:eastAsia="Amiri" w:cs="Amiri"/>
          <w:color w:val="111111"/>
          <w:sz w:val="28"/>
          <w:sz w:val="28"/>
          <w:szCs w:val="28"/>
          <w:rtl w:val="true"/>
          <w:lang w:bidi="ar-SA"/>
        </w:rPr>
        <w:t>قُرْبُ الْإِسْنَادِ، عَنِ الْحَسَنِ بْنِ طَرِيفٍ عَنِ الْحُسَيْنِ بْنِ عُلْوَانَ عَنْ جَعْفَرٍ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صَلَّي عَلَي جِنَازَةٍ فَلَمَّا فَرَغَ مِنْهَا جَاءَ قَوْمٌ لَمْ يَكُونُوا أَدْرَكُوهَا فَكَلَّمُوا رَسُولَ اللَّهِ صلي الله عليه و آله أَنْ يُعِيدَ الصَّلَاةَ عَلَيْهَا فَقَالَ لَهُمْ قَدْ قَضَيْتُ الصَّلَاةَ عَلَيْهَا وَ لَكِنِ ادْعُوا لَهَا</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27" w:name="__RefHeading___Toc608070_1934241801"/>
      <w:bookmarkStart w:id="3428" w:name="_Toc1579"/>
      <w:bookmarkEnd w:id="3427"/>
      <w:r>
        <w:rPr>
          <w:rtl w:val="true"/>
        </w:rPr>
        <w:t>«</w:t>
      </w:r>
      <w:r>
        <w:rPr/>
        <w:t>19</w:t>
      </w:r>
      <w:r>
        <w:rPr>
          <w:rtl w:val="true"/>
        </w:rPr>
        <w:t>»</w:t>
      </w:r>
      <w:bookmarkEnd w:id="3428"/>
    </w:p>
    <w:p>
      <w:pPr>
        <w:pStyle w:val="BookText"/>
        <w:rPr/>
      </w:pPr>
      <w:r>
        <w:rPr>
          <w:rFonts w:ascii="Amiri" w:hAnsi="Amiri" w:eastAsia="Amiri" w:cs="Amiri"/>
          <w:color w:val="111111"/>
          <w:sz w:val="28"/>
          <w:sz w:val="28"/>
          <w:szCs w:val="28"/>
          <w:rtl w:val="true"/>
          <w:lang w:bidi="ar-SA"/>
        </w:rPr>
        <w:t>وَ مِنْهُ، عَنِ السِّنْدِيِّ بْنِ مُحَمَّدٍ عَنْ أَبِي الْبَخْتَرِيِّ عَنْ جَعْفَرِ بْنِ مُحَمَّدٍ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صَلَّي عَلَي جِنَازَةٍ فَلَمَّا فَرَغَ جَاءَهُ نَاسٌ فَقَالُوا يَا رَسُولَ اللَّهِ لَمْ نُدْرِكِ الصَّلَاةَ عَلَيْهَا فَقَالَ لَا تُصَلُّوا عَلَي جَنَازَةٍ مَرَّتَيْنِ وَ لَكِنِ ادْعُوا لَهَا</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29" w:name="__RefHeading___Toc608072_1934241801"/>
      <w:bookmarkStart w:id="3430" w:name="_Toc1580"/>
      <w:bookmarkEnd w:id="3429"/>
      <w:r>
        <w:rPr>
          <w:rtl w:val="true"/>
        </w:rPr>
        <w:t>«</w:t>
      </w:r>
      <w:r>
        <w:rPr/>
        <w:t>20</w:t>
      </w:r>
      <w:r>
        <w:rPr>
          <w:rtl w:val="true"/>
        </w:rPr>
        <w:t>»</w:t>
      </w:r>
      <w:bookmarkEnd w:id="3430"/>
    </w:p>
    <w:p>
      <w:pPr>
        <w:pStyle w:val="BookText"/>
        <w:rPr/>
      </w:pPr>
      <w:r>
        <w:rPr>
          <w:rFonts w:ascii="Amiri" w:hAnsi="Amiri" w:eastAsia="Amiri" w:cs="Amiri"/>
          <w:color w:val="111111"/>
          <w:sz w:val="28"/>
          <w:sz w:val="28"/>
          <w:szCs w:val="28"/>
          <w:rtl w:val="true"/>
          <w:lang w:bidi="ar-SA"/>
        </w:rPr>
        <w:t>نَهْجُ الْبَلَاغَةِ، وَ الْإِحْتِجَاجُ،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فِي جَوَابِ مُعَاوِيَةَ مِنَ الْمُفَاخَرَةِ قَالَ عليه السلام إِنَّ قَوْماً اسْتُشْهِدُوا فِي سَبِيلِ اللَّهِ مِنَ الْمُهَاجِرِينَ وَ لِكُلٍّ فَضْلٌ حَتَّي إِذَا اسْتُشْهِدَ شَهِيدُنَا قِيلَ سَيِّدُ الشُّهَدَاءِ وَ خَصَّهُ رَسُولُ اللَّهُ بِسَبْعِينَ</w:t>
      </w:r>
    </w:p>
    <w:p>
      <w:pPr>
        <w:pStyle w:val="Heading5"/>
        <w:numPr>
          <w:ilvl w:val="4"/>
          <w:numId w:val="1"/>
        </w:numPr>
        <w:rPr/>
      </w:pPr>
      <w:bookmarkStart w:id="3431" w:name="__RefHeading___Toc608074_1934241801"/>
      <w:bookmarkStart w:id="3432" w:name="_Toc1581"/>
      <w:bookmarkEnd w:id="3431"/>
      <w:r>
        <w:rPr>
          <w:rtl w:val="true"/>
        </w:rPr>
        <w:t xml:space="preserve">روایت </w:t>
      </w:r>
      <w:r>
        <w:rPr/>
        <w:t>16</w:t>
      </w:r>
      <w:bookmarkEnd w:id="3432"/>
    </w:p>
    <w:p>
      <w:p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المناهی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بر میّتی نماز بگزارد، هفتاد هزار فرشته بر او نماز می گزارند و خداوند گناهان ماقبل او را می بخشاید، پس اگر درنگ کند تا آن میّت به خاک سپرده شده و بر او خاک ریخته می شود، به ازای هر قدمی که برداشته است یک قیراط اجر و پاداش کسب می کند، و هر قیراط به اندازه کوه احد است</w:t>
      </w:r>
      <w:r>
        <w:rPr>
          <w:rFonts w:eastAsia="IRNazanin" w:cs="IRNazanin"/>
          <w:color w:val="111111"/>
          <w:sz w:val="28"/>
          <w:szCs w:val="28"/>
          <w:rtl w:val="true"/>
          <w:lang w:bidi="fa-IR"/>
        </w:rPr>
        <w:t>.</w:t>
      </w:r>
      <w:r>
        <w:rPr>
          <w:rStyle w:val="FootnoteAnchor"/>
          <w:rtl w:val="true"/>
        </w:rPr>
        <w:footnoteReference w:id="1733"/>
      </w:r>
    </w:p>
    <w:p>
      <w:pPr>
        <w:pStyle w:val="Heading5"/>
        <w:numPr>
          <w:ilvl w:val="4"/>
          <w:numId w:val="1"/>
        </w:numPr>
        <w:rPr/>
      </w:pPr>
      <w:bookmarkStart w:id="3433" w:name="__RefHeading___Toc608076_1934241801"/>
      <w:bookmarkStart w:id="3434" w:name="_Toc1582"/>
      <w:bookmarkEnd w:id="3433"/>
      <w:r>
        <w:rPr>
          <w:rtl w:val="true"/>
        </w:rPr>
        <w:t xml:space="preserve">روایت </w:t>
      </w:r>
      <w:r>
        <w:rPr/>
        <w:t>17</w:t>
      </w:r>
      <w:bookmarkEnd w:id="3434"/>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نماز هستند که انسان در هر ساعتی می تواند آن ها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ادای آن را در سر وقت از دست داده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زمان که به یادش آوردی آن را به جا آور، دو رکعت نماز طواف فریضه، نماز کسوف و نماز میّت، نمازگزار می تواند این چهار نماز را در هر ساعتی به جا آورد</w:t>
      </w:r>
      <w:r>
        <w:rPr>
          <w:rFonts w:eastAsia="IRNazanin" w:cs="IRNazanin"/>
          <w:color w:val="111111"/>
          <w:sz w:val="28"/>
          <w:szCs w:val="28"/>
          <w:rtl w:val="true"/>
          <w:lang w:bidi="fa-IR"/>
        </w:rPr>
        <w:t>.</w:t>
      </w:r>
      <w:r>
        <w:rPr>
          <w:rStyle w:val="FootnoteAnchor"/>
          <w:rtl w:val="true"/>
        </w:rPr>
        <w:footnoteReference w:id="1734"/>
      </w:r>
    </w:p>
    <w:p>
      <w:pPr>
        <w:pStyle w:val="Heading5"/>
        <w:numPr>
          <w:ilvl w:val="4"/>
          <w:numId w:val="1"/>
        </w:numPr>
        <w:rPr/>
      </w:pPr>
      <w:bookmarkStart w:id="3435" w:name="__RefHeading___Toc608078_1934241801"/>
      <w:bookmarkStart w:id="3436" w:name="_Toc1583"/>
      <w:bookmarkEnd w:id="3435"/>
      <w:r>
        <w:rPr>
          <w:rtl w:val="true"/>
        </w:rPr>
        <w:t xml:space="preserve">روایت </w:t>
      </w:r>
      <w:r>
        <w:rPr/>
        <w:t>18</w:t>
      </w:r>
      <w:bookmarkEnd w:id="3436"/>
    </w:p>
    <w:p>
      <w:pPr>
        <w:pStyle w:val="BookText"/>
        <w:rPr/>
      </w:pP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روایت کرده که رسول خدا صلّی الله علیه و آله بر جنازه ای نماز گزارد، هنگامی که پیامبر از ادای نماز فارغ گشت، گروهی از مردم آمدند که نماز را از دست داده بودند، پس با رسول خدا صلّی الله علیه و آله سخن گفتند که نماز را بر میّت اعاده گرداند، پیامبر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او گزارده شده است، لکن برای او دعا کنید</w:t>
      </w:r>
      <w:r>
        <w:rPr>
          <w:rFonts w:eastAsia="IRNazanin" w:cs="IRNazanin"/>
          <w:color w:val="111111"/>
          <w:sz w:val="28"/>
          <w:szCs w:val="28"/>
          <w:rtl w:val="true"/>
          <w:lang w:bidi="fa-IR"/>
        </w:rPr>
        <w:t>.</w:t>
      </w:r>
      <w:r>
        <w:rPr>
          <w:rStyle w:val="FootnoteAnchor"/>
          <w:rtl w:val="true"/>
        </w:rPr>
        <w:footnoteReference w:id="1735"/>
      </w:r>
    </w:p>
    <w:p>
      <w:pPr>
        <w:pStyle w:val="Heading5"/>
        <w:numPr>
          <w:ilvl w:val="4"/>
          <w:numId w:val="1"/>
        </w:numPr>
        <w:rPr/>
      </w:pPr>
      <w:bookmarkStart w:id="3437" w:name="__RefHeading___Toc608080_1934241801"/>
      <w:bookmarkStart w:id="3438" w:name="_Toc1584"/>
      <w:bookmarkEnd w:id="3437"/>
      <w:r>
        <w:rPr>
          <w:rtl w:val="true"/>
        </w:rPr>
        <w:t xml:space="preserve">روایت </w:t>
      </w:r>
      <w:r>
        <w:rPr/>
        <w:t>19</w:t>
      </w:r>
      <w:bookmarkEnd w:id="3438"/>
    </w:p>
    <w:p>
      <w:pPr>
        <w:pStyle w:val="BookText"/>
        <w:rPr/>
      </w:pP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روایت کرده که رسول خدا صلّی الله علیه و آله بر جنازه ای نماز گزارد، هنگامی که از ادای نماز فارغ گشت، عده ای از مردم نزد ایشان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نماز گزاردن بر او را از دست دادیم،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جنازه ای دوبار نماز گذاشته نمی شود بلکه برای او دعا کنید</w:t>
      </w:r>
      <w:r>
        <w:rPr>
          <w:rFonts w:eastAsia="IRNazanin" w:cs="IRNazanin"/>
          <w:color w:val="111111"/>
          <w:sz w:val="28"/>
          <w:szCs w:val="28"/>
          <w:rtl w:val="true"/>
          <w:lang w:bidi="fa-IR"/>
        </w:rPr>
        <w:t>.</w:t>
      </w:r>
      <w:r>
        <w:rPr>
          <w:rStyle w:val="FootnoteAnchor"/>
          <w:rtl w:val="true"/>
        </w:rPr>
        <w:footnoteReference w:id="1736"/>
      </w:r>
    </w:p>
    <w:p>
      <w:pPr>
        <w:pStyle w:val="Heading5"/>
        <w:numPr>
          <w:ilvl w:val="4"/>
          <w:numId w:val="1"/>
        </w:numPr>
        <w:rPr/>
      </w:pPr>
      <w:bookmarkStart w:id="3439" w:name="__RefHeading___Toc608082_1934241801"/>
      <w:bookmarkStart w:id="3440" w:name="_Toc1585"/>
      <w:bookmarkEnd w:id="3439"/>
      <w:r>
        <w:rPr>
          <w:rtl w:val="true"/>
        </w:rPr>
        <w:t xml:space="preserve">روایت </w:t>
      </w:r>
      <w:r>
        <w:rPr/>
        <w:t>20</w:t>
      </w:r>
      <w:bookmarkEnd w:id="3440"/>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البلاغة و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ضمن نامه ای که در پاسخ فخر فروشی معاویه نگاشته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مهاجرین و انصار در راه خدا به شهادت رسیدند و هر یک دارای فضلیتی بودند، امّا آن گاه که شهید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شربت شهادت نوشید او را سیّد الشهداء خواندند، و پیامبر صلّی الله علیه و آله </w:t>
      </w:r>
      <w:bookmarkStart w:id="3441" w:name="pg13517_329380"/>
    </w:p>
    <w:p>
      <w:pPr>
        <w:pStyle w:val="BookText"/>
        <w:rPr/>
      </w:pPr>
      <w:bookmarkEnd w:id="3441"/>
      <w:r>
        <w:rPr>
          <w:rFonts w:ascii="Amiri" w:hAnsi="Amiri" w:eastAsia="Amiri" w:cs="Amiri"/>
          <w:color w:val="111111"/>
          <w:sz w:val="28"/>
          <w:sz w:val="28"/>
          <w:szCs w:val="28"/>
          <w:rtl w:val="true"/>
          <w:lang w:bidi="ar-SA"/>
        </w:rPr>
        <w:t>تَكْبِيرَةً عِنْدَ صَلَاتِهِ عَلَيْهِ‌</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2" w:name="__RefHeading___Toc608084_1934241801"/>
      <w:bookmarkStart w:id="3443" w:name="_Toc1586"/>
      <w:bookmarkEnd w:id="3442"/>
      <w:r>
        <w:rPr>
          <w:rtl w:val="true"/>
        </w:rPr>
        <w:t>«</w:t>
      </w:r>
      <w:r>
        <w:rPr/>
        <w:t>21</w:t>
      </w:r>
      <w:r>
        <w:rPr>
          <w:rtl w:val="true"/>
        </w:rPr>
        <w:t>»</w:t>
      </w:r>
      <w:bookmarkEnd w:id="3443"/>
    </w:p>
    <w:p>
      <w:pPr>
        <w:pStyle w:val="BookText"/>
        <w:rPr/>
      </w:pPr>
      <w:r>
        <w:rPr>
          <w:rFonts w:ascii="Amiri" w:hAnsi="Amiri" w:eastAsia="Amiri" w:cs="Amiri"/>
          <w:color w:val="111111"/>
          <w:sz w:val="28"/>
          <w:sz w:val="28"/>
          <w:szCs w:val="28"/>
          <w:rtl w:val="true"/>
          <w:lang w:bidi="ar-SA"/>
        </w:rPr>
        <w:t>الْعُيُونُ، عَنْ مُحَمَّدِ بْنِ عَلِيِّ بْنِ الشَّاهِ عَنْ أَبِي بَكْرِ بْنِ عَبْدِ اللَّهِ النَّيْسَابُورِيِّ عَنْ عَبْدِ اللَّهِ بْنِ أَحْمَدَ الطَّائِيِّ عَنْ أَبِيهِ وَ عَنْ أَحْمَدَ بْنِ إِبْرَاهِيمَ الْخُوزِيِّ عَنْ إِبْرَاهِيمَ بْنِ مَرْوَانَ عَنْ جَعْفَرِ بْنِ مُحَمَّدِ بْنِ زِيَادٍ عَنْ أَحْمَدَ بْنِ عَبْدِ اللَّهِ الْهَرَوِيِّ وَ عَنِ الْحُسَيْنِ بْنِ مُحَمَّدٍ الْأُشْنَانِيِّ عَنْ عَلِيِّ بْنِ مُحَمَّدِ بْنِ مَهْرَوَيْهِ عَنْ دَاوُدَ بْنِ سُلَيْمَانَ جَمِيعاً عَنِ الرِّضَا عَنْ آبَائِهِ عليهم السلام عَنِ الْحُسَيْنِ بْنِ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صلي الله عليه و آله كَبَّرَ عَلَي حَمْزَةَ سَبْعَ‌</w:t>
      </w:r>
      <w:r>
        <w:rPr>
          <w:rStyle w:val="FootnoteAnchor"/>
          <w:rtl w:val="true"/>
        </w:rPr>
        <w:footnoteReference w:id="1738"/>
      </w:r>
      <w:r>
        <w:rPr>
          <w:rFonts w:ascii="Amiri" w:hAnsi="Amiri" w:eastAsia="Amiri" w:cs="Amiri"/>
          <w:color w:val="111111"/>
          <w:sz w:val="28"/>
          <w:sz w:val="28"/>
          <w:szCs w:val="28"/>
          <w:rtl w:val="true"/>
          <w:lang w:bidi="ar-SA"/>
        </w:rPr>
        <w:t>تَكْبِيرَاتٍ وَ كَبَّرَ عَلَي الشُّهَدَاءِ بَعْدَ حَمْزَةَ خَمْسَ تَكْبِيرَاتٍ فَلَحِقَ حَمْزَةَ سَبْعُونَ تَكْبِيرَةً</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4" w:name="__RefHeading___Toc608086_1934241801"/>
      <w:bookmarkStart w:id="3445" w:name="_Toc1587"/>
      <w:bookmarkEnd w:id="3444"/>
      <w:r>
        <w:rPr>
          <w:rtl w:val="true"/>
        </w:rPr>
        <w:t>توضيح</w:t>
      </w:r>
      <w:bookmarkEnd w:id="3445"/>
    </w:p>
    <w:p>
      <w:pPr>
        <w:pStyle w:val="BookText"/>
        <w:rPr/>
      </w:pPr>
      <w:r>
        <w:rPr>
          <w:rFonts w:ascii="Amiri" w:hAnsi="Amiri" w:eastAsia="Amiri" w:cs="Amiri"/>
          <w:color w:val="111111"/>
          <w:sz w:val="28"/>
          <w:sz w:val="28"/>
          <w:szCs w:val="28"/>
          <w:rtl w:val="true"/>
          <w:lang w:bidi="ar-SA"/>
        </w:rPr>
        <w:t>اعلم أن الأصحاب اختلفوا في تكرار الصلاة علي الجنازة الواحدة فقال العلامة قدس سره في المختلف المشهور كراهة تكرار الصلاة علي الميت و قيد ابن إدريس بالصلاة جماعة لتكرار الصحابة الصلاة علي النبي صلي الله عليه و آله فرادي و قال الشيخ في الخلاف من صلي علي جنازة يكره له أن يصلي عليها ثانيا و هو يشعر باختصاص الكراهة بالمصلي المتحد و ربما ظهر من كلامه في الاستبصار استحباب التكرار من المصلي الواحد و غيره و ظاهرهم الاتفاق علي الجواز و الأخبار في ذلك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يحتمل بعض الأخبار كون الصلاة علي حمزة سبعين تكبيرة و يكون من خصائصه عليه السلام و لكن يظهر من أكثرها أنها كانت في الصلوات المتعددة كما يظهر من خبر العيون قال في التذكرة لا ينبغي الزيادة علي الخمس لأنها منوطة بقانون الشرع و لم تنقل الزيادة و ما روي عن النبي صلي الله عليه و آله من أنه كبر علي حمزة سبعين تكبيرة و عن علي عليه السلام أنه كبر علي سهل بن حنيف خمسا و عشرين تكبيرة إنما كان في صلوات متعددة و قال في المختلف إن حديث سهل بن حنيف مختص بذلك الشخص إظهارا لفضله كما خص النبي صلي الله عليه و آله عمه</w:t>
      </w:r>
    </w:p>
    <w:p>
      <w:pPr>
        <w:pStyle w:val="BookText"/>
        <w:rPr/>
      </w:pPr>
      <w:r>
        <w:rPr>
          <w:rFonts w:ascii="IRNazanin" w:hAnsi="IRNazanin" w:eastAsia="IRNazanin"/>
          <w:color w:val="111111"/>
          <w:sz w:val="28"/>
          <w:sz w:val="28"/>
          <w:szCs w:val="28"/>
          <w:rtl w:val="true"/>
          <w:lang w:bidi="fa-IR"/>
        </w:rPr>
        <w:t>در نماز بر پیکر او به جای پنج تکبیر هفت تکبیرگفت</w:t>
      </w:r>
      <w:r>
        <w:rPr>
          <w:rFonts w:eastAsia="IRNazanin" w:cs="IRNazanin"/>
          <w:color w:val="111111"/>
          <w:sz w:val="28"/>
          <w:szCs w:val="28"/>
          <w:rtl w:val="true"/>
          <w:lang w:bidi="fa-IR"/>
        </w:rPr>
        <w:t>.</w:t>
      </w:r>
      <w:r>
        <w:rPr>
          <w:rStyle w:val="FootnoteAnchor"/>
          <w:rtl w:val="true"/>
        </w:rPr>
        <w:footnoteReference w:id="1740"/>
      </w:r>
    </w:p>
    <w:p>
      <w:pPr>
        <w:pStyle w:val="Heading5"/>
        <w:numPr>
          <w:ilvl w:val="4"/>
          <w:numId w:val="1"/>
        </w:numPr>
        <w:rPr/>
      </w:pPr>
      <w:bookmarkStart w:id="3446" w:name="__RefHeading___Toc608088_1934241801"/>
      <w:bookmarkStart w:id="3447" w:name="_Toc1588"/>
      <w:bookmarkEnd w:id="3446"/>
      <w:r>
        <w:rPr>
          <w:rtl w:val="true"/>
        </w:rPr>
        <w:t xml:space="preserve">روایت </w:t>
      </w:r>
      <w:r>
        <w:rPr/>
        <w:t>21</w:t>
      </w:r>
      <w:bookmarkEnd w:id="3447"/>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علیهم السلام روایت کرده که امام حسین بن علی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را مشاهده نمودم که بر پیکرحمزه هفت تکبیرگفت، و بر شهدای پس از حمزه پنج تکبیر گفت، سپس هفتاد تکبیر بر پیکر حمزه ملحق گردانید</w:t>
      </w:r>
      <w:r>
        <w:rPr>
          <w:rFonts w:eastAsia="IRNazanin" w:cs="IRNazanin"/>
          <w:color w:val="111111"/>
          <w:sz w:val="28"/>
          <w:szCs w:val="28"/>
          <w:rtl w:val="true"/>
          <w:lang w:bidi="fa-IR"/>
        </w:rPr>
        <w:t>.</w:t>
      </w:r>
      <w:r>
        <w:rPr>
          <w:rStyle w:val="FootnoteAnchor"/>
          <w:rtl w:val="true"/>
        </w:rPr>
        <w:footnoteReference w:id="1741"/>
      </w:r>
    </w:p>
    <w:p>
      <w:pPr>
        <w:pStyle w:val="Heading5"/>
        <w:numPr>
          <w:ilvl w:val="4"/>
          <w:numId w:val="1"/>
        </w:numPr>
        <w:rPr/>
      </w:pPr>
      <w:bookmarkStart w:id="3448" w:name="__RefHeading___Toc608090_1934241801"/>
      <w:bookmarkStart w:id="3449" w:name="_Toc1589"/>
      <w:bookmarkEnd w:id="3448"/>
      <w:r>
        <w:rPr>
          <w:rtl w:val="true"/>
        </w:rPr>
        <w:t>توضیح</w:t>
      </w:r>
      <w:bookmarkEnd w:id="3449"/>
    </w:p>
    <w:p>
      <w:pPr>
        <w:pStyle w:val="BookText"/>
        <w:rPr/>
      </w:pPr>
      <w:r>
        <w:rPr>
          <w:rFonts w:ascii="IRNazanin" w:hAnsi="IRNazanin" w:eastAsia="IRNazanin"/>
          <w:color w:val="111111"/>
          <w:sz w:val="28"/>
          <w:sz w:val="28"/>
          <w:szCs w:val="28"/>
          <w:rtl w:val="true"/>
          <w:lang w:bidi="fa-IR"/>
        </w:rPr>
        <w:t>آگاه باش که فقها در مورد تکرار نماز میّت بر یک جنازه واحد دچار اختلاف نظر شده اند، علّامه قدّس سرّه در المختلف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کراهت داشتن تکرار نماز میّت است، ولی ابن ادریس این کراهت را مقیّد به زمانی گردانده که نماز دوباره به صورت جماعت ادا شود، چرا که صحابه نماز بر پیکر پیامبر صلّی الله علیه و آله را به صورت فرادی تکرار کردند، شیخ نیز در الخلاف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بر یک جنازه نماز گزارده مکروه است که دوباره بر او نماز بگزارد، این در حالی است که وی خبر از اختصاص این کراهت به زمانی می دهد که نماز دوباره توسط یک نفر تکرار شود، و چه بسا از کلام شیخ در الاستبصار چنین برمی آید که تکرار نماز میّت چه به امامت یک امام واحد باشد و چه به امامت افراد مختلف مستحبّ است، همچنین از ظاهر کلام فقها چنین پیداست که بر جواز تکرار نماز میّت اتفاق نظر دارند، و احادیث روایت شده در این زمینه متفاوت و مختلف هستند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بدان که برخی از احادیث در بردارنده این نکته هستند که نمازِ گزارده شده بر پیکر حمزه علیه السلام هفتاد تکبیر داشته است و این از ویژگی های مخصوص وی بوده است، ولی از اغلب احادیث روایت شده می توان چنین برداشت کرد که این تکبیرها در نمازهای متعدد بر پیکر حمزه سر داده شده است، چنان که از حدیث روایت شده در العیون نیز چنین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التذکره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تعداد تکبیرها در نماز میّت از پنج بیشتر شود، چرا که این امر منوط به قانون شرع است، و افزون بر این تعداد تکبیر نقل نشده است، امّا در تفسیر احادیثی که مشتمل بر این نکته هستند که پیامبر صلّی الله علیه و آله در نماز بر پیکر حمزه هفتاد تکبیر سر داده است و یا علی علیه السلام در نماز بر پیکر سهل بن حنیف بیست و پنج تکبیرسر داده است، باید گفت که این تعداد تکبیر در هر دو حالت در نمازهای متعدد سر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المختلف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روایت شده در مورد سهل بن حنیف مختّص به آن شخصیّت و به منظور اظهار فضیلت وی بوده است، چنان که پیامبر صلّی الله علیه و آله </w:t>
      </w:r>
      <w:bookmarkStart w:id="3450" w:name="pg13517_329381"/>
    </w:p>
    <w:p>
      <w:pPr>
        <w:pStyle w:val="BookText"/>
        <w:rPr/>
      </w:pPr>
      <w:bookmarkEnd w:id="3450"/>
      <w:r>
        <w:rPr>
          <w:rFonts w:ascii="Amiri" w:hAnsi="Amiri" w:eastAsia="Amiri" w:cs="Amiri"/>
          <w:color w:val="111111"/>
          <w:sz w:val="28"/>
          <w:sz w:val="28"/>
          <w:szCs w:val="28"/>
          <w:rtl w:val="true"/>
          <w:lang w:bidi="ar-SA"/>
        </w:rPr>
        <w:t xml:space="preserve">حمزة بسبعين تكبيرة و في كلام أمير المؤمنين عليه السلام في نهج البلاغة ما يدل علي ذلك انتهي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المشهور في الجمع بين الأخبار حمل أخبار المنع علي الكراهة و ربما يحمل أخبار المنع علي المنافاة للتعجيل و يحمل قوله لا تصلوا علي جنازة مرتين علي أن المعني لا تجب الصلاة عليها مرتين و لا يبعد القول برجحان تكرار الصلاة في صورة عدم المنافاة للتعجيل ممن لم يدرك الصلاة و للإمام مطلقا و ربما يخص الأخير بما إذا كان للميت مزية و شرف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الأظهر عندي حمل أخبار المنع علي التقية لاشتهاره بين العامة قال في المنتهي و لو صلي علي جنازة قال الشيخ كره له أن يصلي عليها ثانيا و به قال علي عليه السلام و ابن عمر و عائشة و أبو موسي و ذهب إليه الأوزاعي و أحمد و الشافعي و مالك و أبو حنيفة انتهي فظهر أن المشهور بينهم الكراهة و إن نسبوه إلي علي عليه السلام و يؤيده أن أكثر رواة أخبار المنع عاميون و الله يعلم حقائق الأحكام</w:t>
      </w:r>
      <w:r>
        <w:rPr>
          <w:rFonts w:eastAsia="Amiri" w:cs="Amiri" w:ascii="Amiri" w:hAnsi="Amiri"/>
          <w:color w:val="111111"/>
          <w:sz w:val="28"/>
          <w:szCs w:val="28"/>
          <w:rtl w:val="true"/>
          <w:lang w:bidi="ar-SA"/>
        </w:rPr>
        <w:t>.</w:t>
      </w:r>
    </w:p>
    <w:p>
      <w:pPr>
        <w:pStyle w:val="Heading5"/>
        <w:numPr>
          <w:ilvl w:val="4"/>
          <w:numId w:val="1"/>
        </w:numPr>
        <w:rPr/>
      </w:pPr>
      <w:bookmarkStart w:id="3451" w:name="__RefHeading___Toc608092_1934241801"/>
      <w:bookmarkStart w:id="3452" w:name="_Toc1590"/>
      <w:bookmarkEnd w:id="3451"/>
      <w:r>
        <w:rPr>
          <w:rtl w:val="true"/>
        </w:rPr>
        <w:t>«</w:t>
      </w:r>
      <w:r>
        <w:rPr/>
        <w:t>22</w:t>
      </w:r>
      <w:r>
        <w:rPr>
          <w:rtl w:val="true"/>
        </w:rPr>
        <w:t>»</w:t>
      </w:r>
      <w:bookmarkEnd w:id="3452"/>
    </w:p>
    <w:p>
      <w:pPr>
        <w:pStyle w:val="BookText"/>
        <w:rPr/>
      </w:pPr>
      <w:r>
        <w:rPr>
          <w:rFonts w:ascii="Amiri" w:hAnsi="Amiri" w:eastAsia="Amiri" w:cs="Amiri"/>
          <w:color w:val="111111"/>
          <w:sz w:val="28"/>
          <w:sz w:val="28"/>
          <w:szCs w:val="28"/>
          <w:rtl w:val="true"/>
          <w:lang w:bidi="ar-SA"/>
        </w:rPr>
        <w:t>مَجَالِسُ الصَّدُوقِ، عَنْ جَعْفَرِ بْنِ مُحَمَّدِ بْنِ مَسْرُورٍ عَنْ مُحَمَّدِ بْنِ عَبْدِ اللَّهِ الْحِمْيَرِيِّ عَنْ أَبِيهِ عَنْ أَحْمَدَ الْبَرْقِيِّ عَنْ أَبِيهِ عَنْ خَلَفِ بْنِ حَمَّادٍ عَنْ أَبِي الْحَسَنِ الْعَبْدِيِّ عَنِ الْأَعْمَشِ عَنْ عَبَايَةَ بْنِ رِبْعِيٍّ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عَلِيُّ بْنُ أَبِي طَالِبٍ عليه السلام ذَاتَ يَوْمٍ إِلَي النَّبِيِّ صلي الله عليه و آله بَاكِياً وَ هُوَ يَقُولُ إِنَّا لِلَّهِ وَ إِنَّا إِلَيْهِ راجِعُونَ فَقَالَ لَهُ رَسُولُ اللَّهِ صلي الله عليه و آله مَهْ يَا عَلِيُّ فَقَالَ عَلِيٌّ عليه السلام يَا رَسُولَ اللَّهِ مَاتَتْ أُمِّي فَاطِمَةُ بِنْتُ أَسَدٍ قَالَ فَبَكَي النَّبِيُّ صلي الله عليه و آله ثُمَّ قَالَ صلي الله عليه و آله رَحِمَ اللَّهُ أُمَّكَ يَا عَلِيُّ أَمَا إِنَّهَا إِنْ كَانَتْ لَكَ أُمّاً فَقَدْ كَانَتْ لِي أُمّاً خُذْ عِمَامَتِي هَذِهِ وَ خُذْ ثَوْبَيَّ هَذَيْنِ فَكَفِّنْهَا فِيهِمَا وَ مُرِ النِّسَاءَ فَلْيُحْسِنَّ غُسْلَهَا وَ لَا تُخْرِجْهَا حَتَّي أَجِي‌ءَ فَأَلِيَ أَمْرَهَا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أَقْبَلَ النَّبِيُّ صلي الله عليه و آله بَعْدَ سَاعَةٍ وَ أُخْرِجَتْ فَاطِمَةُ أُمُّ عَلِيٍّ عليه السلام فَصَلَّي عَلَيْهَا النَّبِيُّ صلي الله عليه و آله صَلَاةً لَمْ يُصَلِّ عَلَي أَحَدٍ قَبْلَهَا مِثْلَ تِلْكَ الصَّلَاةِ ثُمَّ كَبَّرَ</w:t>
      </w:r>
    </w:p>
    <w:p>
      <w:pPr>
        <w:pStyle w:val="BookText"/>
        <w:rPr/>
      </w:pPr>
      <w:r>
        <w:rPr>
          <w:rFonts w:ascii="IRNazanin" w:hAnsi="IRNazanin" w:eastAsia="IRNazanin"/>
          <w:color w:val="111111"/>
          <w:sz w:val="28"/>
          <w:sz w:val="28"/>
          <w:szCs w:val="28"/>
          <w:rtl w:val="true"/>
          <w:lang w:bidi="fa-IR"/>
        </w:rPr>
        <w:t>حمزه را با ادای هفتاد تکبیر مخصوص فرمود، کلام روایت شده از امیرالمؤمنین علیه السلام در نهج البلاغه نیز بر این نکته دلالت می کند، 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نظر مشهور پس از جمع بین احادیث چنین است که احادیث دالّ بر منع بر کراهت تکرار حمل شوند، و چه بسا ممکن است احادیث منع بر این نکته حمل شوند که تکرار نماز میّت منافی تعجیل در خاکسپاری است، همچنین این فرموده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تصلّوا علی جنازه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 جنازه دو بار نماز نگزارید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این معنا حمل می شود که دو بار نماز گزاردن بر جنازه واجب نیست؛ بعید به نظر نمی رسد که در صورتی که با تعجیل در خاکسپاری میّت منافات نداشته باشد به رجحان تکرار نماز برای کسانی که نماز را از دست داده اند و یا برای امام به صورت مطلق،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تکرار نماز برای امام جماعت مخصوص زمانی است که میّت دارای ویژگی و شرافتی دینی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نظر صحیح تر و مشهورتر نزد من آن است که احادیث منع تکرار نماز میّت حمل بر تقیّه شوند، چرا که این احادیث در بین عامّه دارای شهرت هستند، علّامه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جنازه نماز گزارده شده شیخ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دارد که نماز دوباره بر او خوانده شود، این نظر علی علیه السلام و ابن عمر و عائشة و أبو موسی است و الأوزاعی و أحمد و شافعی و مالک و أبو حنیفة به آن تمایل دارند 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علّامه مؤیّد این مطلب است که مشهور بین آنها کراهت است اگرچه به علی علیه السلام نسبت داده شده است و اینکه اکثر راویان اخبار منع عامی و اهل سنت هستند آن را تأیید می کند، و خداوند از حقایق احکام آگاه است</w:t>
      </w:r>
      <w:r>
        <w:rPr>
          <w:rFonts w:eastAsia="IRNazanin" w:cs="IRNazanin"/>
          <w:color w:val="111111"/>
          <w:sz w:val="28"/>
          <w:szCs w:val="28"/>
          <w:rtl w:val="true"/>
          <w:lang w:bidi="fa-IR"/>
        </w:rPr>
        <w:t>.</w:t>
      </w:r>
    </w:p>
    <w:p>
      <w:pPr>
        <w:pStyle w:val="Heading5"/>
        <w:numPr>
          <w:ilvl w:val="4"/>
          <w:numId w:val="1"/>
        </w:numPr>
        <w:rPr/>
      </w:pPr>
      <w:bookmarkStart w:id="3453" w:name="__RefHeading___Toc608094_1934241801"/>
      <w:bookmarkStart w:id="3454" w:name="_Toc1591"/>
      <w:bookmarkEnd w:id="3453"/>
      <w:r>
        <w:rPr>
          <w:rtl w:val="true"/>
        </w:rPr>
        <w:t xml:space="preserve">روایت </w:t>
      </w:r>
      <w:r>
        <w:rPr/>
        <w:t>22</w:t>
      </w:r>
      <w:bookmarkEnd w:id="3454"/>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بن ابی طالب علیه السلام گریان نزد رسول خدا صلّی الله علیه و آله آمد در حالی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الیه راجعون، 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چه اتفاقی افتاده است؟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مادرم فاطمه بنت أسد وفات نموده است، پس پیامبر صلّی الله علیه و آله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خداوند مادرت را رحمت کند، به راستی اگر او برای تو مادر بود و برای من نیز مادر بود، این عمّامه و همچنین این دو لباس مرا بگیر و مادرت را در آن ها کفن کن، و به زنان فرمان ده که به شیوه ای نیکو او را غسل داده و از خانه خارجش نسازند تا بیایم، چرا که انجام امورات او بر عهده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پس از یک ساعت آمدند و پیکر فاطمه مادر علی علیه السلام از خانه خارج شد، پس پیامبر بر جنازه او نمازی گزارد که پیش  تر مانند آن را بر کسی نگزارده بود، سپس </w:t>
      </w:r>
      <w:bookmarkStart w:id="3455" w:name="pg13517_329382"/>
    </w:p>
    <w:p>
      <w:pPr>
        <w:pStyle w:val="BookText"/>
        <w:rPr/>
      </w:pPr>
      <w:bookmarkEnd w:id="3455"/>
      <w:r>
        <w:rPr>
          <w:rFonts w:ascii="Amiri" w:hAnsi="Amiri" w:eastAsia="Amiri" w:cs="Amiri"/>
          <w:color w:val="111111"/>
          <w:sz w:val="28"/>
          <w:sz w:val="28"/>
          <w:szCs w:val="28"/>
          <w:rtl w:val="true"/>
          <w:lang w:bidi="ar-SA"/>
        </w:rPr>
        <w:t>عَلَيْهَا أَرْبَعِينَ تَكْبِيرَةً ثُمَّ دَخَلَ إِلَي الْقَبْرِ فَتَمَدَّدَ فِيهِ فَلَمْ يُسْمَعْ لَهُ أَنِينٌ وَ لَا حَرَكَةٌ ثُمَّ قَالَ يَا عَلِيُّ ادْخُلْ يَا حَسَنُ ادْخُلْ فَدَخَلَا الْقَبْرَ فَلَمَّا فَرَغَ مِمَّا احْتَاجَ إِلَيْهِ قَالَ لَهُ يَا عَلِيُّ اخْرُجْ يَا حَسَنُ اخْرُجْ فَخَرَجَا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زَحَفَ النَّبِيُّ صلي الله عليه و آله حَتَّي صَارَ عِنْدَ رَأْسِهَا ثُمَّ قَالَ يَا فَاطِمَةُ أَنَا مُحَمَّدٌ سَيِّدُ وُلْدِ آدَمَ وَ لَا فَخْرَ فَإِنْ أَتَاكِ مُنْكَرٌ وَ نَكِيرٌ فَسَأَلَاكِ مَنْ رَبُّكِ فَقُولِي اللَّهُ رَبِّي وَ مُحَمَّدٌ نَبِيِّي وَ الْإِسْلَامُ دِينِي وَ الْقُرْآنُ كِتَابِي وَ ابْنِي إِمَامِي وَ وَلِيِّي ثُمَّ قَالَ اللَّهُمَّ ثَبِّتْ فَاطِمَةَ بِالْقَوْلِ الثَّابِتِ ثُمَّ خَرَجَ مِنْ قَبْرِهَا وَ حَثَا عَلَيْهَا حَثَيَاتٍ ثُمَّ ضَرَبَ بِيَدِهِ الْيُمْنَي عَلَي الْيُسْرَي فَنَفَضَهُمَا ثُمَّ قَالَ صلي الله عليه و آله وَ الَّذِي نَفْسُ مُحَمَّدٍ بِيَدِهِ لَقَدْ سَمِعَتْ فَاطِمَةُ تَصْفِيقَ يَمِينِي عَلَي شِمَالِي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عَمَّارُ بْنُ يَاسِرٍ فَقَالَ فِدَاكَ أَبِي وَ أُمِّي يَا رَسُولَ اللَّهِ لَقَدْ صَلَّيْتَ عَلَيْهَا صَلَاةً لَمْ تُصَلِّ عَلَي أَحَدٍ قَبْلَهَا مِثْلَ تِلْكَ الصَّلَاةِ فَقَالَ صلي الله عليه و آله يَا أَبَا الْيَقْظَانِ وَ أَهْلُ ذَلِكَ هِيَ مِنِّي لَقَدْ كَانَ لَهَا مِنْ أَبِي طَالِبٍ وُلْدٌ كَثِيرٌ وَ لَقَدْ كَانَ خَيْرُهُمْ كَثِيراً وَ كَانَ خَيْرُنَا قَلِيلًا فَكَانَتْ تُشْبِعُنِي وَ تُجِيعُهُمْ وَ تَكْسُونِي وَ تُعْرِيهِمْ وَ تُدَهِّنُنِي وَ تُشَعِّثُهُمْ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فَلِمَ كَبَّرْتَ عَلَيْهَا أَرْبَعِينَ تَكْبِيرَةً يَا رَسُولَ اللَّهِ قَالَ صلي الله عليه و آله نَعَمْ يَا عَمَّارُ الْتَفَتُّ عَنْ يَمِينِي فَنَظَرْتُ إِلَي أَرْبَعِينَ صَفّاً مِنَ الْمَلَائِكَةِ فَكَبَّرْتُ لِكُلِّ صَفٍّ تَكْبِيرَةً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فَتَمَدُّدُكَ فِي الْقَبْرِ فَلَمْ يُسْمَعْ لَكَ أَنِينٌ وَ لَا حَرَكَةٌ قَالَ إِنَّ النَّاسَ يُحْشَرُونَ يَوْمَ الْقِيَامَةِ عُرَاةً فَلَمْ أَزَلْ أَطْلُبُ إِلَي رَبِّي عَزَّ وَ جَلَّ أَنْ يَبْعَثَهَا سَتِيرَةً وَ الَّذِي نَفْسُ مُحَمَّدٍ صلي الله عليه و آله بِيَدِهِ مَا خَرَجْتُ مِنْ قَبْرِهَا حَتَّي رَأَيْتُ مِصْبَاحَيْنِ مِنْ نُورٍ عِنْدَ رَأْسِهَا وَ مِصْبَاحَيْنِ مِنْ نُورٍ عِنْدَ يَدَيْهَا وَ مِصْبَاحَيْنِ مِنْ نُورٍ عِنْدَ رِجْلَيْهَا وَ مَلَكَيْهَا الْمُوَكَّلَيْنِ بِقَبْرِهَا يَسْتَغْفِرَانِ لَهَا إِلَي أَنْ تَقُومَ السَّاعَةُ</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56" w:name="__RefHeading___Toc608096_1934241801"/>
      <w:bookmarkStart w:id="3457" w:name="_Toc1592"/>
      <w:bookmarkEnd w:id="3456"/>
      <w:r>
        <w:rPr>
          <w:rtl w:val="true"/>
        </w:rPr>
        <w:t>بيان</w:t>
      </w:r>
      <w:bookmarkEnd w:id="3457"/>
    </w:p>
    <w:p>
      <w:pPr>
        <w:pStyle w:val="BookText"/>
        <w:rPr/>
      </w:pPr>
      <w:r>
        <w:rPr>
          <w:rFonts w:ascii="Amiri" w:hAnsi="Amiri" w:eastAsia="Amiri" w:cs="Amiri"/>
          <w:color w:val="111111"/>
          <w:sz w:val="28"/>
          <w:sz w:val="28"/>
          <w:szCs w:val="28"/>
          <w:rtl w:val="true"/>
          <w:lang w:bidi="ar-SA"/>
        </w:rPr>
        <w:t>يظهر من الخبر أن هذا العدد من التكبير كان من خصائصها لفضلها</w:t>
      </w:r>
    </w:p>
    <w:p>
      <w:pPr>
        <w:pStyle w:val="BookText"/>
        <w:rPr/>
      </w:pPr>
      <w:r>
        <w:rPr>
          <w:rFonts w:ascii="IRNazanin" w:hAnsi="IRNazanin" w:eastAsia="IRNazanin"/>
          <w:color w:val="111111"/>
          <w:sz w:val="28"/>
          <w:sz w:val="28"/>
          <w:szCs w:val="28"/>
          <w:rtl w:val="true"/>
          <w:lang w:bidi="fa-IR"/>
        </w:rPr>
        <w:t>چهل مرتبه بر او تکبیر گفت و آن گاه وارد قبر شد و در آن دراز کشید به شیوه ای که از وی صدا و حرکتی شنیده نشد،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و ای حسن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و امام حسن علیهما السلام وارد قبر شدند و هنگامی که از بر آورده ساختن حاجت پیامبر فارغ گشتند به آن ها فرمود خارج شوید، و آن دو بزرگوار از قبر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وآله روی زانویش خود را آهسته جلو کشید تا اینکه در کنار سر فاطمه قرار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من محمّد سرور فرزندان آدم هستم و در این سخن قصد فخر فروشی نیست، اگر منکر و نکیر به سراغت آمدند و از تو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کیست؟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الله، پیامبرم محمّد، دینم اسلام، کتابم قرآن، و امام و ولی ام پسرم می باشد،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فاطمه را با قول ثابت استوار گردان، سپس از قبر او خارج شد و مقداری شن و خاک بر جنازه اش پاشید، و بعد از آن دست راست خود را بر دست چپش زد تا گرد و خاک آن ها تکانده 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 محمّد در دست اوست، فاطمه صدای کوبیده شدن دست راست من بر دست چپم را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عمّار پسر یاسر به سوی پیامبر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پدر و مادرم فدایت، نمازی بر فاطمه گزاردی که پیش تر مانند آن را بر کسی نگزارده بودی،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الیقظان، و او شایسته این عمل از سوی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از ابوطالب فرزندان بسیاری داشت و در آن زمان خیر و برکت خانه آن ها فراوان و خیر و برکت خانه ما اندک بود، پس فاطمه مرا سیر می کرد و فرزندان خود را گرسنه نگاه می داشت، بر من لباس می پوشاند در حالی که فرزندانش برهنه بودند، و به من روغن می مالید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تمیز و مرتبّ نگاه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فرزندانش ژولیده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چرا چهل تکبیر بر جنازه او سر دادی؟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عمّار، به جانب راست خود نگاه کردم و چهل ردیف از فرشتگان را مشاهده نمودم، پس به ازای هر ردیف یک تکبیر سر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دراز کشیدن تان در قبر به صورتی که صدا و حرکتی از شما شنیده نشد چه بود؟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مردم در روز قیامت عریان حشر می گردند و من پیوسته از پروردگارم عزّ و جلّ می خواهم که فاطمه را پوشیده محشور گرداند، سوگند به کسی که جان محمّد در دست اوست، از قبرش خارج نشدم مگر اینکه دو چراغ نورانی را کنار سر و دو چراغ نورانی را کنار دست ها و دو چراغ نورانی را کنار پاهایش مشاهده نمودم، همچنین دو فرشته را مشاهده نمودم که بر قبرش گمارده شده بودند و تا روز قیامت برای او طلب مغفرت می کنند</w:t>
      </w:r>
      <w:r>
        <w:rPr>
          <w:rFonts w:eastAsia="IRNazanin" w:cs="IRNazanin"/>
          <w:color w:val="111111"/>
          <w:sz w:val="28"/>
          <w:szCs w:val="28"/>
          <w:rtl w:val="true"/>
          <w:lang w:bidi="fa-IR"/>
        </w:rPr>
        <w:t>.</w:t>
      </w:r>
      <w:r>
        <w:rPr>
          <w:rStyle w:val="FootnoteAnchor"/>
          <w:rtl w:val="true"/>
        </w:rPr>
        <w:footnoteReference w:id="1743"/>
      </w:r>
    </w:p>
    <w:p>
      <w:pPr>
        <w:pStyle w:val="Heading5"/>
        <w:numPr>
          <w:ilvl w:val="4"/>
          <w:numId w:val="1"/>
        </w:numPr>
        <w:rPr/>
      </w:pPr>
      <w:bookmarkStart w:id="3458" w:name="__RefHeading___Toc608098_1934241801"/>
      <w:bookmarkStart w:id="3459" w:name="_Toc1593"/>
      <w:bookmarkEnd w:id="3458"/>
      <w:r>
        <w:rPr>
          <w:rtl w:val="true"/>
        </w:rPr>
        <w:t>توضیح</w:t>
      </w:r>
      <w:bookmarkEnd w:id="3459"/>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حدیث آشکار می گردد که این تعداد تکبیر از ویژگیهای اختصاصی فاطمه بنت أسد است و دلیلش فضلیت و برتری اوست، </w:t>
      </w:r>
      <w:bookmarkStart w:id="3460" w:name="pg13517_329383"/>
    </w:p>
    <w:p>
      <w:pPr>
        <w:pStyle w:val="BookText"/>
        <w:rPr/>
      </w:pPr>
      <w:bookmarkEnd w:id="3460"/>
      <w:r>
        <w:rPr>
          <w:rFonts w:ascii="Amiri" w:hAnsi="Amiri" w:eastAsia="Amiri" w:cs="Amiri"/>
          <w:color w:val="111111"/>
          <w:sz w:val="28"/>
          <w:sz w:val="28"/>
          <w:szCs w:val="28"/>
          <w:rtl w:val="true"/>
          <w:lang w:bidi="ar-SA"/>
        </w:rPr>
        <w:t>فلا يتعدي إلي غيرها</w:t>
      </w:r>
      <w:r>
        <w:rPr>
          <w:rFonts w:eastAsia="Amiri" w:cs="Amiri" w:ascii="Amiri" w:hAnsi="Amiri"/>
          <w:color w:val="111111"/>
          <w:sz w:val="28"/>
          <w:szCs w:val="28"/>
          <w:rtl w:val="true"/>
          <w:lang w:bidi="ar-SA"/>
        </w:rPr>
        <w:t>.</w:t>
      </w:r>
    </w:p>
    <w:p>
      <w:pPr>
        <w:pStyle w:val="Heading5"/>
        <w:numPr>
          <w:ilvl w:val="4"/>
          <w:numId w:val="1"/>
        </w:numPr>
        <w:rPr/>
      </w:pPr>
      <w:bookmarkStart w:id="3461" w:name="__RefHeading___Toc608100_1934241801"/>
      <w:bookmarkStart w:id="3462" w:name="_Toc1594"/>
      <w:bookmarkEnd w:id="3461"/>
      <w:r>
        <w:rPr>
          <w:rtl w:val="true"/>
        </w:rPr>
        <w:t>«</w:t>
      </w:r>
      <w:r>
        <w:rPr/>
        <w:t>23</w:t>
      </w:r>
      <w:r>
        <w:rPr>
          <w:rtl w:val="true"/>
        </w:rPr>
        <w:t>»</w:t>
      </w:r>
      <w:bookmarkEnd w:id="3462"/>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أَوْلَي النَّاسِ بِالصَّلَاةِ عَلَي الْمَيِّتِ الْوَلِيُّ أَوْ مَنْ قَدَّمَهُ الْوَلِيُّ فَإِذَا كَانَ فِي الْقَوْمِ رَجُلٌ مِنْ بَنِي هَاشِمٍ فَهُوَ أَحَقُّ بِالصَّلَاةِ إِذَا قَدَّمَهُ الْوَلِيُّ فَإِنْ تَقَدَّمَ مِنْ غَيْرِ أَنْ يُقَدِّمَهُ الْوَلِيُّ فَهُوَ غَاصِبٌ‌</w:t>
      </w:r>
      <w:r>
        <w:rPr>
          <w:rStyle w:val="FootnoteAnchor"/>
          <w:rtl w:val="true"/>
        </w:rPr>
        <w:footnoteReference w:id="1744"/>
      </w:r>
    </w:p>
    <w:p>
      <w:pPr>
        <w:pStyle w:val="BookText"/>
        <w:rPr/>
      </w:pPr>
      <w:r>
        <w:rPr>
          <w:rFonts w:ascii="Amiri" w:hAnsi="Amiri" w:eastAsia="Amiri" w:cs="Amiri"/>
          <w:color w:val="111111"/>
          <w:sz w:val="28"/>
          <w:sz w:val="28"/>
          <w:szCs w:val="28"/>
          <w:rtl w:val="true"/>
          <w:lang w:bidi="ar-SA"/>
        </w:rPr>
        <w:t>فَإِذَا صَلَّيْتَ عَلَي جِنَازَةِ مُؤْمِنٍ فَقِفْ عِنْدَ صَدْرِهِ أَوْ عِنْدَ وَسَطِهِ وَ ارْفَعْ يَدَيْكَ بِالتَّكْبِيرِ الْأَوَّلِ وَ كَبِّرْ وَ قُلْ أَشْهَدُ أَنْ لَا إِلَهَ إِلَّا اللَّهُ وَحْدَهُ لَا شَرِيكَ لَهُ وَ أَنَّ مُحَمَّداً عَبْدُهُ وَ رَسُولُهُ وَ أَنَّ الْمَوْتَ حَقٌّ وَ الْجَنَّةَ حَقٌّ وَ النَّارَ حَقٌّ وَ الْبَعْثَ حَقٌ وَ أَنَّ السَّاعَةَ آتِيَةٌ لا رَيْبَ فِيها وَ أَنَّ اللَّهَ يَبْعَثُ مَنْ فِي الْقُبُورِ ثُمَّ كَبِّرِ الثَّانِيَةَ وَ قُلِ اللَّهُمَّ صَلِّ عَلَي مُحَمَّدٍ وَ آلِ مُحَمَّدٍ وَ بَارِكْ عَلَي مُحَمَّدٍ وَ آلِ مُحَمَّدٍ وَ ارْحَمْ مُحَمَّداً وَ آلَ مُحَمَّدٍ أَفْضَلَ مَا صَلَّيْتَ وَ بَارَكْتَ وَ رَحِمْتَ وَ تَرَحَّمْتَ وَ سَلَّمْتَ عَلَي إِبْرَاهِيمَ وَ آلِ إِبْرَاهِيمَ فِي الْعَالَمِينَ إِنَّكَ حَمِيدٌ مَجِيدٌ ثُمَّ تُكَبِّرُ الثَّالِثَةَ وَ تَقُولُ اللَّهُمَّ اغْفِرْ لِي وَ لِجَمِيعِ الْمُؤْمِنِينَ وَ الْمُؤْمِنَاتِ وَ الْمُسْلِمِينَ وَ الْمُسْلِمَاتِ الْأَحْيَاءِ مِنْهُمْ وَ الْأَمْوَاتِ تَابِعْ بَيْنَنَا وَ بَيْنَهُمْ بِالْخَيْرَاتِ إِنَّكَ مُجِيبُ الدَّعَوَاتِ وَ وَلِيُّ الْحَسَنَاتِ يَا أَرْحَمَ الرَّاحِمِينَ ثُمَّ تُكَبِّرُ الرَّابِعَةَ وَ تَقُولُ اللَّهُمَّ إِنَّ هَذَا عَبْدُكَ وَ ابْنُ عَبْدِكَ وَ ابْنُ أَمَتِكَ نَزَلَ بِسَاحَتِكَ وَ أَنْتَ خَيْرُ مَنْزُولٍ بِهِ اللَّهُمَّ إِنَّا لَا نَعْلَمُ مِنْهُ إِلَّا خَيْراً وَ أَنْتَ أَعْلَمُ بِهِ مِنَّا اللَّهُمَّ إِنْ كَانَ مُحْسِناً فَزِدْ فِي إِحْسَانِهِ إِحْسَاناً وَ إِنْ كَانَ مُسِيئاً فَتَجَاوَزْ عَنْهُ وَ اغْفِرْ لَنَا وَ لَهُ اللَّهُمَّ احْشُرْهُ مَعَ مَنْ كَانَ يَتَوَلَّاهُ وَ يُحِبُّهُ وَ أَبْعِدْهُ مِمَّنْ يَتَبَرَّؤُهُ وَ يُبْغِضُهُ اللَّهُمَّ أَلْحِقْهُ بِنَبِيِّكَ وَ عَرِّفْ بَيْنَهُ وَ بَيْنَهُ وَ ارْحَمْنَا إِذَا تَوَفَّيْتَنَا يَا إِلَهَ الْعَالَمِينَ ثُمَّ تُكَبِّرُ الْخَامِسَةَ وَ تَقُولُ رَبَّنا آتِنا فِي الدُّنْيا حَسَنَةً وَ فِي الْآخِرَةِ حَسَنَةً وَ قِنا عَذابَ النَّارِ وَ لَا تُسَلِّمْ وَ لَا تَبْرَحْ مِنْ مَكَانِكَ حَتَّي تَرَي الْجِنَازَةَ عَلَي أَيْدِي الرِّجَالِ‌</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كَانَ الْمَيِّتُ مُخَالِفاً فَقُلْ فِي تَكْبِيرِكَ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أَخْزِ عَبْدَكَ وَ</w:t>
      </w:r>
    </w:p>
    <w:p>
      <w:pPr>
        <w:pStyle w:val="BookText"/>
        <w:rPr/>
      </w:pPr>
      <w:r>
        <w:rPr>
          <w:rFonts w:ascii="IRNazanin" w:hAnsi="IRNazanin" w:eastAsia="IRNazanin"/>
          <w:color w:val="111111"/>
          <w:sz w:val="28"/>
          <w:sz w:val="28"/>
          <w:szCs w:val="28"/>
          <w:rtl w:val="true"/>
          <w:lang w:bidi="fa-IR"/>
        </w:rPr>
        <w:t>پس در مورد کسی غیر از او صدق نمی کند</w:t>
      </w:r>
      <w:r>
        <w:rPr>
          <w:rFonts w:eastAsia="IRNazanin" w:cs="IRNazanin"/>
          <w:color w:val="111111"/>
          <w:sz w:val="28"/>
          <w:szCs w:val="28"/>
          <w:rtl w:val="true"/>
          <w:lang w:bidi="fa-IR"/>
        </w:rPr>
        <w:t>.</w:t>
      </w:r>
    </w:p>
    <w:p>
      <w:pPr>
        <w:pStyle w:val="Heading5"/>
        <w:numPr>
          <w:ilvl w:val="4"/>
          <w:numId w:val="1"/>
        </w:numPr>
        <w:rPr/>
      </w:pPr>
      <w:bookmarkStart w:id="3463" w:name="__RefHeading___Toc608102_1934241801"/>
      <w:bookmarkStart w:id="3464" w:name="_Toc1595"/>
      <w:bookmarkEnd w:id="3463"/>
      <w:r>
        <w:rPr>
          <w:rtl w:val="true"/>
        </w:rPr>
        <w:t xml:space="preserve">روایت </w:t>
      </w:r>
      <w:r>
        <w:rPr/>
        <w:t>23</w:t>
      </w:r>
      <w:bookmarkEnd w:id="3464"/>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شایسته ترین مردم برای نماز گزاردن بر میّت، ولیّ میّت و یا کسی است که ولیّ او را پیش فرستد، همچنین اگر در میان قوم مردی از بنی هاشم حضور داشته باشد و ولیّ میّت او را برای نماز پیش فرستد، از دیگران برای انجام این کار شایسته تر است، ولی اگر بدون اینکه ولیّ میّت او را پیش فرستد خود پیش رود، غاصب به شمار می آید</w:t>
      </w:r>
      <w:r>
        <w:rPr>
          <w:rFonts w:eastAsia="IRNazanin" w:cs="IRNazanin"/>
          <w:color w:val="111111"/>
          <w:sz w:val="28"/>
          <w:szCs w:val="28"/>
          <w:rtl w:val="true"/>
          <w:lang w:bidi="fa-IR"/>
        </w:rPr>
        <w:t>.</w:t>
      </w:r>
      <w:r>
        <w:rPr>
          <w:rStyle w:val="FootnoteAnchor"/>
          <w:rtl w:val="true"/>
        </w:rPr>
        <w:footnoteReference w:id="1746"/>
      </w:r>
    </w:p>
    <w:p>
      <w:pPr>
        <w:pStyle w:val="BookText"/>
        <w:rPr/>
      </w:pPr>
      <w:r>
        <w:rPr>
          <w:rFonts w:ascii="IRNazanin" w:hAnsi="IRNazanin" w:eastAsia="IRNazanin"/>
          <w:color w:val="111111"/>
          <w:sz w:val="28"/>
          <w:sz w:val="28"/>
          <w:szCs w:val="28"/>
          <w:rtl w:val="true"/>
          <w:lang w:bidi="fa-IR"/>
        </w:rPr>
        <w:t>اگر خواستی که بر جنازه مؤمنی نماز بگزاری، رو به روی سینه یا در میانه او بایست، و همزمان با بلند کردن دست هایت تکبیر نخست را به زبان آور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شَرِیکَ لَهُ وَ أَنَّ مُحَمَّداً عَبْدُهُ وَ رَسُولُهُ وَ أَنَّ الْمَوْتَ حَقٌّ وَ الْجَنَّةَ حَقٌّ وَ النَّارَ حَقٌّ وَ الْبَعْثَ حَقٌّ وَ أَنَّ السَّاعَةَ آتِیَةٌ لا رَیْبَ فِیها وَ أَنَّ اللَّهَ یَبْعَثُ مَنْ فِی الْقُبُورِ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 دهم که خدایی جز الله وجود ندارد و تنها و بی شریک است، همچنین شهادت می دهم که محمّد بنده و فرستاده اوست، و شهادت می دهم که مرگ، بهشت، آتش جهنم و برانگیخته شدن حقّ هستند، و قیامت برپا خواهد شد و هیچ شکّی در آن نیست، و به راستی که خداوند آنان که در قبور آرمیده اند را برخواهد 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تکبیر دوّم را به زبان آور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وَ بَارِکْ عَلَی مُحَمَّدٍ وَ آلِ مُحَمَّدٍ وَ ارْحَمْ مُحَمَّداً وَ آلَ مُحَمَّدٍ أَفْضَلَ مَا صَلَّیْتَ وَ بَارَکْتَ وَ رَحِمْتَ وَ تَرَحَّمْتَ وَ سَلَّمْتَ عَلَی إِبْرَاهِیمَ وَ آلِ إِبْرَاهِیمَ فِی الْعَالَمِینَ إِنَّکَ حَمِیدٌ مَجِیدٌ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بر محمّد و آل محمّد درود بفرست و آنان را با برکت و ارجمند گردان و مورد رحمت خویش قرارشان ده، بهتر و برتر از آنچه بر ابراهیم و آل ابراهیم درود و سلام فرستادی و آنان را با برکت و ارجمند گرداندی و به آنان رحم و شفقت روا داشتی، به راستی که ستوده شده و ارجمند جهانیان فقط تو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تکبیر سوّم را به زبان آورده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لِی وَ لِجَمِیعِ الْمُؤْمِنِینَ وَ الْمُؤْمِنَاتِ وَ الْمُسْلِمِینَ وَ الْمُسْلِمَاتِ الْأَحْیَاءِ مِنْهُمْ وَ الْأَمْوَاتِ تَابِعْ بَیْنَنَا وَ بَیْنَهُمْ بِالْخَیْرَاتِ إِنَّکَ مُجِیبُ الدَّعَوَاتِ وَ وَلِیُّ الْحَسَنَاتِ یَا أَرْحَمَ الرَّاحِمِینَ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من و جمیع مردان و زنان مؤمن و مسلمان و مردگان و زندگان آن ها را ببخش و ما را در انجام کارهای نیک پیرو آنان قرار ده، به راستی که تو اجابت کننده دعاها و سرپرست نیکی ها هستی، ای بخشنده ترین بخشنده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تکبیر چهارم را به زبان آورده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هَذَا عَبْدُکَ وَ ابْنُ عَبْدِکَ وَ ابْنُ أَمَتِکَ نَزَلَ بِسَاحَتِکَ وَ أَنْتَ خَیْرُ مَنْزُولٍ بِهِ اللَّهُمَّ إِنَّا لَا نَعْلَمُ مِنْهُ إِلَّا خَیْراً وَ أَنْتَ أَعْلَمُ بِهِ مِنَّا اللَّهُمَّ إِنْ کَانَ مُحْسِناً فَزِدْ فِی إِحْسَانِهِ إِحْسَاناً وَ إِنْ کَانَ مُسِیئاً فَتَجَاوَزْ عَنْهُ وَ اغْفِرْ لَنَا وَ لَهُ اللَّهُمَّ احْشُرْهُ مَعَ مَنْ کَانَ یَتَوَلَّاهُ وَ یُحِبُّهُ وَ أَبْعِدْهُ مِمَّنْ یَتَبَرَّؤُهُ وَ یُبْغِضُهُ اللَّهُمَّ أَلْحِقْهُ بِنَبِیِّکَ وَ عَرِّفْ بَیْنَهُ وَ بَیْنَهُ وَ ارْحَمْنَا إِذَا تَوَفَّیْتَنَا یَا إِلَهَ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این بنده و فرزند بنده و فرزند کنیز توست، به درگاه تو آمده است و تو بهترین کسی هستی که به درگاهت رو آورده می شود، خداوندا، ما از او چیزی جز خیر و نیکی نمی دانیم و تو از ما به او آگاه تری، خداوندا اگر نیکو کار است به نیکی های او بیفزا و اگر گناهکار است از گناهان او درگذر، و ما و او را مورد مغفرت خود قرار ده؛ خداوندا او را با کسانی که ولایت و محبّت شان را در دل دارد محشور گردان، و او را از کسانی که از آنان تبرّی جسته و بغض شان را در دل دارد دور نگاه دار؛ خداوندا، او را به پیامبرت ملحق گردان و آنان را با هم آشنا ساز؛ ای خداوند جهانیان، هنگامی که وفات نمودیم ما را مورد مرحمت خویش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برای بار پنجم تکبیر گفته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فِی الدُّنْیا حَسَنَةً وَ فِی الْآخِرَةِ حَسَنَةً وَ قِنا عَذابَ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در دنیا و آخرت به ما نیکی عطا فرما و ما را از عذاب آتش جهنم محفوظ نگاه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نماز را بدون سلام به پایان می رسانی و جای خود را تا زمانی که جنازه را بر روی دست مردم مشاهده می کنی تغییر نمی دهی</w:t>
      </w:r>
      <w:r>
        <w:rPr>
          <w:rFonts w:eastAsia="IRNazanin" w:cs="IRNazanin"/>
          <w:color w:val="111111"/>
          <w:sz w:val="28"/>
          <w:szCs w:val="28"/>
          <w:rtl w:val="true"/>
          <w:lang w:bidi="fa-IR"/>
        </w:rPr>
        <w:t>.</w:t>
      </w:r>
      <w:r>
        <w:rPr>
          <w:rStyle w:val="FootnoteAnchor"/>
          <w:rtl w:val="true"/>
        </w:rPr>
        <w:footnoteReference w:id="1747"/>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میّت از مخالفان باشد بعد از تکبیر چهارم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أَخْزِ عَبْدَکَ وَ </w:t>
      </w:r>
    </w:p>
    <w:p>
      <w:pPr>
        <w:pStyle w:val="BookText"/>
        <w:rPr/>
      </w:pPr>
      <w:r>
        <w:rPr>
          <w:rFonts w:ascii="Amiri" w:hAnsi="Amiri" w:eastAsia="Amiri" w:cs="Amiri"/>
          <w:color w:val="111111"/>
          <w:sz w:val="28"/>
          <w:sz w:val="28"/>
          <w:szCs w:val="28"/>
          <w:rtl w:val="true"/>
          <w:lang w:bidi="ar-SA"/>
        </w:rPr>
        <w:t>ابْنَ عَبْدِكَ هَذَا اللَّهُمَّ أَصْلِهِ نَارَكَ اللَّهُمَّ أَذِقْهُ أَلِيمَ عَذَابِكَ وَ شَدِيدَ عُقُوبَتِكَ وَ أَوْرِدْهُ نَاراً وَ امْلَأْ جَوْفَهُ نَاراً وَ ضَيِّقْ عَلَيْهِ لَحْدَهُ فَإِنَّهُ كَانَ مُعَادِياً لِأَوْلِيَائِكَ وَ مُتَوَالِياً لِأَعْدَائِكَ اللَّهُمَّ لَا تُخَفِّفْ عَنْهُ الْعَذَابَ وَ أَصْبِبْ عَلَيْهِ الْعَذَابَ صَبّاً فَإِذَا رُفِعَ جَنَازَتُهُ فَقُلِ اللَّهُمَّ لَا تَرْفَعْهُ وَ لَا تُزَكِّهِ‌</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 الطِّفْلَ لَا يُصَلَّي عَلَيْهِ حَتَّي يَعْقِلَ الصَّلَاةَ فَإِذَا حَضَرْتَ مَعَ قَوْمٍ يُصَلُّونَ عَلَيْهِ فَقُلِ اللَّهُمَّ اجْعَلْهُ لِأَبَوَيْهِ وَ لَنَا ذُخْراً وَ مَزِيداً وَ فَرَطاً وَ أَجْراً</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صَلَّيْتَ عَلَي مُسْتَضْعَفٍ فَقُلِ اللَّهُمَّ اغْفِرْ لِلَّذِينَ تابُوا وَ اتَّبَعُوا سَبِيلَكَ وَ قِهِمْ عَذابَ الْجَحِيمِ‌</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لَمْ تَعْرِفْ مَذْهَبَهُ فَقُلِ اللَّهُمَّ هَذِهِ النَّفْسُ الَّتِي أَحْيَيْتَهَا وَ أَنْتَ أَمَتَّهَا دَعَوْتَ فَأَجَابَتْكَ اللَّهُمَّ وَلِّهَا مَا تَوَلَّتْ وَ احْشُرْهَا مَعَ مَنْ أَحَبَّتْ وَ أَنْتَ أَعْلَمُ بِهَا</w:t>
      </w:r>
      <w:r>
        <w:rPr>
          <w:rStyle w:val="FootnoteAnchor"/>
          <w:rtl w:val="true"/>
        </w:rPr>
        <w:footnoteReference w:id="1751"/>
      </w:r>
    </w:p>
    <w:p>
      <w:pPr>
        <w:pStyle w:val="BookText"/>
        <w:rPr/>
      </w:pPr>
      <w:r>
        <w:rPr>
          <w:rFonts w:ascii="Amiri" w:hAnsi="Amiri" w:eastAsia="Amiri" w:cs="Amiri"/>
          <w:color w:val="111111"/>
          <w:sz w:val="28"/>
          <w:sz w:val="28"/>
          <w:szCs w:val="28"/>
          <w:rtl w:val="true"/>
          <w:lang w:bidi="ar-SA"/>
        </w:rPr>
        <w:t>فَإِذَا اجْتَمَعَ جِنَازَةُ رَجُلٍ وَ امْرَأَةٍ وَ غُلَامٍ وَ مَمْلُوكٍ فَقَدِّمِ الْمَرْأَةَ إِلَي الْقِبْلَةِ وَ اجْعَلِ الْمَمْلُوكَ بَعْدَهَا وَ اجْعَلِ الْغُلَامَ بَعْدَ الْمَمْلُوكِ وَ الرَّجُلَ بَعْدَ الْغُلَامِ مِمَّا يَلِي الْإِمَامَ وَ يَقِفُ الْإِمَامُ خَلْفَ الرَّجُلِ فِي وَسَطِهِ وَ يُصَلِّي عَلَيْهِمْ جَمِيعاً صَلَاةً وَاحِدَةً</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صَلَّيْتَ عَلَي الْمَيِّتِ وَ كَانَتِ الْجِنَازَةُ مَقْلُوبَةً فَسَوِّهَا وَ أَعِدِ الصَّلَاةَ عَلَيْهَا مَا لَمْ يُدْفَنْ فَإِذَا فَاتَكَ مَعَ الْإِمَامِ بَعْضُ التَّكْبِيرِ وَ رُفِعَتِ الْجِنَازَةُ فَكَبِّرْ عَلَيْهَا تَمَامَ الْخَمْسِ وَ أَنْتَ مُسْتَقْبِلُ الْقِبْلَةِ</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كُنْتَ تُصَلِّي عَلَي الْجِنَازَةِ وَ جَاءَتِ الْأُخْرَي فَصَلِّ عَلَيْهِمَا صَلَاةً وَاحِدَةً بِخَمْسِ تَكْبِيرَاتٍ وَ إِنْ شِئْتَ اسْتَأْنِفْ عَلَي الثَّانِيَةِ</w:t>
      </w:r>
      <w:r>
        <w:rPr>
          <w:rStyle w:val="FootnoteAnchor"/>
          <w:rtl w:val="true"/>
        </w:rPr>
        <w:footnoteReference w:id="1754"/>
      </w:r>
    </w:p>
    <w:p>
      <w:pPr>
        <w:pStyle w:val="BookText"/>
        <w:rPr/>
      </w:pPr>
      <w:r>
        <w:rPr>
          <w:rFonts w:ascii="Amiri" w:hAnsi="Amiri" w:eastAsia="Amiri" w:cs="Amiri"/>
          <w:color w:val="111111"/>
          <w:sz w:val="28"/>
          <w:sz w:val="28"/>
          <w:szCs w:val="28"/>
          <w:rtl w:val="true"/>
          <w:lang w:bidi="ar-SA"/>
        </w:rPr>
        <w:t>وَ لَا بَأْسَ أَنْ يُصَلِّيَ الْجُنُبُ عَلَي الْجِنَازَةِ وَ الرَّجُلُ عَلَي غَيْرِ وُضُوءٍ وَ الْحَائِضُ إِلَّا أَنَّ الْحَائِضَ تَقِفُ نَاحِيَةً وَ لَا تُخْلَطُ بِالرِّجَالِ‌</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كُنْتَ جُنُباً وَ تَقَدَّمْتَ لِلصَّلَاةِ عَلَيْهَا فَتَيَمَّمْ أَوْ تَوَضَّأْ وَ صَلِّ عَلَيْهَا وَ قَدْ</w:t>
      </w:r>
    </w:p>
    <w:p>
      <w:pPr>
        <w:pStyle w:val="BookText"/>
        <w:rPr/>
      </w:pPr>
      <w:r>
        <w:rPr>
          <w:rFonts w:ascii="IRNazanin" w:hAnsi="IRNazanin" w:eastAsia="IRNazanin"/>
          <w:color w:val="111111"/>
          <w:sz w:val="28"/>
          <w:sz w:val="28"/>
          <w:szCs w:val="28"/>
          <w:rtl w:val="true"/>
          <w:lang w:bidi="fa-IR"/>
        </w:rPr>
        <w:t>ابْنَ عَبْدِکَ هَذَا اللَّهُمَّ أَصْلِهِ نَارَکَ اللَّهُمَّ أَذِقْهُ أَلِیمَ عَذَابِکَ وَ شَدِیدَ عُقُوبَتِکَ وَ أَوْرِدْهُ نَاراً وَ امْلَأْ جَوْفَهُ نَاراً وَ ضَیِّقْ عَلَیْهِ لَحْدَهُ فَإِنَّهُ کَانَ مُعَادِیاً لِأَوْلِیَائِکَ وَ مُتَوَالِیاً لِأَعْدَائِکَ اللَّهُمَّ لَا تُخَفِّفْ عَنْهُ الْعَذَابَ وَ أَصْبِبْ عَلَیْهِ الْعَذَابَ 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این بنده و فرزند بنده ات را خوار و ذلیل ساخته و او را به آتش خود واصل گردان؛ خداوندا، عذاب دردناک و عقوبت شدید خود را به او بچشان و در آتش داخلش گردان و درون او را از آتش پُر ساز، و قبرش را بر او تنگ گردان، چرا که دشمن دوستان تو و دوست دشمنان تو بود؛ خداوندا، عذاب او را سبُک مگردان و پیوسته بر او عذاب نازل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هنگامی که جنازه او برداشته شد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تَرْفَعْهُ وَ لَا تُزَکِّهِ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مقام او را بلند مگردان و پاک و مطهرش مساز</w:t>
      </w:r>
      <w:r>
        <w:rPr>
          <w:rFonts w:eastAsia="IRNazanin" w:cs="IRNazanin"/>
          <w:color w:val="111111"/>
          <w:sz w:val="28"/>
          <w:szCs w:val="28"/>
          <w:rtl w:val="true"/>
          <w:lang w:bidi="fa-IR"/>
        </w:rPr>
        <w:t>}.</w:t>
      </w:r>
      <w:r>
        <w:rPr>
          <w:rStyle w:val="FootnoteAnchor"/>
          <w:rtl w:val="true"/>
        </w:rPr>
        <w:footnoteReference w:id="1756"/>
      </w:r>
    </w:p>
    <w:p>
      <w:pPr>
        <w:pStyle w:val="BookText"/>
        <w:rPr/>
      </w:pPr>
      <w:r>
        <w:rPr>
          <w:rFonts w:ascii="IRNazanin" w:hAnsi="IRNazanin" w:eastAsia="IRNazanin"/>
          <w:color w:val="111111"/>
          <w:sz w:val="28"/>
          <w:sz w:val="28"/>
          <w:szCs w:val="28"/>
          <w:rtl w:val="true"/>
          <w:lang w:bidi="fa-IR"/>
        </w:rPr>
        <w:t>آگاه باش که بر جنازه طفل نماز گزارده نمی شود مگر آنکه به سنّی رسیده که نماز را فهمیده باشد، پس اگر در میان قومی حاضر گشتی که بر طفلی نماز می گزارند،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لِأَبَوَیْهِ وَ لَنَا ذُخْراً وَ مَزِیداً وَ فَرَطاً وَ أَجْراً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او را برای ما و والدینش اندوخته آخرت، باعث زیادت نعمت و اجر و پاداش از پیش فرستاده شده قرار ده</w:t>
      </w:r>
      <w:r>
        <w:rPr>
          <w:rFonts w:eastAsia="IRNazanin" w:cs="IRNazanin"/>
          <w:color w:val="111111"/>
          <w:sz w:val="28"/>
          <w:szCs w:val="28"/>
          <w:rtl w:val="true"/>
          <w:lang w:bidi="fa-IR"/>
        </w:rPr>
        <w:t>}.</w:t>
      </w:r>
      <w:r>
        <w:rPr>
          <w:rStyle w:val="FootnoteAnchor"/>
          <w:rtl w:val="true"/>
        </w:rPr>
        <w:footnoteReference w:id="1757"/>
      </w:r>
    </w:p>
    <w:p>
      <w:pPr>
        <w:pStyle w:val="BookText"/>
        <w:rPr/>
      </w:pPr>
      <w:r>
        <w:rPr>
          <w:rFonts w:ascii="IRNazanin" w:hAnsi="IRNazanin" w:eastAsia="IRNazanin"/>
          <w:color w:val="111111"/>
          <w:sz w:val="28"/>
          <w:sz w:val="28"/>
          <w:szCs w:val="28"/>
          <w:rtl w:val="true"/>
          <w:lang w:bidi="fa-IR"/>
        </w:rPr>
        <w:t>هنگامی که بر جنازه مستضعفی نماز می گزاری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لِلَّذِینَ تابُوا وَ اتَّبَعُوا سَبِیلَکَ وَ قِهِمْ عَذابَ الْجَحِیمِ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کسانی که توبه کرده و از راه تو پیروی نموده اند را مورد بخشش خویش قرار ده و آنان را از عذاب جهنّم محفوظ نگاه دار</w:t>
      </w:r>
      <w:r>
        <w:rPr>
          <w:rFonts w:eastAsia="IRNazanin" w:cs="IRNazanin"/>
          <w:color w:val="111111"/>
          <w:sz w:val="28"/>
          <w:szCs w:val="28"/>
          <w:rtl w:val="true"/>
          <w:lang w:bidi="fa-IR"/>
        </w:rPr>
        <w:t>}.</w:t>
      </w:r>
      <w:r>
        <w:rPr>
          <w:rStyle w:val="FootnoteAnchor"/>
          <w:rtl w:val="true"/>
        </w:rPr>
        <w:footnoteReference w:id="1758"/>
      </w:r>
    </w:p>
    <w:p>
      <w:pPr>
        <w:pStyle w:val="BookText"/>
        <w:rPr/>
      </w:pPr>
      <w:r>
        <w:rPr>
          <w:rFonts w:ascii="IRNazanin" w:hAnsi="IRNazanin" w:eastAsia="IRNazanin"/>
          <w:color w:val="111111"/>
          <w:sz w:val="28"/>
          <w:sz w:val="28"/>
          <w:szCs w:val="28"/>
          <w:rtl w:val="true"/>
          <w:lang w:bidi="fa-IR"/>
        </w:rPr>
        <w:t>و هنگامی که بر جنازه کسی نماز گزاردی که از مذهب او بی خبر بودی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هَذِهِ النَّفْسُ الَّتِی أَحْیَیْتَهَا وَ أَنْتَ أَمَتَّهَا دَعَوْتَ فَأَجَابَتْکَ اللَّهُمَّ وَلِّهَا مَا تَوَلَّتْ وَ احْشُرْهَا مَعَ مَنْ أَحَبَّتْ وَ أَنْتَ أَعْلَمُ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این نفسی است که خود آن را زنده گردانده و خود نیز آن را میراندی، او را فراخواندی پس دعوت تو را اجابت گفت؛ خداوندا، ولایت و سرپرستی او را به کسی واگذار کن که در دنیا خود سرپرستی او را برگزید، و او را با کسی محشور گردان که دوستش می داشت، تو از هرکسی به احوال این نفس آگاه تری</w:t>
      </w:r>
      <w:r>
        <w:rPr>
          <w:rFonts w:eastAsia="IRNazanin" w:cs="IRNazanin"/>
          <w:color w:val="111111"/>
          <w:sz w:val="28"/>
          <w:szCs w:val="28"/>
          <w:rtl w:val="true"/>
          <w:lang w:bidi="fa-IR"/>
        </w:rPr>
        <w:t>}.</w:t>
      </w:r>
      <w:r>
        <w:rPr>
          <w:rStyle w:val="FootnoteAnchor"/>
          <w:rtl w:val="true"/>
        </w:rPr>
        <w:footnoteReference w:id="1759"/>
      </w:r>
    </w:p>
    <w:p>
      <w:pPr>
        <w:pStyle w:val="BookText"/>
        <w:rPr/>
      </w:pPr>
      <w:r>
        <w:rPr>
          <w:rFonts w:ascii="IRNazanin" w:hAnsi="IRNazanin" w:eastAsia="IRNazanin"/>
          <w:color w:val="111111"/>
          <w:sz w:val="28"/>
          <w:sz w:val="28"/>
          <w:szCs w:val="28"/>
          <w:rtl w:val="true"/>
          <w:lang w:bidi="fa-IR"/>
        </w:rPr>
        <w:t>وقتی که جنازه یک مرد، یک زن، یک غلام و یک برده باهم گردآمدند، جنازه زن را پیش تر رو به قبله قرار ده، سپس جنازه برده، غلام و مرد را به ترتیب پس از جنازه زن قرار ده به طوری که جنازه مرد در کنار امام قرار داشته باشد، آن گاه امام در پَسِ جنازه مرد و در میانه آن قرار می گیرد و بر همه آنان یک نماز واحد می گزارد</w:t>
      </w:r>
      <w:r>
        <w:rPr>
          <w:rFonts w:eastAsia="IRNazanin" w:cs="IRNazanin"/>
          <w:color w:val="111111"/>
          <w:sz w:val="28"/>
          <w:szCs w:val="28"/>
          <w:rtl w:val="true"/>
          <w:lang w:bidi="fa-IR"/>
        </w:rPr>
        <w:t>.</w:t>
      </w:r>
      <w:r>
        <w:rPr>
          <w:rStyle w:val="FootnoteAnchor"/>
          <w:rtl w:val="true"/>
        </w:rPr>
        <w:footnoteReference w:id="1760"/>
      </w:r>
    </w:p>
    <w:p>
      <w:pPr>
        <w:pStyle w:val="BookText"/>
        <w:rPr/>
      </w:pPr>
      <w:r>
        <w:rPr>
          <w:rFonts w:ascii="IRNazanin" w:hAnsi="IRNazanin" w:eastAsia="IRNazanin"/>
          <w:color w:val="111111"/>
          <w:sz w:val="28"/>
          <w:sz w:val="28"/>
          <w:szCs w:val="28"/>
          <w:rtl w:val="true"/>
          <w:lang w:bidi="fa-IR"/>
        </w:rPr>
        <w:t>همچنین اگر نماز میّت را بر جنازه ای گزاردی که واژگون شده است، آن را به حالت مستقیم و متعادلش باز گردان و در صورتی که دفن نشده بود نماز را دوباره بر او بخوان، و اگر از گفتن بعضی از تکبیرها در همراهی با امام باز ماندی و جنازه بلند گردید، پنج تکبیر را در حالی که رو به قبله قرار گرفته ای کامل گردان</w:t>
      </w:r>
      <w:r>
        <w:rPr>
          <w:rFonts w:eastAsia="IRNazanin" w:cs="IRNazanin"/>
          <w:color w:val="111111"/>
          <w:sz w:val="28"/>
          <w:szCs w:val="28"/>
          <w:rtl w:val="true"/>
          <w:lang w:bidi="fa-IR"/>
        </w:rPr>
        <w:t>.</w:t>
      </w:r>
      <w:r>
        <w:rPr>
          <w:rStyle w:val="FootnoteAnchor"/>
          <w:rtl w:val="true"/>
        </w:rPr>
        <w:footnoteReference w:id="1761"/>
      </w:r>
    </w:p>
    <w:p>
      <w:pPr>
        <w:pStyle w:val="BookText"/>
        <w:rPr/>
      </w:pPr>
      <w:r>
        <w:rPr>
          <w:rFonts w:ascii="IRNazanin" w:hAnsi="IRNazanin" w:eastAsia="IRNazanin"/>
          <w:color w:val="111111"/>
          <w:sz w:val="28"/>
          <w:sz w:val="28"/>
          <w:szCs w:val="28"/>
          <w:rtl w:val="true"/>
          <w:lang w:bidi="fa-IR"/>
        </w:rPr>
        <w:t>اگر در حال نماز گزاردن بر یک جنازه، جنازه دیگری در کنار آن قرار گرفت، یک نماز واحد با پنج تکبیر را بر هر دوی آن ها به جا آور، و اگر مایل بودی نماز را برای جنازه دوّم جداگانه و از ابتدا به جا آور</w:t>
      </w:r>
      <w:r>
        <w:rPr>
          <w:rFonts w:eastAsia="IRNazanin" w:cs="IRNazanin"/>
          <w:color w:val="111111"/>
          <w:sz w:val="28"/>
          <w:szCs w:val="28"/>
          <w:rtl w:val="true"/>
          <w:lang w:bidi="fa-IR"/>
        </w:rPr>
        <w:t>.</w:t>
      </w:r>
      <w:r>
        <w:rPr>
          <w:rStyle w:val="FootnoteAnchor"/>
          <w:rtl w:val="true"/>
        </w:rPr>
        <w:footnoteReference w:id="1762"/>
      </w:r>
    </w:p>
    <w:p>
      <w:pPr>
        <w:pStyle w:val="BookText"/>
        <w:rPr/>
      </w:pPr>
      <w:r>
        <w:rPr>
          <w:rFonts w:ascii="IRNazanin" w:hAnsi="IRNazanin" w:eastAsia="IRNazanin"/>
          <w:color w:val="111111"/>
          <w:sz w:val="28"/>
          <w:sz w:val="28"/>
          <w:szCs w:val="28"/>
          <w:rtl w:val="true"/>
          <w:lang w:bidi="fa-IR"/>
        </w:rPr>
        <w:t>اشکالی ندارد که شخص جنب، بی وضو و همچنین حائض بر میّت نماز بگزارند، ولی حائض باید در گوشه ای قرار گرفته و با مردان مخلوط نشود</w:t>
      </w:r>
      <w:r>
        <w:rPr>
          <w:rFonts w:eastAsia="IRNazanin" w:cs="IRNazanin"/>
          <w:color w:val="111111"/>
          <w:sz w:val="28"/>
          <w:szCs w:val="28"/>
          <w:rtl w:val="true"/>
          <w:lang w:bidi="fa-IR"/>
        </w:rPr>
        <w:t>.</w:t>
      </w:r>
      <w:r>
        <w:rPr>
          <w:rStyle w:val="FootnoteAnchor"/>
          <w:rtl w:val="true"/>
        </w:rPr>
        <w:footnoteReference w:id="1763"/>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جُنب بودی و قصد نماز گزاردن بر میّت داشتی، تیمّم کرده یا وضو بگیر و بر آن نماز بگزار، و من </w:t>
      </w:r>
    </w:p>
    <w:p>
      <w:pPr>
        <w:pStyle w:val="BookText"/>
        <w:rPr/>
      </w:pPr>
      <w:r>
        <w:rPr>
          <w:rFonts w:ascii="Amiri" w:hAnsi="Amiri" w:eastAsia="Amiri" w:cs="Amiri"/>
          <w:color w:val="111111"/>
          <w:sz w:val="28"/>
          <w:sz w:val="28"/>
          <w:szCs w:val="28"/>
          <w:rtl w:val="true"/>
          <w:lang w:bidi="ar-SA"/>
        </w:rPr>
        <w:t>أَكْرَهُ أَنْ يَتَوَضَّأَ إِنْسَانٌ عَمْداً لِلْجِنَازَةِ لِأَنَّهُ لَيْسَ بِالصَّلَاةِ إِنَّمَا هُوَ التَّكْبِيرُ وَ الصَّلَاةُ هِيَ الَّتِي فِيهَا الرُّكُوعُ وَ السُّجُودُ</w:t>
      </w:r>
      <w:r>
        <w:rPr>
          <w:rStyle w:val="FootnoteAnchor"/>
          <w:rtl w:val="true"/>
        </w:rPr>
        <w:footnoteReference w:id="1764"/>
      </w:r>
    </w:p>
    <w:p>
      <w:pPr>
        <w:pStyle w:val="BookText"/>
        <w:rPr/>
      </w:pPr>
      <w:r>
        <w:rPr>
          <w:rFonts w:ascii="Amiri" w:hAnsi="Amiri" w:eastAsia="Amiri" w:cs="Amiri"/>
          <w:color w:val="111111"/>
          <w:sz w:val="28"/>
          <w:sz w:val="28"/>
          <w:szCs w:val="28"/>
          <w:rtl w:val="true"/>
          <w:lang w:bidi="ar-SA"/>
        </w:rPr>
        <w:t>وَ أَفْضَلُ الْمَوَاضِعِ فِي الصَّلَاةِ عَلَي الْمَيِّتِ الصَّفُّ الْأَخِيرُ وَ لَا يُصَلَّي عَلَي الْجِنَازَةِ بِنَعْلٍ حَذْوٍ وَ لَا تَجْعَلْ مَيِّتَيْنِ عَلَي جَنَازَةٍ وَاحِدَةٍ</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لَمْ تَلْحَقِ الصَّلَاةَ عَلَي الْجِنَازَةِ حَتَّي يُدْفَنَ الْمَيِّتُ فَلَا بَأْسَ أَنْ تُصَلِّيَ بَعْدَ مَا دُفِنَ وَ إِذَا صَلَّي الرَّجُلَانِ عَلَي الْجِنَازَةِ وَقَفَ أَحَدُهُمَا خَلْفَ الْآخَرِ وَ لَا يَقُومُ بِجَنْبِهِ‌</w:t>
      </w:r>
      <w:r>
        <w:rPr>
          <w:rStyle w:val="FootnoteAnchor"/>
          <w:rtl w:val="true"/>
        </w:rPr>
        <w:footnoteReference w:id="1766"/>
      </w:r>
    </w:p>
    <w:p>
      <w:pPr>
        <w:pStyle w:val="BookText"/>
        <w:rPr/>
      </w:pPr>
      <w:r>
        <w:rPr>
          <w:rFonts w:ascii="Amiri" w:hAnsi="Amiri" w:eastAsia="Amiri" w:cs="Amiri"/>
          <w:color w:val="111111"/>
          <w:sz w:val="28"/>
          <w:sz w:val="28"/>
          <w:szCs w:val="28"/>
          <w:rtl w:val="true"/>
          <w:lang w:bidi="ar-SA"/>
        </w:rPr>
        <w:t>وَ فِي مَوْضِعٍ آخَرَ إِذَا أَرَدْتَ أَنْ تُصَلِّيَ عَلَي الْمَيِّتِ فَكَبِّرْ عَلَيْهِ خَمْسَ تَكْبِيرَاتٍ يَقُومُ الْإِمَامُ عِنْدَ وَسَطِ الرَّجُلِ وَ صَدْرِ الْمَرْأَةِ يَرْفَعُ الْيَدَ بِالتَّكْبِيرِ الْأَوَّلِ وَ يَقْنُتُ بَيْنَ كُلِّ تَكْبِيرَتَيْنِ وَ الْقُنُوتُ ذِكْرُ اللَّهِ وَ الشَّهَادَتَانِ وَ الصَّلَاةُ عَلَي مُحَمَّدٍ وَ آلِهِ وَ الدُّعَاءُ لِلْمُؤْمِنِينَ وَ الْمُؤْمِنَاتِ هَذَا فِي تَكْبِيرِهِ بِغَيْرِ رَفْعِ الْيَدَيْنِ وَ لَا تَسْلِيمَ لِأَنَّ الصَّلَاةَ عَلَي الْمَيِّتِ إِنَّمَا هُوَ دُعَاءٌ وَ تَسْبِيحٌ وَ اسْتِغْفَارٌ</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سَاقَ الْحَدِيثَ إِلَي أَنْ قَالَ وَ تَقُولُ فِي التَّكْبِيرَةِ الْأُولَي فِي الصَّلَاةِ عَلَي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أَشْهَدُ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رَبِّ الْمَوْتِ وَ الْحَيَاةِ وَ صَلَّي اللَّهُ عَلَي مُحَمَّدٍ وَ أَهْلِ بَيْتِهِ وَ جَزَي اللَّهُ مُحَمَّداً عَنَّا خَيْرَ الْجَزَاءِ بِمَا صَنَعَ لِأُمَّتِهِ وَ مَا بَلَّغَ مِنْ رِسَالاتِ رَبِّهِ ثُمَّ يَقُولُ اللَّهُمَّ عَبْدُكَ وَ ابْنُ أَمَتِكَ نَاصِيَتُهُ بِيَدِكَ تَخَلَّي عَنِ الدُّنْيَا وَ احْتَاجَ إِلَي مَا عِنْدَكَ نَزَلَ بِكَ وَ أَنْتَ خَيْرُ مَنْزُولٍ بِهِ وَ افْتَقَرَ إِلَي رَحْمَتِكَ وَ أَنْتَ غَنِيٌّ مِنْ عَذَابِهِ اللَّهُمَّ إِنَّا لَا نَعْلَمُ مِنْهُ إِلَّا خَيْراً وَ أَنْتَ أَعْلَمُ بِهِ مِنَّا اللَّهُمَّ إِنْ كَانَ مُحْسِناً فَزِدْ فِي إِحْسَانِهِ وَ تَقَبَّلْ مِنْهُ وَ إِنْ كَانَ مُسِيئاً فَاغْفِرْ لَهُ ذَنْبَهُ وَ ارْحَمْهُ وَ تَجَاوَزْ عَنْهُ بِرَحْمَتِكَ اللَّهُمَّ أَلْحِقْهُ بِنَبِيِّكَ وَ ثَبِّتْهُ بِالْقَوْلِ الثَّابِتِ فِي الدُّنْيَا وَ الْآخِرَةِ اللَّهُمَّ اسْلُكْ بِنَا وَ بِهِ سَبِيلَ الْهُدَي وَ اهْدِنَا وَ إِيَّاهُ صِرَاطَكَ الْمُسْتَقِيمَ</w:t>
      </w:r>
    </w:p>
    <w:p>
      <w:pPr>
        <w:pStyle w:val="BookText"/>
        <w:rPr/>
      </w:pPr>
      <w:r>
        <w:rPr>
          <w:rFonts w:ascii="IRNazanin" w:hAnsi="IRNazanin" w:eastAsia="IRNazanin"/>
          <w:color w:val="111111"/>
          <w:sz w:val="28"/>
          <w:sz w:val="28"/>
          <w:szCs w:val="28"/>
          <w:rtl w:val="true"/>
          <w:lang w:bidi="fa-IR"/>
        </w:rPr>
        <w:t>ناپسند می شمارم که شخصی به صورت عمدی برای نماز میّت وضو بگیرد، چرا که نماز میّت نماز محسوب نمی شود بلکه فقط تکبیر است، نماز آن است که دارای رکوع و سجود باشد</w:t>
      </w:r>
      <w:r>
        <w:rPr>
          <w:rFonts w:eastAsia="IRNazanin" w:cs="IRNazanin"/>
          <w:color w:val="111111"/>
          <w:sz w:val="28"/>
          <w:szCs w:val="28"/>
          <w:rtl w:val="true"/>
          <w:lang w:bidi="fa-IR"/>
        </w:rPr>
        <w:t>.</w:t>
      </w:r>
      <w:r>
        <w:rPr>
          <w:rStyle w:val="FootnoteAnchor"/>
          <w:rtl w:val="true"/>
        </w:rPr>
        <w:footnoteReference w:id="1768"/>
      </w:r>
    </w:p>
    <w:p>
      <w:pPr>
        <w:pStyle w:val="BookText"/>
        <w:rPr/>
      </w:pPr>
      <w:r>
        <w:rPr>
          <w:rFonts w:ascii="IRNazanin" w:hAnsi="IRNazanin" w:eastAsia="IRNazanin"/>
          <w:color w:val="111111"/>
          <w:sz w:val="28"/>
          <w:sz w:val="28"/>
          <w:szCs w:val="28"/>
          <w:rtl w:val="true"/>
          <w:lang w:bidi="fa-IR"/>
        </w:rPr>
        <w:t>بهترین جایگاه در نماز میّت صف آخر است، و جایز نیست که با کفش بر میّت نماز گزارده شود، همچنین دو نماز میّت بر یک جنازه واحد گزارده نمی شود</w:t>
      </w:r>
      <w:r>
        <w:rPr>
          <w:rFonts w:eastAsia="IRNazanin" w:cs="IRNazanin"/>
          <w:color w:val="111111"/>
          <w:sz w:val="28"/>
          <w:szCs w:val="28"/>
          <w:rtl w:val="true"/>
          <w:lang w:bidi="fa-IR"/>
        </w:rPr>
        <w:t>.</w:t>
      </w:r>
      <w:r>
        <w:rPr>
          <w:rStyle w:val="FootnoteAnchor"/>
          <w:rtl w:val="true"/>
        </w:rPr>
        <w:footnoteReference w:id="1769"/>
      </w:r>
    </w:p>
    <w:p>
      <w:pPr>
        <w:pStyle w:val="BookText"/>
        <w:rPr/>
      </w:pPr>
      <w:r>
        <w:rPr>
          <w:rFonts w:ascii="IRNazanin" w:hAnsi="IRNazanin" w:eastAsia="IRNazanin"/>
          <w:color w:val="111111"/>
          <w:sz w:val="28"/>
          <w:sz w:val="28"/>
          <w:szCs w:val="28"/>
          <w:rtl w:val="true"/>
          <w:lang w:bidi="fa-IR"/>
        </w:rPr>
        <w:t>اگر نماز میّت تا زمان دفن شدن آن به انجام نرسید، اشکالی ندارد که پس از دفن نماز میّت را به جا آوری، و اگر دو مرد بخواهند بر یک جنازه نماز بگزارند، باید یکی از آن ها پشت سر دیگری قرار گیرد و جایز نیست کنار او بایستد</w:t>
      </w:r>
      <w:r>
        <w:rPr>
          <w:rFonts w:eastAsia="IRNazanin" w:cs="IRNazanin"/>
          <w:color w:val="111111"/>
          <w:sz w:val="28"/>
          <w:szCs w:val="28"/>
          <w:rtl w:val="true"/>
          <w:lang w:bidi="fa-IR"/>
        </w:rPr>
        <w:t>.</w:t>
      </w:r>
      <w:r>
        <w:rPr>
          <w:rStyle w:val="FootnoteAnchor"/>
          <w:rtl w:val="true"/>
        </w:rPr>
        <w:footnoteReference w:id="1770"/>
      </w:r>
    </w:p>
    <w:p>
      <w:pPr>
        <w:pStyle w:val="BookText"/>
        <w:rPr/>
      </w:pPr>
      <w:r>
        <w:rPr>
          <w:rFonts w:ascii="IRNazanin" w:hAnsi="IRNazanin" w:eastAsia="IRNazanin"/>
          <w:color w:val="111111"/>
          <w:sz w:val="28"/>
          <w:sz w:val="28"/>
          <w:szCs w:val="28"/>
          <w:rtl w:val="true"/>
          <w:lang w:bidi="fa-IR"/>
        </w:rPr>
        <w:t>در جایی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قصد نماز گزاردن بر میّت نمودی بر او پنج تکبیر بگوی، این در حالی است که امام در میانه میّت مرد و روبه روی سینه میّت زن قرار می گیرد و همزمان با تکبیر نخست دست خویش را بالا می برد و مابین هر دو تکبیر قنوت می خواند، منظور از قنوت ذکر خداوند، شهادتین، درود فرستادن بر محمّد و آل او و دعا خواندن برای مردان و زنان مؤمن می باشد، این امور در بین تکبیرها و بدون بالا بردن دست ذکر می گردد، همچنین نیازی به سلام دادن آخر نماز نیست، چرا که نماز میّت فقط دعا، تسبیح و استغفار است</w:t>
      </w:r>
      <w:r>
        <w:rPr>
          <w:rFonts w:eastAsia="IRNazanin" w:cs="IRNazanin"/>
          <w:color w:val="111111"/>
          <w:sz w:val="28"/>
          <w:szCs w:val="28"/>
          <w:rtl w:val="true"/>
          <w:lang w:bidi="fa-IR"/>
        </w:rPr>
        <w:t>.</w:t>
      </w:r>
      <w:r>
        <w:rPr>
          <w:rStyle w:val="FootnoteAnchor"/>
          <w:rtl w:val="true"/>
        </w:rPr>
        <w:footnoteReference w:id="1771"/>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حدیث را پی گرفته تا جایی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نخستین تکبیر در نماز میّت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شَرِیکَ لَهُ وَ أَشْهَدُ أَنَّ مُحَمَّداً عَبْدُهُ وَ رَسُولُهُ 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رَبِّ الْمَوْتِ وَ الْحَیَاةِ وَ صَلَّی اللَّهُ عَلَی مُحَمَّدٍ وَ أَهْلِ بَیْتِهِ وَ جَزَی اللَّهُ مُحَمَّداً عَنَّا خَیْرَ الْجَزَاءِ بِمَا صَنَعَ لِأُمَّتِهِ وَ مَا بَلَّغَ مِنْ رِسَالاتِ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 دهم که خدایی جز الله وجود ندارد و تنها و بی شریک است، همچنین شهادت می دهم که محمد بنده و فرستاد اوست، به راستی که ما از آنِ خداییم و به سوی او باز می گردیم، سپاس و ستایش مخصوص پروردگار جهانیان است، پرودگار مرگ و زندگی؛ خداوندا، بر محمّد و آل محمد درود بفرست و به خاطر کارهایی که برای امتش انجام داده و همچنین به خاطر ابلاغ پیام های پروردگارش بهترین جزا و پاداش را نصیب او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عَبْدُکَ وَ ابْنُ أَمَتِکَ نَاصِیَتُهُ بِیَدِکَ تَخَلَّی عَنِ الدُّنْیَا وَ احْتَاجَ إِلَی مَا عِنْدَکَ نَزَلَ بِکَ وَ أَنْتَ خَیْرُ مَنْزُولٍ بِهِ وَ افْتَقَرَ إِلَی رَحْمَتِکَ وَ أَنْتَ غَنِیٌّ مِنْ عَذَابِهِ اللَّهُمَّ إِنَّا لَا نَعْلَمُ مِنْهُ إِلَّا خَیْراً وَ أَنْتَ أَعْلَمُ بِهِ مِنَّا اللَّهُمَّ إِنْ کَانَ مُحْسِناً فَزِدْ فِی إِحْسَانِهِ وَ تَقَبَّلْ مِنْهُ وَ إِنْ کَانَ مُسِیئاً فَاغْفِرْ لَهُ ذَنْبَهُ وَ ارْحَمْهُ وَ تَجَاوَزْ عَنْهُ بِرَحْمَتِکَ اللَّهُمَّ أَلْحِقْهُ بِنَبِیِّکَ وَ ثَبِّتْهُ بِالْقَوْلِ الثَّابِتِ فِی الدُّنْیَا وَ الْآخِرَةِ اللَّهُمَّ اسْلُکْ بِنَا وَ بِهِ سَبِیلَ الْهُدَی وَ اهْدِنَا وَ إِیَّاهُ صِرَاطَکَ الْمُسْتَقِیمَ </w:t>
      </w:r>
    </w:p>
    <w:p>
      <w:pPr>
        <w:pStyle w:val="BookText"/>
        <w:rPr/>
      </w:pPr>
      <w:r>
        <w:rPr>
          <w:rFonts w:ascii="Amiri" w:hAnsi="Amiri" w:eastAsia="Amiri" w:cs="Amiri"/>
          <w:color w:val="111111"/>
          <w:sz w:val="28"/>
          <w:sz w:val="28"/>
          <w:szCs w:val="28"/>
          <w:rtl w:val="true"/>
          <w:lang w:bidi="ar-SA"/>
        </w:rPr>
        <w:t>اللَّهُمَّ عَفْوَكَ عَفْوَكَ ثُمَّ تُكَبِّرُ الثَّانِيَةَ وَ تَقُولُ مِثْلَ مَا قُلْتَ حَتَّي تَفْرُغَ مِنْ خَمْسِ تَكْبِيرَاتٍ وَ قَالَ لَيْسَ فِيهَا التَّسْلِيمُ‌</w:t>
      </w:r>
      <w:r>
        <w:rPr>
          <w:rStyle w:val="FootnoteAnchor"/>
          <w:rtl w:val="true"/>
        </w:rPr>
        <w:footnoteReference w:id="1772"/>
      </w:r>
    </w:p>
    <w:p>
      <w:pPr>
        <w:pStyle w:val="BookText"/>
        <w:rPr/>
      </w:pPr>
      <w:r>
        <w:rPr>
          <w:rFonts w:ascii="Amiri" w:hAnsi="Amiri" w:eastAsia="Amiri" w:cs="Amiri"/>
          <w:color w:val="111111"/>
          <w:sz w:val="28"/>
          <w:sz w:val="28"/>
          <w:szCs w:val="28"/>
          <w:rtl w:val="true"/>
          <w:lang w:bidi="ar-SA"/>
        </w:rPr>
        <w:t>وَ عَنْ أَبِيهِ أَنَّهُ كَانَ يُصَلِّي عَلَي الْجِنَازَةِ بَعْدَ الْعَصْرِ مَا كَانَ فِي وَقْتِ الصَّلَاةِ حَتَّي يَصْفَارَّ الشَّمْسُ فَإِذَا اصْفَارَّتْ لَمْ يُصَلِّ عَلَيْهَا حَتَّي تَغْرُبَ وَ قَالَ لَا بَأْسَ بِالصَّلَاةِ عَلَي الْجِنَازَةِ حِينَ تَغِيبُ الشَّمْسُ وَ حِينَ تَطْلُعُ إِنَّمَا هُوَ اسْتِغْفَارٌ</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سَاقَ الْكَلَامَ إِلَي أَنْ قَالَ‌</w:t>
      </w:r>
      <w:r>
        <w:rPr>
          <w:rStyle w:val="FootnoteAnchor"/>
          <w:rtl w:val="true"/>
        </w:rPr>
        <w:footnoteReference w:id="1774"/>
      </w:r>
      <w:r>
        <w:rPr>
          <w:rFonts w:ascii="Amiri" w:hAnsi="Amiri" w:eastAsia="Amiri" w:cs="Amiri"/>
          <w:color w:val="111111"/>
          <w:sz w:val="28"/>
          <w:sz w:val="28"/>
          <w:szCs w:val="28"/>
          <w:rtl w:val="true"/>
          <w:lang w:bidi="ar-SA"/>
        </w:rPr>
        <w:t>بَابٌ آخَرُ فِي الصَّلَاةِ عَلَي الْمَيِّتِ قَالَ تُكَبِّرُ ثُمَّ تُصَلِّي عَلَي النَّبِيِّ صلي الله عليه و آله وَ أَهْلِ بَيْتِهِ ثُمَّ تَقُولُ اللَّهُمَّ عَبْدُكَ وَ ابْنُ عَبْدِكَ وَ ابْنُ 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مِنْهُ إِلَّا خَيْراً وَ أَنْتَ أَعْلَمُ بِهِ اللَّهُمَّ إِنْ كَانَ مُحْسِناً فَزِدْ فِي إِحْسَانِهِ وَ تَقَبَّلْ مِنْهُ وَ إِنْ كَانَ مُسِيئاً فَاغْفِرْ لَهُ ذَنْبَهُ وَ افْسَحْ لَهُ فِي قَبْرِهِ وَ اجْعَلْهُ مِنْ رُفَقَاءِ مُحَمَّدٍ صلي الله عليه و آله ثُمَّ تُكَبِّرُ الثَّانِيَةَ فَقُلِ اللَّهُمَّ إِنْ كَانَ زَاكِياً فَزَكِّهِ وَ إِنْ كَانَ خَاطِئاً فَاغْفِرْ لَهُ ثُمَّ تُكَبِّرُ الثَّالِثَةَ فَقُلِ اللَّهُمَّ لَا تَحْرِمْنَا أَجْرَهُ وَ لَا تَفْتِنَّاهُ بَعْدَهُ ثُمَّ تُكَبِّرُ الرَّابِعَةَ وَ قُلِ اللَّهُمَّ اكْتُبْهُ عِنْدَكَ فِي عِلِّيِّينَ وَ اخْلُفْ عَلَي أَهْلِهِ فِي الْغَابِرِينَ وَ اجْعَلْهُ مِنْ رُفَقَاءِ مُحَمَّدٍ صلي الله عليه و آله ثُمَّ كَبِّرِ الْخَامِسَةَ وَ تَنْصَرِفُ‌</w:t>
      </w:r>
      <w:r>
        <w:rPr>
          <w:rStyle w:val="FootnoteAnchor"/>
          <w:rtl w:val="true"/>
        </w:rPr>
        <w:footnoteReference w:id="1775"/>
      </w:r>
    </w:p>
    <w:p>
      <w:pPr>
        <w:pStyle w:val="BookText"/>
        <w:rPr/>
      </w:pPr>
      <w:r>
        <w:rPr>
          <w:rFonts w:ascii="Amiri" w:hAnsi="Amiri" w:eastAsia="Amiri" w:cs="Amiri"/>
          <w:color w:val="111111"/>
          <w:sz w:val="28"/>
          <w:sz w:val="28"/>
          <w:szCs w:val="28"/>
          <w:rtl w:val="true"/>
          <w:lang w:bidi="ar-SA"/>
        </w:rPr>
        <w:t>وَ إِذَا كَانَ نَاصِباً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لَا نَعْلَمُ إِلَّا أَنَّهُ عَدُوٌّ لَكَ وَ لِرَسُولِكَ اللَّهُمَّ فَاحْشُ جَوْفَهُ نَاراً وَ قَبْرَهُ نَاراً وَ عَجِّلْهُ إِلَي النَّارِ فَإِنَّهُ قَدْ كَانَ يَتَوَلَّي أَعْدَاءَكَ وَ يُعَادِي أَوْلِيَاءَكَ وَ يُبْغِضُ أَهْلَ بَيْتِ نَبِيِّكَ اللَّهُمَّ ضَيِّقْ عَلَيْهِ قَبْرَهُ وَ إِذَا رُفِعَ فَقُلِ اللَّهُمَّ لَا تَرْفَعْهُ وَ لَا تُزَكِّهِ وَ إِذَا كَانَ مُسْتَضْعَفاً فَقُلِ اللَّهُمَّ اغْفِرْ لِلَّذِينَ تابُوا وَ اتَّبَعُوا سَبِيلَكَ وَ قِهِمْ عَذابَ الْجَحِيمِ وَ إِذَا لَمْ تَدْرِ مَا حَالُهُ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يُحِبُّ الْخَيْرَ وَ أَهْلَهُ فَاغْفِرْ لَهُ وَ ارْحَمْهُ وَ تَجَاوَزْ عَنْهُ‌</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قَالَ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عَلِيٌّ عليه السلام عَلَي سَهْلِ بْنِ حُنَيْفٍ وَ كَانَ</w:t>
      </w:r>
    </w:p>
    <w:p>
      <w:pPr>
        <w:pStyle w:val="BookText"/>
        <w:rPr/>
      </w:pPr>
      <w:r>
        <w:rPr>
          <w:rFonts w:ascii="IRNazanin" w:hAnsi="IRNazanin" w:eastAsia="IRNazanin"/>
          <w:color w:val="111111"/>
          <w:sz w:val="28"/>
          <w:sz w:val="28"/>
          <w:szCs w:val="28"/>
          <w:rtl w:val="true"/>
          <w:lang w:bidi="fa-IR"/>
        </w:rPr>
        <w:t>اللَّهُمَّ عَفْوَکَ عَفْوَکَ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 این بنده و فرزند کنیز توست، زمام امورش در دست توست، از دنیا فارغ و محتاج چیزی گشته که نزد تو وجود دارد، به درگاه تو آمده و تو بهترین کسی هستی که به درگاهت رو آورده می شود، او نیازمند رحمتت می باشد و تو از عذاب دادنش بی نیازی؛ خداوندا، ما از او چیزی جز خیر نمی دانیم و تو از ما به احوالش آگاه تری؛ خداوندا، اگر نیکو کار است به نیکی های او بیفزا و آن ها را از او بپذیر و اگر گناهکار است گناهانش را ببخش و او را مورد مرحمت خویش قرار ده و با رحمت خود از گناهان او درگذر؛ خداوندا، او را به پیامبرت ملحق گردان و او را در دنیا و آخرت با قول ثابت استوار گردان؛ خداوندا ما و او را به راه هدایت وارد گردان و صراط مستقیم خویش را به ما و او بنما؛ خداوندا، او را مورد عفو و بخشش خود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تکبیر دوم را گفته و دعاهای مذکور پس از تکبیر نخست را تکرار می نمایی، تا اینکه پنج تکبیر را به پایان می رسانی، و سلام پایانی در نماز میّت وجود ندارد</w:t>
      </w:r>
      <w:r>
        <w:rPr>
          <w:rFonts w:eastAsia="IRNazanin" w:cs="IRNazanin"/>
          <w:color w:val="111111"/>
          <w:sz w:val="28"/>
          <w:szCs w:val="28"/>
          <w:rtl w:val="true"/>
          <w:lang w:bidi="fa-IR"/>
        </w:rPr>
        <w:t>.}</w:t>
      </w:r>
      <w:r>
        <w:rPr>
          <w:rStyle w:val="FootnoteAnchor"/>
          <w:rtl w:val="true"/>
        </w:rPr>
        <w:footnoteReference w:id="1777"/>
      </w:r>
    </w:p>
    <w:p>
      <w:pPr>
        <w:pStyle w:val="BookText"/>
        <w:rPr/>
      </w:pPr>
      <w:r>
        <w:rPr>
          <w:rFonts w:ascii="IRNazanin" w:hAnsi="IRNazanin" w:eastAsia="IRNazanin"/>
          <w:color w:val="111111"/>
          <w:sz w:val="28"/>
          <w:sz w:val="28"/>
          <w:szCs w:val="28"/>
          <w:rtl w:val="true"/>
          <w:lang w:bidi="fa-IR"/>
        </w:rPr>
        <w:t xml:space="preserve">همچنین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ایشان بعد از نماز عصر و در غیر وقت نماز و تا زمانی که خورشید به زردی می گرایید بر میّت نماز می گزارد، و هنگامی که خورشید زرد رنگ می گشت تا غروب بر میّت نماز نمی گزارد،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هنگام طلوع و غروب خورشید بر میّت نماز گزارده شود، چرا که نماز میّت فقط استغفار است</w:t>
      </w:r>
      <w:r>
        <w:rPr>
          <w:rFonts w:eastAsia="IRNazanin" w:cs="IRNazanin"/>
          <w:color w:val="111111"/>
          <w:sz w:val="28"/>
          <w:szCs w:val="28"/>
          <w:rtl w:val="true"/>
          <w:lang w:bidi="fa-IR"/>
        </w:rPr>
        <w:t>.</w:t>
      </w:r>
      <w:r>
        <w:rPr>
          <w:rStyle w:val="FootnoteAnchor"/>
          <w:rtl w:val="true"/>
        </w:rPr>
        <w:footnoteReference w:id="1778"/>
      </w:r>
    </w:p>
    <w:p>
      <w:pPr>
        <w:pStyle w:val="BookText"/>
        <w:rPr/>
      </w:pPr>
      <w:r>
        <w:rPr>
          <w:rFonts w:ascii="IRNazanin" w:hAnsi="IRNazanin" w:eastAsia="IRNazanin"/>
          <w:color w:val="111111"/>
          <w:sz w:val="28"/>
          <w:sz w:val="28"/>
          <w:szCs w:val="28"/>
          <w:rtl w:val="true"/>
          <w:lang w:bidi="fa-IR"/>
        </w:rPr>
        <w:t>و کلام را پی گرفته تا آنجا که در بابی دیگر و در ذکر نماز میّت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گفته و بر پیامبر صلّی الله علیه و آله و اهل بیت او درود می فرستی، سپس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عَبْدُکَ وَ ابْنُ عَبْدِکَ وَ ابْنُ أَمَتِکَ لَا أَعْلَمُ مِنْهُ إِلَّا خَیْراً وَ أَنْتَ أَعْلَمُ بِهِ اللَّهُمَّ إِنْ کَانَ مُحْسِناً فَزِدْ فِی إِحْسَانِهِ وَ تَقَبَّلْ مِنْهُ وَ إِنْ کَانَ مُسِیئاً فَاغْفِرْ لَهُ ذَنْبَهُ وَ افْسَحْ لَهُ فِی قَبْرِهِ وَ اجْعَلْهُ مِنْ رُفَقَاءِ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این بنده و فرزند بنده و کنیز توست، من چیزی جز خیر و نیکی از او نمی دانم و تو به احوال او آگاه تری؛ خداوندا، اگر نیکوکار بوده است بر نیکی های او بیفزا و نیکی اش را بپذیر، و اگر گناهکار بوده است گناهان او را ببخش، و قبرش را برای او واسع و گشاده گردان و او را از همراهان محمّد صلّی الله علیه و آله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بار دوّم تکبیر گفته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کَانَ زَاکِیاً فَزَکِّهِ وَ إِنْ کَانَ خَاطِئاً فَاغْفِرْ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اگر از جمله پاکان بوده است او را پاک و مطهر گردان و اگر از جمله گناهکاران بوده است از گناه او درگذر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تکبیر سوّم را به زبان آورده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تَحْرِمْنَا أَجْرَهُ وَ لَا تَفْتِنَّاهُ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ما را از اجر او محروم مگردان و ما را پس از او دچار فتنه و بلا مگردان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برای بار چهارم تکبیر گفته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اکْتُبْهُ عِنْدَکَ فِی عِلِّیِّینَ وَ اخْلُفْ عَلَی أَهْلِهِ فِی الْغَابِرِینَ وَ اجْعَلْهُ مِنْ رُفَقَاءِ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اسم او را در بالاترین جایگاه بهشت و نزد خودت ثبت گردان، و به بازماندگان او عوض خیر عطا فرما و او را از همراهان محمّد صلّی الله علیه و آله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تکبیر پنجم را گفته و نماز را به پایان می رسانی</w:t>
      </w:r>
      <w:r>
        <w:rPr>
          <w:rFonts w:eastAsia="IRNazanin" w:cs="IRNazanin"/>
          <w:color w:val="111111"/>
          <w:sz w:val="28"/>
          <w:szCs w:val="28"/>
          <w:rtl w:val="true"/>
          <w:lang w:bidi="fa-IR"/>
        </w:rPr>
        <w:t>.</w:t>
      </w:r>
      <w:r>
        <w:rPr>
          <w:rStyle w:val="FootnoteAnchor"/>
          <w:rtl w:val="true"/>
        </w:rPr>
        <w:footnoteReference w:id="1779"/>
      </w:r>
    </w:p>
    <w:p>
      <w:pPr>
        <w:pStyle w:val="BookText"/>
        <w:rPr/>
      </w:pPr>
      <w:r>
        <w:rPr>
          <w:rFonts w:ascii="IRNazanin" w:hAnsi="IRNazanin" w:eastAsia="IRNazanin"/>
          <w:color w:val="111111"/>
          <w:sz w:val="28"/>
          <w:sz w:val="28"/>
          <w:szCs w:val="28"/>
          <w:rtl w:val="true"/>
          <w:lang w:bidi="fa-IR"/>
        </w:rPr>
        <w:t xml:space="preserve">امّا اگر میّت از جمله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لَا نَعْلَمُ إِلَّا أَنَّهُ عَدُوٌّ لَکَ وَ لِرَسُولِکَ اللَّهُمَّ فَاحْشُ جَوْفَهُ نَاراً وَ قَبْرَهُ نَاراً وَ عَجِّلْهُ إِلَی النَّارِ فَإِنَّهُ قَدْ کَانَ یَتَوَلَّی أَعْدَاءَکَ وَ یُعَادِی أَوْلِیَاءَکَ وَ یُبْغِضُ أَهْلَ بَیْتِ نَبِیِّکَ اللَّهُمَّ ضَیِّقْ عَلَیْهِ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ما از او چیزی نمی دانیم جز اینکه دشمن تو و پیامبرت است، خداوندا، شکم و قبر او را پُر از آتش گردان، و هر چه سریع تر او را به آتش جهنّم وارد گردان، به راستی که او دشمنان تو را دوست می داشت و با دوستان تو به دشمنی می پرداخت و کینه اهل بیت پیامبرت را در دل داشت؛ خداوندا، قبرش را بر او تنگ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هنگامی که جنازه او را برمی دارند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تَرْفَعْهُ وَ لَا تُزَکِّهِ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جایگاه او را رفیع مگردان و پاک و مطهّرش مساز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اگر میّت از مستضعفان بود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لِلَّذِینَ تابُوا وَ اتَّبَعُوا سَبِیلَکَ وَ قِهِمْ عَذابَ الْجَحِیمِ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کسانی را که توبه کرده و از راه تو پیروی کرده اند را ببخش و آنان را از آتش جهنّم محفوظ نگاه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از احوال و اوضاع میّت آگاه نبودی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کَانَ یُحِبُّ الْخَیْرَ وَ أَهْلَهُ فَاغْفِرْ لَهُ وَ ارْحَمْهُ وَ تَجَاوَزْ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اگر دوستدار اعمال نیک و نیکوکاران بوده است، او را ببخش و مورد رحمتش قرار ده و از گناهانش درگذر</w:t>
      </w:r>
      <w:r>
        <w:rPr>
          <w:rFonts w:eastAsia="IRNazanin" w:cs="IRNazanin"/>
          <w:color w:val="111111"/>
          <w:sz w:val="28"/>
          <w:szCs w:val="28"/>
          <w:rtl w:val="true"/>
          <w:lang w:bidi="fa-IR"/>
        </w:rPr>
        <w:t>".</w:t>
      </w:r>
      <w:r>
        <w:rPr>
          <w:rStyle w:val="FootnoteAnchor"/>
          <w:rtl w:val="true"/>
        </w:rPr>
        <w:footnoteReference w:id="1780"/>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بر پیکر سهل بن حنیف که از </w:t>
      </w:r>
      <w:bookmarkStart w:id="3465" w:name="pg13517_329387"/>
    </w:p>
    <w:p>
      <w:pPr>
        <w:pStyle w:val="BookText"/>
        <w:rPr/>
      </w:pPr>
      <w:bookmarkEnd w:id="3465"/>
      <w:r>
        <w:rPr>
          <w:rFonts w:ascii="Amiri" w:hAnsi="Amiri" w:eastAsia="Amiri" w:cs="Amiri"/>
          <w:color w:val="111111"/>
          <w:sz w:val="28"/>
          <w:sz w:val="28"/>
          <w:szCs w:val="28"/>
          <w:rtl w:val="true"/>
          <w:lang w:bidi="ar-SA"/>
        </w:rPr>
        <w:t>بَدْرِيّاً فَكَبَّرَ خَمْسَ تَكْبِيرَاتٍ ثُمَّ مَشَي سَاعَةً فَوَضَعَهُ ثُمَّ كَبَّرَ عَلَيْهِ خَمْساً أُخْرَي فَصَنَعَ ذَلِكَ حَتَّي كَبَّرَ عَلَيْهِ خَمْساً وَ عِشْرِينَ تَكْبِيرَةً</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6" w:name="__RefHeading___Toc608104_1934241801"/>
      <w:bookmarkStart w:id="3467" w:name="_Toc1596"/>
      <w:bookmarkEnd w:id="3466"/>
      <w:r>
        <w:rPr>
          <w:rtl w:val="true"/>
        </w:rPr>
        <w:t>إيضاح</w:t>
      </w:r>
      <w:bookmarkEnd w:id="3467"/>
    </w:p>
    <w:p>
      <w:pPr>
        <w:pStyle w:val="BookText"/>
        <w:rPr/>
      </w:pPr>
      <w:r>
        <w:rPr>
          <w:rFonts w:ascii="Amiri" w:hAnsi="Amiri" w:eastAsia="Amiri" w:cs="Amiri"/>
          <w:color w:val="111111"/>
          <w:sz w:val="28"/>
          <w:sz w:val="28"/>
          <w:szCs w:val="28"/>
          <w:rtl w:val="true"/>
          <w:lang w:bidi="ar-SA"/>
        </w:rPr>
        <w:t>لعل المراد بالولي الوارث و لا خلاف ظاهرا بين الأصحاب في أنه أولي من الأجانب و قالوا إن الأب أولي من الابن و الولد أولي من الجد علي المشهور و ذهب ابن الجنيد إلي أن الجد أولي من الأب و الابن و هو ضعيف و الأخ من الأبوين أولي ممن يتقرب بأحدهما و في تقدمه علي الأخ من الأم إشكال و الزوج أولي من كل أحد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فإذا كان في القوم رجل يدل علي ما ذكره الأصحاب من أن الهاشمي أولي من غيره في تلك الصلاة إن قدمه الولي و يستحب له تقديمه بل أوجبه المفيد و ربما يحمل كلامه علي إمام الأصل و إن كان بعيدا و إثبات الحكم في غيره لا يخلو من إشكال لضعف المستند و إن كان الأحوط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عند صدره أو وسطه ظاهره التخيير مطلقا و يمكن حمله علي التفصيل المشهور و يؤيده ما سيأتي و ما اشتمل عليه من رفع اليدين في التكبيرة الأولي فقط مذهب المفيد و المرتضي و الشيخ في النهاية و المبسوط و ابن إدريس بل نسب إلي الأكثر و ذهب الشيخ في كتابي الأخبار إلي أنه مستحب في الجميع و اختاره الفاضلان و جماعة من المتأخرين و هو أقوي و الظاهر أن الأخبار الدالة علي عدم الاستحباب محمولة علي التقية كما دل عليه خَبَرُ يُونُسَ‌</w:t>
      </w:r>
      <w:r>
        <w:rPr>
          <w:rStyle w:val="FootnoteAnchor"/>
          <w:rtl w:val="true"/>
        </w:rPr>
        <w:footnoteReference w:id="17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قُلْتُ جُعِلْتُ فِدَاكَ إِنَّ النَّاسَ يَرْفَعُونَ أَيْدِيَهُمْ فِي التَّكْبِيرِ عَلَي الْمَيِّتِ فِي التَّكْبِيرَةِ الْأُولَي وَ لَا يَرْفَعُونَ فِيمَا بَعْدَ ذَلِكَ فَأَقْتَصِرُ عَلَي التَّكْبِيرَةِ الْأُولَي كَمَا يَفْعَلُونَ أَوْ أَرْفَعُ يَدَيَّ فِي كُلِّ تَكْبِيرَةٍ فَقَالَ ارْفَعْ يَدَيْكَ فِي كُلِّ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رفع اليدين في التكبيرة الأولي فلا خلاف في استحبابه و أما الصلاة</w:t>
      </w:r>
    </w:p>
    <w:p>
      <w:pPr>
        <w:pStyle w:val="BookText"/>
        <w:rPr/>
      </w:pPr>
      <w:r>
        <w:rPr>
          <w:rFonts w:ascii="IRNazanin" w:hAnsi="IRNazanin" w:eastAsia="IRNazanin"/>
          <w:color w:val="111111"/>
          <w:sz w:val="28"/>
          <w:sz w:val="28"/>
          <w:szCs w:val="28"/>
          <w:rtl w:val="true"/>
          <w:lang w:bidi="fa-IR"/>
        </w:rPr>
        <w:t>اصحاب بدر بود نماز گزارد و پنج بار تکبیر گفت، سپس مدّتی جنازه او را راه برد، آن گاه بر زمینش گذاشت و پنج بار دیگر تکبیر گفت، و این کار را تا زمانی که تعداد تکبیرها به بیست وپنج رسید ادامه داد</w:t>
      </w:r>
      <w:r>
        <w:rPr>
          <w:rFonts w:eastAsia="IRNazanin" w:cs="IRNazanin"/>
          <w:color w:val="111111"/>
          <w:sz w:val="28"/>
          <w:szCs w:val="28"/>
          <w:rtl w:val="true"/>
          <w:lang w:bidi="fa-IR"/>
        </w:rPr>
        <w:t>.</w:t>
      </w:r>
      <w:r>
        <w:rPr>
          <w:rStyle w:val="FootnoteAnchor"/>
          <w:rtl w:val="true"/>
        </w:rPr>
        <w:footnoteReference w:id="1783"/>
      </w:r>
    </w:p>
    <w:p>
      <w:pPr>
        <w:pStyle w:val="Heading5"/>
        <w:numPr>
          <w:ilvl w:val="4"/>
          <w:numId w:val="1"/>
        </w:numPr>
        <w:rPr/>
      </w:pPr>
      <w:bookmarkStart w:id="3468" w:name="__RefHeading___Toc608106_1934241801"/>
      <w:bookmarkStart w:id="3469" w:name="_Toc1597"/>
      <w:bookmarkEnd w:id="3468"/>
      <w:r>
        <w:rPr>
          <w:rtl w:val="true"/>
        </w:rPr>
        <w:t>توضیح</w:t>
      </w:r>
      <w:bookmarkEnd w:id="3469"/>
    </w:p>
    <w:p>
      <w:pPr>
        <w:pStyle w:val="BookText"/>
        <w:rPr/>
      </w:pPr>
      <w:r>
        <w:rPr>
          <w:rFonts w:ascii="IRNazanin" w:hAnsi="IRNazanin" w:eastAsia="IRNazanin"/>
          <w:color w:val="111111"/>
          <w:sz w:val="28"/>
          <w:sz w:val="28"/>
          <w:szCs w:val="28"/>
          <w:rtl w:val="true"/>
          <w:lang w:bidi="fa-IR"/>
        </w:rPr>
        <w:t xml:space="preserve">شاید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ظاهراً هیچ اختلافی در میان فقها بر سر این نکته وجود ندارد که ولیّ میّت نسبت به بیگانگان از اولویّت بیشتری برخوردار است تا به عنوان امام بر او نماز بگزارد،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میّت نسبت به پسر او و پسرش نسبت به جدش از اولویت بیشتری برخورداراست تا به عنوان امام بر او نماز بگزارند، نظر مشهور چنین است، امّا ابن جنید بر این باور است که جدّ نسبت به پدر و پسر اولویت بیشتری دارد، و این نظر ضعیفی است، و برادر 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کسی که با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یا مادر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داشته باشد دارای اولویت بیشتری است، و در مقدّم بودن برادر تنی بر برادر ناتنی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وجود دارد، و چنان که ذکر گردید شوهر نسبت به هر کسی از اولویت بیشتری برخوردار است تا به عنوان امام بر جنازه همسرش نماز بگزارد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 فی القوم رجلٌ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نکته ای دلالت می کند که فقها نیز آن را ذکر کرده اند مبنی بر اینکه مردی که از بنی هاشم است نسبت به دیگران اولویت بیشتری دارد تا به عنوان امام بر جنازه نماز بگزارد، البته اگر ولیّ، او را پیش اندازد، و مستحبّ است که ولیّ او را به عنوان امام پیش اندازد بلکه به نظر شیخ مفید واجب است که چنین کند، و چه بسا که کلام شیخ بر امام اصل حمل شود، اگر چه بعید به نظر می رسد، و اثبات حُکم در مورد غیر او به خاطر ضعف سند، خالی از اشکال نیست، اگر چه احوط عمل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این کلام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صدره أو 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پیداست که امام به صورت مطلق مخیّر است که ایستادن در کنار سینه یا میانه میّت را انتخاب کند، همچنین ممکن است این کلام حمل بر تفصیل مشهور شود و آنچه در ادامه ذکر خواهد شد صحّت این امکان را تأیید می کند، و نکته ذکر شده در این کلام مبنی بر اینکه دست ها فقط همزمان با گفتن تکبیر نخست بالا برده می شود، نظری است که متعلق به شیخ مفید، مرتضی، شیخ در النهایه و المبسوط و ابن ادریس بلکه متعلّق به اغلب فقهاست، ولی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کتاب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 است که بلند کردن دست همزمان با گفتن تمام تکبیرها مستحبّ است، و فاضلان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 و 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متأخرین نیز این نظر را برگزیده اند، و این نظر قوی تر به نظر می رسد، ظاهراً احادیثی را که بر عدم استحباب بلند کردن دست ها همزمان با تمام تکبیرها دلالت می کنند بر تقیّه حمل می شوند، چنان که حدیث یونس</w:t>
      </w:r>
      <w:r>
        <w:rPr>
          <w:rStyle w:val="FootnoteAnchor"/>
          <w:rtl w:val="true"/>
        </w:rPr>
        <w:footnoteReference w:id="1784"/>
      </w:r>
    </w:p>
    <w:p>
      <w:pPr>
        <w:pStyle w:val="BookText"/>
        <w:rPr/>
      </w:pPr>
      <w:r>
        <w:rPr>
          <w:rFonts w:ascii="IRNazanin" w:hAnsi="IRNazanin" w:eastAsia="IRNazanin"/>
          <w:color w:val="111111"/>
          <w:sz w:val="28"/>
          <w:sz w:val="28"/>
          <w:szCs w:val="28"/>
          <w:rtl w:val="true"/>
          <w:lang w:bidi="fa-IR"/>
        </w:rPr>
        <w:t>نیز بر این نکته دلالت می کند، 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 جانم فدای شما، مردم دست های خود را همزمان با گفتن تکبیر نخست بالا می آورند و بعد از آن و در تکبیرهای بعدی دست هایشان را بالا نمی آورند، آیا من نیز مانند آنان فقط در تکبیرنخست دستانم را بالا آورم؟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هر تکبیر دست هایت را بالا ببر</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استحباب بالا بردن دست ها همزمان با گفتن تکبیر نخست اختلاف نظر وجود ندارد؛ امّا در مورد درود فرستادن بر پیامبر، </w:t>
      </w:r>
    </w:p>
    <w:p>
      <w:pPr>
        <w:pStyle w:val="BookText"/>
        <w:rPr/>
      </w:pPr>
      <w:r>
        <w:rPr>
          <w:rFonts w:ascii="Amiri" w:hAnsi="Amiri" w:eastAsia="Amiri" w:cs="Amiri"/>
          <w:color w:val="111111"/>
          <w:sz w:val="28"/>
          <w:sz w:val="28"/>
          <w:szCs w:val="28"/>
          <w:rtl w:val="true"/>
          <w:lang w:bidi="ar-SA"/>
        </w:rPr>
        <w:t>و معناها و فائدتها و وجه التشبيه بصلاة إبراهيم و آله صلوات الله عليهم فقد بسطنا القول فيها في كتاب الفوائد الطريفة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لجميع المؤمنين قال الوالد ره يحتمل أن يكون المراد بالمؤمن الإمامي الصالح و بالمسلم غيره أو بالعكس و يكون تقديم غير الصالح لكون احتياجه إلي المغفرة أكثر و يحتمل أن يكون المراد بالمؤمن الإمامي مطلقا و بالمسلم المستضعف من غيرهم كما يظهر من الأخبار أن المستضعفين في المشية إن شاء عذبهم بعدله و إن شاء رحمهم بفضله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تابع بيننا و بينهم قال في النهاية أي اجعلنا نتبعهم علي ما هم عليه انتهي أقول و يحتمل أن يكون المعني تابع و واتر بيننا و بينهم بسبب الخيرات الصلاة و البركات و المثوبات أي نبعث إليهم شيئا فشيئا من الصدقات و الدعوات و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أنت خير منزول به الضمير في الظرف يحتمل إرجاعه إلي اسم المفعول نفسه كما جوز الشيخ الرضي رضي الله عنه في بحث الصفة المشبهة في قولهم حسن وجهه إرجاع الضمير إلي الصفة أو إلي موصوف مقدر له أي أنت خير شخص منزول به كما قال المازني في قولهم الممرور به زيد أن الضمير راجع إلي الموصوف المقدر و إن ذهب الأكثر في هذا المقام إلي أنه راجع إلي لام الموصول و يحتمل إرجاعه إلي الذات المبهمة المأخوذة في الصفات فإن قولنا منزول به في قوة ذات ما نزل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إرجاعه إلي الضمير الذي وقع مبتدأ لأنك إذا قلت زيد مضروب ففيه ضمير عائد إلي زيد و إذا قلت ممرور به فهذا الضمير البارز ينوب مناب هذا الضمير المستتر و لذا يجري عليه التذكير و التأنيث و التثنية و الجمع و فيه 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اللهم إنا لا نعلم منه إلا خيرا ربما يستشكل هاهنا بأن هذه كيفية للصلاة علي المؤمن برا كان أو فاجرا فكيف يجوز لنا هذا القول فيمن نعلم منه الشرور و الفسوق؟</w:t>
      </w:r>
    </w:p>
    <w:p>
      <w:pPr>
        <w:pStyle w:val="BookText"/>
        <w:rPr/>
      </w:pPr>
      <w:r>
        <w:rPr>
          <w:rFonts w:ascii="IRNazanin" w:hAnsi="IRNazanin" w:eastAsia="IRNazanin"/>
          <w:color w:val="111111"/>
          <w:sz w:val="28"/>
          <w:sz w:val="28"/>
          <w:szCs w:val="28"/>
          <w:rtl w:val="true"/>
          <w:lang w:bidi="fa-IR"/>
        </w:rPr>
        <w:t>معنا و فایده آن، همچنین وجه شبه آن با درودی که بر ابراهیم و آل او صلوات الله علیهم فرستاده می شود، در کتاب الفوائد الطریفة به تفصیل سخن گفته ایم که جای کلام بیشتر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 رحمه الله در تفسیر 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لجمیع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از مؤمن، شیعه امامیّه صالح و منظور از مسلم، کسانی غیر از او باشد و یا برعکس، و پیش انداختن ذکر فرد غیر صالح در این دعا به خاطر احتیاج بیشتر او به مغفرت و بخشش است؛ همچنین ممکن است منظور از مؤمن، شیعه امامیّه به صورت مطلق و منظور از مسلم، افراد مستضعف غیر از شیعیان امامیّه باشد، چنان که از احادیث نیز برمی آید سرنوشت مستضعفان بستگی به مشیّت خداوند دارد، اگر اراده کند آنان را بنا به عدل خویش عذاب می دهد و اگر اراده کند به فضل خویش مورد رحمت شان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النهایه در تفسیر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تابع بیننا و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پیرو ویژگی ها و خصوصیاتی قرار ده که آنان بدان پایبند بوده اند؛پایان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ممکن است معنا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نیکی ها، درود و صلوات، برکات و ثواب ها میان ما و آنان ارتباط و وصلت ایجاد کن،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به سوی آنان صدقات، دعاهای خیر و نیکی ها روانه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ضمیر ظرف در 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خیر منزول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اسم مفعول باز گردد، چنان که شیخ رضی الله عنه در مبحث صفت مشبهه و این گفته عرب زبانان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دانسته که ضمیر به صفت مشبهه باز گردد، و یا اینکه 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موصوف مقدّر باشد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خیر شخص منزول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کسی هستی که به درگاه او رو آورده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گونه که مازنی در مورد این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الممرور به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موصوف مقدر باز می گردد، اگرچه بیشتر نحویان بر این باورند که مرجع ضمیر لام موصول می باشد، همچنین ممکن است ضمیر را به ذات مبهم مأخوذ از صفات ارجاع داد، پس این سخن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ما نزل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که به سوی او فرود آمده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ممکن است ضمیر به ضمیری ارجاع داده شود که مبتدا واقع شده است، چرا که وقتی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اسم مفعول ضمیری وجود دارد که به زید باز می گردد، و هنگامی که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ممرورٌ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این ضمیر مستتر است، بنابراین احکام تذکیر، تأنیث، تثنیه و جمع بر سر آن به اجرا در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آن اشکالی است که پوشیده نیست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لا نعلم منه إلا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چیزی جز خیر از او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اشکال ایجاد شود که این کلام، کیفیت نماز گزاردن بر انسان مؤمن چه نیکوکار چه فاجر و گناهکار را بیان می کند، پس چگونه جایز است همین کلام را در مورد شخصی که از شرارت و فسق او آگاهیم به زبان آوریم؟ </w:t>
      </w:r>
    </w:p>
    <w:p>
      <w:pPr>
        <w:pStyle w:val="BookText"/>
        <w:rPr/>
      </w:pPr>
      <w:r>
        <w:rPr>
          <w:rFonts w:ascii="Amiri" w:hAnsi="Amiri" w:eastAsia="Amiri" w:cs="Amiri"/>
          <w:color w:val="111111"/>
          <w:sz w:val="28"/>
          <w:sz w:val="28"/>
          <w:szCs w:val="28"/>
          <w:rtl w:val="true"/>
          <w:lang w:bidi="ar-SA"/>
        </w:rPr>
        <w:t>و يمكن أن يجاب عنه بوجوه الأول أن يقال يجوز أن يكون هذا مما استثني من الكذب سوغ لنا رحمة منه علي الموتي ليصير سببا لغفرانهم كما جاز في الإصلاح بين الناس بل نقول هذا أيضا كذب في الصلاح و قد ورد في الخبر أن الله يحب الكذب في الصلاح و يبغض الصدق في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يخصص الخير و الشر بالعقائد لكن الترديد المذكور بعده لا يلائمه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يقال إن شرهم غير معلوم لاحتمال توبتهم أو شمول عفو الله أو الشفاعة لهم مع معلومية إيمانهم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كما أن شرهم غير معلوم بناء علي تلك الاحتمالات فكذا خيرهم أيضا غير معلوم فما الفرق بينهما قلنا يمكن أن يقال بالفرق بينهما في العلم الشرعي فإنا مأمورون بالحكم بالإيمان الظاهري و باستصحابه بخلاف الشرور و المعاصي فإنا أمرنا بالإغضاء عن عيوب الناس و حمل أعمالهم و أقوالهم علي المحامل الحسنة و إن كانت بعيدة فليس لنا الحكم فيها بالاستصحاب و قيل المراد بالخير الخير الظاهري و بالشر الشر الواقعي و لا يخفي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يخصص هذا الدعاء بالصلاة علي المستورين الذين لا يعلم منهم ذنب و هو بعيد جدا و قال العلامة رحمه الله في المنتهي لو لم يعرف الميت لم يقل اللهم إنا لا نعلم منه إلا خيرا لأنه يكون كذبا بل يقول ما رواه الشَّيْخُ‌</w:t>
      </w:r>
      <w:r>
        <w:rPr>
          <w:rStyle w:val="FootnoteAnchor"/>
          <w:rtl w:val="true"/>
        </w:rPr>
        <w:footnoteReference w:id="1785"/>
      </w:r>
      <w:r>
        <w:rPr>
          <w:rFonts w:ascii="Amiri" w:hAnsi="Amiri" w:eastAsia="Amiri" w:cs="Amiri"/>
          <w:color w:val="111111"/>
          <w:sz w:val="28"/>
          <w:sz w:val="28"/>
          <w:szCs w:val="28"/>
          <w:rtl w:val="true"/>
          <w:lang w:bidi="ar-SA"/>
        </w:rPr>
        <w:t>عَنْ ثَابِتِ بْنِ أَبِي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جَعْفَرٍ عليه السلام فَإِذَا بِجَنَازَةٍ لِقَوْمٍ مِنْ جِيرَتِهِ فَحَضَرَهَا وَ كُنْتُ قَرِيباً مِنْهُ فَسَمِعْتُهُ يَقُولُ اللَّهُمَّ إِنَّكَ خَلَقْتَ هَذِهِ النُّفُوسَ وَ أَنْتَ تُمِيتُهَا وَ أَنْتَ تُحْيِيهَا وَ أَنْتَ أَعْلَمُ بِسَرَائِرِهَا وَ عَلَانِيَتِهَا مِنَّا وَ مُسْتَقَرِّهَا وَ مُسْتَوْدَعِهَا اللَّهُمَّ وَ هَذَا بَدَنُ عَبْدِكَ وَ لَا أَعْلَمُ مِنْهُ سُوءاً وَ أَنْتَ أَعْلَمُ بِهِ وَ قَدْ جِئْنَاكَ شَافِعِينَ لَهُ بَعْدَ مَوْتِهِ فَإِنْ كَانَ مُسْتَوْجِباً فَشَفِّعْنَا فِيهِ وَ احْشُرْهُ مَعَ مَنْ كَانَ يَتَوَلَّاهُ و كذلك من علم منه الشر لا يقول ذلك في حقه لأنه يكون كذبا</w:t>
      </w:r>
    </w:p>
    <w:p>
      <w:pPr>
        <w:pStyle w:val="BookText"/>
        <w:rPr/>
      </w:pPr>
      <w:r>
        <w:rPr>
          <w:rFonts w:ascii="IRNazanin" w:hAnsi="IRNazanin" w:eastAsia="IRNazanin"/>
          <w:color w:val="111111"/>
          <w:sz w:val="28"/>
          <w:sz w:val="28"/>
          <w:szCs w:val="28"/>
          <w:rtl w:val="true"/>
          <w:lang w:bidi="fa-IR"/>
        </w:rPr>
        <w:t>می توان به چند صورت به این پرسش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این کلام از جمله سخنانی باشد که از دایره کذب مستثنی شده اند، و جایز شدن این کلام بر زبان ما به خاطر مرحمت خداوند نسبت به مردگان است تا سببی برای آمرزش آنان گردد، آن گونه که چنین حالتی در اصلاح بین مردم نیز جایز است بلکه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دروغی است به منظور اصلاح احوال مردم، و در حدیث روایت شده است که خداوند متعال دروغی که باعث اصلاح شود را دوست می دارد و از صداقتی که باعث فساد شود متنفّر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حکم در مورد خیر و شرّ بودن اشخاص، مربوط به عقاید آنان است، ولی تردید مذکور بعد از این کلام با این جواب مناسبت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که شرّ بودن آنان قطعی و معلوم نیست، چرا که احتمال توبه کردن آنان یا مورد عفو خداوند قرار گرفتن شان وجود دارد، همچنین ممکن است با توجه به معلوم بودن ایمان شان مورد شفاعت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با عنایت به چنین احتمالاتی نمی توان حُکم به شرّ بودن چنین اشخاصی صادر کرد، به همان ترتیب خیر بودن شان نیز معلوم نمی باشد، پس فرق میان این دوحالت در چیست؟ جواب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فرق میان این دو حالت در علم شرعی است، چرا که به ما فرمان داده شده است علی رغم مشاهده شرارت ها و معاصی، حکم به ایمان ظاهری اشخاص و استصحاب آن صادر کنیم، ما مأمور گشته ایم که از عیوب مردم چشم پوشی و اعمال و اقوال آنان را بر احتمالات نیکو حمل نماییم، اگر چه این پاسخ بعید به نظر می رسد، و ما مجوز حکم به استصحاب در این مورد نداریم و گفته شده مراد از خیر خیر ظاهری و منظور از شرّ، شرّ واقعی است، و بعید بودن این نظر بر 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مخصوص نماز بر میّت کسانی بدانیم که اطّلاعی از گناهکار بودن آنان حاصل نشده است، امّا این نظر خیلی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رحمه الله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میّت را نمی شناخت و از احوال او آگاه نبود نمی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ما چیزی جز خیر از او نمی 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در این صورت بر زبان راندن چنین سخنی دروغ پنداشته می شود، بلکه دعایی را ذکر می کرد که شیخ به این ترتیب از ثابت بن أبی المقدام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باقر علیه السلام بودم که بر مراسم تشییع جنازه گروهی از همسایگان امام عبور کردیم، پس امام در آن مراسم حاضر گشت و در حالی که به وی نزدیک بودم می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إِنَّکَ خَلَقْتَ هَذِهِ النُّفُوسَ وَ أَنْتَ تُمِیتُهَا وَ أَنْتَ تُحْیِیهَا وَ أَنْتَ أَعْلَمُ بِسَرَائِرِهَا وَ عَلَانِیَتِهَا مِنَّا وَ مُسْتَقَرِّهَا وَ مُسْتَوْدَعِهَا اللَّهُمَّ وَ هَذَا بَدَنُ عَبْدِکَ وَ لَا أَعْلَمُ مِنْهُ سُوءاً وَ أَنْتَ أَعْلَمُ بِهِ وَ قَدْ جِئْنَاکَ شَافِعِینَ لَهُ بَعْدَ مَوْتِهِ فَإِنْ کَانَ مُسْتَوْجِباً فَشَفِّعْنَا فِیهِ وَ احْشُرْهُ مَعَ مَنْ کَانَ یَتَوَلَّاهُ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خدواندا، تو این نفوس را آفریده ای و آن ها را میرانده و زنده می گردانی، تو بیشتر از ما از پیدا و پنهان آنان و جایگاه و مکان بازگشت شان آگاه هستی؛ خداوندا، این جنازه عبد توست و من هیچ بدی ای از او نمی دانم و تو از احوالش آگاه تری، ما پس از مرگ او به عنوان شفاعت کننده به درگاهت آمده ایم، پس اگر شایسته شفاعت است شفاعت ما را در موردش بپذیر و او را با کسانی که در دنیا دوست شان می داشتی محشور گردان</w:t>
      </w:r>
      <w:r>
        <w:rPr>
          <w:rFonts w:eastAsia="IRNazanin" w:cs="IRNazanin"/>
          <w:color w:val="111111"/>
          <w:sz w:val="28"/>
          <w:szCs w:val="28"/>
          <w:rtl w:val="true"/>
          <w:lang w:bidi="fa-IR"/>
        </w:rPr>
        <w:t>}</w:t>
      </w:r>
      <w:r>
        <w:rPr>
          <w:rStyle w:val="FootnoteAnchor"/>
          <w:rtl w:val="true"/>
        </w:rPr>
        <w:footnoteReference w:id="1786"/>
      </w:r>
      <w:r>
        <w:rPr>
          <w:rFonts w:ascii="IRNazanin" w:hAnsi="IRNazanin" w:eastAsia="IRNazanin"/>
          <w:color w:val="111111"/>
          <w:sz w:val="28"/>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از شرّ بودن کسی یقین حاصل شده باشد، چنین دعایی در مورد او خوانده نمی شود، چرا که در این صورت دروغ پنداشته می شود، </w:t>
      </w:r>
    </w:p>
    <w:p>
      <w:pPr>
        <w:pStyle w:val="BookText"/>
        <w:rPr/>
      </w:pPr>
      <w:r>
        <w:rPr>
          <w:rFonts w:ascii="Amiri" w:hAnsi="Amiri" w:eastAsia="Amiri" w:cs="Amiri"/>
          <w:color w:val="111111"/>
          <w:sz w:val="28"/>
          <w:sz w:val="28"/>
          <w:szCs w:val="28"/>
          <w:rtl w:val="true"/>
          <w:lang w:bidi="ar-SA"/>
        </w:rPr>
        <w:t>انتهي و لعله رحمه الله أراد من لا يعرف منه الإيمان أو يعرف منه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 إحسانه بالإضافة إلي المفعول أي في إحسانك إليه و يحتمل أن يكون بالإضافة إلي الفاعل أي في حسناته قوله و عرف بينه و بينه أي اجعله بحيث يري النبي صلي الله عليه و آله و يعرف حقه و هو يشفع له و يعده من أتباعه و أوليائه و الدعاء بعد الخامسة مخالف للمشهور و يحتمل أن يكون مستحبا خارجا عن الصلاة و قال الشهيد في الذكري بعد إيراد رواية مشتملة علي الدعاء بعد الخامسة و نحن لا نمنع جوازه فإن الدعاء حسن علي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التسليم فالمقطوع به في كلام الأصحاب عدم شرعيته في تلك الصلوات قال في الذكري أجمع الأصحاب علي سقوط التسليم فيها و ظاهرهم عدم مشروعيته فضلا عن استحبابه قال في الخلاف ليس فيها تسليم و احتج عليه بإجماع الفرقة و نقل عن العامة التسليم علي اختلافهم في كونه فرضا أو سنة و هو يفهم كونه غير سنة عنده و قال ابن الجنيد و لا أستحب التسليم فيها فإن سلم الإمام فواحدة عن يمينه و هذا يدل علي شرعيته للإمام و عدم استحبابه لغيره أو علي جوازه للإمام من غير استحباب بخلاف غيره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البراح من مكانه حتي يري الجنازة علي أيدي الرجال فالمشهور استحبابه مطلقا و خصه الشهيد بالإمام تبعا لابن الجنيد و لو قلنا بالتعميم و اتفق صلاة جميع الحاضرين استثني منهم أقل ما يمكن به رفع الجنازة كما ذكره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الصلاة علي الطفل فاختلف الأصحاب في الحد الذي تجب فيه الصلاة عليه فالأكثر علي أنه بلوغ ست سنين و نقل المرتضي و العلامة فيه الإجماع و قال المفيد في المقنعة و الصدوق في المقنع لا يصلي علي الصبي حتي يعقل الصلاة و نحوه قال الجعفي و قال ابن الجنيد يجب علي المستهل و قال ابن أبي عقيل لا يجب حتي يبلغ و الأقرب الأول و المشهور بينهم لا سيما المتأخرين استحبابها</w:t>
      </w:r>
    </w:p>
    <w:p>
      <w:pPr>
        <w:pStyle w:val="BookText"/>
        <w:rPr/>
      </w:pP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منظور شیخ از کلام اخیر، کسی باشد که شناختی از ایمان او در دست نیست و یا عدم ایمانش شناخته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إحسانه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احتساب اضافه شدن مصدر به مفعول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إحسانک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کردن خود نسبت به او بیفزا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احتمال اینکه مصدر به فاعل اضافه شده باشد نیز وجود دارد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حسناته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های او بیفزا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بینه و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شرایطی را فراهم نما که این میّت پیامبر خدا صلّی الله علیه و آله را مشاهده کرده و حقش را بشناسد و پیامبر او را شفاعت کرده و از جمله پیروان و دوستانش قرار دهد؛ امّا دعا خواندن پس از تکبیر پنجم مخالف نظر مشهور است و ممکن است که در غیر نماز مستحبّ باشد، شهید در الذکری بعد از روایت حدیثی که مشتمل بر دعای بعد از تکبیر پنجم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مانع جواز دعا خواندن پس از تکبیر پنجم نمی شویم، چرا که دعا خواندن در هر حالی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 قطعی فقها عدم شرعیّت سلام دادن در پایان نماز میّت است، شهید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فقها بر حذف سلام پایانی در نماز میّت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کلام فقهای ما عدم مشروعیت سلام دادن پایانی برداشت می شود چه رسد به مستحبّ پنداشتن آن، شیخ در الخلاف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میّت سلام پایانی وجود ندارد، و نظر اجماع فقها را به عنوان دلیل بر سخن خود ذکر کرده است؛ امّا از فقهای عامّه نقل شده که قائل به وجود سلام در نماز میّت هستند و اختلاف آن ها بر سر واجب یا سنّت بودن آن است، و این نشان می دهد که نزد آنان مستحب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دادن برای نماز میّت را مستحب نمی دانم و اگر امام قصد کرد که در پایان نماز میّت سلام دهد، یک بار به سمت راست سلام دهد؛ این سخن بر شرعی بودن سلام دادن برای امام و عدم استحباب آن برای دیگران و یا جواز سلام دادن برای امام و نه دیگران و عدم استحباب آن دلالت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مشهور در میان فقها در مورد عدم جابه جا شدن تا زمان مشاهده جنازه بر روی دستان مردم، استحباب مطلق چنین عملی است، و شهید به تبعیّت از ابن جنید استحباب این عمل را مخصوص امام دانسته است، و اگر قائل به تعمیم استحباب عدم جابه جا شدن برای جمیع نماز گزاران باشیم، تعداد افرادی که امکان حمل جنازه بوسیله آن ها وجود دارد از این قاعده مستثنی هستند، چنان که نظر گروهی از فقها چنین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اختلاف فقها در نماز گزاردن بر جنازه طفل بر سر حد سنّی می باشد که نماز گزاردن بر طفل در آن واجب می گردد، اکثر فقها بر این باورند که رسیدن به شش سال، نماز گزاردن بر میّت طفل را واجب می سازد، مرتضی و علّامه اجماع بر این نظر را نقل کرده اند، ولی شیخ مفید در المقنعه و شیخ صدوق در المقنع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 کودک نماز گزارده نمی شود مگر زمانی که به سنّی رسیده باشد که کودک در آن نماز را تعقل کرده و می فهمد، جعفیّ نیز چنین گفته است؛ و ابن جنید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کودک متولّد می شود نماز گزاردن بر جنازه او واجب می گردد؛ ابن أبی عقیل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کودک بالغ نشده است نماز گزاردن بر جنازه او واجب نمی باشد؛ نظر نخست به صحت نزدیک تر است و نظر مشهور در بین فقها و مخصوصاً متأخرین استحباب نماز گزاردن </w:t>
      </w:r>
    </w:p>
    <w:p>
      <w:pPr>
        <w:pStyle w:val="BookText"/>
        <w:rPr/>
      </w:pPr>
      <w:r>
        <w:rPr>
          <w:rFonts w:ascii="Amiri" w:hAnsi="Amiri" w:eastAsia="Amiri" w:cs="Amiri"/>
          <w:color w:val="111111"/>
          <w:sz w:val="28"/>
          <w:sz w:val="28"/>
          <w:szCs w:val="28"/>
          <w:rtl w:val="true"/>
          <w:lang w:bidi="ar-SA"/>
        </w:rPr>
        <w:t>عليه قبل ست سنين و ظاهر المفيد نفي الاستحباب و هو الظاهر من الكليني و الصدوق في الكافي‌</w:t>
      </w:r>
      <w:r>
        <w:rPr>
          <w:rStyle w:val="FootnoteAnchor"/>
          <w:rtl w:val="true"/>
        </w:rPr>
        <w:footnoteReference w:id="1787"/>
      </w:r>
      <w:r>
        <w:rPr>
          <w:rFonts w:ascii="Amiri" w:hAnsi="Amiri" w:eastAsia="Amiri" w:cs="Amiri"/>
          <w:color w:val="111111"/>
          <w:sz w:val="28"/>
          <w:sz w:val="28"/>
          <w:szCs w:val="28"/>
          <w:rtl w:val="true"/>
          <w:lang w:bidi="ar-SA"/>
        </w:rPr>
        <w:t>و الفقيه‌</w:t>
      </w:r>
      <w:r>
        <w:rPr>
          <w:rStyle w:val="FootnoteAnchor"/>
          <w:rtl w:val="true"/>
        </w:rPr>
        <w:footnoteReference w:id="1788"/>
      </w:r>
      <w:r>
        <w:rPr>
          <w:rFonts w:ascii="Amiri" w:hAnsi="Amiri" w:eastAsia="Amiri" w:cs="Amiri"/>
          <w:color w:val="111111"/>
          <w:sz w:val="28"/>
          <w:sz w:val="28"/>
          <w:szCs w:val="28"/>
          <w:rtl w:val="true"/>
          <w:lang w:bidi="ar-SA"/>
        </w:rPr>
        <w:t>و كلام المبسوط</w:t>
      </w:r>
      <w:r>
        <w:rPr>
          <w:rStyle w:val="FootnoteAnchor"/>
          <w:rtl w:val="true"/>
        </w:rPr>
        <w:footnoteReference w:id="1789"/>
      </w:r>
      <w:r>
        <w:rPr>
          <w:rFonts w:ascii="Amiri" w:hAnsi="Amiri" w:eastAsia="Amiri" w:cs="Amiri"/>
          <w:color w:val="111111"/>
          <w:sz w:val="28"/>
          <w:sz w:val="28"/>
          <w:szCs w:val="28"/>
          <w:rtl w:val="true"/>
          <w:lang w:bidi="ar-SA"/>
        </w:rPr>
        <w:t>مشعر به و يظهر من الشيخ في كتابي الأخبار نوع تردد فيه و ظاهر كثير من الأخبار أن الصلاة قبل ست سنين بدعة و ما وقع منهم عليهم السلام عليهم كان للتقية و سيأتي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فإذا حضرت ظاهره أنه إذا كان لا يعقل الصلاة لا يصلي عليه لكن يدعو بهذا الدعاء و يمكن حمله علي ما بعد الست فالمراد القول في الصلاة كما فهمه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الذخر بالضم ما ادخرته ليوم حاجتك و قال الجوهري الفرط بالتحريك الذي يتقدم الواردين فيهيئ لهم الأرسان و الدلاء و يملأ الحياض و يستقي لهم انتهي و إنما أطلق عليه الفرط لأن بذهابه يحصل الأجر فكأنه هيأ لهم الرحمة أو لأنه يشفع لهم عند ورودهم القيامة قال في النهاية اللهم اجعله لنا فرطا أي أجرا يتقدمنا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المستضعف فسره ابن إدريس بمن لا يعرف اختلاف الناس في المذاهب و لا يبغض أهل الحق علي اعتقادهم و في الذكري بأنه الذي لا يعرف الحق و لا يعاند فيه و لا يوالي أحدا بعينه و حكي عن المفيد في العزية أنه عرفه بأنه الذي يعرف بالولاء و يتوقف عن البراءة و يظهر من بعض الأخبار أن المراد بهم ضعفاء العقول و أشباه الصبيان ممن لهم حيرة في الدين و ليست لهم قوة التميز و لا يعاندون أهل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الظاهر من هذا الخبر و غيره قراءة الآية في كل تكبيرة و خصها الأصحاب بالرابعة قوله عليه السلام ولها ما تولت و في بعض الأخبار من</w:t>
      </w:r>
    </w:p>
    <w:p>
      <w:pPr>
        <w:pStyle w:val="BookText"/>
        <w:rPr/>
      </w:pPr>
      <w:r>
        <w:rPr>
          <w:rFonts w:ascii="IRNazanin" w:hAnsi="IRNazanin" w:eastAsia="IRNazanin"/>
          <w:color w:val="111111"/>
          <w:sz w:val="28"/>
          <w:sz w:val="28"/>
          <w:szCs w:val="28"/>
          <w:rtl w:val="true"/>
          <w:lang w:bidi="fa-IR"/>
        </w:rPr>
        <w:t>بر جنازه کودک قبل از رسیدن به شش سال است، ولی عدم استحباب این امر از ظاهر کلام شیخ مفید برداشت می شود ،که همان ظاهر کلام شیخ کلینی و شیخ صدوق در الکافی</w:t>
      </w:r>
      <w:r>
        <w:rPr>
          <w:rStyle w:val="FootnoteAnchor"/>
          <w:rtl w:val="true"/>
        </w:rPr>
        <w:footnoteReference w:id="1790"/>
      </w:r>
      <w:r>
        <w:rPr>
          <w:rFonts w:ascii="IRNazanin" w:hAnsi="IRNazanin" w:eastAsia="IRNazanin"/>
          <w:color w:val="111111"/>
          <w:sz w:val="28"/>
          <w:sz w:val="28"/>
          <w:szCs w:val="28"/>
          <w:rtl w:val="true"/>
          <w:lang w:bidi="fa-IR"/>
        </w:rPr>
        <w:t>، الفقیه</w:t>
      </w:r>
      <w:r>
        <w:rPr>
          <w:rStyle w:val="FootnoteAnchor"/>
          <w:rtl w:val="true"/>
        </w:rPr>
        <w:footnoteReference w:id="1791"/>
      </w:r>
    </w:p>
    <w:p>
      <w:pPr>
        <w:pStyle w:val="BookText"/>
        <w:rPr/>
      </w:pPr>
      <w:r>
        <w:rPr>
          <w:rFonts w:ascii="IRNazanin" w:hAnsi="IRNazanin" w:eastAsia="IRNazanin"/>
          <w:color w:val="111111"/>
          <w:sz w:val="28"/>
          <w:sz w:val="28"/>
          <w:szCs w:val="28"/>
          <w:rtl w:val="true"/>
          <w:lang w:bidi="fa-IR"/>
        </w:rPr>
        <w:t>است و کلام در المبسوط</w:t>
      </w:r>
      <w:r>
        <w:rPr>
          <w:rStyle w:val="FootnoteAnchor"/>
          <w:rtl w:val="true"/>
        </w:rPr>
        <w:footnoteReference w:id="1792"/>
      </w:r>
    </w:p>
    <w:p>
      <w:pPr>
        <w:pStyle w:val="BookText"/>
        <w:rPr/>
      </w:pPr>
      <w:r>
        <w:rPr>
          <w:rFonts w:ascii="IRNazanin" w:hAnsi="IRNazanin" w:eastAsia="IRNazanin"/>
          <w:color w:val="111111"/>
          <w:sz w:val="28"/>
          <w:sz w:val="28"/>
          <w:szCs w:val="28"/>
          <w:rtl w:val="true"/>
          <w:lang w:bidi="fa-IR"/>
        </w:rPr>
        <w:t xml:space="preserve">به آن اشاره دارد، ولی نوعی تردید در رابطه با این موضوع در کلام منقول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کتاب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می گردد، این در حالی است که اغلب احادیث بر این نکته دلالت می کنند که نماز گزاردن بر جنازه کودک قبل از رسیدن به شش سال بدعت است، و روایاتی که از امامان علیهم السلام در مورد نماز گزاردن ایشان بر کودکان نقل شده است حمل بر تقیّه می شود، برخی از این روایات در ادامه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نکته دلالت می کند که اگر کودک در سنیّ نبوده باشد که نماز را درک کند، بر او نماز گزارده نمی شود ولی برای او دعا خوانده می شود، همچنین ممکن است این کلام بر زمان بعد از شش سالگی حمل شود، پس مقصود رسیدن به سنّی است که توانایی به زبان آوردن اذکار نماز در آن برای کودک فراهم شود، چنانچه که گروهی از فقها فرموده امام را این گونه فهمیده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روز مبادا اندوخته می سازی،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وارد شدن به آبشخور از قوم خود پیشی گرفته و طناب ها و سطل ها را برای آنان آماده می سازد و حوض ها را پر از آب کرده و به سوی آنان آب می آورد، پایان نقل قول؛ و به کودکی که وفات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چرا که با رفتن و وفات خود باعث دست یابی به اجر و پاداش می گردد، پس گویا برای والدین و نزدیکانش رحمت و مغفرت آماده می سازد، و یا به خاطر اینکه هنگام ورود به قیامت برای آنان طلب شفاعت می کند، شیخ در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لنا فَرَطا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کودک را اجر و پاداشی قرار ده ما پیش می فرستیم، 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کسی دانسته است که از اختلاف مردم در مذاهب آگاهی ندارد و از اهل حق وحقیقت به خاطر اعتقادات آنان بیزار نیست؛ شهید نیز 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مستضعف کسی است که حقّ را نمی شناسد و به خاطر آن به معاندت و دشمنی نمی پردازد و به کسی محبت نمی ورزد، همچنین از 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 کسی است که به دوستی با حقّ شناخته می شود ولی از ناحقّ تبرّی نمی جوید؛ از پاره ای از احادیث نیز چنین پیداست که مقصود از مستضعف، انسان های ضعیف العقلی می باشد که شبیه کودکان هستند که در زمینه امور دین سرگردانند و قدرت تمییز ندارند و با اهل حقّ و حقیقت نیز به جنگ و جدال نمی پردازند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آگاه باش که این حدیث و احادیث دیگر بر قرائت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فَاغْفِرْ لِلَّذینَ تابُوا وَ اتَّبَعُوا سَبیلَکَ وَ قِهِمْ عَذابَ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تکبیر دلالت می کنند، این در حالی است که فقها قرائت این آیه را مخصوص تکبیر چهارم دانسته اند؛ 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ولّها ما تولّت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برخی از احادیث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تولت أي اجعل ولي أمر هذه النفس من كانت تتولاه في الدنيا و اتخذته وليها و إمامها أو أحبته من الأئمة الأبرار إن كان مؤمنا و أعداءهم إن كان مخالفا قال في النهاية لنولينك ما توليت أي نكل إليك ما قلت و نرد إليك ما وليته نفسك و رضيت لها به انتهي و علي رواية ما يمكن أن يكون استعملت موضع من و كثيرا ما تقع كقوله تعالي وَ السَّماءِ وَ ما بَناها</w:t>
      </w:r>
      <w:r>
        <w:rPr>
          <w:rStyle w:val="FootnoteAnchor"/>
          <w:rtl w:val="true"/>
        </w:rPr>
        <w:footnoteReference w:id="1793"/>
      </w:r>
      <w:r>
        <w:rPr>
          <w:rFonts w:ascii="Amiri" w:hAnsi="Amiri" w:eastAsia="Amiri" w:cs="Amiri"/>
          <w:color w:val="111111"/>
          <w:sz w:val="28"/>
          <w:sz w:val="28"/>
          <w:szCs w:val="28"/>
          <w:rtl w:val="true"/>
          <w:lang w:bidi="ar-SA"/>
        </w:rPr>
        <w:t>أو المراد به العقائد و المذاهب فيرجع إلي الأول و أما الأعمال فلا يناسب مقام الدعاء و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احشرها أي اجمعها كما هو معني الحشر في الأصل أو ابعثها في القيامة معهم ليصيروا سببا لنجاته من أهوالها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علي ما يظهر من المنتهي لا خلاف في جواز إيقاع الصلاة الواحدة علي ما زاد علي الواحدة من الجنائز و يجوز التفريق أيضا و قال لو اجتمعت جنازة الرجل و المرأة جعل الرجل مما يلي الإمام و المرأة مما يلي القبلة قاله علماؤنا ثم قال هذه الكيفية و الترتيب ليس واجبا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في الذكري و التفريق أفضل و لو كان علي كل طائفة لما فيه من تكرار ذكر الله و تخصيص الدعاء الذي هو أبلغ من التعميم إلا أن يخاف حدوث أمر علي الميت فالصلاة الواحدة أولي فيستحب إذا اجتمع الرجل و المرأة محاذاة صدرها لوسطه ليقف الإمام موقف الفضيلة و أن يلي الرجل الإمام ثم الصبي لست ثم العبد ثم الخنثي ثم المرأة ثم الطفل لدون ست ثم الطفلة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ابن الجنيد الخصي بين الرجل و الخنثي و نقل في الخلاف الإجماع علي تقديم الصبي الذي تجب عليه الصلاة إلي الإمام ثم المرأة ثم قال و أطلق الصدوقان تقديم الصبي إلي الإمام و في النهاية أطلق تقدم الصبي إلي القبلة علي المرأة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 جماعة من الأصحاب الاجتزاء بالصلاة الواحدة علي الصبي الذي</w:t>
      </w:r>
    </w:p>
    <w:p>
      <w:pPr>
        <w:pStyle w:val="BookText"/>
        <w:rPr/>
      </w:pPr>
      <w:r>
        <w:rPr>
          <w:rFonts w:ascii="IRNazanin" w:hAnsi="IRNazanin" w:eastAsia="IRNazanin"/>
          <w:color w:val="111111"/>
          <w:sz w:val="28"/>
          <w:sz w:val="28"/>
          <w:szCs w:val="28"/>
          <w:rtl w:val="true"/>
          <w:lang w:bidi="fa-IR"/>
        </w:rPr>
        <w:t>تولّت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ولیّ امر این شخص قرار ده که در دنیا خود ولایت و سرپرستی او را بر عهده می گرفت و او را به عنوان ولی و امام خود قرار داده بود؛ و یا معنا چنین است که اگر این شخص از مؤمنان است، ائمه ابرار را دوستدار او قرار ده و اگر از مخالفان است دشمنان ائمّه را دوستدار او قرار ده؛ شیخ در النهایه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لنولّینّک ما تولّیت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فرموده ای را به تو می سپارم و آنچه خود سرپرستی اش را بر عهده گرفته و برای این شخص پسندیده ای را به سوی خودت باز می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روایتی ممکن است 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ولّها ما تولّت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باشد و این حالت بسیار اتفاق می افتد، مانند 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والسماء و ما بناها</w:t>
      </w:r>
      <w:r>
        <w:rPr>
          <w:rFonts w:eastAsia="IRNazanin" w:cs="IRNazanin"/>
          <w:color w:val="111111"/>
          <w:sz w:val="28"/>
          <w:szCs w:val="28"/>
          <w:rtl w:val="true"/>
          <w:lang w:bidi="fa-IR"/>
        </w:rPr>
        <w:t>»</w:t>
      </w:r>
      <w:r>
        <w:rPr>
          <w:rStyle w:val="FootnoteAnchor"/>
          <w:rtl w:val="true"/>
        </w:rPr>
        <w:footnoteReference w:id="179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فرموده عقاید و مذاهب باشد که در این صورت به ضمیر نخست باز می گردد، امّا بحث اعمال با مقام دعا و شفاعت مناسبت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نفس را با آنان جمع گردان، آن گونه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اصل چنین است، یا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را در قیامت همراه آنان مبعوث گردان تا سبب نجات یافتنش از سختی های قیامت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آگاه باش که بر طبق آنچه از المنتهی استنباط می شود هیچ اختلاف نظری بر سر جواز اقامه یک نماز میّت واحد بر جنازه های متعدد وجود ندارد، همچنین جایز است برای هر جنازه، یک نماز میّت جداگانه اقامه شود، شیخ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جنازه مرد و زن با هم گرد آمدند، جنازه مرد را نزدیک امام و جنازه زن را نزدیک قبله قرار ده، این نظر علمای ما است،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شیوه و ترتیب مذکور واجبی نیست که هیچ اختلاف نظری بر سر آن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نمودن نماز میّت بر هر جنازه به صورت جداگانه بهتر است، اگر چه اقامه آن بر عهده هر طایفه باشد، چرا که با این کار ذکر خداوند بیشتر است، مگر بیم آن برود که در صورت اقامه نماز به صورت جمعی حادثه ای برای میّت رخ می دهد، در این حالت اقامه نماز واحد بر همه جنازه ها از اولویت برخوردار است ؛هنگامی که جنازه مردو زن با هم باشد طوری قرار می گیرند که سینه زن در وسط جسد مرد قرار گیرد تا امام جماعت بتواند در موقف فضیلت بایستد و جسد مرد در کنار امام جماعت قرار می گیرد بعد از آن کودک شش ساله سپس عبد و بعد از آن خنثی و سپس زن و سپس پسر بچه کمتر از شش سال و آن گاه دختر بچه به ترتیب قرار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ابن جنید معتقد است که جنازه شخص اخته در بین جنازه مرد و خنثی قرار می گیرد، و در الخلاف اجماع نظر فقها بر سر این نکته نقل شده که جنازه کودکی که نماز گزاردن بر او واجب است پیش تر از جنازه زن در مقابل امام قرار داده می شود، سپس شیخ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و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تقدیم جنازه کودک بر سایر جنازه ها نسبت به امام هستند، و شیخ در النهایه قائل به تقدیم جنازه کودک بر جنازه زن نسبت به قبله است، پایان نقل قول</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فقها کافی دانستن یک نماز واحد بر جنازه کودکی که نماز گزاردن بر او </w:t>
      </w:r>
      <w:bookmarkStart w:id="3470" w:name="pg13517_329393"/>
    </w:p>
    <w:p>
      <w:pPr>
        <w:pStyle w:val="BookText"/>
        <w:rPr/>
      </w:pPr>
      <w:bookmarkEnd w:id="3470"/>
      <w:r>
        <w:rPr>
          <w:rFonts w:ascii="Amiri" w:hAnsi="Amiri" w:eastAsia="Amiri" w:cs="Amiri"/>
          <w:color w:val="111111"/>
          <w:sz w:val="28"/>
          <w:sz w:val="28"/>
          <w:szCs w:val="28"/>
          <w:rtl w:val="true"/>
          <w:lang w:bidi="ar-SA"/>
        </w:rPr>
        <w:t>لم تجب الصلاة عليه مع غيره ممن تجب عليه لاختلاف الوجه و صرح في التذكرة بعدم جواز جمع الجميع بنية واحدة متحدة الوجه ثم قال و لو قيل بإجزاء الواحدة المشتملة علي الوجهين بالتقسيط أمكن</w:t>
      </w:r>
      <w:r>
        <w:rPr>
          <w:rFonts w:eastAsia="Amiri" w:cs="Amiri" w:ascii="Amiri" w:hAnsi="Amiri"/>
          <w:color w:val="111111"/>
          <w:sz w:val="28"/>
          <w:szCs w:val="28"/>
          <w:rtl w:val="true"/>
          <w:lang w:bidi="ar-SA"/>
        </w:rPr>
        <w:t>.</w:t>
      </w:r>
    </w:p>
    <w:p>
      <w:pPr>
        <w:pStyle w:val="Heading5"/>
        <w:numPr>
          <w:ilvl w:val="4"/>
          <w:numId w:val="1"/>
        </w:numPr>
        <w:rPr/>
      </w:pPr>
      <w:bookmarkStart w:id="3471" w:name="__RefHeading___Toc608108_1934241801"/>
      <w:bookmarkStart w:id="3472" w:name="_Toc1598"/>
      <w:bookmarkEnd w:id="3471"/>
      <w:r>
        <w:rPr>
          <w:rtl w:val="true"/>
        </w:rPr>
        <w:t>أقول</w:t>
      </w:r>
      <w:bookmarkEnd w:id="3472"/>
    </w:p>
    <w:p>
      <w:pPr>
        <w:pStyle w:val="BookText"/>
        <w:rPr/>
      </w:pPr>
      <w:r>
        <w:rPr>
          <w:rFonts w:ascii="Amiri" w:hAnsi="Amiri" w:eastAsia="Amiri" w:cs="Amiri"/>
          <w:color w:val="111111"/>
          <w:sz w:val="28"/>
          <w:sz w:val="28"/>
          <w:szCs w:val="28"/>
          <w:rtl w:val="true"/>
          <w:lang w:bidi="ar-SA"/>
        </w:rPr>
        <w:t xml:space="preserve">ما ذكره أخيرا موجه علي القول بلزوم نية الوجه و هو غير ثابت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في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الرجال صفوا مدرجا يجعل رأس الثاني إلي ألية الأول و هكذا ثم يقوم الإمام في الوسط و لو كان معهم نساء جعل رأس المرأة الأولي إلي ألية الرجل الأخير ثم الثانية إلي ألية الأولي و هكذا ثم يقوم وسط الرجال و يصلي عليهم صلاة واحدة و روي ذلك كله عمار عن الصادق عليه السلام</w:t>
      </w:r>
      <w:r>
        <w:rPr>
          <w:rFonts w:eastAsia="Amiri" w:cs="Amiri" w:ascii="Amiri" w:hAnsi="Amiri"/>
          <w:color w:val="111111"/>
          <w:sz w:val="28"/>
          <w:szCs w:val="28"/>
          <w:rtl w:val="true"/>
          <w:lang w:bidi="ar-SA"/>
        </w:rPr>
        <w:t>.</w:t>
      </w:r>
    </w:p>
    <w:p>
      <w:pPr>
        <w:pStyle w:val="Heading5"/>
        <w:numPr>
          <w:ilvl w:val="4"/>
          <w:numId w:val="1"/>
        </w:numPr>
        <w:rPr/>
      </w:pPr>
      <w:bookmarkStart w:id="3473" w:name="__RefHeading___Toc608110_1934241801"/>
      <w:bookmarkStart w:id="3474" w:name="_Toc1599"/>
      <w:bookmarkEnd w:id="3473"/>
      <w:r>
        <w:rPr>
          <w:rtl w:val="true"/>
        </w:rPr>
        <w:t>أقول</w:t>
      </w:r>
      <w:bookmarkEnd w:id="3474"/>
    </w:p>
    <w:p>
      <w:pPr>
        <w:pStyle w:val="BookText"/>
        <w:rPr/>
      </w:pPr>
      <w:r>
        <w:rPr>
          <w:rFonts w:ascii="Amiri" w:hAnsi="Amiri" w:eastAsia="Amiri" w:cs="Amiri"/>
          <w:color w:val="111111"/>
          <w:sz w:val="28"/>
          <w:sz w:val="28"/>
          <w:szCs w:val="28"/>
          <w:rtl w:val="true"/>
          <w:lang w:bidi="ar-SA"/>
        </w:rPr>
        <w:t>رواية عمار في الكافي‌</w:t>
      </w:r>
      <w:r>
        <w:rPr>
          <w:rStyle w:val="FootnoteAnchor"/>
          <w:rtl w:val="true"/>
        </w:rPr>
        <w:footnoteReference w:id="1795"/>
      </w:r>
      <w:r>
        <w:rPr>
          <w:rFonts w:ascii="Amiri" w:hAnsi="Amiri" w:eastAsia="Amiri" w:cs="Amiri"/>
          <w:color w:val="111111"/>
          <w:sz w:val="28"/>
          <w:sz w:val="28"/>
          <w:szCs w:val="28"/>
          <w:rtl w:val="true"/>
          <w:lang w:bidi="ar-SA"/>
        </w:rPr>
        <w:t>أيضا هكذا و في التهذيب‌</w:t>
      </w:r>
      <w:r>
        <w:rPr>
          <w:rStyle w:val="FootnoteAnchor"/>
          <w:rtl w:val="true"/>
        </w:rPr>
        <w:footnoteReference w:id="1796"/>
      </w:r>
      <w:r>
        <w:rPr>
          <w:rFonts w:ascii="Amiri" w:hAnsi="Amiri" w:eastAsia="Amiri" w:cs="Amiri"/>
          <w:color w:val="111111"/>
          <w:sz w:val="28"/>
          <w:sz w:val="28"/>
          <w:szCs w:val="28"/>
          <w:rtl w:val="true"/>
          <w:lang w:bidi="ar-SA"/>
        </w:rPr>
        <w:t>و المنتهي ثم يجعل رأس المرأة الأخري إلي رأس المرأة الأولي و ما في الكافي أضبط و أقوي لكن رواية عمار لا تصلح لمعارضة سائر الأخبار و كان الأصحاب فرقوا بين ما إذا كان الميت من كل صنف واحدا أو متعددا فعملوا في الثاني برواية عمار و في الأول بالروايات المطلقة بأن يجعل صدر المرأة مثلا محاذيا لوسط الرجل و يقف الإمام محاذيا لوسط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الأصحاب في الصورة الأولي التي يقف الإمام فيها في وسط الصف المدرج لم يتعرضوا لأنه يقف قريبا من الجنازة التي أمامه فيقع بعض الجنائز الكائنة عن يمينه خلفه أو يقف بحيث تكون جميع الجنائز أمامه و إن بعد كثيرا عن الجنازة التي تحاذيه و الخبر أيضا في ذلك مجمل و علي تقدير العمل بالخبر القول بالتخيير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كانت الجنازة مقلوبة أي كان رأس الميت في يسار المصلي و</w:t>
      </w:r>
    </w:p>
    <w:p>
      <w:pPr>
        <w:pStyle w:val="BookText"/>
        <w:rPr/>
      </w:pPr>
      <w:r>
        <w:rPr>
          <w:rFonts w:ascii="IRNazanin" w:hAnsi="IRNazanin" w:eastAsia="IRNazanin"/>
          <w:color w:val="111111"/>
          <w:sz w:val="28"/>
          <w:sz w:val="28"/>
          <w:szCs w:val="28"/>
          <w:rtl w:val="true"/>
          <w:lang w:bidi="fa-IR"/>
        </w:rPr>
        <w:t>واجب نیست به همراه جنازه های دیگری که نماز گزاردن بر آن ها واجب است را به خاطر اختلاف وجه، مشکل پنداشته اند، در التذکره به صورت صریح حُکم به عدم جواز گرد آوردن تمام جنازه ها و نماز گزاردن بر آن ها با یک نیت متّحد الوجه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می شد یک نماز برای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مشتمل بر دو 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تقسیط، مُجزی است، امکان داشت</w:t>
      </w:r>
      <w:r>
        <w:rPr>
          <w:rFonts w:eastAsia="IRNazanin" w:cs="IRNazanin"/>
          <w:color w:val="111111"/>
          <w:sz w:val="28"/>
          <w:szCs w:val="28"/>
          <w:rtl w:val="true"/>
          <w:lang w:bidi="fa-IR"/>
        </w:rPr>
        <w:t>.</w:t>
      </w:r>
    </w:p>
    <w:p>
      <w:pPr>
        <w:pStyle w:val="Heading5"/>
        <w:numPr>
          <w:ilvl w:val="4"/>
          <w:numId w:val="1"/>
        </w:numPr>
        <w:rPr/>
      </w:pPr>
      <w:bookmarkStart w:id="3475" w:name="__RefHeading___Toc608112_1934241801"/>
      <w:bookmarkStart w:id="3476" w:name="_Toc1600"/>
      <w:bookmarkEnd w:id="3475"/>
      <w:r>
        <w:rPr>
          <w:rtl w:val="true"/>
        </w:rPr>
        <w:t>می گویم</w:t>
      </w:r>
      <w:bookmarkEnd w:id="3476"/>
    </w:p>
    <w:p>
      <w:pPr>
        <w:pStyle w:val="BookText"/>
        <w:rPr/>
      </w:pPr>
      <w:r>
        <w:rPr>
          <w:rFonts w:ascii="IRNazanin" w:hAnsi="IRNazanin" w:eastAsia="IRNazanin"/>
          <w:color w:val="111111"/>
          <w:sz w:val="28"/>
          <w:sz w:val="28"/>
          <w:szCs w:val="28"/>
          <w:rtl w:val="true"/>
          <w:lang w:bidi="fa-IR"/>
        </w:rPr>
        <w:t>نکته ای که شیخ در عبارت پایانی ذکر کرده در صورتی موجّه است که قائل به لزوم قصد وجه در نیّت باشیم، در حالی که این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جنازه گروهی از مردان در یک مکان گرد آید، به صورت پلّه ای به صف کشیده می شوند، حال آنکه سر میّت نخست در کنار کفل میّت دوّم قرار داده می شود، به همین ترتیب سایر جنازه ها نیز قرار داده می شوند، سپس امام در وسط قرار می گیرد، امّا اگر همراه جنازه مردان جنازه چند زن نیز وجود داشته باشد سر میّت زن نخست در کنار کفل میّت مرد آخر قرار داده می شود، آن گاه سر میّت زن دوّم در کنار کفل میّت زن نخست گذارده می شود،سایر جنازه ها نیز به همین ترتیب مرتب می شوند و سپس امام در وسط جنازه مردان قرار می گیرد و یک نماز واحد را بر جمیع آنان اقامه می کند؛ عمّار همه مطالب و احکام مذکور را از امام صادق علیه السلام روایت کرده است </w:t>
      </w:r>
      <w:r>
        <w:rPr>
          <w:rFonts w:eastAsia="IRNazanin" w:cs="IRNazanin"/>
          <w:color w:val="111111"/>
          <w:sz w:val="28"/>
          <w:szCs w:val="28"/>
          <w:rtl w:val="true"/>
          <w:lang w:bidi="fa-IR"/>
        </w:rPr>
        <w:t>.</w:t>
      </w:r>
    </w:p>
    <w:p>
      <w:pPr>
        <w:pStyle w:val="Heading5"/>
        <w:numPr>
          <w:ilvl w:val="4"/>
          <w:numId w:val="1"/>
        </w:numPr>
        <w:rPr/>
      </w:pPr>
      <w:bookmarkStart w:id="3477" w:name="__RefHeading___Toc608114_1934241801"/>
      <w:bookmarkStart w:id="3478" w:name="_Toc1601"/>
      <w:bookmarkEnd w:id="3477"/>
      <w:r>
        <w:rPr>
          <w:rtl w:val="true"/>
        </w:rPr>
        <w:t>می گویم</w:t>
      </w:r>
      <w:bookmarkEnd w:id="3478"/>
    </w:p>
    <w:p>
      <w:pPr>
        <w:pStyle w:val="BookText"/>
        <w:rPr/>
      </w:pPr>
      <w:r>
        <w:rPr>
          <w:rFonts w:ascii="IRNazanin" w:hAnsi="IRNazanin" w:eastAsia="IRNazanin"/>
          <w:color w:val="111111"/>
          <w:sz w:val="28"/>
          <w:sz w:val="28"/>
          <w:szCs w:val="28"/>
          <w:rtl w:val="true"/>
          <w:lang w:bidi="fa-IR"/>
        </w:rPr>
        <w:t>روایت عمار در الکافی</w:t>
      </w:r>
      <w:r>
        <w:rPr>
          <w:rStyle w:val="FootnoteAnchor"/>
          <w:rtl w:val="true"/>
        </w:rPr>
        <w:footnoteReference w:id="1797"/>
      </w:r>
    </w:p>
    <w:p>
      <w:pPr>
        <w:pStyle w:val="BookText"/>
        <w:rPr/>
      </w:pPr>
      <w:r>
        <w:rPr>
          <w:rFonts w:ascii="IRNazanin" w:hAnsi="IRNazanin" w:eastAsia="IRNazanin"/>
          <w:color w:val="111111"/>
          <w:sz w:val="28"/>
          <w:sz w:val="28"/>
          <w:szCs w:val="28"/>
          <w:rtl w:val="true"/>
          <w:lang w:bidi="fa-IR"/>
        </w:rPr>
        <w:t>نیز به همین صورت نقل شده است، امّا در التهذیب</w:t>
      </w:r>
      <w:r>
        <w:rPr>
          <w:rStyle w:val="FootnoteAnchor"/>
          <w:rtl w:val="true"/>
        </w:rPr>
        <w:footnoteReference w:id="1798"/>
      </w:r>
      <w:r>
        <w:rPr>
          <w:rFonts w:ascii="IRNazanin" w:hAnsi="IRNazanin" w:eastAsia="IRNazanin"/>
          <w:color w:val="111111"/>
          <w:sz w:val="28"/>
          <w:sz w:val="28"/>
          <w:szCs w:val="28"/>
          <w:rtl w:val="true"/>
          <w:lang w:bidi="fa-IR"/>
        </w:rPr>
        <w:t>والمنتهی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میّت زن آخر در کنار سر میّت زن نخست قرار داده می شود؛ آنچه در الکافی ذکر شده دقیق تر و قوی تر است، ولی روایت عمّار به دلیل مخالفت با سایر احادیث صلاحیت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فقها میان زمانی که تعداد جنازه های هر دو گروه، واحد یا متعدد باشد فرق قائل شده اند، پس اگر تعداد جنازه های هر دو گروه متعدد باشد طبق روایت عمّار عمل کرده اند، و اگر تعداد جنازه های هر دو گروه واحد باشد طبق روایتی عمل کرده اند که می گوید سینه میّت زن رو به روی میانه میّت مرد قرار می گیرد و امام در مقابل میانه میّت مرد می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در مورد حالت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در وسط صف مرتّب شده به صورت پله ای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شرح نداده اند، چرا که امام نزدیک به جنازه ای می ایستد که در مقابلش قرار دارد، پس برخی از جنازه هایی که در جانب راستش قرار دارند پشت سرش واقع می شوند، و یا امام به گونه ای می ایستد که تمام جنازه ها در مقابل او قرار می گیرند اگر چه فاصله اش با جنازه ای که رو به روی او واقع می شود بسیار گردد، همچنین احادیث روایت شده در این زمینه مجمل است، و به فرضِ عمل به احادیث اگر قائل به مخیر گرداندن امام بین دو حالت ذکر شده باشیم، خالی از قوت و صحّت نیست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کانت الجنازه مقلوبة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میّت در سمت چپ نماز گزار و </w:t>
      </w:r>
    </w:p>
    <w:p>
      <w:pPr>
        <w:pStyle w:val="BookText"/>
        <w:rPr/>
      </w:pPr>
      <w:r>
        <w:rPr>
          <w:rFonts w:ascii="Amiri" w:hAnsi="Amiri" w:eastAsia="Amiri" w:cs="Amiri"/>
          <w:color w:val="111111"/>
          <w:sz w:val="28"/>
          <w:sz w:val="28"/>
          <w:szCs w:val="28"/>
          <w:rtl w:val="true"/>
          <w:lang w:bidi="ar-SA"/>
        </w:rPr>
        <w:t>رجلاه في يمينه كما رواه الْكُلَيْنِيُّ فِي الْمُوَثَّقِ عَنْ عَمَّارٍ السَّابَاطِيِ‌</w:t>
      </w:r>
      <w:r>
        <w:rPr>
          <w:rStyle w:val="FootnoteAnchor"/>
          <w:rtl w:val="true"/>
        </w:rPr>
        <w:footnoteReference w:id="1799"/>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مَيِّتٍ صُلِّيَ عَلَيْهِ فَلَمَّا سَلَّمَ الْإِمَامُ فَإِذَا الْمَيِّتُ مَقْلُوبٌ رِجْلَاهُ إِلَي مَوْضِعِ رَأْسِهِ قَالَ يُسَوَّي وَ تُعَادُ الصَّلَاةُ عَلَيْهِ وَ إِنْ كَانَ قَدْ حُمِلَ مَا لَمْ يُدْفَنْ فَإِنْ كَانَ قَدْ دُفِنَ فَقَدْ مَضَتِ الصَّلَاةُ لَا يُصَلَّي عَلَيْهِ وَ هُوَ مَدْفُونٌ و عليه عمل الأصحاب قال في المعتبر قال الأصحاب يجب أن يكون رأس الجنازة إلي يمين الإمام و هو السنة المتبعة قالوا و لو تبين أنها مقلوبة أعيدت الصلاة ما لم يدفن و احتجوا في ذلك برواية عمار و ما تضمنه الخبر من التسليم محمول علي التقية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فكبر عليها تمام الخمس عليه فتوي الأصحاب و قال الأكثر إن أمكن الدعاء يأتي بأقل المجزي و إلا يكبر ولاء من غير دعاء و ظاهر الروايات الواردة في ذلك أنه يكبر ولاء من غير تفصيل و مال إليه بعض المتأخرين و لا يخلو من قوة و إن أمكن حملها علي الغالب من عدم التمكن و هذه الرواية مجملة و ما سيأتي من خبر علي بن جعفر يومي إلي الإتيان بما أمكن من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فصل عليهما ظاهره القطع و الاستئناف كما هو ظاهر الفقيه حيث قال و من كبر علي جنازة تكبيرة أو تكبيرتين فوضعت جنازة أخري معها فإن شاء كبر الآن عليهما خمس تكبيرات و إن شاء فرغ من الأولي و استأنف الصلاة علي الثانية وَ رَوَي الْكُلَيْنِيُّ وَ الشَّيْخُ فِي الصَّحِيحِ عَنْ عَلِيِّ بْنِ جَعْفَرٍ</w:t>
      </w:r>
      <w:r>
        <w:rPr>
          <w:rStyle w:val="FootnoteAnchor"/>
          <w:rtl w:val="true"/>
        </w:rPr>
        <w:footnoteReference w:id="1800"/>
      </w:r>
      <w:r>
        <w:rPr>
          <w:rFonts w:ascii="Amiri" w:hAnsi="Amiri" w:eastAsia="Amiri" w:cs="Amiri"/>
          <w:color w:val="111111"/>
          <w:sz w:val="28"/>
          <w:sz w:val="28"/>
          <w:szCs w:val="28"/>
          <w:rtl w:val="true"/>
          <w:lang w:bidi="ar-SA"/>
        </w:rPr>
        <w:t>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قَوْمٍ كَبَّرُوا عَلَي جِنَازَةٍ تَكْبِيرَةً أَوْ ثِنْتَيْنِ وَ وُضِعَتْ مَعَهَا أُخْرَي كَيْفَ يَصْنَعُونَ قَالَ إِنْ شَاءُوا تَرَكُوا الْأُولَي حَتَّي يَفْرُغُوا مِنَ التَّكْبِيرِ عَلَي الْأَخِيرَةِ وَ إِنْ شَاءُوا رَفَعُوا الْأُولَي وَ أَتَمُّوا مَا بَقِيَ عَلَي الْأَخِيرَةِ كُلُّ ذَلِكَ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ره في الذكري لو حضرت جنازة في أثناء الصلاة علي</w:t>
      </w:r>
    </w:p>
    <w:p>
      <w:pPr>
        <w:pStyle w:val="BookText"/>
        <w:rPr/>
      </w:pPr>
      <w:r>
        <w:rPr>
          <w:rFonts w:ascii="IRNazanin" w:hAnsi="IRNazanin" w:eastAsia="IRNazanin"/>
          <w:color w:val="111111"/>
          <w:sz w:val="28"/>
          <w:sz w:val="28"/>
          <w:szCs w:val="28"/>
          <w:rtl w:val="true"/>
          <w:lang w:bidi="fa-IR"/>
        </w:rPr>
        <w:t>پاهایش در سمت راست قرار داشته باشد، آن گونه که شیخ کلینی در الموثّق از عمار الساباطیّ روایت کرده که از امام صادق علیه السلام در باره میّتی که بر او نماز گزارده شده سؤال پرسیدند و اینکه اگر هنگام سلام دادن امام، پاهای میّت درجایی قرار گرفته باشد که باید سرش در آنجا قرار می گرفت چه باید 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به حالت متعادل باز گردانده می شود و دوباره نماز بر او اقامه می گردد، اگر چه که جنازه بر روی دستان مردم قرار گرفته باشد ولی هنوز دفن نشده باشد، امّا اگر میّت دفن شده باشد، زمان نماز گزاردن سپری شده است، پس در حالی که دفن شده بر او نماز گزارده نمی شود</w:t>
      </w:r>
      <w:r>
        <w:rPr>
          <w:rFonts w:eastAsia="IRNazanin" w:cs="IRNazanin"/>
          <w:color w:val="111111"/>
          <w:sz w:val="28"/>
          <w:szCs w:val="28"/>
          <w:rtl w:val="true"/>
          <w:lang w:bidi="fa-IR"/>
        </w:rPr>
        <w:t>.</w:t>
      </w:r>
      <w:r>
        <w:rPr>
          <w:rStyle w:val="FootnoteAnchor"/>
          <w:rtl w:val="true"/>
        </w:rPr>
        <w:footnoteReference w:id="180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مبنای عمل فقها قرار گرفته است، در المعتبر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بر این باورند که واجب است سر جنازه در جانب راست امام قرار داشته باشد، و این سنّتِ پیروی شده ای است، فقها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مشخص شود که جنازه دگرگون شده است، در صورتی که دفن نشده باشد دوباره بر او نماز گزارده می شود، و در این زمینه به روایت عمّار استناد کرده اند، و چنان که می دانی نکته ذکر شده در حدیث مذکور مبنی بر گفتن سلام پایانی در نماز میّت بر تقیّه حمل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فکبّر علیها تمام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فقها فتوای خود را با عنایت به آن صادر کرده اند، اغلب فقها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دعا خواندن فراهم باشد به کم ترین عبارات بسنده می شود، در غیر این صورت تکبیرها پشت سرهم و بدون دعا خواندن ادا می شوند؛و ظاهر روایات وارده در این باب به این مضمون است که بدون تفصیل پشت سر هم تکبیر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متأخرین نیز قائل به این نظر هستند و چنین نظری خالی از قوّت و صحّت نیست، اگر چه غالباً احادیثی که بر گفتن تکبیرها به صوت متوالی دلالت می کنند بر زمانی حمل می شوند که امکان دعا خواندن وجود نداشته باشد؛ روایت مذکور مُجمل است و حدیث علی بن جعفر که در ادامه ذکر خواهد شد به این نکته اشاره دارد که به هر اندازه ممکن دعا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 می آید که نماز قطع و سپس از سر گرفته می شود، چنان که شیخ نیز در الفقیه به همین مطلب اشاره دارد آن گاه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بر جنازه ای یک یا دو تکبیر گفت و از قضا جنازه دیگری نیز در کنار آن قرار گرفت، اگر بخواهد می تواند به تکبیر گفتن ادامه دهد و پنج تکبیر را بر هر دو کامل گرداند، همچنین اگر بخواهد می تواند بعد از به پایان رساندن نماز بر جنازه نخست، نماز بر جنازه دوم را آغاز کند؛ کلینی و شیخ در حدیث صحیح از علی بن جعفر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امام موسی کاظم علیه السلام درباره جماعتی پرسیدم که پس از گفتن یک یا دو تکبیر بر یک جنازه، جنازه دیگری در مقابل آنان گذاشته می شود، آن جماعت باید چگونه عمل کنند؟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می توانند جنازه نخست را تا زمان پایان یافتن تکبیرهای جنازه دوّم نگاه داشته و هر دو را با هم حمل نمایند، همچنین اگر مایل باشند می توانند جنازه نخست را حمل کنند و آن گاه تکبیرهای باقی مانده از جنازه دوّم را کامل گردانند، انجام تمامی این امور اشکالی ندارد</w:t>
      </w:r>
      <w:r>
        <w:rPr>
          <w:rFonts w:eastAsia="IRNazanin" w:cs="IRNazanin"/>
          <w:color w:val="111111"/>
          <w:sz w:val="28"/>
          <w:szCs w:val="28"/>
          <w:rtl w:val="true"/>
          <w:lang w:bidi="fa-IR"/>
        </w:rPr>
        <w:t>.</w:t>
      </w:r>
      <w:r>
        <w:rPr>
          <w:rStyle w:val="FootnoteAnchor"/>
          <w:rtl w:val="true"/>
        </w:rPr>
        <w:footnoteReference w:id="1802"/>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رحمه الله 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صدوقان و شیخ درباره زمانی که در خلال </w:t>
      </w:r>
      <w:bookmarkStart w:id="3479" w:name="pg13517_329395"/>
    </w:p>
    <w:p>
      <w:pPr>
        <w:pStyle w:val="BookText"/>
        <w:rPr/>
      </w:pPr>
      <w:bookmarkEnd w:id="3479"/>
      <w:r>
        <w:rPr>
          <w:rFonts w:ascii="Amiri" w:hAnsi="Amiri" w:eastAsia="Amiri" w:cs="Amiri"/>
          <w:color w:val="111111"/>
          <w:sz w:val="28"/>
          <w:sz w:val="28"/>
          <w:szCs w:val="28"/>
          <w:rtl w:val="true"/>
          <w:lang w:bidi="ar-SA"/>
        </w:rPr>
        <w:t>الأولي قال الصدوقان و الشيخ يتخير في الإتمام علي الأولي ثم يستأنف أخري علي الثانية و في إبطال الأولي و استئناف الصلاة عليهما لأن في كل من الطريقين تحصل الصلاة و لرواية علي بن جعفر و هي قاصرة عن إفادة المدعي إذ ظاهرها أن ما بقي من تكبيرة الأولي محسوب للجنازتين فإذا فرغ من تكبيرة الأولي تخيروا بين تركها بحالها حتي يكملوا التكبير علي الأخيرة و بين رفعها من مكانها و الإتمام علي الأخيرة و ليس في هذا دلالة علي إبطال الصلاة علي الأولي بوجه هذا مع تحريم قطع العبادة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خيف علي الجنائز قطعت الصلاة ثم استونف عليهما لأنه قطع لضرورة إلا أن مضمون الرواية يشكل بعدم تناول النية أولا للثانية فكيف يصرف باقي التكبير إليها مع توقف العمل علي النية فأجاب بإمكان حمله علي إحداث نية من الآن لتشريك باقي التكبيرات علي الجنازتين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قال ابن الجنيد يجوز للإمام جمعهما إلي أن يتم علي الثانية خمسا فإن شاء أومأ إلي أهل الأولي ليأخذوها و يتم علي الثانية خمسا و هو أشد طباقا للرواية و قد تأول رواية جابر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كبر عشرا أو سبعا و 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بالحمل علي حضور جنازة ثانية و هكذا انتهي</w:t>
      </w:r>
      <w:r>
        <w:rPr>
          <w:rFonts w:eastAsia="Amiri" w:cs="Amiri" w:ascii="Amiri" w:hAnsi="Amiri"/>
          <w:color w:val="111111"/>
          <w:sz w:val="28"/>
          <w:szCs w:val="28"/>
          <w:rtl w:val="true"/>
          <w:lang w:bidi="ar-SA"/>
        </w:rPr>
        <w:t>.</w:t>
      </w:r>
    </w:p>
    <w:p>
      <w:pPr>
        <w:pStyle w:val="Heading5"/>
        <w:numPr>
          <w:ilvl w:val="4"/>
          <w:numId w:val="1"/>
        </w:numPr>
        <w:rPr/>
      </w:pPr>
      <w:bookmarkStart w:id="3480" w:name="__RefHeading___Toc608116_1934241801"/>
      <w:bookmarkStart w:id="3481" w:name="_Toc1602"/>
      <w:bookmarkEnd w:id="3480"/>
      <w:r>
        <w:rPr>
          <w:rtl w:val="true"/>
        </w:rPr>
        <w:t>أقول</w:t>
      </w:r>
      <w:bookmarkEnd w:id="3481"/>
    </w:p>
    <w:p>
      <w:pPr>
        <w:pStyle w:val="BookText"/>
        <w:rPr/>
      </w:pPr>
      <w:r>
        <w:rPr>
          <w:rFonts w:ascii="Amiri" w:hAnsi="Amiri" w:eastAsia="Amiri" w:cs="Amiri"/>
          <w:color w:val="111111"/>
          <w:sz w:val="28"/>
          <w:sz w:val="28"/>
          <w:szCs w:val="28"/>
          <w:rtl w:val="true"/>
          <w:lang w:bidi="ar-SA"/>
        </w:rPr>
        <w:t>ما ذكره رحمه الله هو الظاهر من الخبر و يحتمل أن يكون المراد إتمام الصلاة علي الأولي و استئناف الصلاة علي الأخيرة مع التخيير في رفع الجنازة الأولي حال الصلاة علي الأخيرة و وضعها بأن يكون المراد بقوله عليه السلام و أتموا إيقاع الصلاة تماما و قوله ما بقي أي الصلاة الباقية لا التكبيرات الباقية كما ذكره بعض المتأخرين و لا يخفي بعده و أما ما فهمه القوم فلعلهم حملوا قوله تركوا الأولي علي ترك الصلاة الأولي و قطعها و قوله حتي يفرغوا من التكبير علي الأخيرة أي علي الأولي و الأخيرة معا و إن شاءوا رفعوا أي بعد إتمام الصلاة عليها و أتموا ما بقي أي الصلاة الباقية و لا يخفي ما فيه من التكلفات لكنه موافق لفهم الصدوق و لعله أخذ من الفقه الرضوي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بر یک جنازه، جنازه دیگری حاضر شود، صدوقان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در چنین شرایطی میان انتخاب دو حالت مخیّر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رساندن نماز بر جنازه نخست و از سر گرفتن نمازی دیگر بر جنازه دوّم، یا باطل گرداندن نماز بر جنازه نخست و از سر گرفتن نماز بر هر دو جنازه، چرا که نماز میّت به هر شیوه تحقّق می یابد؛ همچنین روایت علی بن جعفر هر چند قاصر از افاده مدّعاست، نیز مشتمل بر ذکر این دو حالت می باشد، چرا که از ظاهر آن چنین برمی آید که تعداد تکبیرهای باقی مانده از نماز بر جنازه نخست برای هر دو جنازه محسوب می گردد، پس هنگامی که نمازگزار از تکبیرهای نماز نخست فارغ گشت، بین انتخاب دو حالت مخیّر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گذاردن جنازه نخست در مکان خویش تا زمان به پایان رساندن تکبیر بر جنازه دوّم، یا حمل کردن جنازه نخست و سپس به پایان رساندن تکبیرها بر جنازه دوّم؛ و به هیچ وجه این روایت بر ابطال نماز بر جنازه نخست دلالت نمی کند، این امر با توجه به تحریم قطع نمودن عبادت واجب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بیم به جنازه ها وجود داشته باشد، نماز گزاردن بر آن  ها قطع شده و سپس از سر گرفته می شود، چرا که نماز به دلیل ضرورت قطع شده است، جز اینکه مضمون روایت بیانگر این نکته است که نیّت نماز بر جنازه نخست به منظور اقامه نماز بر جنازه دوّم کفایت نمی کند، پس این سؤال مطرح می شود که با عنایت به پذیرفته شدن عمل بر اساس نیّت، چگونه می توان ادامه تکبیرهای باقیمانده از نماز بر جنازه نخست را برای نماز بر جنازه دوّم به شمار آورد؟ و پاسخ به این صورت است که از همان لحظه قرار داده شدن جنازه دوّم نیّت کرده می شود که باقیمانده تکبیرها در میان هر دو جنازه مشترک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شهید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جایز است تا پایان یافتن تکبیرهای پنج گانه جنازه دوم، نماز گزاردن بر هر دو جنازه را با هم جمع گرداند، و اگر خواست به اولیای جنازه نخست اشاره کند که میّت خویش را حمل کنند، آن گاه تکبیرهای پنج گانه جنازه دوّم را به پایان برساند؛ این عمل دارای بیشترین مطابقت با روایت است و حدیثی که جابر از امام باقر علیه السلام روایت کرده است مبنی بر اینکه رسول خدا صلّی الله علیه و آله ده یا هفت و شش بار تکبیر گفت تأویل می شود بر حمل جنازه نخست در حضور جنازه دوّم، 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شهید رحمه الله ذکر کرده برداشت ظاهری از حدیث می باشد، و ممکن است مقصود حدیث به پایان رساندن نماز بر جنازه نخست و از سر گرفتن آن بر جنازه دیگر باشد، این در حالی است که امکان حمل کردن جنازه نخست هنگام نماز بر جنازه دیگر و یا باقی گذاردن آن و حمل کردن هر دو جنازه با هم برای نماز گزاردن وجود داشته باشد، به این ترتیب که منظور از این فرموده امام 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به صورت کامل و منظور از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باقی مانده و نه تکبیرهای باقی مانده باشد، آن گونه که برخی از متأخرین نیز چنین ذکر کرده اند، ولی میزان دوری این نظر از صحّت بر کسی پوشیده نیست؛ امّا آنچه قوم فهمیده اند شاید بر این اساس باشد که آنان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ترکوا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ترک نماز بر جنازه نخست و قطع آن حمل کرده اند، همچنین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یفرغوا من التکبیر علی الأخیره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فارغ شدن از تکبیر گفتن بر جنازه اول و دوّم با هم حمل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شاؤوا رفعوا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بخواهند می توانند بعد از به پایان رساندن نماز بر جنازه آن را بردارند،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أتمّوا مابقی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باقیمانده از نماز را به پایان رسانند، البته که میزان تکلّف موجود در این تأویل ها برکسی پوشیده نیست، ولی موافق با فهم صدوق است و شاید او نیز آن را از فقه رضوی گرفته باشد </w:t>
      </w:r>
      <w:r>
        <w:rPr>
          <w:rFonts w:eastAsia="IRNazanin" w:cs="IRNazanin"/>
          <w:color w:val="111111"/>
          <w:sz w:val="28"/>
          <w:szCs w:val="28"/>
          <w:rtl w:val="true"/>
          <w:lang w:bidi="fa-IR"/>
        </w:rPr>
        <w:t xml:space="preserve">. </w:t>
      </w:r>
      <w:bookmarkStart w:id="3482" w:name="pg13517_329396"/>
    </w:p>
    <w:p>
      <w:pPr>
        <w:pStyle w:val="BookText"/>
        <w:rPr/>
      </w:pPr>
      <w:bookmarkEnd w:id="3482"/>
      <w:r>
        <w:rPr>
          <w:rFonts w:ascii="Amiri" w:hAnsi="Amiri" w:eastAsia="Amiri" w:cs="Amiri"/>
          <w:color w:val="111111"/>
          <w:sz w:val="28"/>
          <w:sz w:val="28"/>
          <w:szCs w:val="28"/>
          <w:rtl w:val="true"/>
          <w:lang w:bidi="ar-SA"/>
        </w:rPr>
        <w:t>قوله و لا بأس أن يصلي أجمع علماؤنا علي عدم اشتراط هذه الصلاة بالطهارة و أجمعوا علي استحبابها و قد نقل الإجماع عليهما في التذكرة و المنتهي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اختلفوا في أن إطلاق الصلاة علي هذه حقيقة أو مجاز و يتفرع عليه إجراء الأحكام و الشرائط الواردة في الصلاة مطلقا فيها و ظاهر الخبر عدم الحقيقة و إن احتمل أن يكون المراد ليس بالصلاة المعهودة المشتملة علي الركوع و السجود المشروطة بالطهارة و لا خلاف بينهم ظاهرا في وجوب الاستقبال و القيام مع القدرة اتباعا للهيئة المنقولة و في وجوب الستر مع الإمكان قولان و جزم العلامة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اختلفوا في أنه هل يعتبر فيها الطهارة من الخبث فذهب أكثر المتأخرين إلي العدم تمسكا بمقتضي الأصل و إطلاق الإذن في صلاة الحائض مع عدم انفكاكها من النجاسة غالبا و لا يخلو من قوة و كذا في ترك ما يجب تركه في اليومية قال في الذكري و الأحوط ترك ما يترك في ذات الركوع و الإبطال بما يبطل خلا ما يتعلق بالحدث و الخبث انتهي</w:t>
      </w:r>
      <w:r>
        <w:rPr>
          <w:rFonts w:eastAsia="Amiri" w:cs="Amiri" w:ascii="Amiri" w:hAnsi="Amiri"/>
          <w:color w:val="111111"/>
          <w:sz w:val="28"/>
          <w:szCs w:val="28"/>
          <w:rtl w:val="true"/>
          <w:lang w:bidi="ar-SA"/>
        </w:rPr>
        <w:t>.</w:t>
      </w:r>
    </w:p>
    <w:p>
      <w:pPr>
        <w:pStyle w:val="Heading5"/>
        <w:numPr>
          <w:ilvl w:val="4"/>
          <w:numId w:val="1"/>
        </w:numPr>
        <w:rPr/>
      </w:pPr>
      <w:bookmarkStart w:id="3483" w:name="__RefHeading___Toc608118_1934241801"/>
      <w:bookmarkStart w:id="3484" w:name="_Toc1603"/>
      <w:bookmarkEnd w:id="3483"/>
      <w:r>
        <w:rPr>
          <w:rtl w:val="true"/>
        </w:rPr>
        <w:t>أقول</w:t>
      </w:r>
      <w:bookmarkEnd w:id="3484"/>
    </w:p>
    <w:p>
      <w:pPr>
        <w:pStyle w:val="BookText"/>
        <w:rPr/>
      </w:pPr>
      <w:r>
        <w:rPr>
          <w:rFonts w:ascii="Amiri" w:hAnsi="Amiri" w:eastAsia="Amiri" w:cs="Amiri"/>
          <w:color w:val="111111"/>
          <w:sz w:val="28"/>
          <w:sz w:val="28"/>
          <w:szCs w:val="28"/>
          <w:rtl w:val="true"/>
          <w:lang w:bidi="ar-SA"/>
        </w:rPr>
        <w:t>يمكن أن يفرع علي الخلاف المذكور اشتراط العدالة في إمام تلك الصلاة و يؤيد العدم عدم فوت فعل من الأفعال عن المأموم بسبب الايتمام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وقوف الحائض ناحية فرواه الْكُلَيْنِيُّ فِي الْمُوَثَّقِ‌</w:t>
      </w:r>
      <w:r>
        <w:rPr>
          <w:rStyle w:val="FootnoteAnchor"/>
          <w:rtl w:val="true"/>
        </w:rPr>
        <w:footnoteReference w:id="1803"/>
      </w:r>
      <w:r>
        <w:rPr>
          <w:rFonts w:ascii="Amiri" w:hAnsi="Amiri" w:eastAsia="Amiri" w:cs="Amiri"/>
          <w:color w:val="111111"/>
          <w:sz w:val="28"/>
          <w:sz w:val="28"/>
          <w:szCs w:val="28"/>
          <w:rtl w:val="true"/>
          <w:lang w:bidi="ar-SA"/>
        </w:rPr>
        <w:t>عَنِ عَبْدِ الرَّحْمَنِ بْنِ أَبِي عَبْدِ اللَّهِ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تُصَلِّي الْحَائِضُ عَلَي الْجِنَازَةِ قَالَ نَعَمْ وَ لَا تَصُفُّ مَعَهُمْ تَقُومُ مُنْفَرِدَةً و رواه في الحسن أيضا</w:t>
      </w:r>
      <w:r>
        <w:rPr>
          <w:rStyle w:val="FootnoteAnchor"/>
          <w:rtl w:val="true"/>
        </w:rPr>
        <w:footnoteReference w:id="1804"/>
      </w:r>
      <w:r>
        <w:rPr>
          <w:rFonts w:ascii="Amiri" w:hAnsi="Amiri" w:eastAsia="Amiri" w:cs="Amiri"/>
          <w:color w:val="111111"/>
          <w:sz w:val="28"/>
          <w:sz w:val="28"/>
          <w:szCs w:val="28"/>
          <w:rtl w:val="true"/>
          <w:lang w:bidi="ar-SA"/>
        </w:rPr>
        <w:t>و ليس فيه تقوم منفردة و يحتمل أن يكون المراد تأخرها عن صف الرجال فلا اختصاص له بالحائض بل هذا حكم مطلق النساء و يؤيده لفظ الرجال هنا و تذكير ضمير معهم في الخبرين و أن يكون المراد عمن لم يتصف بصفتها من النساء أيضا كما فهمه القوم و يكون التذكير للتغليب و يشعر به قوله عليه السلام تقوم منفردة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مورد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بأس أن یُصلّی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جمیع علمای ما بر سر عدم لزوم شرط وضو بلکه استحباب آن در نماز میّت اتفاق نظر دارند، و اجماع نظر علما برسر هر دو موضوع در التذکرة و المنتهی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علما بر سر این نکته اختلاف نظر دارند که آیا اطلاق لفظ نماز بر عملی که جایز است جُنب بر جنازه انجام دهد از باب حقیقت است یا مجاز؟ و آیا اجرای احکام و شرایط مطرح شده در مورد نماز به صورت مطلق، بر چنین نمازی نیز مترتّب می شود یا خیر؟ از ظاهر حدیث، عدم حقیقی بودن اطلاق لفظ نماز بر آن برداشت می شود، اگر چه این احتمال نیز وجود دارد که ممکن است منظور از این نماز، نماز شناخته شده مشتمل بر رکوع و سجود و مشروط به محقق شدن شرط وضو در آن نباشد، و ظاهراً هیچ اختلاف نظری در میان علما بر سر این امر نیز وجود ندارد که ایستادن رو به قبله و قیام در صورت وجود قدرت بدنی به خاطر پیروی کردن از شیوه منقول، بر نمازگزار واجب است؛ ولی در مورد وجوب قرار دادن ساتر در صورت امکان آن دو نظر وجود دارد، و علّامه به طور قطع رأی به عدم وجوب آن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 بر سر این مسأله نیز اختلاف نظر دارند که آیا پاک شدن از نجاست ها در نماز میّت مانند سایر نمازها مورد اعتبار و توجه قرار می گیرد یا خیر؟ اغلب متأخرین با تمسّک به مقتضای اصل و نیز اجازه دادن به حائض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ادای نماز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که غالبا از نجاست جدا نیست، نظر به عدم نیاز به پاک شدن از نجاست ها داده اند، و این نظر خالی از قوّت نیست، به همین ترتیب حُکم به ترک اموری داده اند که ترک آن ها در نماز های یومیّه واجب است، شهید 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در مورد نماز میّت ترک آن چیزی است که در نمازهای رکوع دار ترک می گردد، همچنین با تحقّق یافتن مُبطلات نمازهای یومیّه نماز میّت نیز باطل می گردد، غیر از اموری که متعلّق به حدث و خبث است، 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 ممکن است در تفاوت های موجود مابین نمازهای یومیّه و نماز میّت، بحث محقّق شدن شرط عدالت در مورد امام نماز میّت مطرح شود، و موضوعی که عدم نیاز به تحقّق یافتن شرط عدالت را تأیید می کند این است که انجام هیچ فعلی از افعال مربوط به نماز میّت به سبب اقتدا به امام از گردن مأموم ساقط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ایستادن حائض در یک جانب، کلینی در الموثّق</w:t>
      </w:r>
      <w:r>
        <w:rPr>
          <w:rStyle w:val="FootnoteAnchor"/>
          <w:rtl w:val="true"/>
        </w:rPr>
        <w:footnoteReference w:id="1805"/>
      </w:r>
      <w:r>
        <w:rPr>
          <w:rFonts w:ascii="IRNazanin" w:hAnsi="IRNazanin" w:eastAsia="IRNazanin"/>
          <w:color w:val="111111"/>
          <w:sz w:val="28"/>
          <w:sz w:val="28"/>
          <w:szCs w:val="28"/>
          <w:rtl w:val="true"/>
          <w:lang w:bidi="fa-IR"/>
        </w:rPr>
        <w:t>از عبدالرحمن ابن أبی عبدالله روایت کرده که از امام صادق علیه السلام پرسیدم آیا جایز است که حائض بر جنازه نماز بگزارد؟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با نماز گزاران در یک صف قرار نمی گیرد بلکه خود تنهایی به نماز می ایستد؛ کلینی همچنین حدیث حسن دیگری را در این زمینه روایت کرده است،</w:t>
      </w:r>
      <w:r>
        <w:rPr>
          <w:rStyle w:val="FootnoteAnchor"/>
          <w:rtl w:val="true"/>
        </w:rPr>
        <w:footnoteReference w:id="1806"/>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تقوم منفرده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تنهایی به نماز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ذکر نشده و ممکن است مقصود از این فرموده، عقب ایستادن حائض از صف مردان باشد؛ امّا اگر چنین باشد این حُکم اختصاص به زن حائض ندارد و مربوط به تمام زنان به صورت مطلق 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در روایت کلینی و مذکر بودن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ممکن است چنان که قوم نیز این گونه فهمیده اند مقصود از این فرموده، عدم قرار گرفتن زن حائض در صف زنان غیر حائض باشد، و مذکّر بودن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باب تغلیب باشد، این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تقوم منفرده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چنین تفسیری می دهد</w:t>
      </w:r>
      <w:r>
        <w:rPr>
          <w:rFonts w:eastAsia="IRNazanin" w:cs="IRNazanin"/>
          <w:color w:val="111111"/>
          <w:sz w:val="28"/>
          <w:szCs w:val="28"/>
          <w:rtl w:val="true"/>
          <w:lang w:bidi="fa-IR"/>
        </w:rPr>
        <w:t xml:space="preserve">. </w:t>
      </w:r>
      <w:bookmarkStart w:id="3485" w:name="pg13517_329397"/>
    </w:p>
    <w:p>
      <w:pPr>
        <w:pStyle w:val="BookText"/>
        <w:rPr/>
      </w:pPr>
      <w:bookmarkEnd w:id="3485"/>
      <w:r>
        <w:rPr>
          <w:rFonts w:ascii="Amiri" w:hAnsi="Amiri" w:eastAsia="Amiri" w:cs="Amiri"/>
          <w:color w:val="111111"/>
          <w:sz w:val="28"/>
          <w:sz w:val="28"/>
          <w:szCs w:val="28"/>
          <w:rtl w:val="true"/>
          <w:lang w:bidi="ar-SA"/>
        </w:rPr>
        <w:t>قال في التذكرة و إذا صلوا جماعة ينبغي أن يتقدم الإمام و المؤتمون خلفه صفوفا و إن كان فيهم نساء وقفن آخر الصفوف و إن كان فيهم حائض انفردت بارزة عنهم و عنهن و نحوه قال في المنتهي و قال في الذكري و في انفراد الحائض هنا نظر من خبر محمد بن مسلم فإن الضمير يدل علي الرجال و إطلاق الانفراد يشمل النساء و به قطع في المبسوط و تبعه ابن إدريس و المحقق انتهي</w:t>
      </w:r>
      <w:r>
        <w:rPr>
          <w:rFonts w:eastAsia="Amiri" w:cs="Amiri" w:ascii="Amiri" w:hAnsi="Amiri"/>
          <w:color w:val="111111"/>
          <w:sz w:val="28"/>
          <w:szCs w:val="28"/>
          <w:rtl w:val="true"/>
          <w:lang w:bidi="ar-SA"/>
        </w:rPr>
        <w:t>.</w:t>
      </w:r>
    </w:p>
    <w:p>
      <w:pPr>
        <w:pStyle w:val="Heading5"/>
        <w:numPr>
          <w:ilvl w:val="4"/>
          <w:numId w:val="1"/>
        </w:numPr>
        <w:rPr/>
      </w:pPr>
      <w:bookmarkStart w:id="3486" w:name="__RefHeading___Toc608120_1934241801"/>
      <w:bookmarkStart w:id="3487" w:name="_Toc1604"/>
      <w:bookmarkEnd w:id="3486"/>
      <w:r>
        <w:rPr>
          <w:rtl w:val="true"/>
        </w:rPr>
        <w:t>أقول</w:t>
      </w:r>
      <w:bookmarkEnd w:id="3487"/>
    </w:p>
    <w:p>
      <w:pPr>
        <w:pStyle w:val="BookText"/>
        <w:rPr/>
      </w:pPr>
      <w:r>
        <w:rPr>
          <w:rFonts w:ascii="Amiri" w:hAnsi="Amiri" w:eastAsia="Amiri" w:cs="Amiri"/>
          <w:color w:val="111111"/>
          <w:sz w:val="28"/>
          <w:sz w:val="28"/>
          <w:szCs w:val="28"/>
          <w:rtl w:val="true"/>
          <w:lang w:bidi="ar-SA"/>
        </w:rPr>
        <w:t>الاستدلال بتلك الأخبار علي تأخرها عن النساء لا يخلو من إشكال و أما استحباب التيمم للحائض و الجنب و المحدث و إن أمكن الغسل و الوضوء فهو مقطوع به في كلام الأصحاب بل ظاهر العلامة أنه إجماعي لكن الشيخ في التهذيب قيده بما إذا خاف أن تفوته الصلاة و أما الوضوء للجنب و الحائض فلم أره في سائر الأخبار و لا كلام الأصحاب و قوله عمدا لعل المراد به أن يتوضأ بقصد الوجوب إذ لا خلاف في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أفضل المواضع هذا مؤيد لما فهمه الصدوق من الخبر الآتي و يمكن حمله علي صفوف الجنائز أو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بنعل حذو أقول رَوَي الْكُلَيْنِيُ‌</w:t>
      </w:r>
      <w:r>
        <w:rPr>
          <w:rStyle w:val="FootnoteAnchor"/>
          <w:rtl w:val="true"/>
        </w:rPr>
        <w:footnoteReference w:id="1807"/>
      </w:r>
      <w:r>
        <w:rPr>
          <w:rFonts w:ascii="Amiri" w:hAnsi="Amiri" w:eastAsia="Amiri" w:cs="Amiri"/>
          <w:color w:val="111111"/>
          <w:sz w:val="28"/>
          <w:sz w:val="28"/>
          <w:szCs w:val="28"/>
          <w:rtl w:val="true"/>
          <w:lang w:bidi="ar-SA"/>
        </w:rPr>
        <w:t>عَنْ عِدَّةٍ مِنْ أَصْحَابِهِ عَنْ سَهْلِ بْنِ زِيَادٍ عَنْ إِسْمَاعِيلَ بْنِ مِهْرَانَ عَنْ سَيْفِ بْنِ عَمِيرَةَ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عَلَي الْجَنَازَةِ بِحِذَاءٍ وَ لَا بَأْسَ بِالْخُفِّ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في الذكري يستحب نزع الحذاء لا الخف لخبر سيف بن عميرة قال في المقنع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للرجل أن يصلي علي جنازة بنعل حذو و كان محمد بن الحسن يقول كيف تجوز صلاة الفريضة و لا تجوز صلاة الجنازة و كان يقول لا نعرف النهي من ذلك إلا من رواية محمد بن موسي الهمداني و كان كذابا قال الصدوق و صدق في ذلك إلا أني لا أعرف عن غيره رخصة و أعرف النهي و إن كان من غير ثقة و لا يرد الخبر بغير خبر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قد روي الكليني من غير طريق الهمداني إلا أن يفرق بين الحذاء</w:t>
      </w:r>
    </w:p>
    <w:p>
      <w:pPr>
        <w:pStyle w:val="BookText"/>
        <w:rPr/>
      </w:pPr>
      <w:r>
        <w:rPr>
          <w:rFonts w:ascii="IRNazanin" w:hAnsi="IRNazanin" w:eastAsia="IRNazanin"/>
          <w:color w:val="111111"/>
          <w:sz w:val="28"/>
          <w:sz w:val="28"/>
          <w:szCs w:val="28"/>
          <w:rtl w:val="true"/>
          <w:lang w:bidi="fa-IR"/>
        </w:rPr>
        <w:t>در التذکره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گروهی از مردم بر میّت نماز می گزارند، لازم است که امام پیش افتد و نماز گزاران در قالب صف هایی پشت سر او قرار گیرند، اگر در میان آنان زنان نیز حضور داشته باشند لازم است که در آخر صف ها بایستند، همچنین اگر در میان نماز گزاران زن حائض حضور داشته باشد باید جدا از مردان و زنان قرار گرفته و خود به تنهایی به نماز بایستد، در المنتهی نیز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حدیث محمد بن مسلم در مورد انفراد حائض اشکال وجود دارد، چرا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مردان دلالت می کند و اطلاق انفراد شامل زنان می شود، در المبسوط این نظر را به صورت قطعی بیان کرده و ابن ادریس و محقّق از او پیروی کرده اند، پایان نقل 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p>
    <w:p>
      <w:pPr>
        <w:pStyle w:val="BookText"/>
        <w:rPr/>
      </w:pPr>
      <w:r>
        <w:rPr>
          <w:rFonts w:ascii="IRNazanin" w:hAnsi="IRNazanin" w:eastAsia="IRNazanin"/>
          <w:color w:val="111111"/>
          <w:sz w:val="28"/>
          <w:sz w:val="28"/>
          <w:szCs w:val="28"/>
          <w:rtl w:val="true"/>
          <w:lang w:bidi="fa-IR"/>
        </w:rPr>
        <w:t>استناد به احادیث مذکور در تأیید نظری که قائل به عقب ایستادن زن حائض نسبت به سایر زنان می باشد خالی از اشکال نیست؛ امّا استحباب تیمّم برای حائض، جُنب و بی وضو، هر چند امکان غسل و وضو نیز فراهم باشد، نظری است که قطعیّت آن در کلام فقها ثابت شده است، بلکه از ظاهر کلام علّامه چنین بر می آید که جمیع فقها در این باره اتفاق نظر دارند، ولی شیخ در التهذیب این حُکم را مقیّد به زمانی دانسته است که بیم از دست دادن نماز وجود داشته باشد، امّا لزوم وضو گرفتن برای نمازگزاری که جنب یا حائض می باشد موضوعی است که آن را در سایر احادیث و کلام فقها مشاهده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از 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باشد که نمازگزار به نیّت وجوب وضو بگیرد، چرا که در استحباب آن هیچ اختلاف نظری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أفضل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کننده فهم صدوق از حدیث آتی است، همچنین ممکن است کلام مذکور بر صفوف جنازه ها حمل شود و یا اینکه مقصود، ذکر بهترین مکان برای ایستادن زنان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بنَعل حذو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p>
    <w:p>
      <w:pPr>
        <w:pStyle w:val="BookText"/>
        <w:rPr/>
      </w:pPr>
      <w:r>
        <w:rPr>
          <w:rFonts w:ascii="IRNazanin" w:hAnsi="IRNazanin" w:eastAsia="IRNazanin"/>
          <w:color w:val="111111"/>
          <w:sz w:val="28"/>
          <w:sz w:val="28"/>
          <w:szCs w:val="28"/>
          <w:rtl w:val="true"/>
          <w:lang w:bidi="fa-IR"/>
        </w:rPr>
        <w:t>کلینی</w:t>
      </w:r>
      <w:r>
        <w:rPr>
          <w:rStyle w:val="FootnoteAnchor"/>
          <w:rtl w:val="true"/>
        </w:rPr>
        <w:footnoteReference w:id="1808"/>
      </w:r>
      <w:r>
        <w:rPr>
          <w:rFonts w:ascii="IRNazanin" w:hAnsi="IRNazanin" w:eastAsia="IRNazanin"/>
          <w:color w:val="111111"/>
          <w:sz w:val="28"/>
          <w:sz w:val="28"/>
          <w:szCs w:val="28"/>
          <w:rtl w:val="true"/>
          <w:lang w:bidi="fa-IR"/>
        </w:rPr>
        <w:t>به نقل از سیف بن عمیره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کفش بر جنازه نماز گزارده نمی شود، ولی استفاده از خُفّ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حدیث سیف بن عمیره، کندن کفش و نه خفّ هنگام نماز میّت مستحبّ است، صدوق نیز در المقنع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برای مرد جایز نیست با کفش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 حذو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 نماز بگزارد، و محمّد بن حسن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جایز است نمازهای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کفش گزارده شوند ولی چنین اجازه ای برای نماز میّت وجود ندارد؟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نماز گزاردن بر جنازه با کفش را جز از روایت محمد بن موسی همدانی نمی توان استنباط کرد و این در حالی است که وی شخصی دروغگو بوده است، 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موسی در این مورد صادق بوده است، غیر از اینکه من اشخاص دیگری غیر از او را نمی شناسم که رخصت به انجام چنین کاری دهند، ولی اشخاصی را می شناسم که حُکم به نهی نمازگزارن بر جنازه با کفش داده اند، هر چند این اشخاص از جمله کسانی باشند که مورد اعتماد نیستند، و حدیث جز به وسیله حدیث دیگری که با مضمون آن مخالفت کند قابل ردّ شدن نیست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حدیثی را که بر نهی از نماز گزاردن بر میّت با کفش دلالت می کند از غیر طریق همدانی روایت کرده است، مگر اینکه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نعل الحذو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احتج في المعتبر علي استحباب الحفاء و هو عبارة ابْنُ الْبَرَّاجِ بِمَا رُوِيَ عَنْ بَعْضِ الصَّحَابَةِ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اغْبَرَّتْ قَدَمَاهُ فِي سَبِيلِ اللَّهِ حَرَّمَهُمَا اللَّهُ عَلَي النَّارِ و لأنه موضع اتعاظ يناسب التذلل بالحفاء قلت استحباب الحفاء يعطي استحباب نزع الخف و الشيخ و ابن الجنيد و يحيي بن سعيد استثنوه و الخبر ناطق به و في التذكرة اختار عدم نزع الخف و احتج بحجة المعتبر و هو تمام لو ذكر الدليل المخرج للخف عن مدلول الحديث انتهي و الظاهر أنه يثبت استحباب ترك الحذاء بهذا الخبر لمساهلتهم في مستند المستحبات و استدلالهم عليها بالأخبار الضعيفة بل العامية و الظاهر أن الحكم موضع وفاق أيضا بينهم و يحتمل أن يكون مرادهم بنعل الحذو و الحذاء غير النعال العربية بل النعال العجمية و الهندية الساترة لظهر القدم أو أكثره بغير ساق و حينئذ فإن قيل بكون هذه الصلاة صلاة حقيقة و يشملها عموم ما ورد من الأحكام في مطلق الصلاة كما ذهب إليه جماعة يكون القول بالمنع من الصلاة فيها جاريا هاهنا إن قال المانعون بتلك المقدمة لكن الظاهر من كلام أكثرهم و بعض اللغويين أن الحذاء شامل لجميع النعال سوي الخف قال في النهاية الحذاء بالمد النعل و قال المحقق و غيره و ينزع نعليه و قال في المنتهي و يستحب التحفي و استدل بهذا الخبر و ما يفهم من كلام بعضهم من عدم استثناء الخف غير جيد لمخالفة الخبر الذي هو مستند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لا تجعل ميتين علي جنازة قال في الذكري قال الشيخ و جماعة من الأصحاب يكره حمل ميتين علي سرير رجلين كانا أو امرأتين أو رجلا و امرأة حتي قال في النهاية لا يجوز و هو بدعة و كذا ابن إدريس هذا مع الاختيار و ممن صرح بالكراهية ابن حمزة و قال الجعفي لا يحمل</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 حذو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المعتبر مدّعی استحباب نمازگزاردن با پای برهنه شده است، با استدلال به حدیثی که ابن برّاج از یکی از صحابه روایت کرده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قدم هایش در راه خداوند غبارآلود گردد، خداوند آن قدم ها را بر آتش جهنم حرام می گرداند؛ همچنین با استدلال به این که نمازگزاردن بر میّت جایگاه پند پذیرفتن است و مناسب است که با برهنه کردن پا فروتنی و تواضع در آن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استحباب برهنه شدن پا، استحباب کندن خفّ نیز برداشت می شود، ولی شیخ، ابن جنید و یحیی بن سعید، خفّ را از این قاعده مستثنی دانسته اند، و حدیث قائل به آن است، و در التذکره نظر عدم در آوردن خفّ از پا را برگزیده است و به دلیلی که در المعتبر ذکر شده استناد کرده است، و سخن المعتبر، کامل است اگر دلیل خارج کننده خفّ از مدلول حدیث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که استحباب در آوردن کفش با استناد به این حدیث ثابت می شود، به خاطر تسامح آنان در استناد مستحبّات و استدلال کردن شان به احادیث ضعیف بلکه احادیث عامّی،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این حُکم به نقطه اتفاقی در میان آنان تبدیل شده است؛ همچنین ممکن است که مقصود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 الحذو و الحذاء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غیر از کفش های عربی باشد، بلکه منظور کفش های اعجمیّ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هندی باشد که روی پا یا اندکی بیشتر از آن را بدون پوشش دادن ساق می پوشانند؛ و اگر آن گونه که گروهی از فقها معتقدند نماز میّت یک نماز حقیقی به شمار آید و مشمول تمام احکامی شود که در مورد نمازهای دیگر به اجرا درمی آید، حُکم ممنوعیّت نمازگزاردن با کفش در نمازهای دیگر در مورد نماز میّت نیز جاری است، این در صورتی است که منع کنندگان نماز گزاردن بر میّت با کفش قائل به مقدّمه مذکور باشند، ولی از ظاهر کلام اغلب فقها و برخی از زبان شناسان چنین برمی آید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تمام کفش ها غیر از خفّ می شود، شیخ در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کشیده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محقّق و 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بر میّت کفش هایش را در می آورد؛ و 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درآوردن کفش مستحبّ است، و به این حدیث استدلال کرده است؛ امّا نکته ای که از کلام برخی از فقها مبنی بر عدم مستثنی کردن خفّ برداشت می شود نیکو به نظر نمی رسد، چرا که با حدیثی که در صدور این حُکم به آن استناد می شود مخالف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در الذکری در مورد این فرموده امام 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تجعل میّتین علی 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گروهی از فقها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دو جناره بر یک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و فرقی ندارد که آن دو جنازه دو مرد باشند یا دو زن و یا یک مرد و یک زن، حتّی شیخ 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جایز نیست و بدعت به شمار می آید؛ ابن ادریس نیز چنین نظری دارد، این حُکم مربوط به زمانی است که حمل دو جنازه بر یک تخت از سر اختیار انجام پذیرد، ابن حمزه نیز از جمله کسانی است که به کراهت این امر تصریح کرده است؛ جعفّی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ميتان علي نعش واحد و الذي فِي مُكَاتَبَةِ الصَّفَّارِ</w:t>
      </w:r>
      <w:r>
        <w:rPr>
          <w:rStyle w:val="FootnoteAnchor"/>
          <w:rtl w:val="true"/>
        </w:rPr>
        <w:footnoteReference w:id="1809"/>
      </w:r>
      <w:r>
        <w:rPr>
          <w:rFonts w:ascii="Amiri" w:hAnsi="Amiri" w:eastAsia="Amiri" w:cs="Amiri"/>
          <w:color w:val="111111"/>
          <w:sz w:val="28"/>
          <w:sz w:val="28"/>
          <w:szCs w:val="28"/>
          <w:rtl w:val="true"/>
          <w:lang w:bidi="ar-SA"/>
        </w:rPr>
        <w:t>إِلَي أَبِي مُحَمَّدٍ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عَنْ جَوَازِ حَمْلِ مَيِّتَيْنِ عَلَي سَرِيرٍ وَاحِدٍ وَ الصَّلَاةِ عَلَيْهِمَا وَ إِنْ كَانَ الْمَيِّتَانِ رَجُلًا وَ امْرَأَةً مَعَ الْحَاجَةِ أَوْ كَثْرَةِ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يُحْمَلُ الرَّجُلُ مَعَ الْمَرْأَةِ عَلَي سَرِيرٍ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أخص من الدعوي و ظاهره عدم الجواز مع الحاجة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الفقه مع تأيده بالشهرة و استمرار العمل في الأعصار ربما يصلح دليلا علي الكراهة و أما إثبات الحرمة ففيه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من الخبر جواز الصلاة علي الميت بعد الدفن لمن لم يصل عليه و إن صلي عليه غيره و اختلف الأصحاب فيه فذهب الأكثر و منهم الشيخان و ابن البراج و ابن إدريس و ابن حمزة و المحقق في الشرائع و العلامة في الإرشاد إلي جواز الصلاة علي القبر يوما و ليلة لمن فاتته الصلاة عليه قبل الدفن و إطلاق كلامهم يقتضي جواز الصلاة عليه كذلك و إن كان الميت قد صلي عليه قبل الدفن و قال سلار يصلي عليه إلي ثلاثة أيام و يظهر من كلام الشيخ في الخلاف أن به رواية</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الجنيد يصلي عليه ما لم يتغير صورته و لم أطلع علي مستند لشي‌ء من هذه التقديرات و اعترف الفاضلان بعدم الاطلاع عليه و قال الصدوق من لم يدرك الصلاة علي الميت صلي علي القبر و لم يقيد لها وقتا و قربه الشهيد في البيان و أوجب في المختلف الصلاة علي من دفن بغير صلاة و منع من الصلاة علي غيره و حكم في المعتبر بعدم وجوب الصلاة بعد الدفن مطلقا قال و لا أمنع الجواز و قواه في المنتهي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میّت بر یک تابوت حمل نمی شوند؛ همچنین امام حسن عسکری علیه السلام در پاسخ نامه ای که صفّار</w:t>
      </w:r>
      <w:r>
        <w:rPr>
          <w:rStyle w:val="FootnoteAnchor"/>
          <w:rtl w:val="true"/>
        </w:rPr>
        <w:footnoteReference w:id="1811"/>
      </w:r>
      <w:r>
        <w:rPr>
          <w:rFonts w:ascii="IRNazanin" w:hAnsi="IRNazanin" w:eastAsia="IRNazanin"/>
          <w:color w:val="111111"/>
          <w:sz w:val="28"/>
          <w:sz w:val="28"/>
          <w:szCs w:val="28"/>
          <w:rtl w:val="true"/>
          <w:lang w:bidi="fa-IR"/>
        </w:rPr>
        <w:t>به وی نگاشته و در باره جواز حمل دو میّت بر یک تخت و نماز بر آن ها پرسیده و اینکه آیا در صورت نیاز و یا کثرت مردم جایز است که جنازه های یک مرد و یک زن بر روی تختی واحد حمل شوند،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مرد و زن به صورت همزمان بر یک تخت واحد حمل نمی شود؛ آنچه در این مکاتبه ذکر شده أخصّ از مدعی می باشد و ظاهراً بر عدم جواز حمل جنازه مرد و زن بر یک تابوت حتی در صورت نیاز دلالت می کند، 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الفقه ذکر شده و با شهرتش تأیید گشته است و چه بسا استمرار عمل در دوره های گوناگون، دلیل شایسته ای برای مکروه دانستن حمل دو جنازه بر یک تابوت می باشد، امّا در اثبات حرمت این امر اشکال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ظاهر حدیث چنین برداشت می شود که اقامه نماز بر میّت بعد از دفن برای کسی که بر او نماز نگزارده باشد، هر چند دیگران بر او نماز گزارده باشند، جایز است؛ ولی فقها در این باره دچار اختلاف نظر شده اند، بیشتر آنان از جمله شیخان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و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برّاج، ابن ادریس، ابن حمزه، محقّق در الشرایع و علّامه در الإرشاد بر این باورند برای کسی که نماز گزاردن بر میّت را قبل از دفن از دست داده جایز است یک شبانه روز بعد از دفن بر قبر او نماز بگزارد، همچنین مطلق بودن کلام آنان اقتضا می کند که نماز گزاردن بر قبر میّت جایز باشد هر چند قبل از دفن بر او نماز گزارده باشند؛ سلّار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تا سه روز پس از دفن بر قبر میّت نماز گزارده شود، و از کلام شیخ در الخلاف چنین فهمیده می شود که در تأیید این نظر روایت وجود دارد</w:t>
      </w:r>
      <w:r>
        <w:rPr>
          <w:rFonts w:eastAsia="IRNazanin" w:cs="IRNazanin"/>
          <w:color w:val="111111"/>
          <w:sz w:val="28"/>
          <w:szCs w:val="28"/>
          <w:rtl w:val="true"/>
          <w:lang w:bidi="fa-IR"/>
        </w:rPr>
        <w:t>.</w:t>
      </w:r>
      <w:r>
        <w:rPr>
          <w:rStyle w:val="FootnoteAnchor"/>
          <w:rtl w:val="true"/>
        </w:rPr>
        <w:footnoteReference w:id="1812"/>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جنید نیز معتقد است تا زمانی که چهره میّت تغییر نکند می توان بر او نماز گزارد؛ حال آنکه من به مستندی که این اندازه گیری ها را تأیید کند دست نیافتم، فاضلان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 و 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عدم آگاهی از چنین مستنداتی اعتراف کرده اند، صدوق نیز گفته است هر کسی که نماز گزاردن بر میّت را در نیابد، می تواند بر قبر او نماز بگزارد؛ و نماز گزاردن بر قبر را مقیّد به زمان مشخصی نکرده است، شهید نیز در البیان به این نکته اقرار کرده است، همچنین شیخ در المختلف نماز گزاردن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میّتی که بدون نماز دفن شده را واجب و نماز گزاردن بر میّت هایی غیر از این را ممنوع دانسته است، ولی در المعتبر به صورت مطلق حُکم به عدم وجوب نماز بر قبر میّت صادر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جنین عملی را منع نمی کنم، و در المنتهی نظریّه جواز را قوی گردانده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المسألة قوية الإشكال لتعارض الأخبار و وجود الاختلاف بين المخالفين أيضا و إن كان القول بالجواز أشهر عندهم رواية و فتوي و الأحوط فيمن صلي عليه ترك الصلاة و الاكتفاء بالدعاء و فيمن لم يصل عليه الصلاة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وقوف المأموم خلف الإمام و إن كان واحدا فقد ورد في الأخبار و عمل به الأصحاب و الأولي عدم المخالفة و إن كان ظاهر الأكثر الاستحباب إذ ظاهر الأخبار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تقول في التكبيرة الأولي هذه الكيفية مروية في الكافي‌</w:t>
      </w:r>
      <w:r>
        <w:rPr>
          <w:rStyle w:val="FootnoteAnchor"/>
          <w:rtl w:val="true"/>
        </w:rPr>
        <w:footnoteReference w:id="1813"/>
      </w:r>
      <w:r>
        <w:rPr>
          <w:rFonts w:ascii="Amiri" w:hAnsi="Amiri" w:eastAsia="Amiri" w:cs="Amiri"/>
          <w:color w:val="111111"/>
          <w:sz w:val="28"/>
          <w:sz w:val="28"/>
          <w:szCs w:val="28"/>
          <w:rtl w:val="true"/>
          <w:lang w:bidi="ar-SA"/>
        </w:rPr>
        <w:t>بسند حسن كالصحيح عن الحلبي عن الصادق عليه السلام بأدني 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إِنَّا لِلَّهِ هذه كلمة أثني الله سبحانه علي قائلها عند المصائب لدلالتها علي الرضا بقضائه و التسليم لأمره فمعني إِنَّا لِلَّهِ الإقرار له بالعبودية أي نحن عبيد الله و مماليكه فله التصرف فينا بالحياة و الموت و الصحة و المرض و المالك علي الإطلاق أعلم بصلاح مملوكه و اعتراض المملوك عليه من جرأته و ضعف عقله وَ إِنَّا إِلَيْهِ راجِعُونَ إقرار بالبعث و النشور و تسلية للنفس بأن الله تعالي عند رجوعنا إليه يثيبنا علي ما يصيبنا من المكاره و الآلام أجزل الثواب كما وعدنا و ينتقم لنا ممن ظلمنا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تسلية من جهة أخري و هي أنه إذا كان رجوعنا إلي الله جميعا و إلي ثوابه فينبغي أن لا نبالي بافتراقنا بالموت و لا ضرر علي الميت أيضا فإنه انتقل من دار إلي دار أحسن من الأولي و رجع إلي رب كريم هو رب الآخرة و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 ما ذكرنا ما روي عن أمير المؤمنين عليه السلام أنه قال إِنَّا لِلَّهِ إقرار علي أنفسنا بالملك وَ إِنَّا إِلَيْهِ راجِعُونَ إقرار علي أنفسنا بالهلك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ثبته في الكافي‌</w:t>
      </w:r>
      <w:r>
        <w:rPr>
          <w:rStyle w:val="FootnoteAnchor"/>
          <w:rtl w:val="true"/>
        </w:rPr>
        <w:footnoteReference w:id="1814"/>
      </w:r>
      <w:r>
        <w:rPr>
          <w:rFonts w:ascii="Amiri" w:hAnsi="Amiri" w:eastAsia="Amiri" w:cs="Amiri"/>
          <w:color w:val="111111"/>
          <w:sz w:val="28"/>
          <w:sz w:val="28"/>
          <w:szCs w:val="28"/>
          <w:rtl w:val="true"/>
          <w:lang w:bidi="ar-SA"/>
        </w:rPr>
        <w:t>بالقول الثابت في الحياة الدنيا و في الآخرة و هو إشارة إلي قوله تعالي يُثَبِّتُ اللَّهُ الَّذِينَ آمَنُوا بِالْقَوْلِ الثَّابِتِ فِي الْحَياةِ</w:t>
      </w:r>
    </w:p>
    <w:p>
      <w:pPr>
        <w:pStyle w:val="BookText"/>
        <w:rPr/>
      </w:pPr>
      <w:r>
        <w:rPr>
          <w:rFonts w:ascii="IRNazanin" w:hAnsi="IRNazanin" w:eastAsia="IRNazanin"/>
          <w:color w:val="111111"/>
          <w:sz w:val="28"/>
          <w:sz w:val="28"/>
          <w:szCs w:val="28"/>
          <w:rtl w:val="true"/>
          <w:lang w:bidi="fa-IR"/>
        </w:rPr>
        <w:t>امّا این مسأله به خاطر تعارض احادیث و وجود اختلاف بین خود مخالفین نیز دارای اشکال و ایراد بسیار است، هر چند نظریه جواز چه از لحاظ روایت و چه از لحاظ فتوی نزد آنان از شهرت بیشتری برخوردار است، ولی احوط در مورد میّتی که بر او نماز گزارده شده آن است که پس از دفن بر قبرش نماز گزارده نشود و فقط به دعا بسنده شود، اوضاع در مورد میّتی که مطلقاً بر او نماز گزارده نشده نیز به همین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ایستادن مأموم، هر چند به تنهایی، پشت سر امام موضوعی است که در احادیث به آن پرداخته شده و فقها به آن عمل کرده اند، ولی نظر أولی عدم وجوب قرار گرفتن در پشت سر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کنار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این در حالی است که ظاهر کلام فقها بر استحباب و ظاهر احادیث بر وجوب قرار گرفتن مأموم پشت سر امام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 فی التکبیرة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الکافی با همین کیفیت و با سند حسن شبیه به صحیح و اندکی تغییر از حلبی از امام صادق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است که خداوند متعال گوینده آن را هنگام گرفتار شدن به مصایب ستوده است، چرا که نشان دهنده رضایت از قضا و قدر الهی و تسلیم امر او شدن است، پس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عبودیت خداوند متعال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عبد و بندگان خداوند هستیم، پس دارای حق تصرّف در زندگی، مرگ، تندرستی و بیماری ما می باشد، و مالک مطلق از خیر و صلاح مملوک خویش آگاه تر است، و اعتراض مملوک نسبت به مالک ناشی از جسارت و ضعف عقل اوست،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برانگیخته شدن و رستاخیز است، همچنین این عبارت به جان ها آرامش می بخشد که خداوند متعال، آن گونه که وعده داده است ما را هنگام بازگشت به سوی خود و به خاطر سختی ها و درد هایی که به آن ها گرفتارمان کرده به بهترین شیوه اجر و پاداش می بخشد و انتقام ما را از کسانی که مورد ستم مان قرار داده اند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از سویی دیگر نیز آرام بخش جان هاست به این ترتیب که اگر بازگشت همه ما به سوی خداوند و اجر و پاداش اوست، پس شایسته است که به جدا شدن مان از یکدیگر به وسیله مرگ چندان اهمیتی نشان ندهیم، همچنین میّت با مرگ دچار هیچ ضرر و زیانی نمی گردد، بلکه فقط از خانه ای به خانه ای بهتر و نیکوتر از پیش منتقل و به سوی پروردگاری بخشنده که پروردگار آخرت و دنیا است باز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آنچه ذکر شده روایتی از امیرالمؤمنین علیه السلام نقل شده است ، ایشان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مملوک 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هلاک شدن جان های خویش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ثبّته بالقول الثابت فی الدنیا و الآخره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الکافی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ثبته بالقول الثابت فی الحیاة الدنیا و فی الآخره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اشاره ای است به 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یُثّبت الله الذین آمنوا بالقول الثابت فی الحیوة </w:t>
      </w:r>
      <w:bookmarkStart w:id="3488" w:name="pg13517_329401"/>
    </w:p>
    <w:p>
      <w:pPr>
        <w:pStyle w:val="BookText"/>
        <w:rPr/>
      </w:pPr>
      <w:bookmarkEnd w:id="3488"/>
      <w:r>
        <w:rPr>
          <w:rFonts w:ascii="Amiri" w:hAnsi="Amiri" w:eastAsia="Amiri" w:cs="Amiri"/>
          <w:color w:val="111111"/>
          <w:sz w:val="28"/>
          <w:sz w:val="28"/>
          <w:szCs w:val="28"/>
          <w:rtl w:val="true"/>
          <w:lang w:bidi="ar-SA"/>
        </w:rPr>
        <w:t>الدُّنْيا وَ فِي الْآخِرَةِ</w:t>
      </w:r>
      <w:r>
        <w:rPr>
          <w:rStyle w:val="FootnoteAnchor"/>
          <w:rtl w:val="true"/>
        </w:rPr>
        <w:footnoteReference w:id="1815"/>
      </w:r>
      <w:r>
        <w:rPr>
          <w:rFonts w:ascii="Amiri" w:hAnsi="Amiri" w:eastAsia="Amiri" w:cs="Amiri"/>
          <w:color w:val="111111"/>
          <w:sz w:val="28"/>
          <w:sz w:val="28"/>
          <w:szCs w:val="28"/>
          <w:rtl w:val="true"/>
          <w:lang w:bidi="ar-SA"/>
        </w:rPr>
        <w:t>قال البيضاوي بِالْقَوْلِ الثَّابِتِ أي الذي ثبت بالحجة عندهم و تمكن في قلوبهم فِي الْحَياةِ الدُّنْيا فلا يزالون إذا افتتنوا في دينهم كزكريا و يحيي و جرجيس و شمعون و الذين فتنهم أصحاب الأخدود وَ فِي الْآخِرَةِ فلا يتلعثمون إذا سئلوا من معتقدهم في الموقف و لا يدهشهم أهوال القيامة انتهي</w:t>
      </w:r>
      <w:r>
        <w:rPr>
          <w:rFonts w:eastAsia="Amiri" w:cs="Amiri" w:ascii="Amiri" w:hAnsi="Amiri"/>
          <w:color w:val="111111"/>
          <w:sz w:val="28"/>
          <w:szCs w:val="28"/>
          <w:rtl w:val="true"/>
          <w:lang w:bidi="ar-SA"/>
        </w:rPr>
        <w:t>.</w:t>
      </w:r>
    </w:p>
    <w:p>
      <w:pPr>
        <w:pStyle w:val="Heading5"/>
        <w:numPr>
          <w:ilvl w:val="4"/>
          <w:numId w:val="1"/>
        </w:numPr>
        <w:rPr/>
      </w:pPr>
      <w:bookmarkStart w:id="3489" w:name="__RefHeading___Toc608122_1934241801"/>
      <w:bookmarkStart w:id="3490" w:name="_Toc1605"/>
      <w:bookmarkEnd w:id="3489"/>
      <w:r>
        <w:rPr>
          <w:rtl w:val="true"/>
        </w:rPr>
        <w:t>أقول</w:t>
      </w:r>
      <w:bookmarkEnd w:id="3490"/>
    </w:p>
    <w:p>
      <w:pPr>
        <w:pStyle w:val="BookText"/>
        <w:rPr/>
      </w:pPr>
      <w:r>
        <w:rPr>
          <w:rFonts w:ascii="Amiri" w:hAnsi="Amiri" w:eastAsia="Amiri" w:cs="Amiri"/>
          <w:color w:val="111111"/>
          <w:sz w:val="28"/>
          <w:sz w:val="28"/>
          <w:szCs w:val="28"/>
          <w:rtl w:val="true"/>
          <w:lang w:bidi="ar-SA"/>
        </w:rPr>
        <w:t>يشكل ما ورد في هذا الدعاء بأن حياته الدنيوية قد انقضت فما معني الثبات له في الحيوة الدنيا و يمكن أن يوجه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يكون الظرف متعلقا بالثابت أي القول الثابت الذي لا يتبدل بتبدل النشأتين فإن العقائد الباطلة التابعة للأغراض الدنيوية و الشهوات الدنية تتبدل و تتغير في النشأة الآخرة لزوال دواعيها و في الآية أيضا يحتمل ذلك و إن لم يذكره المفسرون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يكون المراد بالحياة الدنيا ما يقع قبل القيامة فيكون حياة القبر للسؤال داخلا في الحياة الدنيا علي أنه يحتمل أن يكون ذكره علي سبيل التبعية استطرادا لذكره في الآية و لعل ثاني الوجهين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اللهم اسلك بنا أي اجعلنا سالكين سبيلا يهدينا إلي ما يوجب لنا درجات الجنان و اسلك به سبيلا يهديه و يوصله إلي الجنة في المحشر فسلوك سبيل الهدي في الدنيا موجب لسلوك سبيل الهدي في الآخرة كما روي في تأويل قوله تعالي إِنَّ الَّذِينَ آمَنُوا وَ عَمِلُوا الصَّالِحاتِ يَهْدِيهِمْ رَبُّهُمْ بِإِيمانِهِمْ‌</w:t>
      </w:r>
      <w:r>
        <w:rPr>
          <w:rStyle w:val="FootnoteAnchor"/>
          <w:rtl w:val="true"/>
        </w:rPr>
        <w:footnoteReference w:id="1816"/>
      </w:r>
      <w:r>
        <w:rPr>
          <w:rFonts w:ascii="Amiri" w:hAnsi="Amiri" w:eastAsia="Amiri" w:cs="Amiri"/>
          <w:color w:val="111111"/>
          <w:sz w:val="28"/>
          <w:sz w:val="28"/>
          <w:szCs w:val="28"/>
          <w:rtl w:val="true"/>
          <w:lang w:bidi="ar-SA"/>
        </w:rPr>
        <w:t>الآية رواه عبد الله بن الفضل الهاشمي عن الصادق عليه السلام و يحتمل أن يكون المراد بسبيل الهدي سبيل أهل الهدي بأن يقدر مضاف فبالنسبة إلينا يشمل النشأتين و بالنسبة إليه يختص بالآخرة و كذا الكلام في الفقرة الثانية أي اهدنا إلي الصراط المستقيم في العقائد و الأعمال و اهده إلي صراط الآخرة</w:t>
      </w:r>
    </w:p>
    <w:p>
      <w:pPr>
        <w:pStyle w:val="BookText"/>
        <w:rPr/>
      </w:pPr>
      <w:r>
        <w:rPr>
          <w:rFonts w:ascii="IRNazanin" w:hAnsi="IRNazanin" w:eastAsia="IRNazanin"/>
          <w:color w:val="111111"/>
          <w:sz w:val="28"/>
          <w:sz w:val="28"/>
          <w:szCs w:val="28"/>
          <w:rtl w:val="true"/>
          <w:lang w:bidi="fa-IR"/>
        </w:rPr>
        <w:t>الدنیا و فی الآخرة</w:t>
      </w:r>
      <w:r>
        <w:rPr>
          <w:rFonts w:eastAsia="IRNazanin" w:cs="IRNazanin"/>
          <w:color w:val="111111"/>
          <w:sz w:val="28"/>
          <w:szCs w:val="28"/>
          <w:rtl w:val="true"/>
          <w:lang w:bidi="fa-IR"/>
        </w:rPr>
        <w:t>»</w:t>
      </w:r>
      <w:r>
        <w:rPr>
          <w:rStyle w:val="FootnoteAnchor"/>
          <w:rtl w:val="true"/>
        </w:rPr>
        <w:footnoteReference w:id="18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کسانی را که ایمان آورده‌اند در زندگی دنیا و در آخرت با سخن استوار ثابت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بیضاوی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بالقول الثابت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که با حجّت و برهان نزد آنان ثابت و در قلب هایشان جایگزین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الحیوة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در دین شان گرفتار بلا و مصیبت شدند دچار زوال و لغزش نمی 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یحیی، جرجیس، شمعون و کسانی که اصحاب اخدود آنان را به آتش کشیدند،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در صحرای محشر از اعتقادات شان پرسیده شدند، در پاسخ گفتن دچار درنگ و لکنت نمی شوند و سختی های قیامت آنان را نمی ترساند، 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p>
    <w:p>
      <w:pPr>
        <w:pStyle w:val="BookText"/>
        <w:rPr/>
      </w:pPr>
      <w:r>
        <w:rPr>
          <w:rFonts w:ascii="IRNazanin" w:hAnsi="IRNazanin" w:eastAsia="IRNazanin"/>
          <w:color w:val="111111"/>
          <w:sz w:val="28"/>
          <w:sz w:val="28"/>
          <w:szCs w:val="28"/>
          <w:rtl w:val="true"/>
          <w:lang w:bidi="fa-IR"/>
        </w:rPr>
        <w:t>اشکالی که به این دعا وارد می شود این است که زندگی دنیایی میّت به پایان رسیده است، پس درخواست ثبات برای او در زندگی دنیایی چه معنایی می توان داشته باشد؟ این سؤال ممکن است به دو صورت پاسخ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ثابتی که با تغییر در نشأت و آفرینش دنیوی و اخروی دچار تبدیل و تغییر نمی شود، چرا که عقاید باطلی که تابع اغراض دنیوی و شهوات پست هستند در نشأت و آفرینش اخروی دچار تبدیل و تغییر می شوند چون اسباب و علل آن ها دچار زوال شده اند، در آیه مذکور نیز چنین احتمالی وجود دارد هر چند مفسّران آن را ذکر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و اوضاع قبل از بر پایی قیامت باشد، پس با این حساب زندگی در قبر و سوال و جواب آن نیز جزء زندگی دنیوی به شمار می آید، هر چند این احتمال نیز وجود دارد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فرموده امام علیه السلام استطراداً و به خاطر پیروی از ذکر آن در آیه بوده باشد، و شاید پاسخ دوّم به صحت نزدیک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اسلک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پیمایندگان مسیری قرار ده که آن مسیر ما را به انجام اموری رهنمون می گردد که دستیابی به مراتب و درجات بهشت را حتمی می سازد، همچنین این میّت را در راه و مسیری قرار ده که او را در روز محشر به سوی بهشت هدایت کرده و به آن می رساند، پس پیمودن مسیر هدایت در دنیا باعث پیمودن مسیر هدایت در آخرت می شود، آن گونه که عبدالله بن فضل هاشمیّ در تأویل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 عَمِلُوا الصَّالِحاتِ یَهْدِیهِمْ رَبُّهُمْ بِإِیمانِهِمْ</w:t>
      </w:r>
      <w:r>
        <w:rPr>
          <w:rFonts w:eastAsia="IRNazanin" w:cs="IRNazanin"/>
          <w:color w:val="111111"/>
          <w:sz w:val="28"/>
          <w:szCs w:val="28"/>
          <w:rtl w:val="true"/>
          <w:lang w:bidi="fa-IR"/>
        </w:rPr>
        <w:t>»</w:t>
      </w:r>
      <w:r>
        <w:rPr>
          <w:rStyle w:val="FootnoteAnchor"/>
          <w:rtl w:val="true"/>
        </w:rPr>
        <w:footnoteReference w:id="1818"/>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و کارهای شایسته کرده‌اند، پروردگارشان به پاس ایمانشان آنان را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چنین مفهومی را از امام صادق علیه السلام روایت کرده است، همچنین ممکن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أهل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هدایت شوندگان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مضاف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باشد، بنابراین چنین دعایی به نسبت ما زندگان هر دو آفرینش دنیوی و اخروی را شامل می شود، ولی به نسبت میّت فقط اختصاص به آفرینش اخروی دارد، مفهوم کلام در بند دوّم نیز به همین ترتیب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زمینه عقاید و اصول به پیمودن راه راست و این میّت را نیز به سوی </w:t>
      </w:r>
    </w:p>
    <w:p>
      <w:pPr>
        <w:pStyle w:val="BookText"/>
        <w:rPr/>
      </w:pPr>
      <w:r>
        <w:rPr>
          <w:rFonts w:ascii="Amiri" w:hAnsi="Amiri" w:eastAsia="Amiri" w:cs="Amiri"/>
          <w:color w:val="111111"/>
          <w:sz w:val="28"/>
          <w:sz w:val="28"/>
          <w:szCs w:val="28"/>
          <w:rtl w:val="true"/>
          <w:lang w:bidi="ar-SA"/>
        </w:rPr>
        <w:t>الموصل إلي الجنة و يحتمل في الفقرتين أن يكون المراد سبيل الهدي و الصراط المستقيم في الآخرة بالنسبة إلينا و إليه معا فإن طلب هدايتنا في الآخرة إلي ذلك السبيل و الصراط يستلزم طلب ما يوصل إليهما و يوجبهما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عفوك عفوك بالنصب أي أطلبه و قد يرفع بتقدير الخبر و أما ترك الكاظم عليه السلام‌</w:t>
      </w:r>
      <w:r>
        <w:rPr>
          <w:rStyle w:val="FootnoteAnchor"/>
          <w:rtl w:val="true"/>
        </w:rPr>
        <w:footnoteReference w:id="1819"/>
      </w:r>
      <w:r>
        <w:rPr>
          <w:rFonts w:ascii="Amiri" w:hAnsi="Amiri" w:eastAsia="Amiri" w:cs="Amiri"/>
          <w:color w:val="111111"/>
          <w:sz w:val="28"/>
          <w:sz w:val="28"/>
          <w:szCs w:val="28"/>
          <w:rtl w:val="true"/>
          <w:lang w:bidi="ar-SA"/>
        </w:rPr>
        <w:t>الصلاة علي الميت حين اصفرار الشمس فلعله نوع تقية منه بقرينة ما ذكر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افسح له في القاموس فسح له كمنع وسع و في النهاية و منه حديث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افسح له مفسحا في عدلك أي أوسع له سعة في دار عدلك انتهي و المراد به إما رفع الضغطة أو كون روحه في عالم البرزخ في فسحة و نعمة و كرامة و جنات 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إن كان زاكيا فزكه قال في النهاية أصل الزكاة في اللغة الطهارة و النماء و البركة و المدح و كل ذلك قد استعمل في القرآن و الحديث ثم قال زكي الرجل نفسه إذا وصفها و أثني عليها انتهي و قال في الغريبين يزكون أنفسهم يزعمون أنهم أزكياء و نفسا زكية طاهرة لم تجن ما يوجب قتلها و ما زكي ما طهر و أوصاني بالصلاة و الزكاة أي الطهارة و ذلِكُمْ أَزْكي لَكُمْ أي أنمي و أعظم بركة و أَفْلَحَ مَنْ زَكَّاها قربها إلي الله وَ ما عَلَيْكَ أَلَّا يَزَّكَّي أن لا يسلم فيتطهر من الشرك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فالمعني أنه إن كان طاهرا من الشرك و الذنب أو ناميا في الكمالات و السعادات فزكه أي أثن عليه كناية عن قبول أعماله أو قربه إليك أو طهره زائدا علي ما اتصف به أو زد و بارك عليه في ثوابه و اجعل عمله ناميا مضاعفا في الأجر و الثواب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مسیری که به بهشتش می رساند هدایت فرما؛ همچنین ممکن است منظور از هر دو فقره، طلب قرار گرفتن ما و میّت با هم در راه هدایت و صراط مستقیم در آخرت باشد، چرا که طلب قرار گرفتن در مسیر هدایت و صراط مستقیم در آخرت، مستلزم طلب چیزی در دنیا است که ما و میّت را به آن مسیر و صراط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عفوک عفوک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منصوب خوانده 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بخشش تو را طلب می کنم، همچنین در برخی از مواقع بنا به مبتدا بودن و مقدّر دانستن خبر، مرفوع خوانده شده است؛</w:t>
      </w:r>
    </w:p>
    <w:p>
      <w:pPr>
        <w:pStyle w:val="BookText"/>
        <w:rPr/>
      </w:pPr>
      <w:r>
        <w:rPr>
          <w:rFonts w:ascii="IRNazanin" w:hAnsi="IRNazanin" w:eastAsia="IRNazanin"/>
          <w:color w:val="111111"/>
          <w:sz w:val="28"/>
          <w:sz w:val="28"/>
          <w:szCs w:val="28"/>
          <w:rtl w:val="true"/>
          <w:lang w:bidi="fa-IR"/>
        </w:rPr>
        <w:t xml:space="preserve">امّا شاید ترک نماز میّت از سوی امام کاظم علیه السلام هنگام به زردی گراییدن خورشید، به قرینه آنچه بعداً ذکر شده است نوعی تقیّه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شرح 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افسح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برای او پهناور و گشاده ساخت، و در النهایه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امام علی علیه السلام روایت شده که در آن از این عبارت به همین معنا استفاده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افسح له مفسحاً فی عدلک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دار عدالت خویش برای او وسعت و گشایشی حاصل گردان،پایان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این کلام یا این است که فشار و سختی را از او کنار بزن، و یا اینکه روح او را در عالم برزخ در گشایش، نعمت، کرامت و جنّات عالیه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النهایه در شرح 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زاکیاً فزکّه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پاکی، رشد و نمو، برکت و ستایش است، و در قرآن و حدیث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معانی آن استفاده شده است، سپس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زکّی الرجلُ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مرد خود را وصف کرد و ستود، 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یزکّون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کنند که شایسته و پاک از گناه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پاکی که مرتکب گناه و جنایتی نشده است که باعث قتل او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أوصانی بالصّلاة و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نماز و طهارت سفارش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وذلکم أزکی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برکتی بیشتر و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وأفلح مَن زکّیها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کسی که نفس خود را به خدا نزدیک گرداند رستگار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عَلَیْکَ أَلَّا یَزَّکَّی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تو اشکالی وارد نیست اگر او اسلام نیاورَد که به وسیله آن از شرک پاک شود، پایان نقل قول</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معنای کلام امام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میّت از شرک و گناه پاک بوده و یا در کمالات و سعادت ها پیشرو بوده است، او را تزکیه گردان، یعنی مورد ستایش و مدحش قرار ده، که به کنایه به معنای درخواست پذیرش اعمال می باشد، یا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خود نزدیک گردان، یا اضافه بر آنچه متّصف به آن است او را پاک و مطهر گردان، یا ثواب و پاداش او را افزون و با برکت ساز و عمل او را در اجر و پاداش زیاد و مضاعف گردان</w:t>
      </w:r>
      <w:r>
        <w:rPr>
          <w:rFonts w:eastAsia="IRNazanin" w:cs="IRNazanin"/>
          <w:color w:val="111111"/>
          <w:sz w:val="28"/>
          <w:szCs w:val="28"/>
          <w:rtl w:val="true"/>
          <w:lang w:bidi="fa-IR"/>
        </w:rPr>
        <w:t xml:space="preserve">. </w:t>
      </w:r>
      <w:bookmarkStart w:id="3491" w:name="pg13517_329403"/>
    </w:p>
    <w:p>
      <w:pPr>
        <w:pStyle w:val="BookText"/>
        <w:rPr/>
      </w:pPr>
      <w:bookmarkEnd w:id="3491"/>
      <w:r>
        <w:rPr>
          <w:rFonts w:ascii="Amiri" w:hAnsi="Amiri" w:eastAsia="Amiri" w:cs="Amiri"/>
          <w:color w:val="111111"/>
          <w:sz w:val="28"/>
          <w:sz w:val="28"/>
          <w:szCs w:val="28"/>
          <w:rtl w:val="true"/>
          <w:lang w:bidi="ar-SA"/>
        </w:rPr>
        <w:t>قوله لا تحرمنا أجره أي أجر ما أصابنا من مصيبة و لا تفتنا بعده في القاموس الفتنة بالكسر الخبرة كالمفتون و منه بِأَيِّكُمُ الْمَفْتُونُ و إعجابك بالشي‌ء فتنة يفتنه فتنا و فتونا و أفتنه و الضلال و الإثم و الكفر و الفضيحة و العذاب و إذابة الذهب و الفضة و الإضلال و الجنون و المحنة و المال و الأولاد و اختلاف الناس في الآراء انتهي أي لا تجعلنا مفتونين بالدنيا بعد ما رأينا من مصيبته بل نبهنا بما أصابنا و اجعلنا زاهدين في الدنيا تاركين لشهواتنا لتذكر الموت و أهواله و لا تمتحنا بعده بشدة مصيبته فنجزع فيها و نستحق بذاك سخطك بل هب لنا صبرا عليها و لعل الأول أظهر و يحتمل معاني أخري تظهر مما نقلنا من معاني الفتنة لا نطيل الكلام بذكرها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اللهم اكتبه عندك في عليين مأخوذ من قوله تعالي كَلَّا إِنَّ كِتابَ الْأَبْرارِ لَفِي عِلِّيِّينَ‌</w:t>
      </w:r>
      <w:r>
        <w:rPr>
          <w:rStyle w:val="FootnoteAnchor"/>
          <w:rtl w:val="true"/>
        </w:rPr>
        <w:footnoteReference w:id="1820"/>
      </w:r>
      <w:r>
        <w:rPr>
          <w:rFonts w:ascii="Amiri" w:hAnsi="Amiri" w:eastAsia="Amiri" w:cs="Amiri"/>
          <w:color w:val="111111"/>
          <w:sz w:val="28"/>
          <w:sz w:val="28"/>
          <w:szCs w:val="28"/>
          <w:rtl w:val="true"/>
          <w:lang w:bidi="ar-SA"/>
        </w:rPr>
        <w:t>قال في النهاية فيه أن أهل الجنة ليتراءون أهل عليين عليون اسم للسماء السابعة و قيل اسم لديوان الملائكة الحفظة ترفع إليه أعمال الصالحين من العباد و قيل أراد أعلي الأمكنة و أشرف المراتب و أقربها إلي الله تعالي في الدار الآخرة انتهي</w:t>
      </w:r>
      <w:r>
        <w:rPr>
          <w:rFonts w:eastAsia="Amiri" w:cs="Amiri" w:ascii="Amiri" w:hAnsi="Amiri"/>
          <w:color w:val="111111"/>
          <w:sz w:val="28"/>
          <w:szCs w:val="28"/>
          <w:rtl w:val="true"/>
          <w:lang w:bidi="ar-SA"/>
        </w:rPr>
        <w:t>.</w:t>
      </w:r>
    </w:p>
    <w:p>
      <w:pPr>
        <w:pStyle w:val="Heading5"/>
        <w:numPr>
          <w:ilvl w:val="4"/>
          <w:numId w:val="1"/>
        </w:numPr>
        <w:rPr/>
      </w:pPr>
      <w:bookmarkStart w:id="3492" w:name="__RefHeading___Toc608124_1934241801"/>
      <w:bookmarkStart w:id="3493" w:name="_Toc1606"/>
      <w:bookmarkEnd w:id="3492"/>
      <w:r>
        <w:rPr>
          <w:rtl w:val="true"/>
        </w:rPr>
        <w:t>أقول</w:t>
      </w:r>
      <w:bookmarkEnd w:id="3493"/>
    </w:p>
    <w:p>
      <w:pPr>
        <w:pStyle w:val="BookText"/>
        <w:rPr/>
      </w:pPr>
      <w:r>
        <w:rPr>
          <w:rFonts w:ascii="Amiri" w:hAnsi="Amiri" w:eastAsia="Amiri" w:cs="Amiri"/>
          <w:color w:val="111111"/>
          <w:sz w:val="28"/>
          <w:sz w:val="28"/>
          <w:szCs w:val="28"/>
          <w:rtl w:val="true"/>
          <w:lang w:bidi="ar-SA"/>
        </w:rPr>
        <w:t>لعل المراد به هنا اكتب و قدر عندك أنه من أهل عليين أو اكتب اسمه في عليين فإنه ديوان يكتب فيه أسماء الأبرار و المقربين و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اخلف علي أهله و في أكثر الروايات علي عقبه من الغابرين اخلف بضم اللام و كسرها كما ذكره الجوهري و في النهاية يقال خلف الله لك بخير و أخلف عليك خيرا أي أبدلك بما ذهب منك و عوضك عنه و قيل إذا ذهب للرجل ما يخلفه مثل المال و الولد قيل أخلف الله لك و عليك و إذا ذهب له ما لا يخلفه غالبا كالأب و الأم قيل خلف الله عليك و قيل يقال خلف الله عليك إذا مات لك ميت أي كان الله خليفته عليك و أخلف الله عليك</w:t>
      </w:r>
    </w:p>
    <w:p>
      <w:pPr>
        <w:pStyle w:val="BookText"/>
        <w:rPr/>
      </w:pPr>
      <w:r>
        <w:rPr>
          <w:rFonts w:ascii="IRNazanin" w:hAnsi="IRNazanin" w:eastAsia="IRNazanin"/>
          <w:color w:val="111111"/>
          <w:sz w:val="28"/>
          <w:sz w:val="28"/>
          <w:szCs w:val="28"/>
          <w:rtl w:val="true"/>
          <w:lang w:bidi="fa-IR"/>
        </w:rPr>
        <w:t>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تحرمنا أجره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اجر و پاداش ابتلا به مصیبت از دست دادن این میّت محروم مگردان،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تفتنّا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آزمودن،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بأیّکُم المفتون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همین معنا گرفته شده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یَفتِنهُ، فَتَناً، و فُتُوناً و أفتنه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شیفته و شیدای خود کرد، همچنین معانی دیگری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گناه، کفر، رسوایی و فضیحت، عذاب، گداختن طلا و نقره، گمراه کردن، دیوانگی و جنون، درد و محنت، مال و اولاد، و اختلاف مردم در آراء و نظرات، 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 امام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بعد از مشاهده مصیبتی که به آن گرفتار آمدیم از شیفتگان دنیا قرار مده، بلکه ما را به واسطه این مصیبت بیدار و آگاه گردان، و از جمله کسانی قرارمان ده که در دنیا زهد پیشه می سازند و به خاطر یادآوری مرگ و سختی های آن شهوات خویش را ترک می گویند، خداوندا، بعد از مرگ این میّت ما را با سختی و شدت مصیبت از دست دادنش امتحان مکن که به خاطر آن دچار جزع و فزع شده و مستحقّ خشم تو  گردیم، بلکه قدرت صبر و تحمّل بر این مصیبت را به ما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نخستین معنا از معانی ذکر شده برای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تر باشد، و احتمال صحت معانی دیگر نیز وجود دارد و با توجه به معانی ذکر شده برای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آشکار است پس سخن را در این باره به درازا نمی کشانیم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اکتبه عندک فی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فرموده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 کِتابَ الْأَبْرارِ لَفِی عِلِّیِّینَ</w:t>
      </w:r>
      <w:r>
        <w:rPr>
          <w:rFonts w:eastAsia="IRNazanin" w:cs="IRNazanin"/>
          <w:color w:val="111111"/>
          <w:sz w:val="28"/>
          <w:szCs w:val="28"/>
          <w:rtl w:val="true"/>
          <w:lang w:bidi="fa-IR"/>
        </w:rPr>
        <w:t>»</w:t>
      </w:r>
      <w:r>
        <w:rPr>
          <w:rStyle w:val="FootnoteAnchor"/>
          <w:rtl w:val="true"/>
        </w:rPr>
        <w:footnoteReference w:id="18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 در حقیقت کتاب نیکان در علیون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شیخ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اهل بهشت، ساکنان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مشاهده کرده و به آنان می نگرند،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برای آسمان هفتم است، همچنین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دیوان فرشتگان محافظ انسان است و اعمال بندگان صالح به سوی آن بالا رفته و در آن ثبت می گردد، و گفته شده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بالاترین، شریف ترین و نزدیک ترین مرتبه از مراتب بهشت به خداوند متعال در سرای آخرت است، 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p>
    <w:p>
      <w:pPr>
        <w:pStyle w:val="BookText"/>
        <w:rPr/>
      </w:pPr>
      <w:r>
        <w:rPr>
          <w:rFonts w:ascii="IRNazanin" w:hAnsi="IRNazanin" w:eastAsia="IRNazanin"/>
          <w:color w:val="111111"/>
          <w:sz w:val="28"/>
          <w:sz w:val="28"/>
          <w:szCs w:val="28"/>
          <w:rtl w:val="true"/>
          <w:lang w:bidi="fa-IR"/>
        </w:rPr>
        <w:t>شاید مراد از این کلام در اینجا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خود بنویس و مقّدر دار که این میّت از ساکنان بالاترین و شریف ترین مرتبه از مراتب بهشت باشد، یا اسم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فرما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دیوانی باشد که اسم نیکان و مقرّبان درگاه الهی و اعمال آنان در آن ثبت می گردد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اخلف علی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بیشتر روایات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پس از آن ذکر شده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مضموم و مکسور قرائت شده است، چنان که جوهری نیز به ذکر این نکته پرداخته است، و در النهایه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 الله لک بخیر و أخلف علیک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جای آنچه از دست داده ای به تو عوض خیر دهد، و گفته شده هنگامی که انسان چیزها و افرادی مانند اموال و اولاد که برای آن ها جایگزینی وجود دارد را از دست دهد به او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أخلف الله لک و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هنگامی که افرادی مانند پدر و مادر که جایگزینی برای آن ها متصّور نیست را از دست دهد به او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 الله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بستگان تو وفات نماید، به تو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جانشین او نزد تو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أخلف الله علیک</w:t>
      </w:r>
      <w:r>
        <w:rPr>
          <w:rFonts w:eastAsia="IRNazanin" w:cs="IRNazanin"/>
          <w:color w:val="111111"/>
          <w:sz w:val="28"/>
          <w:szCs w:val="28"/>
          <w:rtl w:val="true"/>
          <w:lang w:bidi="fa-IR"/>
        </w:rPr>
        <w:t xml:space="preserve">) </w:t>
      </w:r>
      <w:bookmarkStart w:id="3494" w:name="pg13517_329404"/>
    </w:p>
    <w:p>
      <w:pPr>
        <w:pStyle w:val="BookText"/>
        <w:rPr/>
      </w:pPr>
      <w:bookmarkEnd w:id="3494"/>
      <w:r>
        <w:rPr>
          <w:rFonts w:ascii="Amiri" w:hAnsi="Amiri" w:eastAsia="Amiri" w:cs="Amiri"/>
          <w:color w:val="111111"/>
          <w:sz w:val="28"/>
          <w:sz w:val="28"/>
          <w:szCs w:val="28"/>
          <w:rtl w:val="true"/>
          <w:lang w:bidi="ar-SA"/>
        </w:rPr>
        <w:t>أي أبدلك و منه حديث أبي الدرداء في الدعاء للميت اخلف في عقبه أي كن لهم بعده و قال في غبر قال الأزهري يحتمل الغابر الماضي و الباقي فإنه من الأضداد قال و المعروف الكثير أن الغابر الباقي و قال غير واحد من الأئمة إنه يكون بمعني الماضي انتهي و في القاموس العقب الولد و ولد الولد كالعقب ككنف</w:t>
      </w:r>
      <w:r>
        <w:rPr>
          <w:rFonts w:eastAsia="Amiri" w:cs="Amiri" w:ascii="Amiri" w:hAnsi="Amiri"/>
          <w:color w:val="111111"/>
          <w:sz w:val="28"/>
          <w:szCs w:val="28"/>
          <w:rtl w:val="true"/>
          <w:lang w:bidi="ar-SA"/>
        </w:rPr>
        <w:t>.</w:t>
      </w:r>
    </w:p>
    <w:p>
      <w:pPr>
        <w:pStyle w:val="Heading5"/>
        <w:numPr>
          <w:ilvl w:val="4"/>
          <w:numId w:val="1"/>
        </w:numPr>
        <w:rPr/>
      </w:pPr>
      <w:bookmarkStart w:id="3495" w:name="__RefHeading___Toc608126_1934241801"/>
      <w:bookmarkStart w:id="3496" w:name="_Toc1607"/>
      <w:bookmarkEnd w:id="3495"/>
      <w:r>
        <w:rPr>
          <w:rtl w:val="true"/>
        </w:rPr>
        <w:t>أقول</w:t>
      </w:r>
      <w:bookmarkEnd w:id="3496"/>
    </w:p>
    <w:p>
      <w:pPr>
        <w:pStyle w:val="BookText"/>
        <w:rPr/>
      </w:pPr>
      <w:r>
        <w:rPr>
          <w:rFonts w:ascii="Amiri" w:hAnsi="Amiri" w:eastAsia="Amiri" w:cs="Amiri"/>
          <w:color w:val="111111"/>
          <w:sz w:val="28"/>
          <w:sz w:val="28"/>
          <w:szCs w:val="28"/>
          <w:rtl w:val="true"/>
          <w:lang w:bidi="ar-SA"/>
        </w:rPr>
        <w:t>يحتمل أن يكون قوله في الغابرين بدلا من قوله علي أهله أو علي عقبه أي كن خليفته من الباقين من عقبه فاحفظ أمورهم و هيئ لهم مصالحهم و لا تكلهم إلي غيرك و أن يكون حالا من قوله عقبه أي كن خليفته عليهم كائنين في الباقين من الناس و أن يكون صفة للمصدر المحذوف أي اخلف عليهم خلافة كائنة في أمر الباقين من الناس بأن تميل قلوب الناس إليهم و تجعلهم مكرمين عندهم يراعونهم و ينفعونهم و علي الاحتمال الثاني يمكن أن يكون المراد هذا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حالا عن الفاعل في اخلف أي كن أنت الخليفة علي عقبه بين سائر من بقي بعده و أن يكون حالا عن الضمير المجرور و يكون الغابر بمعني الماضي أي حال كونه في جملة الماضين من الموتي فيكون التقييد به لنوع من الاستعطاف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البهائي قدس الله روحه لعل في للسببية و المراد الدعاء بجعل الباقين من أقارب عقبه عوضا لهم عن الميت انتهي و لعل بعض ما خطر بالبال من الاحتمالات السالفة أظهر مما ذكره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اللهم لا ترفعه أي بالرفعة المعنوية و قد مر معني التزكية و يدل الخبر علي الفرق بين المستضعف و بين من لا يعرف حاله في الدعاء و الظاهر أن المراد به من لا يعرف مذهبه و من كان في بلاد الشيعة و مات و لا يعرف مذهبه فهل يحكم بإيمانه بناء علي الغالب أو هو داخل في هذا القسم فيه إشكال و لعل الأول 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او برای تو جایگزینی قرار دهد، و از این جمله است حدیث ابودرداء در زمینه دعا برای 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اخلف فی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میّت جانشین او در میان فرزندانش باش؛ و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أزهریّ بر این باور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گذشته و سپری شده و همچنین باقی و برجای مانده به کار رفته و از اضداد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در معنای باقی و بر جای مانده استعمال شده است، هر چند نه یکی بلکه عدّه ای از امامان لغت بر این باورند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گذشته و سپری شده می باشد،پایان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فرزند و نوه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الغابرین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میّت در میان بازماندگانش باش، پس حافظ امورات آنان باش و زمینه دست یابی به مصالح شان را فراهم ساز و آنان را به غیر خود واگذار مکن، همچنین ممکن است حال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آنان از جمله مردم باقیمانده پس از او هستند تو جانشین او بر ایشان باش، و یا صفت مصدر محذوف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میّت در میان فرزندانش باش به گونه ای که قلب های مردم به سوی آنان متمایل شود و آنان را نزد مردم از افراد گرامی و بزرگوار قرار ده که مردم رعایت حالشان می کنند و به آنان سود می رسانند،و بر اساس احتمال دوّم ممکن است که مقصود چنین باشد، چنان که پنهان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فاعل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فقط تو و نه کسانی دیگر که پس از میّت باقی مانده اند جانشین او در میان فرزندانش باشند، امکان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ضمیر 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گذشته و سپری شده باشد نیز وجود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میّت در میان گروهی از مردگان سپری شده قرار دارد، پس مقیّد گرداندن میّت به این شیوه به خاطر کسب نوعی از عطوفت و رحم خدا نسبت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ما بهائی قدّس الله روحه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سبب باشد، و مقصود از کلام مذکور طلب این نکته باشد که خداوند بستگان باقی مانده فرزندان میّت را در عوض خود او برای آنان نگاه دارد، ولی شاید برخی از احتمالات گذشته که به ذهن خطور می کنند واضح تر از سخنی باشند که شیخ قدّس سرّه ذکر کرده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آنان را از نظر معنوی رفیع و والا مگردان، و معانی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پیش تر ذکر گردید، امّا حدیث مذکور بر وجود تفاوت در دعا خواندن برای مستضعف و کسی که از احوال او اطّلاعی در دست نیست دلالت می کند، و ظاهراً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یُعرف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مذهب او شناخته شده نباشد، امّا کسی که در سرزمین شیعیان سکونت دارد و در حالی که مذهب او شناخته نمی شود وفات می نماید، آیا براساس دین اغلب ساکنان حُکم به ایمان او نیز صادر می شود و یا اینکه از جمله کسانی به شمار می آید که اطّلاعی از احوال آنان دردست نیست؟ در این مطلب اشکال وجود دارد و شاید نظر نخست صحیح تر باشد یعنی حکم به ایمان چنین شخصی صادر می شود</w:t>
      </w:r>
      <w:r>
        <w:rPr>
          <w:rFonts w:eastAsia="IRNazanin" w:cs="IRNazanin"/>
          <w:color w:val="111111"/>
          <w:sz w:val="28"/>
          <w:szCs w:val="28"/>
          <w:rtl w:val="true"/>
          <w:lang w:bidi="fa-IR"/>
        </w:rPr>
        <w:t xml:space="preserve">. </w:t>
      </w:r>
      <w:bookmarkStart w:id="3497" w:name="pg13517_329405"/>
    </w:p>
    <w:p>
      <w:pPr>
        <w:pStyle w:val="Heading5"/>
        <w:numPr>
          <w:ilvl w:val="4"/>
          <w:numId w:val="1"/>
        </w:numPr>
        <w:rPr/>
      </w:pPr>
      <w:bookmarkStart w:id="3498" w:name="__RefHeading___Toc608128_1934241801"/>
      <w:bookmarkStart w:id="3499" w:name="_Toc1608"/>
      <w:bookmarkEnd w:id="3497"/>
      <w:bookmarkEnd w:id="3498"/>
      <w:r>
        <w:rPr>
          <w:rtl w:val="true"/>
        </w:rPr>
        <w:t>«</w:t>
      </w:r>
      <w:r>
        <w:rPr/>
        <w:t>24</w:t>
      </w:r>
      <w:r>
        <w:rPr>
          <w:rtl w:val="true"/>
        </w:rPr>
        <w:t>»</w:t>
      </w:r>
      <w:bookmarkEnd w:id="3499"/>
    </w:p>
    <w:p>
      <w:pPr>
        <w:pStyle w:val="BookText"/>
        <w:rPr/>
      </w:pPr>
      <w:r>
        <w:rPr>
          <w:rFonts w:ascii="Amiri" w:hAnsi="Amiri" w:eastAsia="Amiri" w:cs="Amiri"/>
          <w:color w:val="111111"/>
          <w:sz w:val="28"/>
          <w:sz w:val="28"/>
          <w:szCs w:val="28"/>
          <w:rtl w:val="true"/>
          <w:lang w:bidi="ar-SA"/>
        </w:rPr>
        <w:t>دَعَائِمُ الْإِسْلَامِ، رُوِّينَا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وَفَاةَ رَسُولِ اللَّهِ صلي الله عليه و آله قَالَ لَمَّا غَسَّلَهُ عَلِيٌّ عليه السلام وَ كَفَّنَهُ أَتَاهُ الْعَبَّاسُ فَقَالَ يَا عَلِيُّ إِنَّ النَّاسَ قَدِ اجْتَمَعُوا لِيُصَلُّوا عَلَي رَسُولِ اللَّهِ صلي الله عليه و آله وَ رَأَوْا أَنْ يُدْفَنَ فِي الْبَقِيعِ وَ أَنْ يَؤُمَّهُمْ فِي الصَّلَاةِ عَلَيْهِ رَجُلٌ مِنْهُمْ فَخَرَجَ عَلِيٌّ عليه السلام فَقَالَ أَيُّهَا النَّاسُ إِنَّ رَسُولَ اللَّهِ صلي الله عليه و آله كَانَ إِمَامَنَا حَيّاً وَ مَيِّتاً وَ إِنَّهُ لَمْ يُقْبَضْ نَبِيٌّ إِلَّا دُفِنَ فِي الْبُقْعَةِ الَّتِي مَاتَ فِيهَا قَالُوا اصْنَعْ مَا رَأَيْتَ فَقَامَ عَلِيٌّ عليه السلام عَلَي بَابِ الْبَيْتِ وَ صَلَّي عَلَي رَسُولِ اللَّهِ وَ قَدَّمَ النَّاسَ عَشَرَةً عَشَرَةً يُصَلُّونَ عَلَيْهِ وَ يَنْصَرِفُونَ‌</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مُحَمَّدِ بْنِ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عَلَي الْجِنَازَةِ حِينَ تَطْلُعُ الشَّمْسُ وَ حِينَ تَغْرُبُ وَ فِي كُلِّ حِينٍ إِنَّمَا هُوَ اسْتِغْفَارٌ</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دُعِيَ إِلَي الصَّلَاةِ عَلَي جِنَازَةٍ فَقَالَ إِنَّا لَفَاعِلُونَ وَ إِنَّمَا يُصَلِّي عَلَيْهِ عَمَلُهُ‌</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 عَلَي الْمُؤْمِنِ أَرْبَعُونَ رَجُلًا مِنَ الْمُؤْمِنِينَ وَ اجْتَهَدُوا فِي الدُّعَاءِ لَهُ اسْتُجِيبَ لَهُمْ‌</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السُّلْطَانُ الْجِنَازَةَ فَهُوَ أَحَقُّ بِالصَّلَاةِ عَلَيْهَا مِنْ وَلِيِّهَا</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اسْتَهَلَّ الطِّفْلُ صُلِّيَ عَلَيْهِ‌</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صَلَّي عَلَي امْرَأَةٍ مَاتَتْ فِي نِفَاسِهَا مِنَ الزِّنَي وَ عَلَي وَلَدِهَا وَ أَمَرَ بِالصَّلَاةِ عَلَي الْبَرِّ وَ الْفَاجِرِ مِنَ الْمُسْلِمِينَ‌</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الْجَنَائِزُ صَلَّي عَلَيْهَا مَعاً صَلَاةً وَاحِدَةً وَ يُجْعَلُ الرِّجَالُ مِمَّا يَلِيهِ وَ النِّسَاءُ مِمَّا يَلِي الْقِبْلَةَ</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كَانَ إِذَا وَقَفَ عَلَي جِنَازَةِ</w:t>
      </w:r>
    </w:p>
    <w:p>
      <w:pPr>
        <w:pStyle w:val="Heading5"/>
        <w:numPr>
          <w:ilvl w:val="4"/>
          <w:numId w:val="1"/>
        </w:numPr>
        <w:rPr/>
      </w:pPr>
      <w:bookmarkStart w:id="3500" w:name="__RefHeading___Toc608130_1934241801"/>
      <w:bookmarkStart w:id="3501" w:name="_Toc1609"/>
      <w:bookmarkEnd w:id="3500"/>
      <w:r>
        <w:rPr>
          <w:rtl w:val="true"/>
        </w:rPr>
        <w:t xml:space="preserve">روایت </w:t>
      </w:r>
      <w:r>
        <w:rPr/>
        <w:t>24</w:t>
      </w:r>
      <w:bookmarkEnd w:id="3501"/>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است که به ذکر وفات رسول خدا صلّی الله علیه و آله پرداخته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پیامبر را غسل داد و کفن کرد، عباس به سوی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مردم گرد آمده اند تا بر رسول خدا صلّی الله علیه و آله نماز بگزارند و بر این باورند که ایشان در بقیع به خاک سپرده شود و یکی از خودشان در نماز آنان را امامت کند، پس علی علیه السلام خارج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راستی که رسول خدا صلّی الله علیه و آله چه در حال حیات و چه هنگام وفات امام ما بوده است، و روح هیچ پیامبری ستانده نمی شود مگر آنکه در بقعه ای که در آن وفات نموده به خاک سپرده می شود،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کاری که می دانی درست است را انجام ده، آن گاه علی علیه السلام بر دروازه خانه ایستاد و بر پیکر رسول خدا نماز گزارد و مردم نیز ده نفر ده نفر می آمدند، بر پیامبر نماز می گزاردند و می رفتند</w:t>
      </w:r>
      <w:r>
        <w:rPr>
          <w:rFonts w:eastAsia="IRNazanin" w:cs="IRNazanin"/>
          <w:color w:val="111111"/>
          <w:sz w:val="28"/>
          <w:szCs w:val="28"/>
          <w:rtl w:val="true"/>
          <w:lang w:bidi="fa-IR"/>
        </w:rPr>
        <w:t>.</w:t>
      </w:r>
      <w:r>
        <w:rPr>
          <w:rStyle w:val="FootnoteAnchor"/>
          <w:rtl w:val="true"/>
        </w:rPr>
        <w:footnoteReference w:id="1830"/>
      </w:r>
    </w:p>
    <w:p>
      <w:pPr>
        <w:pStyle w:val="BookText"/>
        <w:rPr/>
      </w:pP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در نماز گزاردن بر جناره هنگام طلوع و غروب خورشید وجود ندارد، در هر زمانی می توان بر جنازه نماز گزارد چرا که نماز میّت فقط درخواست عفو و بخشش برای اوست</w:t>
      </w:r>
      <w:r>
        <w:rPr>
          <w:rFonts w:eastAsia="IRNazanin" w:cs="IRNazanin"/>
          <w:color w:val="111111"/>
          <w:sz w:val="28"/>
          <w:szCs w:val="28"/>
          <w:rtl w:val="true"/>
          <w:lang w:bidi="fa-IR"/>
        </w:rPr>
        <w:t>.</w:t>
      </w:r>
      <w:r>
        <w:rPr>
          <w:rStyle w:val="FootnoteAnchor"/>
          <w:rtl w:val="true"/>
        </w:rPr>
        <w:footnoteReference w:id="1831"/>
      </w:r>
    </w:p>
    <w:p>
      <w:pPr>
        <w:pStyle w:val="BookText"/>
        <w:rPr/>
      </w:pPr>
      <w:r>
        <w:rPr>
          <w:rFonts w:ascii="IRNazanin" w:hAnsi="IRNazanin" w:eastAsia="IRNazanin"/>
          <w:color w:val="111111"/>
          <w:sz w:val="28"/>
          <w:sz w:val="28"/>
          <w:szCs w:val="28"/>
          <w:rtl w:val="true"/>
          <w:lang w:bidi="fa-IR"/>
        </w:rPr>
        <w:t>روایت شده که امام علی علیه السلام به نماز گزاردن بر جنازه ای دعوت 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انجام دهنده هستیم، به راستی نماز گزاردن واقعی اعمال او هستند</w:t>
      </w:r>
      <w:r>
        <w:rPr>
          <w:rFonts w:eastAsia="IRNazanin" w:cs="IRNazanin"/>
          <w:color w:val="111111"/>
          <w:sz w:val="28"/>
          <w:szCs w:val="28"/>
          <w:rtl w:val="true"/>
          <w:lang w:bidi="fa-IR"/>
        </w:rPr>
        <w:t>.</w:t>
      </w:r>
      <w:r>
        <w:rPr>
          <w:rStyle w:val="FootnoteAnchor"/>
          <w:rtl w:val="true"/>
        </w:rPr>
        <w:footnoteReference w:id="1832"/>
      </w:r>
    </w:p>
    <w:p>
      <w:pPr>
        <w:pStyle w:val="BookText"/>
        <w:rPr/>
      </w:pPr>
      <w:r>
        <w:rPr>
          <w:rFonts w:ascii="IRNazanin" w:hAnsi="IRNazanin" w:eastAsia="IRNazanin"/>
          <w:color w:val="111111"/>
          <w:sz w:val="28"/>
          <w:sz w:val="28"/>
          <w:szCs w:val="28"/>
          <w:rtl w:val="true"/>
          <w:lang w:bidi="fa-IR"/>
        </w:rPr>
        <w:t>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چهل نفر از مؤمنان بر پیکر یک مؤمن نماز بگزارند و برای او دعا بخوانند، دعای آنان مستجاب خواهد شد</w:t>
      </w:r>
      <w:r>
        <w:rPr>
          <w:rFonts w:eastAsia="IRNazanin" w:cs="IRNazanin"/>
          <w:color w:val="111111"/>
          <w:sz w:val="28"/>
          <w:szCs w:val="28"/>
          <w:rtl w:val="true"/>
          <w:lang w:bidi="fa-IR"/>
        </w:rPr>
        <w:t>.</w:t>
      </w:r>
      <w:r>
        <w:rPr>
          <w:rStyle w:val="FootnoteAnchor"/>
          <w:rtl w:val="true"/>
        </w:rPr>
        <w:footnoteReference w:id="1833"/>
      </w:r>
    </w:p>
    <w:p>
      <w:pPr>
        <w:pStyle w:val="BookText"/>
        <w:rPr/>
      </w:pP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تشییع جنازه شرکت کند، از ولیّ میت شایسته تر است که بر او نماز بگزارد</w:t>
      </w:r>
      <w:r>
        <w:rPr>
          <w:rFonts w:eastAsia="IRNazanin" w:cs="IRNazanin"/>
          <w:color w:val="111111"/>
          <w:sz w:val="28"/>
          <w:szCs w:val="28"/>
          <w:rtl w:val="true"/>
          <w:lang w:bidi="fa-IR"/>
        </w:rPr>
        <w:t>.</w:t>
      </w:r>
      <w:r>
        <w:rPr>
          <w:rStyle w:val="FootnoteAnchor"/>
          <w:rtl w:val="true"/>
        </w:rPr>
        <w:footnoteReference w:id="1834"/>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طفل به دنیا می آید و شروع به گریه کردن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وفات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نماز گزارده می شود</w:t>
      </w:r>
      <w:r>
        <w:rPr>
          <w:rFonts w:eastAsia="IRNazanin" w:cs="IRNazanin"/>
          <w:color w:val="111111"/>
          <w:sz w:val="28"/>
          <w:szCs w:val="28"/>
          <w:rtl w:val="true"/>
          <w:lang w:bidi="fa-IR"/>
        </w:rPr>
        <w:t>.</w:t>
      </w:r>
      <w:r>
        <w:rPr>
          <w:rStyle w:val="FootnoteAnchor"/>
          <w:rtl w:val="true"/>
        </w:rPr>
        <w:footnoteReference w:id="1835"/>
      </w:r>
    </w:p>
    <w:p>
      <w:pPr>
        <w:pStyle w:val="BookText"/>
        <w:rPr/>
      </w:pPr>
      <w:r>
        <w:rPr>
          <w:rFonts w:ascii="IRNazanin" w:hAnsi="IRNazanin" w:eastAsia="IRNazanin"/>
          <w:color w:val="111111"/>
          <w:sz w:val="28"/>
          <w:sz w:val="28"/>
          <w:szCs w:val="28"/>
          <w:rtl w:val="true"/>
          <w:lang w:bidi="fa-IR"/>
        </w:rPr>
        <w:t>از امام علی علیه السلام روایت شده که رسول خدا صلّی الله علیه و آله بر زنی که در دوران نفاس که از زنا بود وفات کرده بود و همچنین بر فرزند او نماز گزارد، و به نماز گزاردن بر میّت مسلمانان چه نیکوکار و چه فاجر امر فرمود</w:t>
      </w:r>
      <w:r>
        <w:rPr>
          <w:rFonts w:eastAsia="IRNazanin" w:cs="IRNazanin"/>
          <w:color w:val="111111"/>
          <w:sz w:val="28"/>
          <w:szCs w:val="28"/>
          <w:rtl w:val="true"/>
          <w:lang w:bidi="fa-IR"/>
        </w:rPr>
        <w:t>.</w:t>
      </w:r>
      <w:r>
        <w:rPr>
          <w:rStyle w:val="FootnoteAnchor"/>
          <w:rtl w:val="true"/>
        </w:rPr>
        <w:footnoteReference w:id="1836"/>
      </w:r>
    </w:p>
    <w:p>
      <w:pPr>
        <w:pStyle w:val="BookText"/>
        <w:rPr/>
      </w:pP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چند جنازه با هم گرد آیند، یک نماز واحد بر آن ها گزارده می شود، و جنازه مردان نزدیک امام و جنازه زنان نزدیک قبله قرار داده می شود</w:t>
      </w:r>
      <w:r>
        <w:rPr>
          <w:rFonts w:eastAsia="IRNazanin" w:cs="IRNazanin"/>
          <w:color w:val="111111"/>
          <w:sz w:val="28"/>
          <w:szCs w:val="28"/>
          <w:rtl w:val="true"/>
          <w:lang w:bidi="fa-IR"/>
        </w:rPr>
        <w:t>.</w:t>
      </w:r>
      <w:r>
        <w:rPr>
          <w:rStyle w:val="FootnoteAnchor"/>
          <w:rtl w:val="true"/>
        </w:rPr>
        <w:footnoteReference w:id="1837"/>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علی علیه السلام روایت شده که رسول خدا صلّی الله علیه و آله هنگام نماز گزاردن بر جنازه </w:t>
      </w:r>
    </w:p>
    <w:p>
      <w:pPr>
        <w:pStyle w:val="BookText"/>
        <w:rPr/>
      </w:pPr>
      <w:r>
        <w:rPr>
          <w:rFonts w:ascii="Amiri" w:hAnsi="Amiri" w:eastAsia="Amiri" w:cs="Amiri"/>
          <w:color w:val="111111"/>
          <w:sz w:val="28"/>
          <w:sz w:val="28"/>
          <w:szCs w:val="28"/>
          <w:rtl w:val="true"/>
          <w:lang w:bidi="ar-SA"/>
        </w:rPr>
        <w:t>الرَّجُلِ لِلصَّلَاةِ عَلَيْهِ قَامَ بِحِذَاءِ صَدْرِهِ فَإِذَا كَانَتِ امْرَأَةً قَامَ بِحِذَاءِ رَأْسِهَا</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يَحْضُرُ الْجِنَازَةَ وَ هُوَ عَلَي غَيْرِ وُضُوءٍ وَ لَا يَجِدُ الْمَاءَ قَالَ يَتَيَمَّمُ وَ يُصَلِّي عَلَيْهَا إِذَا خَافَ أَنْ تَفُوتَهُ‌</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يَرْفَعُ يَدَيْهِ بِالتَّكْبِيرَةِ عَلَي الْجَنَائِزِ وَ يُكَبِّرُ عَلَيْهَا خَمْساً</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التَّكْبِيرِ عَلَي الْجَنَائِزِ فَقَالَ خَمْسُ تَكْبِيرَاتٍ أُخِذَ ذَلِكَ مِنَ الصَّلَاةِ الْخَمْسِ مِنْ كُلِّ صَلَاةٍ تَكْبِيرَةٌ</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 بِبَعْضِ التَّكْبِيرَاتِ فِي صَلَاةِ الْجِنَازَةِ فَلْيُكَبِّرْ وَ لْيَدْخُلْ مَعَهُمْ وَ يَجْعَلُ ذَلِكَ أَوَّلَ صَلَاتِهِ فَإِذَا انْصَرَفُوا لَمْ يَنْصَرِفْ حَتَّي يُتِمَّ مَا بَقِيَ عَلَيْهِ ثُمَّ يَنْصَرِفُ‌</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رُوِّينَا عَنْ أَهْلِ الْبَيْتِ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وَ الدُّعَاءِ فِي صَلَاةِ الْجَنَائِزِ وُجُوهاً يَكْثُرُ عَدَدُهَا فَدَلَّ ذَلِكَ عَلَي أَنْ لَيْسَ فِيهِ شَيْ‌ءٌ مُوَقَّتٌ‌</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مُحَمَّدِ بْنِ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لَا تَعْلَمُ مَنِ الْمَيِّتُ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لَا نَعْلَمُ مِنْهُ إِلَّا خَيْراً وَ أَنْتَ أَعْلَمُ بِهِ فَوَلِّهِ مَا تَوَلَّي وَ احْشُرْهُ مَعَ مَنْ أَحَبَ‌</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فِي الصَّلَاةِ عَلَي الْمُسْتَضْعَفِ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وَسِعْتَ كُلَّ شَيْ‌ءٍ رَحْمَةً وَ عِلْماً فَاغْفِرْ لِلَّذِينَ تابُوا وَ اتَّبَعُوا سَبِيلَكَ وَ قِهِمْ عَذابَ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أَدْخِلْهُمْ جَنَّاتِ عَدْنٍ الَّتِي وَعَدْتَهُمْ وَ مَنْ صَلَحَ مِنْ آبائِهِمْ وَ أَزْواجِهِمْ وَ ذُرِّيَّاتِهِمْ إِنَّكَ أَنْتَ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قِهِمُ السَّيِّئاتِ وَ مَنْ تَقِ السَّيِّئاتِ يَوْمَئِذٍ فَقَدْ رَحِمْتَهُ وَ ذلِكَ هُوَ الْفَوْزُ الْعَظِيمُ‌</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رُوِّينَا عَنْ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 فِي الصَّلَاةِ عَلَي النَّاصِبِ لِأَوْلِيَاءِ اللَّهِ الْمُعَادِي لَهُمْ يُدْعَي عَلَيْهِ وَ ذَكَرُوا فِي الدُّعَاءِ عَلَيْهِ وُجُوهاً كَثِيرَةً دَلَّتْ عَلَي أَنْ</w:t>
      </w:r>
    </w:p>
    <w:p>
      <w:pPr>
        <w:pStyle w:val="BookText"/>
        <w:rPr/>
      </w:pPr>
      <w:r>
        <w:rPr>
          <w:rFonts w:ascii="IRNazanin" w:hAnsi="IRNazanin" w:eastAsia="IRNazanin"/>
          <w:color w:val="111111"/>
          <w:sz w:val="28"/>
          <w:sz w:val="28"/>
          <w:szCs w:val="28"/>
          <w:rtl w:val="true"/>
          <w:lang w:bidi="fa-IR"/>
        </w:rPr>
        <w:t>مرد رو به روی سینه او و هنگام نماز گزاردن بر جنازه زن رو به روی سرش می ایستاد</w:t>
      </w:r>
      <w:r>
        <w:rPr>
          <w:rFonts w:eastAsia="IRNazanin" w:cs="IRNazanin"/>
          <w:color w:val="111111"/>
          <w:sz w:val="28"/>
          <w:szCs w:val="28"/>
          <w:rtl w:val="true"/>
          <w:lang w:bidi="fa-IR"/>
        </w:rPr>
        <w:t>.</w:t>
      </w:r>
      <w:r>
        <w:rPr>
          <w:rStyle w:val="FootnoteAnchor"/>
          <w:rtl w:val="true"/>
        </w:rPr>
        <w:footnoteReference w:id="1846"/>
      </w:r>
    </w:p>
    <w:p>
      <w:pPr>
        <w:pStyle w:val="BookText"/>
        <w:rPr/>
      </w:pPr>
      <w:r>
        <w:rPr>
          <w:rFonts w:ascii="IRNazanin" w:hAnsi="IRNazanin" w:eastAsia="IRNazanin"/>
          <w:color w:val="111111"/>
          <w:sz w:val="28"/>
          <w:sz w:val="28"/>
          <w:szCs w:val="28"/>
          <w:rtl w:val="true"/>
          <w:lang w:bidi="fa-IR"/>
        </w:rPr>
        <w:t>از امام علی علیه السلام درباره مردی سوال شد که در مراسم تشییع جنازه شرکت می کند حال آنکه بی وضو است و به آب دسترسی ندارد،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 آن داشته باشد که نماز را از دست می دهد، تیمّم کرده و بر جنازه نماز می گزارد</w:t>
      </w:r>
      <w:r>
        <w:rPr>
          <w:rFonts w:eastAsia="IRNazanin" w:cs="IRNazanin"/>
          <w:color w:val="111111"/>
          <w:sz w:val="28"/>
          <w:szCs w:val="28"/>
          <w:rtl w:val="true"/>
          <w:lang w:bidi="fa-IR"/>
        </w:rPr>
        <w:t>.</w:t>
      </w:r>
      <w:r>
        <w:rPr>
          <w:rStyle w:val="FootnoteAnchor"/>
          <w:rtl w:val="true"/>
        </w:rPr>
        <w:footnoteReference w:id="1847"/>
      </w:r>
    </w:p>
    <w:p>
      <w:pPr>
        <w:pStyle w:val="BookText"/>
        <w:rPr/>
      </w:pPr>
      <w:r>
        <w:rPr>
          <w:rFonts w:ascii="IRNazanin" w:hAnsi="IRNazanin" w:eastAsia="IRNazanin"/>
          <w:color w:val="111111"/>
          <w:sz w:val="28"/>
          <w:sz w:val="28"/>
          <w:szCs w:val="28"/>
          <w:rtl w:val="true"/>
          <w:lang w:bidi="fa-IR"/>
        </w:rPr>
        <w:t>روایت شده که امام علی علیه السلام هنگام تکبیر گفتن بر جنازه ها دستانش را بالا برده و پنج بار بر آن ها تکبیر می گفت</w:t>
      </w:r>
      <w:r>
        <w:rPr>
          <w:rFonts w:eastAsia="IRNazanin" w:cs="IRNazanin"/>
          <w:color w:val="111111"/>
          <w:sz w:val="28"/>
          <w:szCs w:val="28"/>
          <w:rtl w:val="true"/>
          <w:lang w:bidi="fa-IR"/>
        </w:rPr>
        <w:t>.</w:t>
      </w:r>
      <w:r>
        <w:rPr>
          <w:rStyle w:val="FootnoteAnchor"/>
          <w:rtl w:val="true"/>
        </w:rPr>
        <w:footnoteReference w:id="1848"/>
      </w:r>
    </w:p>
    <w:p>
      <w:pPr>
        <w:pStyle w:val="BookText"/>
        <w:rPr/>
      </w:pPr>
      <w:r>
        <w:rPr>
          <w:rFonts w:ascii="IRNazanin" w:hAnsi="IRNazanin" w:eastAsia="IRNazanin"/>
          <w:color w:val="111111"/>
          <w:sz w:val="28"/>
          <w:sz w:val="28"/>
          <w:szCs w:val="28"/>
          <w:rtl w:val="true"/>
          <w:lang w:bidi="fa-IR"/>
        </w:rPr>
        <w:t>از پیامبر صلّی الله علیه و آله درباره تکبیر گفتن بر جنازه ها سوال شد، ایشان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بر جنازه پنج تکبیر سر داده می شود که از هر یک از نمازهای پنج گانه یک تکبیر گرفته شده است</w:t>
      </w:r>
      <w:r>
        <w:rPr>
          <w:rFonts w:eastAsia="IRNazanin" w:cs="IRNazanin"/>
          <w:color w:val="111111"/>
          <w:sz w:val="28"/>
          <w:szCs w:val="28"/>
          <w:rtl w:val="true"/>
          <w:lang w:bidi="fa-IR"/>
        </w:rPr>
        <w:t>.</w:t>
      </w:r>
      <w:r>
        <w:rPr>
          <w:rStyle w:val="FootnoteAnchor"/>
          <w:rtl w:val="true"/>
        </w:rPr>
        <w:footnoteReference w:id="1849"/>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زمانی به نماز میّت برسد که پیش از او چند تکبیر گفته شده باشد باید تکبیر بگوید و با آنان وارد نماز شود و آن تکبیر را ابتدای نمازش قرار دهد، ولی هنگامی که دیگران از ادای نماز فارغ گشتند، او نماز را تا زمانی که تکبیر های باقی مانده را بر جنازه سر ندهد به پایان نمی رساند، پس از پایان تکبیرها می رود</w:t>
      </w:r>
      <w:r>
        <w:rPr>
          <w:rFonts w:eastAsia="IRNazanin" w:cs="IRNazanin"/>
          <w:color w:val="111111"/>
          <w:sz w:val="28"/>
          <w:szCs w:val="28"/>
          <w:rtl w:val="true"/>
          <w:lang w:bidi="fa-IR"/>
        </w:rPr>
        <w:t>.</w:t>
      </w:r>
      <w:r>
        <w:rPr>
          <w:rStyle w:val="FootnoteAnchor"/>
          <w:rtl w:val="true"/>
        </w:rPr>
        <w:footnoteReference w:id="1850"/>
      </w:r>
    </w:p>
    <w:p>
      <w:pPr>
        <w:pStyle w:val="BookText"/>
        <w:rPr/>
      </w:pPr>
      <w:r>
        <w:rPr>
          <w:rFonts w:ascii="IRNazanin" w:hAnsi="IRNazanin" w:eastAsia="IRNazanin"/>
          <w:color w:val="111111"/>
          <w:sz w:val="28"/>
          <w:sz w:val="28"/>
          <w:szCs w:val="28"/>
          <w:rtl w:val="true"/>
          <w:lang w:bidi="fa-IR"/>
        </w:rPr>
        <w:t>از اهل بیت علیهم السلام در زمینه اقوال و دعاهای خوانده شده در نماز میّت وجوه بسیاری را روایت کردیم، این امر بر این نکته دلالت می کند که چیز مشخصی در این زمینه وجود ندارد</w:t>
      </w:r>
      <w:r>
        <w:rPr>
          <w:rFonts w:eastAsia="IRNazanin" w:cs="IRNazanin"/>
          <w:color w:val="111111"/>
          <w:sz w:val="28"/>
          <w:szCs w:val="28"/>
          <w:rtl w:val="true"/>
          <w:lang w:bidi="fa-IR"/>
        </w:rPr>
        <w:t>.</w:t>
      </w:r>
      <w:r>
        <w:rPr>
          <w:rStyle w:val="FootnoteAnchor"/>
          <w:rtl w:val="true"/>
        </w:rPr>
        <w:footnoteReference w:id="1851"/>
      </w:r>
    </w:p>
    <w:p>
      <w:pPr>
        <w:pStyle w:val="BookText"/>
        <w:rPr/>
      </w:pP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احوال میّت نمی دانی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لَا نَعْلَمُ مِنْهُ إِلَّا خَیْراً وَ أَنْتَ أَعْلَمُ بِهِ فَوَلِّهِ مَا تَوَلَّی وَ احْشُرْهُ مَعَ مَنْ أَحَبَ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ما چیزی جز خیر از او نمی دانیم و تو به احوال او آگاه تری، پس کسی را ولیّ و سرپرست او بگردان که خود در دنیا به عنوان ولی و سرپرست برگزیده بود، و او را با کسانی که دوست شان می داشت محشور گردان</w:t>
      </w:r>
      <w:r>
        <w:rPr>
          <w:rFonts w:eastAsia="IRNazanin" w:cs="IRNazanin"/>
          <w:color w:val="111111"/>
          <w:sz w:val="28"/>
          <w:szCs w:val="28"/>
          <w:rtl w:val="true"/>
          <w:lang w:bidi="fa-IR"/>
        </w:rPr>
        <w:t>.</w:t>
      </w:r>
      <w:r>
        <w:rPr>
          <w:rStyle w:val="FootnoteAnchor"/>
          <w:rtl w:val="true"/>
        </w:rPr>
        <w:footnoteReference w:id="1852"/>
      </w:r>
    </w:p>
    <w:p>
      <w:pPr>
        <w:pStyle w:val="BookText"/>
        <w:rPr/>
      </w:pPr>
      <w:r>
        <w:rPr>
          <w:rFonts w:ascii="IRNazanin" w:hAnsi="IRNazanin" w:eastAsia="IRNazanin"/>
          <w:color w:val="111111"/>
          <w:sz w:val="28"/>
          <w:sz w:val="28"/>
          <w:szCs w:val="28"/>
          <w:rtl w:val="true"/>
          <w:lang w:bidi="fa-IR"/>
        </w:rPr>
        <w:t>از امام جعفر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بر جنازه مستضعف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وَسِعْتَ کُلَّ شَیْ‌ءٍ رَحْمَةً وَ عِلْماً فَاغْفِرْ لِلَّذِینَ تابُوا وَ اتَّبَعُوا سَبِیلَکَ وَ قِهِمْ عَذابَ الْجَحِیمِ رَبَّنا وَ أَدْخِلْهُمْ جَنَّاتِ عَدْنٍ الَّتِی وَعَدْتَهُمْ وَ مَنْ صَلَحَ مِنْ آبائِهِمْ وَ أَزْواجِهِمْ وَ ذُرِّیَّاتِهِمْ إِنَّکَ أَنْتَ الْعَزِیزُ الْحَکِیمُ وَ قِهِمُ السَّیِّئاتِ وَ مَنْ تَقِ السَّیِّئاتِ یَوْمَئِذٍ فَقَدْ رَحِمْتَهُ وَ ذلِکَ هُوَ الْفَوْزُ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همه چیز را با رحمت و علم خویش پوشش داده ای، پس کسانی که توبه کرده و از راه تو پیروی کرده اند را ببخش و آنان را از آتش جهنم مصون نگاه دار؛ پروردگارا، آنان و همچنین پدران، همسران و فرزندان نیکوکارشان را وارد بهشت جاویدانی گردان که وعده اش را به آنان داده بودی، به راستی که تو بزرگوار و حکیم هستی، و آنان را از بدی ها مصون نگاه دار که هر که را در این روز از بدی ها مصون نگاه داری، قطعاً به او رحم کرده ای و سعادت بزرگی به شمار می آید</w:t>
      </w:r>
      <w:r>
        <w:rPr>
          <w:rFonts w:eastAsia="IRNazanin" w:cs="IRNazanin"/>
          <w:color w:val="111111"/>
          <w:sz w:val="28"/>
          <w:szCs w:val="28"/>
          <w:rtl w:val="true"/>
          <w:lang w:bidi="fa-IR"/>
        </w:rPr>
        <w:t>.</w:t>
      </w:r>
      <w:r>
        <w:rPr>
          <w:rStyle w:val="FootnoteAnchor"/>
          <w:rtl w:val="true"/>
        </w:rPr>
        <w:footnoteReference w:id="1853"/>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از اهل بیت علیهم السلام برایمان روایت شده است که در نماز بر جنازه دشمن و عداوت کننده با اولیای خدا بر علیه او دعا می خواندند، و وجوه متعدّدی را در زمینه دعا علیه این شخص ذکر کرده اند که بر این نکته دلالت </w:t>
      </w:r>
      <w:bookmarkStart w:id="3502" w:name="pg13517_329407"/>
    </w:p>
    <w:p>
      <w:pPr>
        <w:pStyle w:val="BookText"/>
        <w:rPr/>
      </w:pPr>
      <w:bookmarkEnd w:id="3502"/>
      <w:r>
        <w:rPr>
          <w:rFonts w:ascii="Amiri" w:hAnsi="Amiri" w:eastAsia="Amiri" w:cs="Amiri"/>
          <w:color w:val="111111"/>
          <w:sz w:val="28"/>
          <w:sz w:val="28"/>
          <w:szCs w:val="28"/>
          <w:rtl w:val="true"/>
          <w:lang w:bidi="ar-SA"/>
        </w:rPr>
        <w:t>لَيْسَ شَيْ‌ءٌ مِنْهَا مُوَقَّتٌ وَ لَكِنْ يُجْتَهَدُ فِي الدُّعَاءِ عَلَيْهِ عَلَي مِقْدَارِ مَا يُعْلَمُ مِنْ نَصْبِهِ وَ عَدَاوَتِهِ‌</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 فِي الصَّلَاةِ عَلَي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لَنَا سَلَفاً وَ فَرَطاً وَ أَجْراً</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03" w:name="__RefHeading___Toc608132_1934241801"/>
      <w:bookmarkStart w:id="3504" w:name="_Toc1610"/>
      <w:bookmarkEnd w:id="3503"/>
      <w:r>
        <w:rPr>
          <w:rtl w:val="true"/>
        </w:rPr>
        <w:t>«</w:t>
      </w:r>
      <w:r>
        <w:rPr/>
        <w:t>25</w:t>
      </w:r>
      <w:r>
        <w:rPr>
          <w:rtl w:val="true"/>
        </w:rPr>
        <w:t>»</w:t>
      </w:r>
      <w:bookmarkEnd w:id="3504"/>
    </w:p>
    <w:p>
      <w:pPr>
        <w:pStyle w:val="BookText"/>
        <w:rPr/>
      </w:pPr>
      <w:r>
        <w:rPr>
          <w:rFonts w:ascii="Amiri" w:hAnsi="Amiri" w:eastAsia="Amiri" w:cs="Amiri"/>
          <w:color w:val="111111"/>
          <w:sz w:val="28"/>
          <w:sz w:val="28"/>
          <w:szCs w:val="28"/>
          <w:rtl w:val="true"/>
          <w:lang w:bidi="ar-SA"/>
        </w:rPr>
        <w:t>كِتَابُ مُحَمَّدِ بْنِ الْمُثَنَّي، عَنْ جَعْفَرِ بْنِ مُحَمَّدِ بْنِ شُرَيْحٍ عَنْ ذَرِيحٍ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عَبْدِ اللَّهِ عليه السلام سَهْلَ بْنَ حُنَيْفٍ فَقَالَ كَانَ مِنَ النُّقَبَاءِ فَقُلْتُ لَهُ مِنْ نُقَبَاءِ نَبِيِّ اللَّهِ الِاثْنَيْ عَشَرَ فَقَالَ نَعَمْ ثُمَّ قَالَ مَا سَبَقَهُ أَحَدٌ مِنْ قُرَيْشٍ وَ لَا مِنَ النَّاسِ بِمَنْقَبَةٍ وَ أَثْنَي عَلَيْهِ وَ قَالَ لَمَّا مَاتَ جَزِعَ أَمِيرُ الْمُؤْمِنِينَ عليه السلام جَزَعاً شَدِيداً وَ صَلَّي عَلَيْهِ خَمْسَ صَلَوَاتٍ</w:t>
      </w:r>
      <w:r>
        <w:rPr>
          <w:rFonts w:eastAsia="Amiri" w:cs="Amiri" w:ascii="Amiri" w:hAnsi="Amiri"/>
          <w:color w:val="111111"/>
          <w:sz w:val="28"/>
          <w:szCs w:val="28"/>
          <w:rtl w:val="true"/>
          <w:lang w:bidi="ar-SA"/>
        </w:rPr>
        <w:t>.</w:t>
      </w:r>
    </w:p>
    <w:p>
      <w:pPr>
        <w:pStyle w:val="Heading5"/>
        <w:numPr>
          <w:ilvl w:val="4"/>
          <w:numId w:val="1"/>
        </w:numPr>
        <w:rPr/>
      </w:pPr>
      <w:bookmarkStart w:id="3505" w:name="__RefHeading___Toc608134_1934241801"/>
      <w:bookmarkStart w:id="3506" w:name="_Toc1611"/>
      <w:bookmarkEnd w:id="3505"/>
      <w:r>
        <w:rPr>
          <w:rtl w:val="true"/>
        </w:rPr>
        <w:t>«</w:t>
      </w:r>
      <w:r>
        <w:rPr/>
        <w:t>26</w:t>
      </w:r>
      <w:r>
        <w:rPr>
          <w:rtl w:val="true"/>
        </w:rPr>
        <w:t>»</w:t>
      </w:r>
      <w:bookmarkEnd w:id="3506"/>
    </w:p>
    <w:p>
      <w:pPr>
        <w:pStyle w:val="BookText"/>
        <w:rPr/>
      </w:pPr>
      <w:r>
        <w:rPr>
          <w:rFonts w:ascii="Amiri" w:hAnsi="Amiri" w:eastAsia="Amiri" w:cs="Amiri"/>
          <w:color w:val="111111"/>
          <w:sz w:val="28"/>
          <w:sz w:val="28"/>
          <w:szCs w:val="28"/>
          <w:rtl w:val="true"/>
          <w:lang w:bidi="ar-SA"/>
        </w:rPr>
        <w:t>كِتَابُ سُلَيْمِ بْنِ قَيْسٍ،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مَثَالِبِ عُمَرَ هُوَ صَاحِبُ عَبْدِ اللَّهِ بْنِ أُبَيِّ بْنِ سَلُولٍ حِينَ تَقَدَّمَ رَسُولُ اللَّهِ صلي الله عليه و آله لِيُصَلِّيَ عَلَيْهِ أَخَذَ بِثَوْبِهِ مِنْ وَرَائِهِ وَ قَالَ لَقَدْ نَهَاكَ اللَّهُ أَنْ تُصَلِّيَ عَلَيْهِ وَ لَا يَحِلُّ لَكَ أَنْ تُصَلِّيَ عَلَيْهِ فَقَالَ لَهُ رَسُولُ اللَّهِ صلي الله عليه و آله إِنَّمَا صَلَّيْتُ عَلَيْهِ كَرَامَةً لِابْنِهِ وَ إِنِّي لَأَرْجُو أَنْ يُسْلِمَ بِهِ سَبْعُونَ رَجُلًا مِنْ بَنِي أَبِيهِ وَ أَهْلِ بَيْتِهِ وَ مَا يُدْرِيكَ مَا قُلْتُ إِنَّمَا دَعَوْتُ اللَّهَ عَلَيْهِ‌</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07" w:name="__RefHeading___Toc608136_1934241801"/>
      <w:bookmarkStart w:id="3508" w:name="_Toc1612"/>
      <w:bookmarkEnd w:id="3507"/>
      <w:r>
        <w:rPr>
          <w:rtl w:val="true"/>
        </w:rPr>
        <w:t>«</w:t>
      </w:r>
      <w:r>
        <w:rPr/>
        <w:t>27</w:t>
      </w:r>
      <w:r>
        <w:rPr>
          <w:rtl w:val="true"/>
        </w:rPr>
        <w:t>»</w:t>
      </w:r>
      <w:bookmarkEnd w:id="3508"/>
    </w:p>
    <w:p>
      <w:pPr>
        <w:pStyle w:val="BookText"/>
        <w:rPr/>
      </w:pPr>
      <w:r>
        <w:rPr>
          <w:rFonts w:ascii="Amiri" w:hAnsi="Amiri" w:eastAsia="Amiri" w:cs="Amiri"/>
          <w:color w:val="111111"/>
          <w:sz w:val="28"/>
          <w:sz w:val="28"/>
          <w:szCs w:val="28"/>
          <w:rtl w:val="true"/>
          <w:lang w:bidi="ar-SA"/>
        </w:rPr>
        <w:t>الْخِصَالُ، عَنْ مُحَمَّدِ بْنِ الْحَسَنِ بْنِ الْوَلِيدِ عَنْ مُحَمَّدِ بْنِ الْحَسَنِ الصَّفَّارِ عَنْ أَحْمَدَ بْنِ مُحَمَّدِ بْنِ خَالِدٍ عَنْ أَبِيهِ عَنْ مُحَمَّدِ بْنِ سِنَانٍ عَنْ عَبْدِ اللَّهِ بْنِ مُسْكَانَ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الْمُؤْمِنُ فَحَضَرَ جِنَازَتَهُ أَرْبَعُونَ رَجُلًا مِنَ الْمُؤْمِنِينَ فَقَالُوا اللَّهُمَّ إِنَّا لَا نَعْلَمُ مِنْهُ إِلَّا خَيْراً وَ أَنْتَ أَعْلَمُ بِهِ مِنَّا قَالَ اللَّهُ تَبَارَكَ وَ تَعَالَي إِنِّي قَدْ أَجَزْتُ شَهَادَتَكُمْ وَ غَفَرْتُ لَهُ مَا عَلِمْتُ مِمَّا لَا تَعْلَمُونَ‌</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دارد که چیزی در این باره مشخص و تعیین شده نیست، ولی میزان دعای خوانده شده علیه او به میزان علم و آگاهی واصل شده از دشمنی و عداوتش بستگی دارد</w:t>
      </w:r>
      <w:r>
        <w:rPr>
          <w:rFonts w:eastAsia="IRNazanin" w:cs="IRNazanin"/>
          <w:color w:val="111111"/>
          <w:sz w:val="28"/>
          <w:szCs w:val="28"/>
          <w:rtl w:val="true"/>
          <w:lang w:bidi="fa-IR"/>
        </w:rPr>
        <w:t>.</w:t>
      </w:r>
      <w:r>
        <w:rPr>
          <w:rStyle w:val="FootnoteAnchor"/>
          <w:rtl w:val="true"/>
        </w:rPr>
        <w:footnoteReference w:id="1858"/>
      </w:r>
    </w:p>
    <w:p>
      <w:pPr>
        <w:pStyle w:val="BookText"/>
        <w:rPr/>
      </w:pPr>
      <w:r>
        <w:rPr>
          <w:rFonts w:ascii="IRNazanin" w:hAnsi="IRNazanin" w:eastAsia="IRNazanin"/>
          <w:color w:val="111111"/>
          <w:sz w:val="28"/>
          <w:sz w:val="28"/>
          <w:szCs w:val="28"/>
          <w:rtl w:val="true"/>
          <w:lang w:bidi="fa-IR"/>
        </w:rPr>
        <w:t>از امام صادق علیه السلام روایت شده که در نماز بر جنازه کودک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لَنَا سَلَفاً وَ فَرَطاً وَ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کودک را برای ما ذخیره ای شایسته، خیری پیش فرستاده و باعث کسب اجر و پاداش قرار ده</w:t>
      </w:r>
      <w:r>
        <w:rPr>
          <w:rFonts w:eastAsia="IRNazanin" w:cs="IRNazanin"/>
          <w:color w:val="111111"/>
          <w:sz w:val="28"/>
          <w:szCs w:val="28"/>
          <w:rtl w:val="true"/>
          <w:lang w:bidi="fa-IR"/>
        </w:rPr>
        <w:t>.</w:t>
      </w:r>
      <w:r>
        <w:rPr>
          <w:rStyle w:val="FootnoteAnchor"/>
          <w:rtl w:val="true"/>
        </w:rPr>
        <w:footnoteReference w:id="1859"/>
      </w:r>
    </w:p>
    <w:p>
      <w:pPr>
        <w:pStyle w:val="Heading5"/>
        <w:numPr>
          <w:ilvl w:val="4"/>
          <w:numId w:val="1"/>
        </w:numPr>
        <w:rPr/>
      </w:pPr>
      <w:bookmarkStart w:id="3509" w:name="__RefHeading___Toc608138_1934241801"/>
      <w:bookmarkStart w:id="3510" w:name="_Toc1613"/>
      <w:bookmarkEnd w:id="3509"/>
      <w:r>
        <w:rPr>
          <w:rtl w:val="true"/>
        </w:rPr>
        <w:t xml:space="preserve">روایت </w:t>
      </w:r>
      <w:r>
        <w:rPr/>
        <w:t>25</w:t>
      </w:r>
      <w:bookmarkEnd w:id="3510"/>
    </w:p>
    <w:p>
      <w:pPr>
        <w:pStyle w:val="BookText"/>
        <w:rPr/>
      </w:pPr>
      <w:r>
        <w:rPr>
          <w:rFonts w:ascii="IRNazanin" w:hAnsi="IRNazanin" w:eastAsia="IRNazanin"/>
          <w:color w:val="111111"/>
          <w:sz w:val="28"/>
          <w:sz w:val="28"/>
          <w:szCs w:val="28"/>
          <w:rtl w:val="true"/>
          <w:lang w:bidi="fa-IR"/>
        </w:rPr>
        <w:t>کتاب محمد بن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ذریح المُحاربِیّ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سهل بن حنیف را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از جمله نقیب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ها و سر پرست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قوم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نقیب ها و سر پرست های دوازده گانه تعیین شده از سوی پیامبر خدا؟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هیچ یک از قریشیان و مردم در مناقب و مفاخر از او پیشی نگرفتند، سپس به ستایش سهل پرداخته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هنگام وفات او بسیار بی تابی کرد و پنج بار بر پیکرش نماز گزارد</w:t>
      </w:r>
      <w:r>
        <w:rPr>
          <w:rFonts w:eastAsia="IRNazanin" w:cs="IRNazanin"/>
          <w:color w:val="111111"/>
          <w:sz w:val="28"/>
          <w:szCs w:val="28"/>
          <w:rtl w:val="true"/>
          <w:lang w:bidi="fa-IR"/>
        </w:rPr>
        <w:t>.</w:t>
      </w:r>
    </w:p>
    <w:p>
      <w:pPr>
        <w:pStyle w:val="Heading5"/>
        <w:numPr>
          <w:ilvl w:val="4"/>
          <w:numId w:val="1"/>
        </w:numPr>
        <w:rPr/>
      </w:pPr>
      <w:bookmarkStart w:id="3511" w:name="__RefHeading___Toc608140_1934241801"/>
      <w:bookmarkStart w:id="3512" w:name="_Toc1614"/>
      <w:bookmarkEnd w:id="3511"/>
      <w:r>
        <w:rPr>
          <w:rtl w:val="true"/>
        </w:rPr>
        <w:t xml:space="preserve">روایت </w:t>
      </w:r>
      <w:r>
        <w:rPr/>
        <w:t>26</w:t>
      </w:r>
      <w:bookmarkEnd w:id="3512"/>
    </w:p>
    <w:p>
      <w:pPr>
        <w:pStyle w:val="BookText"/>
        <w:rPr/>
      </w:pP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ذکر عیب های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آمد تا بر جنازه عبدالله بن أبیّ بن سلول نماز بگزارد، عمر عبای ایشان را از پشت سر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نماز گزاردن بر او منع فرموده و جایز نیست که بر او نماز بگزاری،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به خاطر پسرش بر او نماز گزاردم و امید دارم که به وسیله پسرش هفتاد نفر از فرزندان پدرش و خاندان او مسلمان شوند، و تو نمی دانی که بر پیکرش چه گفتم، من فقط بر او نفرین فرستادم</w:t>
      </w:r>
      <w:r>
        <w:rPr>
          <w:rFonts w:eastAsia="IRNazanin" w:cs="IRNazanin"/>
          <w:color w:val="111111"/>
          <w:sz w:val="28"/>
          <w:szCs w:val="28"/>
          <w:rtl w:val="true"/>
          <w:lang w:bidi="fa-IR"/>
        </w:rPr>
        <w:t>.</w:t>
      </w:r>
      <w:r>
        <w:rPr>
          <w:rStyle w:val="FootnoteAnchor"/>
          <w:rtl w:val="true"/>
        </w:rPr>
        <w:footnoteReference w:id="1860"/>
      </w:r>
    </w:p>
    <w:p>
      <w:pPr>
        <w:pStyle w:val="Heading5"/>
        <w:numPr>
          <w:ilvl w:val="4"/>
          <w:numId w:val="1"/>
        </w:numPr>
        <w:rPr/>
      </w:pPr>
      <w:bookmarkStart w:id="3513" w:name="__RefHeading___Toc608142_1934241801"/>
      <w:bookmarkStart w:id="3514" w:name="_Toc1615"/>
      <w:bookmarkEnd w:id="3513"/>
      <w:r>
        <w:rPr>
          <w:rtl w:val="true"/>
        </w:rPr>
        <w:t xml:space="preserve">روایت </w:t>
      </w:r>
      <w:r>
        <w:rPr/>
        <w:t>27</w:t>
      </w:r>
      <w:bookmarkEnd w:id="3514"/>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مؤمنی وفات می نماید و چهل مرد مؤمن بر جنازه او حاضر شده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لَا نَعْلَمُ مِنْهُ إِلَّا خَیْراً وَ أَنْتَ أَعْلَمُ بِهِ 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ما چیزی جز خیر از او نمی دانیم و تو از ما به احوال او آگاه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شهادت و گواهی شما را پذیرفتم و گناهان او که من از آن ها باخبر و شما از آن ها بی خبر هستید را بخشیدم</w:t>
      </w:r>
      <w:r>
        <w:rPr>
          <w:rFonts w:eastAsia="IRNazanin" w:cs="IRNazanin"/>
          <w:color w:val="111111"/>
          <w:sz w:val="28"/>
          <w:szCs w:val="28"/>
          <w:rtl w:val="true"/>
          <w:lang w:bidi="fa-IR"/>
        </w:rPr>
        <w:t>.</w:t>
      </w:r>
      <w:r>
        <w:rPr>
          <w:rStyle w:val="FootnoteAnchor"/>
          <w:rtl w:val="true"/>
        </w:rPr>
        <w:footnoteReference w:id="1861"/>
      </w:r>
      <w:bookmarkStart w:id="3515" w:name="pg13517_329408"/>
    </w:p>
    <w:p>
      <w:pPr>
        <w:pStyle w:val="Heading5"/>
        <w:numPr>
          <w:ilvl w:val="4"/>
          <w:numId w:val="1"/>
        </w:numPr>
        <w:rPr/>
      </w:pPr>
      <w:bookmarkStart w:id="3516" w:name="__RefHeading___Toc608144_1934241801"/>
      <w:bookmarkStart w:id="3517" w:name="_Toc1616"/>
      <w:bookmarkEnd w:id="3515"/>
      <w:bookmarkEnd w:id="3516"/>
      <w:r>
        <w:rPr>
          <w:rtl w:val="true"/>
        </w:rPr>
        <w:t>«</w:t>
      </w:r>
      <w:r>
        <w:rPr/>
        <w:t>28</w:t>
      </w:r>
      <w:r>
        <w:rPr>
          <w:rtl w:val="true"/>
        </w:rPr>
        <w:t>»</w:t>
      </w:r>
      <w:bookmarkEnd w:id="3517"/>
    </w:p>
    <w:p>
      <w:pPr>
        <w:pStyle w:val="BookText"/>
        <w:rPr/>
      </w:pPr>
      <w:r>
        <w:rPr>
          <w:rFonts w:ascii="Amiri" w:hAnsi="Amiri" w:eastAsia="Amiri" w:cs="Amiri"/>
          <w:color w:val="111111"/>
          <w:sz w:val="28"/>
          <w:sz w:val="28"/>
          <w:szCs w:val="28"/>
          <w:rtl w:val="true"/>
          <w:lang w:bidi="ar-SA"/>
        </w:rPr>
        <w:t>مَجَالِسُ ابْنِ الشَّيْخِ، عَنْ أَبِيهِ عَنِ الْمُفِيدِ عَنِ ابْنِ قُولَوَيْهِ عَنْ مُحَمَّدٍ الْحِمْيَرِيِّ عَنْ أَبِيهِ عَنْ أَحْمَدَ الْبَرْقِيِّ عَنْ شَرِيفِ بْنِ سَابِقٍ عَنِ الْفَضْلِ بْنِ عَبْدِ الْمَلِكِ عَنْ أَبِي عَبْدِ اللَّهِ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عُنْوَانِ صَحِيفَةِ الْمُؤْمِنِ بَعْدَ مَوْتِهِ مَا يَقُولُ النَّاسُ فِيهِ إِنْ خَيْراً فَخَيْراً وَ إِنْ شَرّاً فَشَرّاً وَ أَوَّلُ تُحْفَةِ الْمُؤْمِنِ أَنْ يَغْفِرَ اللَّهُ لَهُ وَ لِمَنْ تَبِعَ جَنَازَتَهُ‌</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18" w:name="__RefHeading___Toc608146_1934241801"/>
      <w:bookmarkStart w:id="3519" w:name="_Toc1617"/>
      <w:bookmarkEnd w:id="3518"/>
      <w:r>
        <w:rPr>
          <w:rtl w:val="true"/>
        </w:rPr>
        <w:t>«</w:t>
      </w:r>
      <w:r>
        <w:rPr/>
        <w:t>29</w:t>
      </w:r>
      <w:r>
        <w:rPr>
          <w:rtl w:val="true"/>
        </w:rPr>
        <w:t>»</w:t>
      </w:r>
      <w:bookmarkEnd w:id="3519"/>
    </w:p>
    <w:p>
      <w:pPr>
        <w:pStyle w:val="BookText"/>
        <w:rPr/>
      </w:pPr>
      <w:r>
        <w:rPr>
          <w:rFonts w:ascii="Amiri" w:hAnsi="Amiri" w:eastAsia="Amiri" w:cs="Amiri"/>
          <w:color w:val="111111"/>
          <w:sz w:val="28"/>
          <w:sz w:val="28"/>
          <w:szCs w:val="28"/>
          <w:rtl w:val="true"/>
          <w:lang w:bidi="ar-SA"/>
        </w:rPr>
        <w:t>الْعُيُونُ‌</w:t>
      </w:r>
      <w:r>
        <w:rPr>
          <w:rStyle w:val="FootnoteAnchor"/>
          <w:rtl w:val="true"/>
        </w:rPr>
        <w:footnoteReference w:id="1863"/>
      </w:r>
      <w:r>
        <w:rPr>
          <w:rFonts w:ascii="Amiri" w:hAnsi="Amiri" w:eastAsia="Amiri" w:cs="Amiri"/>
          <w:color w:val="111111"/>
          <w:sz w:val="28"/>
          <w:sz w:val="28"/>
          <w:szCs w:val="28"/>
          <w:rtl w:val="true"/>
          <w:lang w:bidi="ar-SA"/>
        </w:rPr>
        <w:t>، وَ الْعِلَلُ، عَنْ عَبْدِ الْوَاحِدِ بْنِ مُحَمَّدِ بْنِ عُبْدُوسٍ النَّيْسَابُورِيِّ عَنْ عَلِيِّ بْنِ مُحَمَّدِ بْنِ قُتَيْبَةَ عَنِ الْفَضْلِ بْنِ شَاذَانَ فِيمَا رَوَاهُ مِنَ الْعِلَلِ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أُمِرُوا بِالصَّلَاةِ عَلَي الْمَيِّتِ لِيَشْفَعُوا لَهُ وَ يَدْعُوا لَهُ بِالْمَغْفِرَةِ لِأَنَّهُ لَمْ يَكُنْ فِي وَقْتٍ مِنَ الْأَوْقَاتِ أَحْوَجَ إِلَي الشَّفَاعَةِ فِيهِ وَ الطَّلِبَةِ وَ الِاسْتِغْفَارِ مِنْ تِلْكَ السَّاعَةِ وَ إِنَّمَا جُعِلَتْ خَمْسَ تَكْبِيرَاتٍ دُونَ أَنْ تَصِيرَ أَرْبَعاً أَوْ سِتّاً لِأَنَّ الْخَمْسَ تَكْبِيرَاتٍ إِنَّمَا أُخِذَتْ مِنَ الْخَمْسِ صَلَوَاتٍ فِي الْيَوْمِ وَ اللَّيْلَةِ وَ ذَلِكَ أَنَّهُ لَيْسَ فِي الصَّلَاةِ تَكْبِيرَةٌ مَفْرُوضَةٌ إِلَّا تَكْبِيرَةُ الِافْتِتَاحِ فَجُمِعَتِ التَّكْبِيرَاتُ الْمَفْرُوضَاتُ فِي الْيَوْمِ وَ اللَّيْلَةِ فَجُعِلَتْ صَلَاةً عَلَي الْمَيِّتِ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فَلِمَ جَوَّزْتُمُ الصَّلَاةَ عَلَي الْمَيِّتِ بِغَيْرِ وُضُوءٍ قِيلَ لِأَنَّهُ لَيْسَ فِيهَا رُكُوعٌ وَ لَا سُجُودٌ إِنَّمَا هِيَ دُعَاءٌ وَ مَسْأَلَةٌ وَ قَدْ يَجُوزُ أَنْ تَدْعُوَ اللَّهَ عَزَّ وَ جَلَّ وَ تَسْأَلَهُ عَلَي أَيِّ حَالٍ كُنْتَ وَ إِنَّمَا يَجِبُ الْوُضُوءُ فِي الصَّلَاةِ الَّتِي فِيهَا رُكُوعٌ وَ سُجُودٌ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فَلِمَ لَمْ يَكُنْ فِيهَا رُكُوعٌ وَ لَا سُجُودٌ قِيلَ لِأَنَّهُ لَمْ يَكُنْ يُرِيدُ بِهَذِهِ الصَّلَاةِ التَّذَلُّلَ وَ الْخُضُوعَ إِنَّمَا أُرِيدَ بِهَا الشَّفَاعَةُ لِهَذَا الْعَبْدِ الَّذِي قَدْ تَخَلَّي عَمَّا خَلَفَ وَ احْتَاجَ إِلَي مَا قَدَّمَ‌</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قَالَ فَلِمَ جَوَّزْتُمُ الصَّلَاةَ عَلَيْهِ قَبْلَ الْمَغْرِبِ وَ بَعْدَ الْفَجْرِ قِيلَ إِنَّ هَذِهِ الصَّلَاةَ إِنَّمَا تَجِبُ فِي وَقْتِ الْحُضُورِ وَ الْعِلَّةِ وَ لَيْسَتْ هِيَ مُوَقَّتَةً كَسَائِرِ الصَّلَوَاتِ وَ إِنَّمَا هِيَ صَلَاةٌ تَجِبُ فِي وَقْتِ حُدُوثِ الْحَدَثِ لَيْسَ لِلْإِنْسَانِ فِيهِ اخْتِيَارٌ وَ إِنَّمَا</w:t>
      </w:r>
    </w:p>
    <w:p>
      <w:pPr>
        <w:pStyle w:val="Heading5"/>
        <w:numPr>
          <w:ilvl w:val="4"/>
          <w:numId w:val="1"/>
        </w:numPr>
        <w:rPr/>
      </w:pPr>
      <w:bookmarkStart w:id="3520" w:name="__RefHeading___Toc608148_1934241801"/>
      <w:bookmarkStart w:id="3521" w:name="_Toc1618"/>
      <w:bookmarkEnd w:id="3520"/>
      <w:r>
        <w:rPr>
          <w:rtl w:val="true"/>
        </w:rPr>
        <w:t xml:space="preserve">روایت </w:t>
      </w:r>
      <w:r>
        <w:rPr/>
        <w:t>28</w:t>
      </w:r>
      <w:bookmarkEnd w:id="3521"/>
    </w:p>
    <w:p>
      <w:p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عنوان کارنامه عمل مؤمن بعد از وفات، سخنی است که مردم در مورد او بر زبان می آورند، اگر سخن آنان خیر باشد عنوان کارنامه اش خیر و اگر شرّ باشد شرّ خواهد بود، و اوّلین تحفه ای که به مؤمن بخشیده می شود آن است که خداوند از گناهان او و کسانی که جنازه اش را تشییع کرده اند در می گذرد</w:t>
      </w:r>
      <w:r>
        <w:rPr>
          <w:rFonts w:eastAsia="IRNazanin" w:cs="IRNazanin"/>
          <w:color w:val="111111"/>
          <w:sz w:val="28"/>
          <w:szCs w:val="28"/>
          <w:rtl w:val="true"/>
          <w:lang w:bidi="fa-IR"/>
        </w:rPr>
        <w:t>.</w:t>
      </w:r>
      <w:r>
        <w:rPr>
          <w:rStyle w:val="FootnoteAnchor"/>
          <w:rtl w:val="true"/>
        </w:rPr>
        <w:footnoteReference w:id="1865"/>
      </w:r>
    </w:p>
    <w:p>
      <w:pPr>
        <w:pStyle w:val="Heading5"/>
        <w:numPr>
          <w:ilvl w:val="4"/>
          <w:numId w:val="1"/>
        </w:numPr>
        <w:rPr/>
      </w:pPr>
      <w:bookmarkStart w:id="3522" w:name="__RefHeading___Toc608150_1934241801"/>
      <w:bookmarkStart w:id="3523" w:name="_Toc1619"/>
      <w:bookmarkEnd w:id="3522"/>
      <w:r>
        <w:rPr>
          <w:rtl w:val="true"/>
        </w:rPr>
        <w:t xml:space="preserve">روایت </w:t>
      </w:r>
      <w:r>
        <w:rPr/>
        <w:t>29</w:t>
      </w:r>
      <w:bookmarkEnd w:id="3523"/>
    </w:p>
    <w:p>
      <w:pPr>
        <w:pStyle w:val="BookText"/>
        <w:rPr/>
      </w:pPr>
      <w:r>
        <w:rPr>
          <w:rFonts w:ascii="IRNazanin" w:hAnsi="IRNazanin" w:eastAsia="IRNazanin"/>
          <w:color w:val="111111"/>
          <w:sz w:val="28"/>
          <w:sz w:val="28"/>
          <w:szCs w:val="28"/>
          <w:rtl w:val="true"/>
          <w:lang w:bidi="fa-IR"/>
        </w:rPr>
        <w:t>العیون و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در مورد علل شرایع از امام رضا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مردم به نماز گزاردن بر میّت فرمان داده شده اند تا برای او درخواست شفاعت و مغفرت کنند، چرا که میّت در هیچ زمانی تا به این اندازه نیازمند شفاعت، دعای خیر و طلب مغفرت و بخشش نبوده است، و تعداد تکبیرهای سر داده شده در نماز میّت پنج و نه چهار با شش بار است، چرا که از نماز های پنج گانه یومیّه اقتباس شده است، و این بدین سبب است که در نماز هیچ تکبیر واجبی غیر از تکبیرة الإحرام وجود ندارد، پس تکبیرهای واجبی که در طول شبانه روز و در نمازهای پنج گانه سر داده می شوند در نماز میّت جمع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پرسیده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گزاردن بر میّت بدون داشتن وضو را جایز شمردید؟ در پاسخ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در این نماز رکوع و سجود وجود ندارد، بلکه فقط دعا و درخواست عفو و بخشش است، و جایز است در هر حال و وضعی که هستی خداوند متعال را فرا بخوانی و درخواست هایت را در درگاه او مطرح نمایی، وضو فقط برای نمازهایی واجب است که در آن ها رکوع و سجود وجود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اگر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نماز میّت رکوع و سجود وجود ندارد؟ در پاسخ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هدف نماز میّت فروتنی و خضوع نیست، بلکه فقط درخواست شفاعت برای بنده ای است که دستش از دنیای پشت سر کوتاه و نیازمند اعمالی گشته که پیش از خود فرستاده است</w:t>
      </w:r>
      <w:r>
        <w:rPr>
          <w:rFonts w:eastAsia="IRNazanin" w:cs="IRNazanin"/>
          <w:color w:val="111111"/>
          <w:sz w:val="28"/>
          <w:szCs w:val="28"/>
          <w:rtl w:val="true"/>
          <w:lang w:bidi="fa-IR"/>
        </w:rPr>
        <w:t>.</w:t>
      </w:r>
      <w:r>
        <w:rPr>
          <w:rStyle w:val="FootnoteAnchor"/>
          <w:rtl w:val="true"/>
        </w:rPr>
        <w:footnoteReference w:id="1866"/>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گزاردن بر میّت قبل از مغرب و بعد از طلوع فجر را جایز شمردید؟ در پاسخ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میّت فقط به شرط حضور در مراسم تشییع جنازه و وقوع رخداد واجب می گردد و مانند سایر نمازها دارای وقت و زمان مشخّص نیست و نمازی است که هنگام وقوع حادثه و رخداد مرگ واجب می گردد، و انسان اختیاری در تعیین وقت آن ندارد، بلکه </w:t>
      </w:r>
      <w:bookmarkStart w:id="3524" w:name="pg13517_329409"/>
    </w:p>
    <w:p>
      <w:pPr>
        <w:pStyle w:val="BookText"/>
        <w:rPr/>
      </w:pPr>
      <w:bookmarkEnd w:id="3524"/>
      <w:r>
        <w:rPr>
          <w:rFonts w:ascii="Amiri" w:hAnsi="Amiri" w:eastAsia="Amiri" w:cs="Amiri"/>
          <w:color w:val="111111"/>
          <w:sz w:val="28"/>
          <w:sz w:val="28"/>
          <w:szCs w:val="28"/>
          <w:rtl w:val="true"/>
          <w:lang w:bidi="ar-SA"/>
        </w:rPr>
        <w:t>هُوَ حَقٌّ يُؤَدَّي وَ جَائِزٌ أَنْ تُؤَدَّي الْحُقُوقُ فِي أَيِّ وَقْتٍ كَانَ إِذَا لَمْ يَكُنِ الْحَقُّ مُوَقَّتاً</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25" w:name="__RefHeading___Toc608152_1934241801"/>
      <w:bookmarkStart w:id="3526" w:name="_Toc1620"/>
      <w:bookmarkEnd w:id="3525"/>
      <w:r>
        <w:rPr>
          <w:rtl w:val="true"/>
        </w:rPr>
        <w:t>«</w:t>
      </w:r>
      <w:r>
        <w:rPr/>
        <w:t>30</w:t>
      </w:r>
      <w:r>
        <w:rPr>
          <w:rtl w:val="true"/>
        </w:rPr>
        <w:t>»</w:t>
      </w:r>
      <w:bookmarkEnd w:id="3526"/>
    </w:p>
    <w:p>
      <w:pPr>
        <w:pStyle w:val="BookText"/>
        <w:rPr/>
      </w:pPr>
      <w:r>
        <w:rPr>
          <w:rFonts w:ascii="Amiri" w:hAnsi="Amiri" w:eastAsia="Amiri" w:cs="Amiri"/>
          <w:color w:val="111111"/>
          <w:sz w:val="28"/>
          <w:sz w:val="28"/>
          <w:szCs w:val="28"/>
          <w:rtl w:val="true"/>
          <w:lang w:bidi="ar-SA"/>
        </w:rPr>
        <w:t>الْخِصَالُ، عَنْ أَحْمَدَ بْنِ مُحَمَّدِ بْنِ الْهَيْثَمِ وَ أَحْمَدَ بْنِ الْحَسَنِ الْقَطَّانِ وَ مُحَمَّدِ بْنِ أَحْمَدَ السِّنَانِيِّ وَ الْحُسَيْنِ بْنِ إِبْرَاهِيمَ الْمُكَتِّبِ وَ عَبْدِ اللَّهِ بْنِ مُحَمَّدٍ الصَّائِغِ وَ عَلِيِّ بْنِ عَبْدِ اللَّهِ الْوَرَّاقِ جَمِيعاً عَنْ أَحْمَدَ بْنِ يَحْيَي بْنِ زَكَرِيَّا عَنْ بَكْرِ بْنِ عَبْدِ اللَّهِ بْنِ حَبِيبٍ عَنْ تَمِيمِ بْنِ بُهْلُولٍ عَنْ أَبِي مُعَاوِيَةَ عَنِ الْأَعْمَشِ عَنْ جَعْفَرِ بْنِ مُحَمَّدٍ عليهما السلام فِي حَدِيثِ شَرَائِعِ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عَلَي الْمَيِّتِ خَمْسُ تَكْبِيرَاتٍ فَمَنْ نَقَصَ مِنْهَا فَقَدْ خَالَفَ السُّنَّةَ</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27" w:name="__RefHeading___Toc608154_1934241801"/>
      <w:bookmarkStart w:id="3528" w:name="_Toc1621"/>
      <w:bookmarkEnd w:id="3527"/>
      <w:r>
        <w:rPr>
          <w:rtl w:val="true"/>
        </w:rPr>
        <w:t>«</w:t>
      </w:r>
      <w:r>
        <w:rPr/>
        <w:t>31</w:t>
      </w:r>
      <w:r>
        <w:rPr>
          <w:rtl w:val="true"/>
        </w:rPr>
        <w:t>»</w:t>
      </w:r>
      <w:bookmarkEnd w:id="3528"/>
    </w:p>
    <w:p>
      <w:pPr>
        <w:pStyle w:val="BookText"/>
        <w:rPr/>
      </w:pPr>
      <w:r>
        <w:rPr>
          <w:rFonts w:ascii="Amiri" w:hAnsi="Amiri" w:eastAsia="Amiri" w:cs="Amiri"/>
          <w:color w:val="111111"/>
          <w:sz w:val="28"/>
          <w:sz w:val="28"/>
          <w:szCs w:val="28"/>
          <w:rtl w:val="true"/>
          <w:lang w:bidi="ar-SA"/>
        </w:rPr>
        <w:t>كَشْفُ الْغُمَّةِ، نَقْلًا مِنْ كِتَابِ أَخْبَارِ فَاطِمَةَ لِابْنِ بَابَوَيْهِ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صَلَّي عَلَي فَاطِمَةَ عليها السلام وَ كَبَّرَ خَمْساً وَ دَفَنَهَا لَيْلًا</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أَنَّ فَاطِمَةَ عليها السلام دُفِنَتْ لَيْلًا</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29" w:name="__RefHeading___Toc608156_1934241801"/>
      <w:bookmarkStart w:id="3530" w:name="_Toc1622"/>
      <w:bookmarkEnd w:id="3529"/>
      <w:r>
        <w:rPr>
          <w:rtl w:val="true"/>
        </w:rPr>
        <w:t>«</w:t>
      </w:r>
      <w:r>
        <w:rPr/>
        <w:t>32</w:t>
      </w:r>
      <w:r>
        <w:rPr>
          <w:rtl w:val="true"/>
        </w:rPr>
        <w:t>»</w:t>
      </w:r>
      <w:bookmarkEnd w:id="3530"/>
    </w:p>
    <w:p>
      <w:pPr>
        <w:pStyle w:val="BookText"/>
        <w:rPr/>
      </w:pPr>
      <w:r>
        <w:rPr>
          <w:rFonts w:ascii="Amiri" w:hAnsi="Amiri" w:eastAsia="Amiri" w:cs="Amiri"/>
          <w:color w:val="111111"/>
          <w:sz w:val="28"/>
          <w:sz w:val="28"/>
          <w:szCs w:val="28"/>
          <w:rtl w:val="true"/>
          <w:lang w:bidi="ar-SA"/>
        </w:rPr>
        <w:t>الْمُقْنِعَةُ، قَالَ رُوِيَ عَنِ الصَّادِقِينَ عليهم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يُصَلِّي عَلَي الْمُؤْمِنِينَ وَ يُكَبِّرُ عَلَيْهِمْ خَمْساً وَ يُصَلِّي عَلَي أَهْلِ النِّفَاقِ سِوَي مَنْ وَرَدَ النَّهْيُ عَنِ الصَّلَاةِ عَلَيْهِمْ فَيُكَبِّرُ أَرْبَعاً فَرْقاً بَيْنَهُمْ وَ بَيْنَ أَهْلِ الْإِيمَانِ وَ كَانَتِ الصَّحَابَةُ إِذَا رَأَتْهُ قَدْ صَلَّي عَلَي مَيِّتٍ وَ كَبَّرَ عَلَيْهِ أَرْبَعاً قَطَعُوا عَلَيْهِ بِالنِّفَاقِ‌</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صَلَّي عَلَي سَهْلِ بْنِ حُنَيْفٍ وَ كَبَّرَ خَمْساً ثُمَّ الْتَفَتَ إِلَي أَصْحَابِهِ فَقَالَ إِنَّهُ مِنْ أَهْلِ بَدْرٍ</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31" w:name="__RefHeading___Toc608158_1934241801"/>
      <w:bookmarkStart w:id="3532" w:name="_Toc1623"/>
      <w:bookmarkEnd w:id="3531"/>
      <w:r>
        <w:rPr>
          <w:rtl w:val="true"/>
        </w:rPr>
        <w:t>«</w:t>
      </w:r>
      <w:r>
        <w:rPr/>
        <w:t>33</w:t>
      </w:r>
      <w:r>
        <w:rPr>
          <w:rtl w:val="true"/>
        </w:rPr>
        <w:t>»</w:t>
      </w:r>
      <w:bookmarkEnd w:id="3532"/>
    </w:p>
    <w:p>
      <w:pPr>
        <w:pStyle w:val="BookText"/>
        <w:rPr/>
      </w:pPr>
      <w:r>
        <w:rPr>
          <w:rFonts w:ascii="Amiri" w:hAnsi="Amiri" w:eastAsia="Amiri" w:cs="Amiri"/>
          <w:color w:val="111111"/>
          <w:sz w:val="28"/>
          <w:sz w:val="28"/>
          <w:szCs w:val="28"/>
          <w:rtl w:val="true"/>
          <w:lang w:bidi="ar-SA"/>
        </w:rPr>
        <w:t>رِجَالُ الْكَشِّيِّ، عَنْ مُحَمَّدِ بْنِ مَسْعُودٍ عَنْ أَحْمَدَ بْنِ عَبْدِ اللَّهِ الْعَلَوِيِّ عَنْ عَلِيِّ بْنِ الْحَسَنِ الْحُسَيْنِيِّ عَنِ الْحَسَنِ بْنِ زَيْدٍ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عَلِيُّ بْنُ أَبِي طَالِبٍ عليه السلام عَلَي سَهْلِ بْنِ حُنَيْفٍ سَبْعَ تَكْبِيرَاتٍ وَ كَانَ بَدْرِيّاً وَ قَالَ لَوْ كَبَّرْتُ عَلَيْهِ سَبْعِينَ لَكَانَ أَهْلًا</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میّت حقّی است که ادا می شود و جایز است که حقوق در هر زمانی ادا شوند، به شرط اینکه زمان پرداخت حقّ محدود و معیّن نباشد</w:t>
      </w:r>
      <w:r>
        <w:rPr>
          <w:rFonts w:eastAsia="IRNazanin" w:cs="IRNazanin"/>
          <w:color w:val="111111"/>
          <w:sz w:val="28"/>
          <w:szCs w:val="28"/>
          <w:rtl w:val="true"/>
          <w:lang w:bidi="fa-IR"/>
        </w:rPr>
        <w:t>.</w:t>
      </w:r>
      <w:r>
        <w:rPr>
          <w:rStyle w:val="FootnoteAnchor"/>
          <w:rtl w:val="true"/>
        </w:rPr>
        <w:footnoteReference w:id="1874"/>
      </w:r>
    </w:p>
    <w:p>
      <w:pPr>
        <w:pStyle w:val="Heading5"/>
        <w:numPr>
          <w:ilvl w:val="4"/>
          <w:numId w:val="1"/>
        </w:numPr>
        <w:rPr/>
      </w:pPr>
      <w:bookmarkStart w:id="3533" w:name="__RefHeading___Toc608160_1934241801"/>
      <w:bookmarkStart w:id="3534" w:name="_Toc1624"/>
      <w:bookmarkEnd w:id="3533"/>
      <w:r>
        <w:rPr>
          <w:rtl w:val="true"/>
        </w:rPr>
        <w:t xml:space="preserve">روایت </w:t>
      </w:r>
      <w:r>
        <w:rPr/>
        <w:t>30</w:t>
      </w:r>
      <w:bookmarkEnd w:id="3534"/>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در حدیث شرایع دین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 دارای پنج تکبیر است و هر کسی که آن ها را ناقص گرداند مخالف سنّت عمل کرده است</w:t>
      </w:r>
      <w:r>
        <w:rPr>
          <w:rFonts w:eastAsia="IRNazanin" w:cs="IRNazanin"/>
          <w:color w:val="111111"/>
          <w:sz w:val="28"/>
          <w:szCs w:val="28"/>
          <w:rtl w:val="true"/>
          <w:lang w:bidi="fa-IR"/>
        </w:rPr>
        <w:t>.</w:t>
      </w:r>
      <w:r>
        <w:rPr>
          <w:rStyle w:val="FootnoteAnchor"/>
          <w:rtl w:val="true"/>
        </w:rPr>
        <w:footnoteReference w:id="1875"/>
      </w:r>
    </w:p>
    <w:p>
      <w:pPr>
        <w:pStyle w:val="Heading5"/>
        <w:numPr>
          <w:ilvl w:val="4"/>
          <w:numId w:val="1"/>
        </w:numPr>
        <w:rPr/>
      </w:pPr>
      <w:bookmarkStart w:id="3535" w:name="__RefHeading___Toc608162_1934241801"/>
      <w:bookmarkStart w:id="3536" w:name="_Toc1625"/>
      <w:bookmarkEnd w:id="3535"/>
      <w:r>
        <w:rPr>
          <w:rtl w:val="true"/>
        </w:rPr>
        <w:t xml:space="preserve">روایت </w:t>
      </w:r>
      <w:r>
        <w:rPr/>
        <w:t>31</w:t>
      </w:r>
      <w:bookmarkEnd w:id="3536"/>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اخبار فاطمه تألیف ابن بابویه روایت شده که امام علی علیه السلام بر پیکر فاطمه علیها السلام نماز گزارد و پنج بار تکبیر گفت و شبانه او را به خاک سپرد</w:t>
      </w:r>
      <w:r>
        <w:rPr>
          <w:rFonts w:eastAsia="IRNazanin" w:cs="IRNazanin"/>
          <w:color w:val="111111"/>
          <w:sz w:val="28"/>
          <w:szCs w:val="28"/>
          <w:rtl w:val="true"/>
          <w:lang w:bidi="fa-IR"/>
        </w:rPr>
        <w:t>.</w:t>
      </w:r>
      <w:r>
        <w:rPr>
          <w:rStyle w:val="FootnoteAnchor"/>
          <w:rtl w:val="true"/>
        </w:rPr>
        <w:footnoteReference w:id="1876"/>
      </w:r>
    </w:p>
    <w:p>
      <w:pPr>
        <w:pStyle w:val="BookText"/>
        <w:rPr/>
      </w:pPr>
      <w:r>
        <w:rPr>
          <w:rFonts w:ascii="IRNazanin" w:hAnsi="IRNazanin" w:eastAsia="IRNazanin"/>
          <w:color w:val="111111"/>
          <w:sz w:val="28"/>
          <w:sz w:val="28"/>
          <w:szCs w:val="28"/>
          <w:rtl w:val="true"/>
          <w:lang w:bidi="fa-IR"/>
        </w:rPr>
        <w:t>نظیر این حدیث از محمد بن علی علیهما السلام روایت شده و اینکه فاطمه علیها السلام شبانه به خاک سپرده شد</w:t>
      </w:r>
      <w:r>
        <w:rPr>
          <w:rFonts w:eastAsia="IRNazanin" w:cs="IRNazanin"/>
          <w:color w:val="111111"/>
          <w:sz w:val="28"/>
          <w:szCs w:val="28"/>
          <w:rtl w:val="true"/>
          <w:lang w:bidi="fa-IR"/>
        </w:rPr>
        <w:t>.</w:t>
      </w:r>
      <w:r>
        <w:rPr>
          <w:rStyle w:val="FootnoteAnchor"/>
          <w:rtl w:val="true"/>
        </w:rPr>
        <w:footnoteReference w:id="1877"/>
      </w:r>
    </w:p>
    <w:p>
      <w:pPr>
        <w:pStyle w:val="Heading5"/>
        <w:numPr>
          <w:ilvl w:val="4"/>
          <w:numId w:val="1"/>
        </w:numPr>
        <w:rPr/>
      </w:pPr>
      <w:bookmarkStart w:id="3537" w:name="__RefHeading___Toc608164_1934241801"/>
      <w:bookmarkStart w:id="3538" w:name="_Toc1626"/>
      <w:bookmarkEnd w:id="3537"/>
      <w:r>
        <w:rPr>
          <w:rtl w:val="true"/>
        </w:rPr>
        <w:t xml:space="preserve">روایت </w:t>
      </w:r>
      <w:r>
        <w:rPr/>
        <w:t>32</w:t>
      </w:r>
      <w:bookmarkEnd w:id="3538"/>
    </w:p>
    <w:p>
      <w:pPr>
        <w:pStyle w:val="BookText"/>
        <w:rPr/>
      </w:pP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صادقین علیهم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پیکر مؤمنان نماز می گزارد و پنج بار بر آنان تکبیر می گفت، همچنین بر منافقان نماز میّت می گزارد، بر خلاف روایاتی که بر عدم نماز گزاردن بر جنازه منافقان دلالت می کنند، پس به خاطر فرق گذاشتن بین منافقان و مؤمنان چهار بار بر جنازه منافقان تکبیر می گفت، و صحابه هر گاه پیامبر را مشاهده می کردند که بر میّتی نماز می گزارد و چهار مرتبه بر او تکبیر می گفت، به قطعیّت حُکم به نفاق او صادر می کردند</w:t>
      </w:r>
      <w:r>
        <w:rPr>
          <w:rFonts w:eastAsia="IRNazanin" w:cs="IRNazanin"/>
          <w:color w:val="111111"/>
          <w:sz w:val="28"/>
          <w:szCs w:val="28"/>
          <w:rtl w:val="true"/>
          <w:lang w:bidi="fa-IR"/>
        </w:rPr>
        <w:t>.</w:t>
      </w:r>
      <w:r>
        <w:rPr>
          <w:rStyle w:val="FootnoteAnchor"/>
          <w:rtl w:val="true"/>
        </w:rPr>
        <w:footnoteReference w:id="1878"/>
      </w:r>
    </w:p>
    <w:p>
      <w:pPr>
        <w:pStyle w:val="BookText"/>
        <w:rPr/>
      </w:pPr>
      <w:r>
        <w:rPr>
          <w:rFonts w:ascii="IRNazanin" w:hAnsi="IRNazanin" w:eastAsia="IRNazanin"/>
          <w:color w:val="111111"/>
          <w:sz w:val="28"/>
          <w:sz w:val="28"/>
          <w:szCs w:val="28"/>
          <w:rtl w:val="true"/>
          <w:lang w:bidi="fa-IR"/>
        </w:rPr>
        <w:t>روایت شده که امام علی بر پیکر سهل بن حنیف نماز گزارد و پنج بار تکبیر گفت، سپس به یاران خویش رو کرد و فرمود به راستی که او از اهل بدر بود</w:t>
      </w:r>
      <w:r>
        <w:rPr>
          <w:rFonts w:eastAsia="IRNazanin" w:cs="IRNazanin"/>
          <w:color w:val="111111"/>
          <w:sz w:val="28"/>
          <w:szCs w:val="28"/>
          <w:rtl w:val="true"/>
          <w:lang w:bidi="fa-IR"/>
        </w:rPr>
        <w:t>.</w:t>
      </w:r>
      <w:r>
        <w:rPr>
          <w:rStyle w:val="FootnoteAnchor"/>
          <w:rtl w:val="true"/>
        </w:rPr>
        <w:footnoteReference w:id="1879"/>
      </w:r>
    </w:p>
    <w:p>
      <w:pPr>
        <w:pStyle w:val="Heading5"/>
        <w:numPr>
          <w:ilvl w:val="4"/>
          <w:numId w:val="1"/>
        </w:numPr>
        <w:rPr/>
      </w:pPr>
      <w:bookmarkStart w:id="3539" w:name="__RefHeading___Toc608166_1934241801"/>
      <w:bookmarkStart w:id="3540" w:name="_Toc1627"/>
      <w:bookmarkEnd w:id="3539"/>
      <w:r>
        <w:rPr>
          <w:rtl w:val="true"/>
        </w:rPr>
        <w:t xml:space="preserve">روایت </w:t>
      </w:r>
      <w:r>
        <w:rPr/>
        <w:t>33</w:t>
      </w:r>
      <w:bookmarkEnd w:id="3540"/>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زید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هفت مرتبه بر پیکر سهل بن حنیف که از اهل بدر بود تکبیر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هفتاد مرتبه بر او تکبیر می گفتم شایسته بود</w:t>
      </w:r>
      <w:r>
        <w:rPr>
          <w:rFonts w:eastAsia="IRNazanin" w:cs="IRNazanin"/>
          <w:color w:val="111111"/>
          <w:sz w:val="28"/>
          <w:szCs w:val="28"/>
          <w:rtl w:val="true"/>
          <w:lang w:bidi="fa-IR"/>
        </w:rPr>
        <w:t>.</w:t>
      </w:r>
      <w:r>
        <w:rPr>
          <w:rStyle w:val="FootnoteAnchor"/>
          <w:rtl w:val="true"/>
        </w:rPr>
        <w:footnoteReference w:id="1880"/>
      </w:r>
      <w:bookmarkStart w:id="3541" w:name="pg13517_329410"/>
    </w:p>
    <w:p>
      <w:pPr>
        <w:pStyle w:val="BookText"/>
        <w:rPr/>
      </w:pPr>
      <w:bookmarkEnd w:id="3541"/>
      <w:r>
        <w:rPr>
          <w:rFonts w:ascii="Amiri" w:hAnsi="Amiri" w:eastAsia="Amiri" w:cs="Amiri"/>
          <w:color w:val="111111"/>
          <w:sz w:val="28"/>
          <w:sz w:val="28"/>
          <w:szCs w:val="28"/>
          <w:rtl w:val="true"/>
          <w:lang w:bidi="ar-SA"/>
        </w:rPr>
        <w:t>وَ مِنْهُ عَنْ مُحَمَّدِ بْنِ مَسْعُودٍ عَنْ مُحَمَّدِ بْنِ نُصَيْرٍ عَنْ مُحَمَّدِ بْنِ عِيسَي عَنِ ابْنِ أَبِي عُمَيْرٍ عَنْ حَمَّادٍ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عَلِيٌّ عليه السلام عَلَي سَهْلِ بْنِ حُنَيْفٍ وَ كَانَ بَدْرِيّاً خَمْسَ تَكْبِيرَاتٍ ثُمَّ مَشَي بِهِ سَاعَةً ثُمَّ وَضَعَهُ ثُمَّ كَبَّرَ عَلَيْهِ خَمْسَ تَكْبِيرَاتٍ أُخَرَ يُصْنَعُ بِهِ ذَلِكَ حَتَّي بَلَغَ خَمْساً وَ عِشْرِينَ تَكْبِيرَةً</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2" w:name="__RefHeading___Toc608168_1934241801"/>
      <w:bookmarkStart w:id="3543" w:name="_Toc1628"/>
      <w:bookmarkEnd w:id="3542"/>
      <w:r>
        <w:rPr>
          <w:rtl w:val="true"/>
        </w:rPr>
        <w:t>«</w:t>
      </w:r>
      <w:r>
        <w:rPr/>
        <w:t>34</w:t>
      </w:r>
      <w:r>
        <w:rPr>
          <w:rtl w:val="true"/>
        </w:rPr>
        <w:t>»</w:t>
      </w:r>
      <w:bookmarkEnd w:id="3543"/>
    </w:p>
    <w:p>
      <w:pPr>
        <w:pStyle w:val="BookText"/>
        <w:rPr/>
      </w:pPr>
      <w:r>
        <w:rPr>
          <w:rFonts w:ascii="Amiri" w:hAnsi="Amiri" w:eastAsia="Amiri" w:cs="Amiri"/>
          <w:color w:val="111111"/>
          <w:sz w:val="28"/>
          <w:sz w:val="28"/>
          <w:szCs w:val="28"/>
          <w:rtl w:val="true"/>
          <w:lang w:bidi="ar-SA"/>
        </w:rPr>
        <w:t>إِكْمَالُ الدِّينِ، عَنْ مُحَمَّدِ بْنِ إِبْرَاهِيمَ بْنِ إِسْحَاقَ عَنْ أَحْمَدَ بْنِ مُحَمَّدٍ الْهَمْدَانِيِّ عَنْ عَلِيِّ بْنِ الْحَسَنِ بْنِ فَضَّالٍ عَنْ أَبِيهِ عَنْ مُحَمَّدِ بْنِ الْفُضَيْلِ عَنْ أَبِي حَمْزَةَ عَنْ أَبِي جَعْفَرٍ عليه السلام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لَمَّا مَاتَ فَبَلَغَ إِلَي الصَّلَاةِ عَلَيْهِ تَقَدَّمَ هِبَةُ اللَّهِ فَصَلَّي عَلَي أَبِيهِ وَ جَبْرَئِيلُ خَلْفَهُ وَ جُنُودُ الْمَلَائِكَةِ وَ كَبَّرَ عَلَيْهِ ثَلَاثِينَ تَكْبِيرَةً فَأَمَرَ جَبْرَئِيلُ فَرَفَعَ خَمْساً وَ عِشْرِينَ تَكْبِيرَةً وَ السُّنَّةُ الْيَوْمَ فِينَا خَمْسُ تَكْبِيرَاتٍ وَ قَدْ كَانَ يُكَبِّرُ عَلَي أَهْلِ بَدْرٍ تِسْعاً وَ سَبْعاً</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4" w:name="__RefHeading___Toc608170_1934241801"/>
      <w:bookmarkStart w:id="3545" w:name="_Toc1629"/>
      <w:bookmarkEnd w:id="3544"/>
      <w:r>
        <w:rPr>
          <w:rtl w:val="true"/>
        </w:rPr>
        <w:t>بيان</w:t>
      </w:r>
      <w:bookmarkEnd w:id="3545"/>
    </w:p>
    <w:p>
      <w:pPr>
        <w:pStyle w:val="BookText"/>
        <w:rPr/>
      </w:pPr>
      <w:r>
        <w:rPr>
          <w:rFonts w:ascii="Amiri" w:hAnsi="Amiri" w:eastAsia="Amiri" w:cs="Amiri"/>
          <w:color w:val="111111"/>
          <w:sz w:val="28"/>
          <w:sz w:val="28"/>
          <w:szCs w:val="28"/>
          <w:rtl w:val="true"/>
          <w:lang w:bidi="ar-SA"/>
        </w:rPr>
        <w:t>لعل زيادة التكبير كانت للتشريك بأن حضر جنازة قبل الخامسة علي الأولي فيكبر علي الثانية خمسة و علي الأولي تسعة لحضورها حتي تتم الصلاة علي الثانية أو لفضل بعضهم كان يكبر عليه أكثر فيكون من خصائص تلك الواقعة كما هو ظاهر خبر الحسن بن زيد في الصلاة علي سهل و إن كان مخالفا لسائر الأخبار الواردة في الصلاة عليه</w:t>
      </w:r>
      <w:r>
        <w:rPr>
          <w:rFonts w:eastAsia="Amiri" w:cs="Amiri" w:ascii="Amiri" w:hAnsi="Amiri"/>
          <w:color w:val="111111"/>
          <w:sz w:val="28"/>
          <w:szCs w:val="28"/>
          <w:rtl w:val="true"/>
          <w:lang w:bidi="ar-SA"/>
        </w:rPr>
        <w:t>.</w:t>
      </w:r>
    </w:p>
    <w:p>
      <w:pPr>
        <w:pStyle w:val="Heading5"/>
        <w:numPr>
          <w:ilvl w:val="4"/>
          <w:numId w:val="1"/>
        </w:numPr>
        <w:rPr/>
      </w:pPr>
      <w:bookmarkStart w:id="3546" w:name="__RefHeading___Toc608172_1934241801"/>
      <w:bookmarkStart w:id="3547" w:name="_Toc1630"/>
      <w:bookmarkEnd w:id="3546"/>
      <w:r>
        <w:rPr>
          <w:rtl w:val="true"/>
        </w:rPr>
        <w:t>«</w:t>
      </w:r>
      <w:r>
        <w:rPr/>
        <w:t>35</w:t>
      </w:r>
      <w:r>
        <w:rPr>
          <w:rtl w:val="true"/>
        </w:rPr>
        <w:t>»</w:t>
      </w:r>
      <w:bookmarkEnd w:id="3547"/>
    </w:p>
    <w:p>
      <w:pPr>
        <w:pStyle w:val="BookText"/>
        <w:rPr/>
      </w:pPr>
      <w:r>
        <w:rPr>
          <w:rFonts w:ascii="Amiri" w:hAnsi="Amiri" w:eastAsia="Amiri" w:cs="Amiri"/>
          <w:color w:val="111111"/>
          <w:sz w:val="28"/>
          <w:sz w:val="28"/>
          <w:szCs w:val="28"/>
          <w:rtl w:val="true"/>
          <w:lang w:bidi="ar-SA"/>
        </w:rPr>
        <w:t>كِتَابُ الطُّرَفِ، لِلسَّيِّدِ بْنِ طَاوُسٍ عَنْ عِيسَي بْنِ الْمُسْتَفَادِ عَنْ أَبِي الْحَسَنِ مُوسَي بْنِ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أَوْصَي بِهِ رَسُولُ اللَّهِ صلي الله عليه و آله أَنْ يُدْفَنَ فِي بَيْتِهِ وَ يُكَفَّنَ بِثَلَاثَةِ أَثْوَابٍ أَحَدُهَا يَمَانٍ وَ لَا يَدْخُلَ قَبْرَهُ غَيْرُ عَلِيٍّ عليه السلام ثُمَّ قَالَ يَا عَلِيُّ كُنْ أَنْتَ وَ فَاطِمَةُ وَ الْحَسَنُ وَ الْحُسَيْنُ وَ كَبِّرُوا خَمْساً وَ سَبْعِينَ تَكْبِيرَةً وَ كَبِّرْ خَمْساً وَ انْصَرِفْ وَ ذَلِكَ بَعْدَ أَنْ يُؤْذَنَ لَكَ فِي الصَّلَاةِ قَالَ عَلِيٌّ وَ مَنْ يَأْذَنُ لِي بِهَا قَالَ جَبْرَئِيلُ يُؤْذِنُكَ بِهَا ثُمَّ رِجَالُ أَهْلِ بَيْتِي يُصَلُّونَ عَلَيَ</w:t>
      </w:r>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پنج مرتبه بر پیکر سهل بن حنیف که از اهل بدر بود تکبیر گفت، سپس پیکر او را پیاده به مدّت یک ساعت حمل نمود، آن گاه بر زمینش گذاشت و پنج مرتبه دیگر بر او تکبیر گفت و این کار را تا زمانی که تعداد تکبیرها به بیست و پنج رسید ادامه داد</w:t>
      </w:r>
      <w:r>
        <w:rPr>
          <w:rFonts w:eastAsia="IRNazanin" w:cs="IRNazanin"/>
          <w:color w:val="111111"/>
          <w:sz w:val="28"/>
          <w:szCs w:val="28"/>
          <w:rtl w:val="true"/>
          <w:lang w:bidi="fa-IR"/>
        </w:rPr>
        <w:t>.</w:t>
      </w:r>
      <w:r>
        <w:rPr>
          <w:rStyle w:val="FootnoteAnchor"/>
          <w:rtl w:val="true"/>
        </w:rPr>
        <w:footnoteReference w:id="1883"/>
      </w:r>
    </w:p>
    <w:p>
      <w:pPr>
        <w:pStyle w:val="Heading5"/>
        <w:numPr>
          <w:ilvl w:val="4"/>
          <w:numId w:val="1"/>
        </w:numPr>
        <w:rPr/>
      </w:pPr>
      <w:bookmarkStart w:id="3548" w:name="__RefHeading___Toc608174_1934241801"/>
      <w:bookmarkStart w:id="3549" w:name="_Toc1631"/>
      <w:bookmarkEnd w:id="3548"/>
      <w:r>
        <w:rPr>
          <w:rtl w:val="true"/>
        </w:rPr>
        <w:t xml:space="preserve">روایت </w:t>
      </w:r>
      <w:r>
        <w:rPr/>
        <w:t>34</w:t>
      </w:r>
      <w:bookmarkEnd w:id="3549"/>
    </w:p>
    <w:p>
      <w:pPr>
        <w:pStyle w:val="BookText"/>
        <w:rPr/>
      </w:pP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حدیثی طولانی از امام باقر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علیه السلام وفات نمود و زمان آن فرا رسید که بر پیکر او نماز گزارده شود، هبة الله پیش افتاد و در حالی که جبرئیل و فرشتگان پشت سر او قرار گرفته بودند بر پدرش نماز گزارد و سی مرتبه بر او تکبیر گفت، آن گاه جبرئیل امر فرمود و بیست و پنج تکبیر آن برداشته شد و امروز سنّت بر این است که در نماز میّت پنج تکبیر سر داده شود، این در حالی است که بر پیکر اهل بدر نُه یا هفت بار تکبیر گفته می شود</w:t>
      </w:r>
      <w:r>
        <w:rPr>
          <w:rFonts w:eastAsia="IRNazanin" w:cs="IRNazanin"/>
          <w:color w:val="111111"/>
          <w:sz w:val="28"/>
          <w:szCs w:val="28"/>
          <w:rtl w:val="true"/>
          <w:lang w:bidi="fa-IR"/>
        </w:rPr>
        <w:t>.</w:t>
      </w:r>
      <w:r>
        <w:rPr>
          <w:rStyle w:val="FootnoteAnchor"/>
          <w:rtl w:val="true"/>
        </w:rPr>
        <w:footnoteReference w:id="1884"/>
      </w:r>
    </w:p>
    <w:p>
      <w:pPr>
        <w:pStyle w:val="Heading5"/>
        <w:numPr>
          <w:ilvl w:val="4"/>
          <w:numId w:val="1"/>
        </w:numPr>
        <w:rPr/>
      </w:pPr>
      <w:bookmarkStart w:id="3550" w:name="__RefHeading___Toc608176_1934241801"/>
      <w:bookmarkStart w:id="3551" w:name="_Toc1632"/>
      <w:bookmarkEnd w:id="3550"/>
      <w:r>
        <w:rPr>
          <w:rtl w:val="true"/>
        </w:rPr>
        <w:t>توضیح</w:t>
      </w:r>
      <w:bookmarkEnd w:id="3551"/>
    </w:p>
    <w:p>
      <w:pPr>
        <w:pStyle w:val="BookText"/>
        <w:rPr/>
      </w:pPr>
      <w:r>
        <w:rPr>
          <w:rFonts w:ascii="IRNazanin" w:hAnsi="IRNazanin" w:eastAsia="IRNazanin"/>
          <w:color w:val="111111"/>
          <w:sz w:val="28"/>
          <w:sz w:val="28"/>
          <w:szCs w:val="28"/>
          <w:rtl w:val="true"/>
          <w:lang w:bidi="fa-IR"/>
        </w:rPr>
        <w:t xml:space="preserve">شاید زیادت تکبیرها به خاطر شریک گرداندن جنازهای دیگر باشد، به این ترتیب که قبل از پایان یافتن پنج تکبیرِ جنازه نخست جنازه دیگری در کنار آن حاضر شود، پس بر جنازه دوّم نیز پنج تکبیر سر داده می شود، بنابراین تعداد تکبیرهای جنازه نخست به نُه می رسد، چرا که تا پایان نماز و سر دادن تکبیر بر جنازه دوّم حضور داشته است؛ یا به خاطر فضل و برتری یک میّت بر او تکبیرهای بیشتری سر داده می شود، پس افزایش دادن تکبیرها مخصوص همان واقعه مشخص است، آن گونه که از ظاهر حدیث حسن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شماره</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نماز گزاردن بر پیکر سهل بن حنیف روایت شده نیز چنین بر می آید، هر چند این حدیث متفاوت با سایر احادیثی است که در زمینه نماز بر پیکر سهل روایت شده است</w:t>
      </w:r>
      <w:r>
        <w:rPr>
          <w:rFonts w:eastAsia="IRNazanin" w:cs="IRNazanin"/>
          <w:color w:val="111111"/>
          <w:sz w:val="28"/>
          <w:szCs w:val="28"/>
          <w:rtl w:val="true"/>
          <w:lang w:bidi="fa-IR"/>
        </w:rPr>
        <w:t>.</w:t>
      </w:r>
    </w:p>
    <w:p>
      <w:pPr>
        <w:pStyle w:val="Heading5"/>
        <w:numPr>
          <w:ilvl w:val="4"/>
          <w:numId w:val="1"/>
        </w:numPr>
        <w:rPr/>
      </w:pPr>
      <w:bookmarkStart w:id="3552" w:name="__RefHeading___Toc608178_1934241801"/>
      <w:bookmarkStart w:id="3553" w:name="_Toc1633"/>
      <w:bookmarkEnd w:id="3552"/>
      <w:r>
        <w:rPr>
          <w:rtl w:val="true"/>
        </w:rPr>
        <w:t xml:space="preserve">روایت </w:t>
      </w:r>
      <w:r>
        <w:rPr/>
        <w:t>35</w:t>
      </w:r>
      <w:bookmarkEnd w:id="3553"/>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از پدرش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وصیّت های رسول خدا صلّی الله علیه و آله آمده بود که پیکر مبارکش در خانه خویش دفن شده و در سه لباس که یکی از آن ها بُرد یمانی باشد کفن گردد، و کسی غیر از علی علیه السلام وارد قبر او نگردد، سپس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در نماز بر پیکرم تو، فاطمه، حسن و حسین حضور داشته باشید، با  هم هفتاد و پنج مرتبه تکبیر بگویید، آن گاه به تنهایی پنج مرتبه تکبیر بگوی و نماز را به پایان برسان، این در حالی است که به منظور اقامه نماز برای تو اذان سر داده می شود،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به من اذن داده؟ پیامبر فرمود جبرئیل، سپس مردان و آن گاه زنان اهل بیتم </w:t>
      </w:r>
      <w:bookmarkStart w:id="3554" w:name="pg13517_329411"/>
    </w:p>
    <w:p>
      <w:pPr>
        <w:pStyle w:val="BookText"/>
        <w:rPr/>
      </w:pPr>
      <w:bookmarkEnd w:id="3554"/>
      <w:r>
        <w:rPr>
          <w:rFonts w:ascii="Amiri" w:hAnsi="Amiri" w:eastAsia="Amiri" w:cs="Amiri"/>
          <w:color w:val="111111"/>
          <w:sz w:val="28"/>
          <w:sz w:val="28"/>
          <w:szCs w:val="28"/>
          <w:rtl w:val="true"/>
          <w:lang w:bidi="ar-SA"/>
        </w:rPr>
        <w:t>فَوْجاً فَوْجاً ثُمَّ نِسَاؤُهُمْ ثُمَّ النَّاسُ مِنْ بَعْدِ ذَلِكَ قَالَ فَفُعِلَتْ‌</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55" w:name="__RefHeading___Toc608180_1934241801"/>
      <w:bookmarkStart w:id="3556" w:name="_Toc1634"/>
      <w:bookmarkEnd w:id="3555"/>
      <w:r>
        <w:rPr>
          <w:rtl w:val="true"/>
        </w:rPr>
        <w:t>«</w:t>
      </w:r>
      <w:r>
        <w:rPr/>
        <w:t>36</w:t>
      </w:r>
      <w:r>
        <w:rPr>
          <w:rtl w:val="true"/>
        </w:rPr>
        <w:t>»</w:t>
      </w:r>
      <w:bookmarkEnd w:id="3556"/>
    </w:p>
    <w:p>
      <w:pPr>
        <w:pStyle w:val="BookText"/>
        <w:rPr/>
      </w:pPr>
      <w:r>
        <w:rPr>
          <w:rFonts w:ascii="Amiri" w:hAnsi="Amiri" w:eastAsia="Amiri" w:cs="Amiri"/>
          <w:color w:val="111111"/>
          <w:sz w:val="28"/>
          <w:sz w:val="28"/>
          <w:szCs w:val="28"/>
          <w:rtl w:val="true"/>
          <w:lang w:bidi="ar-SA"/>
        </w:rPr>
        <w:t>الْمَحَاسِنُ، عَنْ أَبِي سُمَيْنَةَ عَنْ مُحَمَّدِ بْنِ أَسْلَمَ عَنِ الْحُسَيْنِ بْنِ خَالِدٍ قَالَ سَمِعْتُ أَبَا الْحَسَنِ مُوسَي بْنَ جَعْفَرٍ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إِبْرَاهِيمُ بْنُ رَسُولِ اللَّهِ صلي الله عليه و آله جَرَتْ فِي مَوْتِهِ ثَلَاثُ سُنَنٍ أَمَّا وَاحِدَةٌ فَإِنَّهُ لَمَّا قُبِضَ انْكَسَفَتِ الشَّمْسُ فَقَالَ النَّاسُ إِنَّمَا انْكَسَفَتِ الشَّمْسُ لِمَوْتِ ابْنِ رَسُولِ اللَّهِ فَصَعِدَ رَسُولُ اللَّهِ صلي الله عليه و آله الْمِنْبَرَ فَحَمِدَ اللَّهَ وَ أَثْنَي عَلَيْهِ ثُمَّ قَالَ أَيُّهَا النَّاسُ إِنَّ الشَّمْسَ وَ الْقَمَرَ آيَتَانِ مِنْ آيَاتِ اللَّهِ يَجْرِيَانِ بِأَمْرِهِ مُطِيعَانِ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يَنْكَسِفَانِ لِمَوْتِ أَحَدٍ وَ لَا لِحَيَاتِهِ فَإِذَا انْكَسَفَا أَوْ أَحَدُهُمَا صَلُّوا ثُمَّ نَزَلَ مِنَ الْمِنْبَرِ فَصَلَّي بِالنَّاسِ الْكُسُوفَ فَلَمَّا سَلَّمَ قَالَ يَا عَلِيُّ قُمْ فَجَهِّزِ ابْنِي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فَقَامَ عَلِيٌّ عليه السلام فَغَسَّلَ إِبْرَاهِيمَ وَ كَفَّنَهُ وَ حَنَّطَهُ وَ مَضَي فَمَضَي رَسُولُ اللَّهِ صلي الله عليه و آله حَتَّي انْتَهَي بِهِ إِلَي قَبْرِهِ فَقَالَ النَّاسُ إِنَّ رَسُولَ اللَّهِ صلي الله عليه و آله نَسِيَ أَنْ يُصَلِّيَ عَلَي ابْنِهِ لِمَا دَخَلَهُ مِنَ الْجَزَعِ عَلَيْهِ فَانْتَصَبَ قَائِماً ثُمَّ قَالَ إِنَّ جَبْرَئِيلَ أَتَانِي وَ أَخْبَرَنِي بِمَا قُلْتُمْ زَعَمْتُمْ أَنِّي نَسِيتُ أَنْ أُصَلِّيَ عَلَي ابْنِي لِمَا دَخَلَنِي مِنَ الْجَزَعِ أَلَا وَ إِنَّهُ لَيْسَ كَمَا ظَنَنْتُمْ وَ لَكِنَّ اللَّطِيفَ الْخَبِيرَ فَرَضَ عَلَيْكُمْ خَمْسَ صَلَوَاتٍ وَ جَعَلَ لِمَوْتَاكُمْ مِنْ كُلِّ صَلَاةٍ تَكْبِيرَةً وَ أَمَرَنِي أَنْ لَا أُصَلِّيَ إِلَّا عَلَي مَنْ صَلَّي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عَلِيُّ انْزِلْ وَ أَلْحِدِ ابْنِي فَنَزَلَ عَلِيٌّ عليه السلام فَأَلْحَدَ إِبْرَاهِيمَ فِي لَحْدِهِ فَقَالَ النَّاسُ إِنَّهُ لَا يَنْبَغِي لِأَحَدٍ أَنْ يَنْزِلَ فِي قَبْرِ وَلَدِهِ إِذْ لَمْ يَفْعَلْ رَسُولُ اللَّهِ صلي الله عليه و آله بِابْنِهِ فَقَالَ رَسُولُ اللَّهِ صلي الله عليه و آله أَيُّهَا النَّاسُ إِنَّهُ لَيْسَ عَلَيْكُمْ بِحَرَامٍ أَنْ تَنْزِلُوا فِي قُبُورِ أَوْلَادِكُمْ وَ لَكِنْ لَسْتُ آمَنُ إِذَا حَلَّ أَحَدُكُمُ الْكَفَنَ عَنْ وَلَدِهِ أَنْ يَلْعَبَ بِهِ الشَّيْطَانُ فَيُدْخِلَهُ عَنْ ذَلِكَ مِنَ الْجَزَعِ مَا يُحْبِطُ أَجْرَهُ ثُمَّ انْصَرَفَ صلي الله عليه و آله‌</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57" w:name="__RefHeading___Toc608182_1934241801"/>
      <w:bookmarkStart w:id="3558" w:name="_Toc1635"/>
      <w:bookmarkEnd w:id="3557"/>
      <w:r>
        <w:rPr>
          <w:rtl w:val="true"/>
        </w:rPr>
        <w:t>بيان</w:t>
      </w:r>
      <w:bookmarkEnd w:id="3558"/>
    </w:p>
    <w:p>
      <w:pPr>
        <w:pStyle w:val="BookText"/>
        <w:rPr/>
      </w:pPr>
      <w:r>
        <w:rPr>
          <w:rFonts w:ascii="Amiri" w:hAnsi="Amiri" w:eastAsia="Amiri" w:cs="Amiri"/>
          <w:color w:val="111111"/>
          <w:sz w:val="28"/>
          <w:sz w:val="28"/>
          <w:szCs w:val="28"/>
          <w:rtl w:val="true"/>
          <w:lang w:bidi="ar-SA"/>
        </w:rPr>
        <w:t>قوله صلي الله عليه و آله آيتان أي علامتان من علامة وجوده و قدرته و علمه و حكمته لا ينكسفان لموت أحد أي لمحض الموت بل إذا كان بسبب سوء فعال الأمة و استحقوا العذاب و التخويف أمكن أن ينكسفا لذلك كما في</w:t>
      </w:r>
    </w:p>
    <w:p>
      <w:pPr>
        <w:pStyle w:val="BookText"/>
        <w:rPr/>
      </w:pPr>
      <w:r>
        <w:rPr>
          <w:rFonts w:ascii="IRNazanin" w:hAnsi="IRNazanin" w:eastAsia="IRNazanin"/>
          <w:color w:val="111111"/>
          <w:sz w:val="28"/>
          <w:sz w:val="28"/>
          <w:szCs w:val="28"/>
          <w:rtl w:val="true"/>
          <w:lang w:bidi="fa-IR"/>
        </w:rPr>
        <w:t>گروه گروه بر پیکر من نماز بگزارند، پس از آن نیز مردم به نماز بایستند،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چنان کردم</w:t>
      </w:r>
      <w:r>
        <w:rPr>
          <w:rFonts w:eastAsia="IRNazanin" w:cs="IRNazanin"/>
          <w:color w:val="111111"/>
          <w:sz w:val="28"/>
          <w:szCs w:val="28"/>
          <w:rtl w:val="true"/>
          <w:lang w:bidi="fa-IR"/>
        </w:rPr>
        <w:t>.</w:t>
      </w:r>
      <w:r>
        <w:rPr>
          <w:rStyle w:val="FootnoteAnchor"/>
          <w:rtl w:val="true"/>
        </w:rPr>
        <w:footnoteReference w:id="1887"/>
      </w:r>
    </w:p>
    <w:p>
      <w:pPr>
        <w:pStyle w:val="Heading5"/>
        <w:numPr>
          <w:ilvl w:val="4"/>
          <w:numId w:val="1"/>
        </w:numPr>
        <w:rPr/>
      </w:pPr>
      <w:bookmarkStart w:id="3559" w:name="__RefHeading___Toc608184_1934241801"/>
      <w:bookmarkStart w:id="3560" w:name="_Toc1636"/>
      <w:bookmarkEnd w:id="3559"/>
      <w:r>
        <w:rPr>
          <w:rtl w:val="true"/>
        </w:rPr>
        <w:t xml:space="preserve">روایت </w:t>
      </w:r>
      <w:r>
        <w:rPr/>
        <w:t>36</w:t>
      </w:r>
      <w:bookmarkEnd w:id="3560"/>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خالد روایت شده که از امام موسی کاظم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ابراهیم پسر رسول خدا صلّی الله علیه و آله وفات نمود، سه سنّت در جریان وفات او تبلور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هنگام وفات او خورسید تاریک گشت، پس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به خاطر وفات پسر رسول خدا تاریک گشته است، بنابراین رسول خدا صلّی الله علیه و آله بالای منبر رفت و پس از سپاس و ستایش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همانا خورشید و ماه دو نشانه از نشانه های قدرت خداوند هستند که به فرمان او به گردش در می آیند و مطیع اوامرش می باشند، به خاطر مرگ و حیات هیچ کس تاریک نمی گردند، پس آن گاه که هر دو یا یکی از آن ها تاریک گشت نماز بگذارید؛ سپس از منبر پایین آمده و نماز خورشید گرفتگی را برای مردم امامت کرد، و هنگامی که نماز را به پایان رساند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برخیز و پسرم را آماده کفن و دفن ساز، امام علی علیه السلام برخاست و ابراهیم را غسل داد و کفن کرد و او را با حنوط معطّر گرداند و کار را به پایان رساند، پس رسول خدا صلّی الله علیه و آله به راه افتاد تا جنازه ابراهیم را به قبرش رساند،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فرط بی تابی فراموش کرد که بر پیکر پسرش نماز بگزارد، آن گاه پیامبر سر پا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از آنچه گفتید آگاهم کرد، آیا گمان کردید که به خاطر بی تابی از دست دادن پسرم فراموش کرده ام بر او نماز بگزارم؟ به راستی آن گونه که شما پنداشتید نیست، امّا خداوند لطیف و خبیر پنج وعده نماز را در طول شبانه روز بر شما واجب گردانده است و از هر نماز یک تکبیر را در نمازی که بر جنازه مردگان شما گزارده می شود قرار داده است، همچنین به من امر فرمود که فقط بر کسی صلوات بفرستم که خود صلوات فرستاده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فرود آی و پسرم را به خاک بسپار، پس علی علیه السلام فرود آمد و ابراهیم را در قبرش به خاک سپرد،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رسول خدا صلّی الله علیه و آله وارد قبر پسرش نشده است جایز نیست که کسی وارد قبر فرزند خود شود،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بر شما حرام نیست که وارد قبر فرزندان تان شوید، ولی بیم آن دارم هنگامی که یکی از شما کفن فرزندش را می گشاید، شیطان بر او غلبه کند و باعث جزع و فزعی شود که اجر و پاداش او را باطل می کند، آن گاه رسول خدا صلّی الله علیه و آله بازگشت</w:t>
      </w:r>
      <w:r>
        <w:rPr>
          <w:rFonts w:eastAsia="IRNazanin" w:cs="IRNazanin"/>
          <w:color w:val="111111"/>
          <w:sz w:val="28"/>
          <w:szCs w:val="28"/>
          <w:rtl w:val="true"/>
          <w:lang w:bidi="fa-IR"/>
        </w:rPr>
        <w:t>.</w:t>
      </w:r>
      <w:r>
        <w:rPr>
          <w:rStyle w:val="FootnoteAnchor"/>
          <w:rtl w:val="true"/>
        </w:rPr>
        <w:footnoteReference w:id="1888"/>
      </w:r>
    </w:p>
    <w:p>
      <w:pPr>
        <w:pStyle w:val="Heading5"/>
        <w:numPr>
          <w:ilvl w:val="4"/>
          <w:numId w:val="1"/>
        </w:numPr>
        <w:rPr/>
      </w:pPr>
      <w:bookmarkStart w:id="3561" w:name="__RefHeading___Toc608186_1934241801"/>
      <w:bookmarkStart w:id="3562" w:name="_Toc1637"/>
      <w:bookmarkEnd w:id="3561"/>
      <w:r>
        <w:rPr>
          <w:rtl w:val="true"/>
        </w:rPr>
        <w:t>توضیح</w:t>
      </w:r>
      <w:bookmarkEnd w:id="3562"/>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فرموده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خورشید و ماه دو نشانه از نشانه های وجود و قدرت و علم و حکمت خداوند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ینکسفان لموت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و ماه به خاطر مرگ کسی تاریک نمی گردند، امّا اگر به خاطر اعمال ناپسند مردم باشد و مستحقّ عذاب گردند و لازم شود که بیم داده شوند ممکن است تاریک گردند، چنان که هنگام </w:t>
      </w:r>
      <w:bookmarkStart w:id="3563" w:name="pg13517_329412"/>
    </w:p>
    <w:p>
      <w:pPr>
        <w:pStyle w:val="BookText"/>
        <w:rPr/>
      </w:pPr>
      <w:bookmarkEnd w:id="3563"/>
      <w:r>
        <w:rPr>
          <w:rFonts w:ascii="Amiri" w:hAnsi="Amiri" w:eastAsia="Amiri" w:cs="Amiri"/>
          <w:color w:val="111111"/>
          <w:sz w:val="28"/>
          <w:sz w:val="28"/>
          <w:szCs w:val="28"/>
          <w:rtl w:val="true"/>
          <w:lang w:bidi="ar-SA"/>
        </w:rPr>
        <w:t>شهادة الحسين عليه السلام فإنها كانت بفعل الأمة الملعونة فاستحقوا بذلك التخويف و العذاب بخلاف وفاة إبراهيم عليه السلام فإنه لم يكن بفعلهم و لعل تقديم صلاة الكسوف هنا لتضيق وقته و توسعة وقت التجهيز علي ما هو المشهور بين الأصحاب في مثله قال في القاموس جهاز الميت و العروس و المسافر بالكسر و الفتح ما يحتاجون إليه و قد جهزه تجهيزا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زعمتم أي قلتم و يطلق غالبا علي القول الباطل أو الذي يشك فيه قال في القاموس الزعم مثلثة القول الحق و الباطل و الكذب ضد و أكثر ما يقال فيما يشك فيه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صلي الله عليه و آله إلا علي من صلي أي لزم تمرينه بالصلاة كما يظهر من بعض الأخبار و يدل علي عدم مشروعية الصلاة علي من لم يبلغ الست بانضمام روايات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فألحد ابني بفتح الحاء أو كسرها في القاموس لحد القبر كمنع و ألحده عمل له لحدا و الميت دفنه و يدل علي شرعية اللحد و عمومه للأطفال أيضا و علي عدم كراهة نزول مطلق ذي الرحم كما ذكره الأكثر و يدل علي كراهة نزول الوالد في قبر الولد و عدم حرمته و علي مطلوبيته حل عقد الكفن و علي أن الجزع الشديد يحبط الأجر</w:t>
      </w:r>
      <w:r>
        <w:rPr>
          <w:rFonts w:eastAsia="Amiri" w:cs="Amiri" w:ascii="Amiri" w:hAnsi="Amiri"/>
          <w:color w:val="111111"/>
          <w:sz w:val="28"/>
          <w:szCs w:val="28"/>
          <w:rtl w:val="true"/>
          <w:lang w:bidi="ar-SA"/>
        </w:rPr>
        <w:t>.</w:t>
      </w:r>
    </w:p>
    <w:p>
      <w:pPr>
        <w:pStyle w:val="Heading5"/>
        <w:numPr>
          <w:ilvl w:val="4"/>
          <w:numId w:val="1"/>
        </w:numPr>
        <w:rPr/>
      </w:pPr>
      <w:bookmarkStart w:id="3564" w:name="__RefHeading___Toc608188_1934241801"/>
      <w:bookmarkStart w:id="3565" w:name="_Toc1638"/>
      <w:bookmarkEnd w:id="3564"/>
      <w:r>
        <w:rPr>
          <w:rtl w:val="true"/>
        </w:rPr>
        <w:t>«</w:t>
      </w:r>
      <w:r>
        <w:rPr/>
        <w:t>37</w:t>
      </w:r>
      <w:r>
        <w:rPr>
          <w:rtl w:val="true"/>
        </w:rPr>
        <w:t>»</w:t>
      </w:r>
      <w:bookmarkEnd w:id="3565"/>
    </w:p>
    <w:p>
      <w:pPr>
        <w:pStyle w:val="BookText"/>
        <w:rPr/>
      </w:pPr>
      <w:r>
        <w:rPr>
          <w:rFonts w:ascii="Amiri" w:hAnsi="Amiri" w:eastAsia="Amiri" w:cs="Amiri"/>
          <w:color w:val="111111"/>
          <w:sz w:val="28"/>
          <w:sz w:val="28"/>
          <w:szCs w:val="28"/>
          <w:rtl w:val="true"/>
          <w:lang w:bidi="ar-SA"/>
        </w:rPr>
        <w:t>كِتَابُ التَّوْحِيدِ، عَنْ مُحَمَّدِ بْنِ الْحَسَنِ عَنِ الصَّفَّارِ عَنِ الْفَضْلِ بْنِ عَامِرٍ عَنْ مُوسَي بْنِ الْقَاسِمِ عَنْ حَمَّادِ بْنِ عِيسَي عَنْ حَرِيزٍ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عليه السلام صَلَّي عَلَي ابْنٍ لِجَعْفَرٍ صَغِيرٍ فَكَبَّرَ عَلَيْهِ ثُمَّ قَالَ إِنَّ هَذَا وَ شِبْهَهُ لَا يُصَلَّي عَلَيْهِ وَ لَوْ لَا أَنْ تَقُولَ النَّاسُ إِنَّ بَنِي هَاشِمٍ لَا يُصَلُّونَ عَلَي الصِّغَارِ مَا صَلَّيْتُ عَلَيْهِ الْحَدِيثَ‌</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66" w:name="__RefHeading___Toc608190_1934241801"/>
      <w:bookmarkStart w:id="3567" w:name="_Toc1639"/>
      <w:bookmarkEnd w:id="3566"/>
      <w:r>
        <w:rPr>
          <w:rtl w:val="true"/>
        </w:rPr>
        <w:t>«</w:t>
      </w:r>
      <w:r>
        <w:rPr/>
        <w:t>38</w:t>
      </w:r>
      <w:r>
        <w:rPr>
          <w:rtl w:val="true"/>
        </w:rPr>
        <w:t>»</w:t>
      </w:r>
      <w:bookmarkEnd w:id="3567"/>
    </w:p>
    <w:p>
      <w:pPr>
        <w:pStyle w:val="BookText"/>
        <w:rPr/>
      </w:pPr>
      <w:r>
        <w:rPr>
          <w:rFonts w:ascii="Amiri" w:hAnsi="Amiri" w:eastAsia="Amiri" w:cs="Amiri"/>
          <w:color w:val="111111"/>
          <w:sz w:val="28"/>
          <w:sz w:val="28"/>
          <w:szCs w:val="28"/>
          <w:rtl w:val="true"/>
          <w:lang w:bidi="ar-SA"/>
        </w:rPr>
        <w:t>كِتَابُ الْمَسَائِلِ، بِإِسْنَادِهِ عَنْ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يُدْرِكُ تَكْبِيرَةً أَوْ ثِنْتَيْنِ عَلَي مَيِّتٍ كَيْفَ يَصْنَعُ قَالَ يُتِمُ</w:t>
      </w:r>
    </w:p>
    <w:p>
      <w:pPr>
        <w:pStyle w:val="BookText"/>
        <w:rPr/>
      </w:pPr>
      <w:r>
        <w:rPr>
          <w:rFonts w:ascii="IRNazanin" w:hAnsi="IRNazanin" w:eastAsia="IRNazanin"/>
          <w:color w:val="111111"/>
          <w:sz w:val="28"/>
          <w:sz w:val="28"/>
          <w:szCs w:val="28"/>
          <w:rtl w:val="true"/>
          <w:lang w:bidi="fa-IR"/>
        </w:rPr>
        <w:t>شهادت امام حسین علیه السلام خورشید تاریک گشت و این امر به خاطر اعمال مردم ملعون آن زمان به وقوع پیوست و به سبب آن مستحقّ بیم و عذاب شدند، بر خلاف وفات ابراهیم علیه السلام که به سبب اعمال مردم نبود؛ شاید پیش انداختن نماز خورشید گرفتگی در این واقعه به خاطر محدود بودن زمان ادای آن و واسع بودن زمان برای کفن و دفن کردن میّت باشد، نظر مشهور فقها نیز در مورد نمونه های مانند آن همین است؛ 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جِهاز المیت و العروس و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و فتحه ی جیم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و وسایلی که میّت، عروس، و یا مسافر به آن ها نیازمندند،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جهّزه تجهیزاً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 و غالباً بر سخنی که باطل و یا مورد شکّ و تردید باشد اطلاق می شود؛ 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حق، سخن باطل و سخن دروغ، امّا بیشتر بر سخنی اطلاق می شود که مورد تردید است، 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فرموده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علی مَن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برخی احادیث برمی آید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کسی که آموختن نماز به او واجب است؛ این حدیث و روایات دیگر بر عدم مشروعیت نماز گزاردن بر جنازه کودک زیر شش سال دلالت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فالحد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مفتوح و مکسور، 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لَحد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را حفر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 را دفن کرد؛ این حدیث بر شرعیّت داشتن حفر قبر برای میّت و عمومیّت داشتن این حُکم حتی برای کودکان دلالت می کند، همچنین بر عدم کراهت پایین رفتن خویشاوندان میّت به صورت مطلق از قبر او دلالت می کند، در عین حال بر کراهت و نه حرمت پایین رفتن پدر از قبر فرزند، مطلوب نبودن گشودن گره کفن و اینکه جزع و فزع شدید اجر و پاداش ولیّ میّت را از بین می برد دلالت می کند </w:t>
      </w:r>
      <w:r>
        <w:rPr>
          <w:rFonts w:eastAsia="IRNazanin" w:cs="IRNazanin"/>
          <w:color w:val="111111"/>
          <w:sz w:val="28"/>
          <w:szCs w:val="28"/>
          <w:rtl w:val="true"/>
          <w:lang w:bidi="fa-IR"/>
        </w:rPr>
        <w:t>.</w:t>
      </w:r>
    </w:p>
    <w:p>
      <w:pPr>
        <w:pStyle w:val="Heading5"/>
        <w:numPr>
          <w:ilvl w:val="4"/>
          <w:numId w:val="1"/>
        </w:numPr>
        <w:rPr/>
      </w:pPr>
      <w:bookmarkStart w:id="3568" w:name="__RefHeading___Toc608192_1934241801"/>
      <w:bookmarkStart w:id="3569" w:name="_Toc1640"/>
      <w:bookmarkEnd w:id="3568"/>
      <w:r>
        <w:rPr>
          <w:rtl w:val="true"/>
        </w:rPr>
        <w:t xml:space="preserve">روایت </w:t>
      </w:r>
      <w:r>
        <w:rPr/>
        <w:t>37</w:t>
      </w:r>
      <w:bookmarkEnd w:id="3569"/>
    </w:p>
    <w:p>
      <w:pPr>
        <w:pStyle w:val="BookText"/>
        <w:rPr/>
      </w:pPr>
      <w:r>
        <w:rPr>
          <w:rFonts w:ascii="IRNazanin" w:hAnsi="IRNazanin" w:eastAsia="IRNazanin"/>
          <w:color w:val="111111"/>
          <w:sz w:val="28"/>
          <w:sz w:val="28"/>
          <w:szCs w:val="28"/>
          <w:rtl w:val="true"/>
          <w:lang w:bidi="fa-IR"/>
        </w:rPr>
        <w:t>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شده که گفت امام باقر علیه السلام را مشاهده نمودم که بر پیکر پسر صغیر امام صادق علیه السلام نماز گزارد، بر او تکبیر سر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 این کودک و امثال آن نماز گزارده نمی شود و اگر بیم آن نمی رفت که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بر جنازه کودکان نماز نمی گزارند، بر این کودک نماز نمی گزاردم، تا آخر حدیث</w:t>
      </w:r>
      <w:r>
        <w:rPr>
          <w:rFonts w:eastAsia="IRNazanin" w:cs="IRNazanin"/>
          <w:color w:val="111111"/>
          <w:sz w:val="28"/>
          <w:szCs w:val="28"/>
          <w:rtl w:val="true"/>
          <w:lang w:bidi="fa-IR"/>
        </w:rPr>
        <w:t>.</w:t>
      </w:r>
      <w:r>
        <w:rPr>
          <w:rStyle w:val="FootnoteAnchor"/>
          <w:rtl w:val="true"/>
        </w:rPr>
        <w:footnoteReference w:id="1890"/>
      </w:r>
    </w:p>
    <w:p>
      <w:pPr>
        <w:pStyle w:val="Heading5"/>
        <w:numPr>
          <w:ilvl w:val="4"/>
          <w:numId w:val="1"/>
        </w:numPr>
        <w:rPr/>
      </w:pPr>
      <w:bookmarkStart w:id="3570" w:name="__RefHeading___Toc608194_1934241801"/>
      <w:bookmarkStart w:id="3571" w:name="_Toc1641"/>
      <w:bookmarkEnd w:id="3570"/>
      <w:r>
        <w:rPr>
          <w:rtl w:val="true"/>
        </w:rPr>
        <w:t xml:space="preserve">روایت </w:t>
      </w:r>
      <w:r>
        <w:rPr/>
        <w:t>38</w:t>
      </w:r>
      <w:bookmarkEnd w:id="3571"/>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جعفر روایت شده که از برادرش امام موسی کاظم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به یک یا دو تکبیر از پنج تکبیر سر داده شده بر میّت می رسد، چگونه باید عمل کند؟ امام فرمود</w:t>
      </w:r>
      <w:r>
        <w:rPr>
          <w:rFonts w:eastAsia="IRNazanin" w:cs="IRNazanin"/>
          <w:color w:val="111111"/>
          <w:sz w:val="28"/>
          <w:szCs w:val="28"/>
          <w:rtl w:val="true"/>
          <w:lang w:bidi="fa-IR"/>
        </w:rPr>
        <w:t xml:space="preserve">: </w:t>
      </w:r>
      <w:bookmarkStart w:id="3572" w:name="pg13517_329413"/>
    </w:p>
    <w:p>
      <w:pPr>
        <w:pStyle w:val="BookText"/>
        <w:rPr/>
      </w:pPr>
      <w:bookmarkEnd w:id="3572"/>
      <w:r>
        <w:rPr>
          <w:rFonts w:ascii="Amiri" w:hAnsi="Amiri" w:eastAsia="Amiri" w:cs="Amiri"/>
          <w:color w:val="111111"/>
          <w:sz w:val="28"/>
          <w:sz w:val="28"/>
          <w:szCs w:val="28"/>
          <w:rtl w:val="true"/>
          <w:lang w:bidi="ar-SA"/>
        </w:rPr>
        <w:t>مَا بَقِيَ مِنْ تَكْبِيرِهِ وَ يُبَادِرُهُ دَفْعَةً وَ يُخَفِّفُ‌</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3" w:name="__RefHeading___Toc608196_1934241801"/>
      <w:bookmarkStart w:id="3574" w:name="_Toc1642"/>
      <w:bookmarkEnd w:id="3573"/>
      <w:r>
        <w:rPr>
          <w:rtl w:val="true"/>
        </w:rPr>
        <w:t>«</w:t>
      </w:r>
      <w:r>
        <w:rPr/>
        <w:t>39</w:t>
      </w:r>
      <w:r>
        <w:rPr>
          <w:rtl w:val="true"/>
        </w:rPr>
        <w:t>»</w:t>
      </w:r>
      <w:bookmarkEnd w:id="3574"/>
    </w:p>
    <w:p>
      <w:pPr>
        <w:pStyle w:val="BookText"/>
        <w:rPr/>
      </w:pPr>
      <w:r>
        <w:rPr>
          <w:rFonts w:ascii="Amiri" w:hAnsi="Amiri" w:eastAsia="Amiri" w:cs="Amiri"/>
          <w:color w:val="111111"/>
          <w:sz w:val="28"/>
          <w:sz w:val="28"/>
          <w:szCs w:val="28"/>
          <w:rtl w:val="true"/>
          <w:lang w:bidi="ar-SA"/>
        </w:rPr>
        <w:t>الْمُقْنِعُ،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رَسُولُ اللَّهِ صلي الله عليه و آله أَنْ يُصَلَّي عَلَي قَبْرٍ أَوْ يُقْعَدَ عَلَيْهِ أَوْ يُبْنَي عَلَيْهِ‌</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5" w:name="__RefHeading___Toc608198_1934241801"/>
      <w:bookmarkStart w:id="3576" w:name="_Toc1643"/>
      <w:bookmarkEnd w:id="3575"/>
      <w:r>
        <w:rPr>
          <w:rtl w:val="true"/>
        </w:rPr>
        <w:t>بيان</w:t>
      </w:r>
      <w:bookmarkEnd w:id="3576"/>
    </w:p>
    <w:p>
      <w:pPr>
        <w:pStyle w:val="BookText"/>
        <w:rPr/>
      </w:pPr>
      <w:r>
        <w:rPr>
          <w:rFonts w:ascii="Amiri" w:hAnsi="Amiri" w:eastAsia="Amiri" w:cs="Amiri"/>
          <w:color w:val="111111"/>
          <w:sz w:val="28"/>
          <w:sz w:val="28"/>
          <w:szCs w:val="28"/>
          <w:rtl w:val="true"/>
          <w:lang w:bidi="ar-SA"/>
        </w:rPr>
        <w:t>ظاهره النهي عن السجدة علي القبر أو أن يصلي الفريضة أو النافلة قائما علي القبر لا عن الصلاة علي الميت المدفون و إن احتمل ذلك</w:t>
      </w:r>
      <w:r>
        <w:rPr>
          <w:rFonts w:eastAsia="Amiri" w:cs="Amiri" w:ascii="Amiri" w:hAnsi="Amiri"/>
          <w:color w:val="111111"/>
          <w:sz w:val="28"/>
          <w:szCs w:val="28"/>
          <w:rtl w:val="true"/>
          <w:lang w:bidi="ar-SA"/>
        </w:rPr>
        <w:t>.</w:t>
      </w:r>
    </w:p>
    <w:p>
      <w:pPr>
        <w:pStyle w:val="Heading5"/>
        <w:numPr>
          <w:ilvl w:val="4"/>
          <w:numId w:val="1"/>
        </w:numPr>
        <w:rPr/>
      </w:pPr>
      <w:bookmarkStart w:id="3577" w:name="__RefHeading___Toc608200_1934241801"/>
      <w:bookmarkStart w:id="3578" w:name="_Toc1644"/>
      <w:bookmarkEnd w:id="3577"/>
      <w:r>
        <w:rPr>
          <w:rtl w:val="true"/>
        </w:rPr>
        <w:t>«</w:t>
      </w:r>
      <w:r>
        <w:rPr/>
        <w:t>40</w:t>
      </w:r>
      <w:r>
        <w:rPr>
          <w:rtl w:val="true"/>
        </w:rPr>
        <w:t>»</w:t>
      </w:r>
      <w:bookmarkEnd w:id="3578"/>
    </w:p>
    <w:p>
      <w:pPr>
        <w:pStyle w:val="BookText"/>
        <w:rPr/>
      </w:pPr>
      <w:r>
        <w:rPr>
          <w:rFonts w:ascii="Amiri" w:hAnsi="Amiri" w:eastAsia="Amiri" w:cs="Amiri"/>
          <w:color w:val="111111"/>
          <w:sz w:val="28"/>
          <w:sz w:val="28"/>
          <w:szCs w:val="28"/>
          <w:rtl w:val="true"/>
          <w:lang w:bidi="ar-SA"/>
        </w:rPr>
        <w:t>الْخِلَافُ لِلشَّيْخِ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جَنَازَةُ أُمِّ كُلْثُومٍ بِنْتِ عَلِيٍّ وَ ابْنِهَا زَيْدِ بْنِ عُمَرَ وَ فِي الْجَنَازَةِ الْحَسَنُ وَ الْحُسَيْنُ عليهما السلام وَ عَبْدُ اللَّهِ بْنُ عُمَرَ وَ عَبْدُ اللَّهِ بْنُ عَبَّاسٍ وَ أَبُو هُرَيْرَةَ فَوَضَعُوا جَنَازَةَ الْغُلَامِ مِمَّا يَلِي الْإِمَامَ وَ الْمَرْأَةَ وَرَاءَهُ وَ قَالُوا هَذَا هُوَ السُّنَّةُ</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9" w:name="__RefHeading___Toc608202_1934241801"/>
      <w:bookmarkStart w:id="3580" w:name="_Toc1645"/>
      <w:bookmarkEnd w:id="3579"/>
      <w:r>
        <w:rPr>
          <w:rtl w:val="true"/>
        </w:rPr>
        <w:t>«</w:t>
      </w:r>
      <w:r>
        <w:rPr/>
        <w:t>41</w:t>
      </w:r>
      <w:r>
        <w:rPr>
          <w:rtl w:val="true"/>
        </w:rPr>
        <w:t>»</w:t>
      </w:r>
      <w:bookmarkEnd w:id="3580"/>
    </w:p>
    <w:p>
      <w:pPr>
        <w:pStyle w:val="BookText"/>
        <w:rPr/>
      </w:pPr>
      <w:r>
        <w:rPr>
          <w:rFonts w:ascii="Amiri" w:hAnsi="Amiri" w:eastAsia="Amiri" w:cs="Amiri"/>
          <w:color w:val="111111"/>
          <w:sz w:val="28"/>
          <w:sz w:val="28"/>
          <w:szCs w:val="28"/>
          <w:rtl w:val="true"/>
          <w:lang w:bidi="ar-SA"/>
        </w:rPr>
        <w:t>غَيْبَةُ الشَّيْخِ، بِإِسْنَادِهِ عَنْ مُحَمَّدِ بْنِ خَالِدٍ عَنْ مُحَمَّدِ بْنِ عَبَّادٍ عَنْ مُوسَي بْنِ يَحْيَي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إِبْرَاهِيمَ عليه السلام قَالَ لِيَحْيَي يَا أَبَا عَلِيٍّ أَنَا مَيِّتٌ وَ إِنَّمَا بَقِيَ مِنْ أَجَلِي أُسْبُوعٌ فَاكْتُمْ مَوْتِي وَ ائْتِنِي يَوْمَ الْجُمُعَةِ عِنْدَ الزَّوَالِ وَ صَلِّ عَلَيَّ أَنْتَ وَ أَوْلِيَائِي فُرَادَي الْحَدِيثَ‌</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81" w:name="__RefHeading___Toc608204_1934241801"/>
      <w:bookmarkStart w:id="3582" w:name="_Toc1646"/>
      <w:bookmarkEnd w:id="3581"/>
      <w:r>
        <w:rPr>
          <w:rtl w:val="true"/>
        </w:rPr>
        <w:t>بيان</w:t>
      </w:r>
      <w:bookmarkEnd w:id="3582"/>
    </w:p>
    <w:p>
      <w:pPr>
        <w:pStyle w:val="BookText"/>
        <w:rPr/>
      </w:pPr>
      <w:r>
        <w:rPr>
          <w:rFonts w:ascii="Amiri" w:hAnsi="Amiri" w:eastAsia="Amiri" w:cs="Amiri"/>
          <w:color w:val="111111"/>
          <w:sz w:val="28"/>
          <w:sz w:val="28"/>
          <w:szCs w:val="28"/>
          <w:rtl w:val="true"/>
          <w:lang w:bidi="ar-SA"/>
        </w:rPr>
        <w:t>لعل الأمر بالصلاة فرادي لئلا يتوهم أن إمامهم وصي له فيتوهم فيه الإمامة و لقد أوقع الرضا عليه السلام الصلاة خفية جماعة أو فردا و يحتمل أن يكون في هذا الوقت إمامهم و هم لا يرونه</w:t>
      </w:r>
      <w:r>
        <w:rPr>
          <w:rFonts w:eastAsia="Amiri" w:cs="Amiri" w:ascii="Amiri" w:hAnsi="Amiri"/>
          <w:color w:val="111111"/>
          <w:sz w:val="28"/>
          <w:szCs w:val="28"/>
          <w:rtl w:val="true"/>
          <w:lang w:bidi="ar-SA"/>
        </w:rPr>
        <w:t>.</w:t>
      </w:r>
    </w:p>
    <w:p>
      <w:pPr>
        <w:pStyle w:val="Heading5"/>
        <w:numPr>
          <w:ilvl w:val="4"/>
          <w:numId w:val="1"/>
        </w:numPr>
        <w:rPr/>
      </w:pPr>
      <w:bookmarkStart w:id="3583" w:name="__RefHeading___Toc608206_1934241801"/>
      <w:bookmarkStart w:id="3584" w:name="_Toc1647"/>
      <w:bookmarkEnd w:id="3583"/>
      <w:r>
        <w:rPr>
          <w:rtl w:val="true"/>
        </w:rPr>
        <w:t>«</w:t>
      </w:r>
      <w:r>
        <w:rPr/>
        <w:t>42</w:t>
      </w:r>
      <w:r>
        <w:rPr>
          <w:rtl w:val="true"/>
        </w:rPr>
        <w:t>»</w:t>
      </w:r>
      <w:bookmarkEnd w:id="3584"/>
    </w:p>
    <w:p>
      <w:pPr>
        <w:pStyle w:val="BookText"/>
        <w:rPr/>
      </w:pPr>
      <w:r>
        <w:rPr>
          <w:rFonts w:ascii="Amiri" w:hAnsi="Amiri" w:eastAsia="Amiri" w:cs="Amiri"/>
          <w:color w:val="111111"/>
          <w:sz w:val="28"/>
          <w:sz w:val="28"/>
          <w:szCs w:val="28"/>
          <w:rtl w:val="true"/>
          <w:lang w:bidi="ar-SA"/>
        </w:rPr>
        <w:t>تُحَفُ الْعُقُولِ،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إِلَي الْمَأْمُونِ قَالَ وَ الصَّلَاةُ عَلَي الْجِنَازَةِ خَمْسُ تَكْبِيرَاتٍ وَ لَيْسَ فِي صَلَاةِ الْجَنَائِزِ تَسْلِيمٌ لِأَنَّ التَّسْلِيمَ فِي صَلَاةِ الرُّكُوعِ وَ السُّجُودِ وَ لَيْسَ لِصَلَاةِ الْجِنَازَةِ رُكُوعٌ وَ لَا سُجُودٌ وَ يُرَبَّعُ قَبْرُ الْمَيِّتِ</w:t>
      </w:r>
    </w:p>
    <w:p>
      <w:pPr>
        <w:pStyle w:val="BookText"/>
        <w:rPr/>
      </w:pPr>
      <w:r>
        <w:rPr>
          <w:rFonts w:ascii="IRNazanin" w:hAnsi="IRNazanin" w:eastAsia="IRNazanin"/>
          <w:color w:val="111111"/>
          <w:sz w:val="28"/>
          <w:sz w:val="28"/>
          <w:szCs w:val="28"/>
          <w:rtl w:val="true"/>
          <w:lang w:bidi="fa-IR"/>
        </w:rPr>
        <w:t>تکبیرهای باقیمانده را کامل می کند، و در این کار سرعت و چابکی به خرج می دهد و خلاصه بگوید</w:t>
      </w:r>
      <w:r>
        <w:rPr>
          <w:rFonts w:eastAsia="IRNazanin" w:cs="IRNazanin"/>
          <w:color w:val="111111"/>
          <w:sz w:val="28"/>
          <w:szCs w:val="28"/>
          <w:rtl w:val="true"/>
          <w:lang w:bidi="fa-IR"/>
        </w:rPr>
        <w:t>.</w:t>
      </w:r>
      <w:r>
        <w:rPr>
          <w:rStyle w:val="FootnoteAnchor"/>
          <w:rtl w:val="true"/>
        </w:rPr>
        <w:footnoteReference w:id="1895"/>
      </w:r>
    </w:p>
    <w:p>
      <w:pPr>
        <w:pStyle w:val="Heading5"/>
        <w:numPr>
          <w:ilvl w:val="4"/>
          <w:numId w:val="1"/>
        </w:numPr>
        <w:rPr/>
      </w:pPr>
      <w:bookmarkStart w:id="3585" w:name="__RefHeading___Toc608208_1934241801"/>
      <w:bookmarkStart w:id="3586" w:name="_Toc1648"/>
      <w:bookmarkEnd w:id="3585"/>
      <w:r>
        <w:rPr>
          <w:rtl w:val="true"/>
        </w:rPr>
        <w:t xml:space="preserve">روایت </w:t>
      </w:r>
      <w:r>
        <w:rPr/>
        <w:t>39</w:t>
      </w:r>
      <w:bookmarkEnd w:id="3586"/>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نهی فرموده از اینکه بر قبر نماز گزارده شود یا کسی بر آن بنشیند و یا بنایی بر آن ساخته شود</w:t>
      </w:r>
      <w:r>
        <w:rPr>
          <w:rFonts w:eastAsia="IRNazanin" w:cs="IRNazanin"/>
          <w:color w:val="111111"/>
          <w:sz w:val="28"/>
          <w:szCs w:val="28"/>
          <w:rtl w:val="true"/>
          <w:lang w:bidi="fa-IR"/>
        </w:rPr>
        <w:t>.</w:t>
      </w:r>
      <w:r>
        <w:rPr>
          <w:rStyle w:val="FootnoteAnchor"/>
          <w:rtl w:val="true"/>
        </w:rPr>
        <w:footnoteReference w:id="1896"/>
      </w:r>
    </w:p>
    <w:p>
      <w:pPr>
        <w:pStyle w:val="Heading5"/>
        <w:numPr>
          <w:ilvl w:val="4"/>
          <w:numId w:val="1"/>
        </w:numPr>
        <w:rPr/>
      </w:pPr>
      <w:bookmarkStart w:id="3587" w:name="__RefHeading___Toc608210_1934241801"/>
      <w:bookmarkStart w:id="3588" w:name="_Toc1649"/>
      <w:bookmarkEnd w:id="3587"/>
      <w:r>
        <w:rPr>
          <w:rtl w:val="true"/>
        </w:rPr>
        <w:t>توضیح</w:t>
      </w:r>
      <w:bookmarkEnd w:id="3588"/>
    </w:p>
    <w:p>
      <w:pPr>
        <w:pStyle w:val="BookText"/>
        <w:rPr/>
      </w:pPr>
      <w:r>
        <w:rPr>
          <w:rFonts w:ascii="IRNazanin" w:hAnsi="IRNazanin" w:eastAsia="IRNazanin"/>
          <w:color w:val="111111"/>
          <w:sz w:val="28"/>
          <w:sz w:val="28"/>
          <w:szCs w:val="28"/>
          <w:rtl w:val="true"/>
          <w:lang w:bidi="fa-IR"/>
        </w:rPr>
        <w:t>ظاهر حدیث بر نهی از سجده گزاردن بر قبر یا اقامه نماز واجب یا نافله بر آن دلالت می کند نه نهی از نماز گزاردن بر میّت دفن شده، اگر چه چنین احتمالی نیز وجود دارد</w:t>
      </w:r>
      <w:r>
        <w:rPr>
          <w:rFonts w:eastAsia="IRNazanin" w:cs="IRNazanin"/>
          <w:color w:val="111111"/>
          <w:sz w:val="28"/>
          <w:szCs w:val="28"/>
          <w:rtl w:val="true"/>
          <w:lang w:bidi="fa-IR"/>
        </w:rPr>
        <w:t>.</w:t>
      </w:r>
    </w:p>
    <w:p>
      <w:pPr>
        <w:pStyle w:val="Heading5"/>
        <w:numPr>
          <w:ilvl w:val="4"/>
          <w:numId w:val="1"/>
        </w:numPr>
        <w:rPr/>
      </w:pPr>
      <w:bookmarkStart w:id="3589" w:name="__RefHeading___Toc608212_1934241801"/>
      <w:bookmarkStart w:id="3590" w:name="_Toc1650"/>
      <w:bookmarkEnd w:id="3589"/>
      <w:r>
        <w:rPr>
          <w:rtl w:val="true"/>
        </w:rPr>
        <w:t xml:space="preserve">روایت </w:t>
      </w:r>
      <w:r>
        <w:rPr/>
        <w:t>40</w:t>
      </w:r>
      <w:bookmarkEnd w:id="3590"/>
    </w:p>
    <w:p>
      <w:pPr>
        <w:pStyle w:val="BookText"/>
        <w:rPr/>
      </w:pPr>
      <w:r>
        <w:rPr>
          <w:rFonts w:ascii="IRNazanin" w:hAnsi="IRNazanin" w:eastAsia="IRNazanin"/>
          <w:color w:val="111111"/>
          <w:sz w:val="28"/>
          <w:sz w:val="28"/>
          <w:szCs w:val="28"/>
          <w:rtl w:val="true"/>
          <w:lang w:bidi="fa-IR"/>
        </w:rPr>
        <w:t>الخلاف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 بن یاسر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أمّ کلثوم دختر علی علیه السلام و پسر او زید بن عمر به صورت همزمان از خانه خارج شد، حسن و حسین علیهما السلام، عبدالله بن عمر، عبدالله بن عباس و ابوهریره در مراسم تشییع جنازه حضور داشتند، پس جنازه پسر بچه را نزدیک امام و جنازه زن را پشت او قرار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چنین است</w:t>
      </w:r>
      <w:r>
        <w:rPr>
          <w:rFonts w:eastAsia="IRNazanin" w:cs="IRNazanin"/>
          <w:color w:val="111111"/>
          <w:sz w:val="28"/>
          <w:szCs w:val="28"/>
          <w:rtl w:val="true"/>
          <w:lang w:bidi="fa-IR"/>
        </w:rPr>
        <w:t>.</w:t>
      </w:r>
      <w:r>
        <w:rPr>
          <w:rStyle w:val="FootnoteAnchor"/>
          <w:rtl w:val="true"/>
        </w:rPr>
        <w:footnoteReference w:id="1897"/>
      </w:r>
    </w:p>
    <w:p>
      <w:pPr>
        <w:pStyle w:val="Heading5"/>
        <w:numPr>
          <w:ilvl w:val="4"/>
          <w:numId w:val="1"/>
        </w:numPr>
        <w:rPr/>
      </w:pPr>
      <w:bookmarkStart w:id="3591" w:name="__RefHeading___Toc608214_1934241801"/>
      <w:bookmarkStart w:id="3592" w:name="_Toc1651"/>
      <w:bookmarkEnd w:id="3591"/>
      <w:r>
        <w:rPr>
          <w:rtl w:val="true"/>
        </w:rPr>
        <w:t xml:space="preserve">روایت </w:t>
      </w:r>
      <w:r>
        <w:rPr/>
        <w:t>41</w:t>
      </w:r>
      <w:bookmarkEnd w:id="3592"/>
    </w:p>
    <w:p>
      <w:pPr>
        <w:pStyle w:val="BookText"/>
        <w:rPr/>
      </w:pPr>
      <w:r>
        <w:rPr>
          <w:rFonts w:ascii="IRNazanin" w:hAnsi="IRNazanin" w:eastAsia="IRNazanin"/>
          <w:color w:val="111111"/>
          <w:sz w:val="28"/>
          <w:sz w:val="28"/>
          <w:szCs w:val="28"/>
          <w:rtl w:val="true"/>
          <w:lang w:bidi="fa-IR"/>
        </w:rPr>
        <w:t>الغیبة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یحی بن خالد روایت شده که امام موسی کاظم علیه السلام به یحیی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علی، من از دنیا خواهم رفت و فقط یک هفته به فرا رسیدن اجلم باقی مانده است، پس وفات مرا پنهان دار و روز جمعه</w:t>
      </w:r>
    </w:p>
    <w:p>
      <w:pPr>
        <w:pStyle w:val="BookText"/>
        <w:rPr/>
      </w:pPr>
      <w:r>
        <w:rPr>
          <w:rFonts w:ascii="IRNazanin" w:hAnsi="IRNazanin" w:eastAsia="IRNazanin"/>
          <w:color w:val="111111"/>
          <w:sz w:val="28"/>
          <w:sz w:val="28"/>
          <w:szCs w:val="28"/>
          <w:rtl w:val="true"/>
          <w:lang w:bidi="fa-IR"/>
        </w:rPr>
        <w:t>هنگام غروب خورشید بر سر جنازه ام حاضر شو، آن گاه تو و دوستانم به صورت فرادی بر پیکر من نماز بگزارید، تا آخر حدیث</w:t>
      </w:r>
      <w:r>
        <w:rPr>
          <w:rFonts w:eastAsia="IRNazanin" w:cs="IRNazanin"/>
          <w:color w:val="111111"/>
          <w:sz w:val="28"/>
          <w:szCs w:val="28"/>
          <w:rtl w:val="true"/>
          <w:lang w:bidi="fa-IR"/>
        </w:rPr>
        <w:t>.</w:t>
      </w:r>
      <w:r>
        <w:rPr>
          <w:rStyle w:val="FootnoteAnchor"/>
          <w:rtl w:val="true"/>
        </w:rPr>
        <w:footnoteReference w:id="1898"/>
      </w:r>
    </w:p>
    <w:p>
      <w:pPr>
        <w:pStyle w:val="Heading5"/>
        <w:numPr>
          <w:ilvl w:val="4"/>
          <w:numId w:val="1"/>
        </w:numPr>
        <w:rPr/>
      </w:pPr>
      <w:bookmarkStart w:id="3593" w:name="__RefHeading___Toc608216_1934241801"/>
      <w:bookmarkStart w:id="3594" w:name="_Toc1652"/>
      <w:bookmarkEnd w:id="3593"/>
      <w:r>
        <w:rPr>
          <w:rtl w:val="true"/>
        </w:rPr>
        <w:t>توضیح</w:t>
      </w:r>
      <w:bookmarkEnd w:id="3594"/>
    </w:p>
    <w:p>
      <w:pPr>
        <w:pStyle w:val="BookText"/>
        <w:rPr/>
      </w:pPr>
      <w:r>
        <w:rPr>
          <w:rFonts w:ascii="IRNazanin" w:hAnsi="IRNazanin" w:eastAsia="IRNazanin"/>
          <w:color w:val="111111"/>
          <w:sz w:val="28"/>
          <w:sz w:val="28"/>
          <w:szCs w:val="28"/>
          <w:rtl w:val="true"/>
          <w:lang w:bidi="fa-IR"/>
        </w:rPr>
        <w:t xml:space="preserve">شاید امر به نماز گزاردن به صورت فرادی به خاطر این باشد که توهّم نشود امام جماعت نماز، وصیّ امام است و پس از او امام خواهد شد، و امام رضا علیه السلام نماز را چه جمعی و چه فردی به صورت پنهانی برگزار کرد؛ احتمال دارد که در آن زمان امام رضا علیه السلام، امام شان بوده باشد ولی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درک این مطلب عاجز بوده باشند</w:t>
      </w:r>
      <w:r>
        <w:rPr>
          <w:rFonts w:eastAsia="IRNazanin" w:cs="IRNazanin"/>
          <w:color w:val="111111"/>
          <w:sz w:val="28"/>
          <w:szCs w:val="28"/>
          <w:rtl w:val="true"/>
          <w:lang w:bidi="fa-IR"/>
        </w:rPr>
        <w:t>.</w:t>
      </w:r>
    </w:p>
    <w:p>
      <w:pPr>
        <w:pStyle w:val="Heading5"/>
        <w:numPr>
          <w:ilvl w:val="4"/>
          <w:numId w:val="1"/>
        </w:numPr>
        <w:rPr/>
      </w:pPr>
      <w:bookmarkStart w:id="3595" w:name="__RefHeading___Toc608218_1934241801"/>
      <w:bookmarkStart w:id="3596" w:name="_Toc1653"/>
      <w:bookmarkEnd w:id="3595"/>
      <w:r>
        <w:rPr>
          <w:rtl w:val="true"/>
        </w:rPr>
        <w:t xml:space="preserve">روایت </w:t>
      </w:r>
      <w:r>
        <w:rPr/>
        <w:t>42</w:t>
      </w:r>
      <w:bookmarkEnd w:id="3596"/>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 نامه اش به مأمون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میّت شامل پنج تکبیر است و سلام پایانی در آن وجود ندارد، چرا که سلام دادن مخصوص نمازی است که در آن رکوع و سجود وجود دارد، حال آنکه نماز میّت رکوع و سجود ندارد، و قبر میّت به صورت چهار گوش ساخته شده </w:t>
      </w:r>
      <w:bookmarkStart w:id="3597" w:name="pg13517_329414"/>
    </w:p>
    <w:p>
      <w:pPr>
        <w:pStyle w:val="BookText"/>
        <w:rPr/>
      </w:pPr>
      <w:bookmarkEnd w:id="3597"/>
      <w:r>
        <w:rPr>
          <w:rFonts w:ascii="Amiri" w:hAnsi="Amiri" w:eastAsia="Amiri" w:cs="Amiri"/>
          <w:color w:val="111111"/>
          <w:sz w:val="28"/>
          <w:sz w:val="28"/>
          <w:szCs w:val="28"/>
          <w:rtl w:val="true"/>
          <w:lang w:bidi="ar-SA"/>
        </w:rPr>
        <w:t>وَ لَا يُسَنَّمُ‌</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98" w:name="__RefHeading___Toc608220_1934241801"/>
      <w:bookmarkStart w:id="3599" w:name="_Toc1654"/>
      <w:bookmarkEnd w:id="3598"/>
      <w:r>
        <w:rPr>
          <w:rtl w:val="true"/>
        </w:rPr>
        <w:t>«</w:t>
      </w:r>
      <w:r>
        <w:rPr/>
        <w:t>43</w:t>
      </w:r>
      <w:r>
        <w:rPr>
          <w:rtl w:val="true"/>
        </w:rPr>
        <w:t>»</w:t>
      </w:r>
      <w:bookmarkEnd w:id="3599"/>
    </w:p>
    <w:p>
      <w:pPr>
        <w:pStyle w:val="BookText"/>
        <w:rPr/>
      </w:pPr>
      <w:r>
        <w:rPr>
          <w:rFonts w:ascii="Amiri" w:hAnsi="Amiri" w:eastAsia="Amiri" w:cs="Amiri"/>
          <w:color w:val="111111"/>
          <w:sz w:val="28"/>
          <w:sz w:val="28"/>
          <w:szCs w:val="28"/>
          <w:rtl w:val="true"/>
          <w:lang w:bidi="ar-SA"/>
        </w:rPr>
        <w:t>الْمَحَاسِنُ، عَنْ أَبِيهِ وَ مُحَمَّدِ بْنِ عَلِيِّ بْنِ أَسْلَمَ عَنْ رَجُلٍ مِنْ أَهْلِ الْجَزِيرَةِ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قَوْمٍ كُسِرَتْ بِهِمْ سَفِينَتُهُمْ فِي الْبَحْرِ وَ خَرَجُوا عُرَاةً لَيْسَ عَلَيْهِمْ إِلَّا مَنَادِيلُ مُتَرَدِّدِينَ بِهَا فَإِذَا هُمْ بِرَجُلٍ مَيِّتٍ عُرْيَانٍ وَ لَيْسَ عَلَي الْقَوْمِ فَضْلُ ثَوْبٍ يُوَارُونَ بِهِ الرَّجُلَ وَ كَيْفَ يُصَلُّونَ عَلَيْهِ وَ هُوَ عُرْيَانٌ فَقَالَ إِذَا كَانُوا كَذَلِكَ فَلْيَحْفِرُوا قَبْرَهُ وَ لْيَضَعُوهُ فِي لَحْدِهِ وَ يُوَارُوا عَوْرَتَهُ بِلَبِنٍ أَوْ حِجَارَةٍ أَوْ تُرَابٍ وَ يُصَلُّونَ عَلَيْهِ وَ يُوَارُونَهُ فِي قَبْرِهِ قُلْتُ وَ لَا يُصَلَّي عَلَيْهِ وَ هُوَ مَدْفُونٌ قَالَ لَا وَ لَوْ جَازَ ذَلِكَ لَجَازَ لِرَسُولِ اللَّهِ صلي الله عليه و آله بَلْ لَا يُصَلَّي عَلَي الْمَدْفُونِ وَ لَا الْعُرْيَانِ‌</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0" w:name="__RefHeading___Toc608222_1934241801"/>
      <w:bookmarkStart w:id="3601" w:name="_Toc1655"/>
      <w:bookmarkEnd w:id="3600"/>
      <w:r>
        <w:rPr>
          <w:rtl w:val="true"/>
        </w:rPr>
        <w:t>بيان</w:t>
      </w:r>
      <w:bookmarkEnd w:id="3601"/>
    </w:p>
    <w:p>
      <w:pPr>
        <w:pStyle w:val="BookText"/>
        <w:rPr/>
      </w:pPr>
      <w:r>
        <w:rPr>
          <w:rFonts w:ascii="Amiri" w:hAnsi="Amiri" w:eastAsia="Amiri" w:cs="Amiri"/>
          <w:color w:val="111111"/>
          <w:sz w:val="28"/>
          <w:sz w:val="28"/>
          <w:szCs w:val="28"/>
          <w:rtl w:val="true"/>
          <w:lang w:bidi="ar-SA"/>
        </w:rPr>
        <w:t>روي مضمونه في الكافي بسند موثق عن عمار الساباطي‌</w:t>
      </w:r>
      <w:r>
        <w:rPr>
          <w:rStyle w:val="FootnoteAnchor"/>
          <w:rtl w:val="true"/>
        </w:rPr>
        <w:footnoteReference w:id="1901"/>
      </w:r>
      <w:r>
        <w:rPr>
          <w:rFonts w:ascii="Amiri" w:hAnsi="Amiri" w:eastAsia="Amiri" w:cs="Amiri"/>
          <w:color w:val="111111"/>
          <w:sz w:val="28"/>
          <w:sz w:val="28"/>
          <w:szCs w:val="28"/>
          <w:rtl w:val="true"/>
          <w:lang w:bidi="ar-SA"/>
        </w:rPr>
        <w:t>عن أبي عبد الله عليه السلام و يستفاد منه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شرعية اللحد الثاني وجوب ستر عورة الميت عند الصلاة عليه و هذا مقطوع به في كلامهم الثالث تقديم الكفن علي الصلاة و لا خلاف ظاهرا بين العلماء في ذلك و في دلالة الخبر عليه خفاء قال في المعتبر لا يصلي عليه إلا بعد تغسيله و تكفينه الرابع أنه لو لم يكن له كفن جعل في القبر و سترت عورته و صلي عليه بعد ذلك و هذا أيضا مقطوع به في كلامهم قال في الذكري إن أمكن ستره بثوب صلي عليه قبل الوضع في اللحد و يمكن المناقشة في وجوب ذلك الخامس تقديم الصلاة علي الدفن و لا خلاف في وجوبه أيضا السادس عدم جواز الصلاة بعد الدفن و قد مر الكلام فيه السابع عدم تحقق الدفن بمجرد الوضع في اللحد بل إما بستر جميع بدنه باللبن و غيره أو بطم القبر و لم يتعرض له الأصحاب و تظهر الفائدة في مواضع الثامن عدم استحباب الإيثار فيما يحتاج إليه المالك لأمر واجب و فيه 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برجسته و بلند گردانده نمی شود</w:t>
      </w:r>
      <w:r>
        <w:rPr>
          <w:rFonts w:eastAsia="IRNazanin" w:cs="IRNazanin"/>
          <w:color w:val="111111"/>
          <w:sz w:val="28"/>
          <w:szCs w:val="28"/>
          <w:rtl w:val="true"/>
          <w:lang w:bidi="fa-IR"/>
        </w:rPr>
        <w:t>.</w:t>
      </w:r>
      <w:r>
        <w:rPr>
          <w:rStyle w:val="FootnoteAnchor"/>
          <w:rtl w:val="true"/>
        </w:rPr>
        <w:footnoteReference w:id="1902"/>
      </w:r>
    </w:p>
    <w:p>
      <w:pPr>
        <w:pStyle w:val="Heading5"/>
        <w:numPr>
          <w:ilvl w:val="4"/>
          <w:numId w:val="1"/>
        </w:numPr>
        <w:rPr/>
      </w:pPr>
      <w:bookmarkStart w:id="3602" w:name="__RefHeading___Toc608224_1934241801"/>
      <w:bookmarkStart w:id="3603" w:name="_Toc1656"/>
      <w:bookmarkEnd w:id="3602"/>
      <w:r>
        <w:rPr>
          <w:rtl w:val="true"/>
        </w:rPr>
        <w:t xml:space="preserve">روایت </w:t>
      </w:r>
      <w:r>
        <w:rPr/>
        <w:t>43</w:t>
      </w:r>
      <w:bookmarkEnd w:id="3603"/>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از ساکنان جزیره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قومی پرسیدم که کشتی آنان در دریا دچار حادثه و شکستگی می شود، پس به صورت لخت و در حالی که غیر از پارچه هایی که خود را با آن پوشانده اند چیزی به تن ندارند از دریا خارج می شوند، از قضا با میّت مردی عریان مواجه می گردند و لباس اضافی نیز همراه ندارند تا او را بپوشانند، این قوم چگونه بر این میّت عریان نماز بگزارند؟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در چنین شرایطی قرار دارند، قبر میّت را حفر کنند و او را در قبرش بگذارند و عورتش را با یک خشت یا سنگ و یا خاک بپوشانند، آن گاه بر او نماز بگزارند و سپس در قبر پنهانش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 دفن شده است اجازه نماز گزاردن بر او وجود 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اگر چنین کاری جایز بود برای رسول خدا صلّی الله علیه و آله جایز می بود، بلکه بر میّت دفن شده و عریان نماز گزارده نمی شود</w:t>
      </w:r>
      <w:r>
        <w:rPr>
          <w:rFonts w:eastAsia="IRNazanin" w:cs="IRNazanin"/>
          <w:color w:val="111111"/>
          <w:sz w:val="28"/>
          <w:szCs w:val="28"/>
          <w:rtl w:val="true"/>
          <w:lang w:bidi="fa-IR"/>
        </w:rPr>
        <w:t>.</w:t>
      </w:r>
      <w:r>
        <w:rPr>
          <w:rStyle w:val="FootnoteAnchor"/>
          <w:rtl w:val="true"/>
        </w:rPr>
        <w:footnoteReference w:id="1903"/>
      </w:r>
    </w:p>
    <w:p>
      <w:pPr>
        <w:pStyle w:val="Heading5"/>
        <w:numPr>
          <w:ilvl w:val="4"/>
          <w:numId w:val="1"/>
        </w:numPr>
        <w:rPr/>
      </w:pPr>
      <w:bookmarkStart w:id="3604" w:name="__RefHeading___Toc608226_1934241801"/>
      <w:bookmarkStart w:id="3605" w:name="_Toc1657"/>
      <w:bookmarkEnd w:id="3604"/>
      <w:r>
        <w:rPr>
          <w:rtl w:val="true"/>
        </w:rPr>
        <w:t>توضیح</w:t>
      </w:r>
      <w:bookmarkEnd w:id="3605"/>
    </w:p>
    <w:p>
      <w:pPr>
        <w:pStyle w:val="BookText"/>
        <w:rPr/>
      </w:pPr>
      <w:r>
        <w:rPr>
          <w:rFonts w:ascii="IRNazanin" w:hAnsi="IRNazanin" w:eastAsia="IRNazanin"/>
          <w:color w:val="111111"/>
          <w:sz w:val="28"/>
          <w:sz w:val="28"/>
          <w:szCs w:val="28"/>
          <w:rtl w:val="true"/>
          <w:lang w:bidi="fa-IR"/>
        </w:rPr>
        <w:t>حدیثی با این مضمون در الکافی و با سند موثّق از عمار الساباطیّ</w:t>
      </w:r>
      <w:r>
        <w:rPr>
          <w:rStyle w:val="FootnoteAnchor"/>
          <w:rtl w:val="true"/>
        </w:rPr>
        <w:footnoteReference w:id="1904"/>
      </w:r>
      <w:r>
        <w:rPr>
          <w:rFonts w:ascii="IRNazanin" w:hAnsi="IRNazanin" w:eastAsia="IRNazanin"/>
          <w:color w:val="111111"/>
          <w:sz w:val="28"/>
          <w:sz w:val="28"/>
          <w:szCs w:val="28"/>
          <w:rtl w:val="true"/>
          <w:lang w:bidi="fa-IR"/>
        </w:rPr>
        <w:t>از امام صادق علیه السلام روایت شده است که احکامی به شرح ذیل از آن استنباط می شود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 بودن حفرِ قبر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پوشاندن عورت میّت هنگام نماز بر او، که نظر قطعی فقهاست؛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انداختن کفن کردن میّت بر نماز گزاردن بر او، ظاهراً اختلافی در میان علما بر سر این نکته وجود ندارد، حال آنکه دلالت حدیث بر آن واضح و آشکار نیست، در المعتبر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میّت نماز گزارده نمی شود مگر پس از غسل دادن و کفن کردن او؛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میّت کفن یافت نشود، در قبر گذارده می شود و عورتش پوشانده شده و سپس بر او نماز گزارده می شود، این نکته نیز نظر مقطوع فقهاست، شهید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پوشانیدن میّت با لباس وجود داشته باشد، قبل از گذاشته شدن در قبر، نماز بر او اقامه می شود، و امکان مناقشه و بحث بر سر وجوب این مسأله وجود دارد؛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اقامه نماز میّت بر دفن کردن او، در وجوب این تقدیم هیچ اختلاف نظری وجود ندارد؛ ششم عدم جواز نماز گزاردن بر میّت بعد از دفن کردن او، پیش تر در این باره سخن گفته شد؛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تحقّق یافتن دفن میّت به مجرّد گذاشتن او در قبر، بلکه باید تمام بدن او با خشت و غیر آن پوشانده شود و یا قبر با خاک و امثال آن پُر گردد که فقها به این موضوع نپرداخته اند،و اثر این حکم آن در بعضی مواضع آشکار می گردد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استحباب ایثار و بخشش چیزی که مالک آن چیز خود بدان محتاج است به منظور اجرای امری واجب، و در این باره اشکالاتی وجود دارد</w:t>
      </w:r>
      <w:r>
        <w:rPr>
          <w:rFonts w:eastAsia="IRNazanin" w:cs="IRNazanin"/>
          <w:color w:val="111111"/>
          <w:sz w:val="28"/>
          <w:szCs w:val="28"/>
          <w:rtl w:val="true"/>
          <w:lang w:bidi="fa-IR"/>
        </w:rPr>
        <w:t xml:space="preserve">. </w:t>
      </w:r>
      <w:bookmarkStart w:id="3606" w:name="pg13517_329415"/>
    </w:p>
    <w:p>
      <w:pPr>
        <w:pStyle w:val="Heading5"/>
        <w:numPr>
          <w:ilvl w:val="4"/>
          <w:numId w:val="1"/>
        </w:numPr>
        <w:rPr/>
      </w:pPr>
      <w:bookmarkStart w:id="3607" w:name="__RefHeading___Toc608228_1934241801"/>
      <w:bookmarkStart w:id="3608" w:name="_Toc1658"/>
      <w:bookmarkEnd w:id="3606"/>
      <w:bookmarkEnd w:id="3607"/>
      <w:r>
        <w:rPr>
          <w:rtl w:val="true"/>
        </w:rPr>
        <w:t>«</w:t>
      </w:r>
      <w:r>
        <w:rPr/>
        <w:t>44</w:t>
      </w:r>
      <w:r>
        <w:rPr>
          <w:rtl w:val="true"/>
        </w:rPr>
        <w:t>»</w:t>
      </w:r>
      <w:bookmarkEnd w:id="3608"/>
    </w:p>
    <w:p>
      <w:pPr>
        <w:pStyle w:val="BookText"/>
        <w:rPr/>
      </w:pPr>
      <w:r>
        <w:rPr>
          <w:rFonts w:ascii="Amiri" w:hAnsi="Amiri" w:eastAsia="Amiri" w:cs="Amiri"/>
          <w:color w:val="111111"/>
          <w:sz w:val="28"/>
          <w:sz w:val="28"/>
          <w:szCs w:val="28"/>
          <w:rtl w:val="true"/>
          <w:lang w:bidi="ar-SA"/>
        </w:rPr>
        <w:t>ثَوَابُ الْأَعْمَالِ، بِإِسْنَادِهِ عَنْ أَبِي هُرَيْرَةَ وَ ابْنِ عَبَّاسٍ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شَيَّعَ جَنَازَةً فَلَهُ بِكُلِّ خُطْوَةٍ حَتَّي يَرْجِعَ مِائَةُ أَلْفِ حَسَنَةٍ وَ يُمْحَي عَنْهُ مِائَةُ أَلْفِ سَيِّئَةٍ وَ يُرْفَعُ لَهُ مِائَةُ أَلْفِ دَرَجَةٍ فَإِنْ صَلَّي عَلَيْهَا شَيَّعَهُ فِي جَنَازَتِهِ مِائَةُ أَلْفِ مَلَكٍ كُلُّهُمْ يَسْتَغْفِرُونَ لَهُ فَإِنْ شَهِدَ دَفْنَهَا وُكِّلَ أُولَئِكَ الْمِائَةُ أَلْفِ مَلَكٍ بِهِ كُلُّهُمْ يَسْتَغْفِرُونَ لَهُ حَتَّي يُبْعَثَ مِنْ قَبْرِهِ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صَلَّي عَلَي مَيِّتٍ صَلَّي عَلَيْهِ جَبْرَئِيلُ وَ سَبْعُونَ أَلْفَ مَلَكٍ وَ غُفِرَ لَهُ مَا تَقَدَّمَ مِنْ ذَنْبِهِ وَ إِنْ أَقَامَ عَلَيْهِ حَتَّي يَدْفِنَهُ وَ حَثَا عَلَيْهِ التُّرَابَ انْقَلَبَ مِنَ الْجَنَازَةِ وَ لَهُ بِكُلِّ قَدَمٍ مِنْ حَيْثُ تَبِعَهَا حَتَّي يَرْجِعَ إِلَي مَنْزِلِهِ قِيرَاطٌ مِنَ الْأَجْرِ وَ الْقِيرَاطُ مِثْلُ جَبَلِ أُحُدٍ يَلْقَي فِي مِيزَانِهِ مِنَ الْأَجْرِ</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9" w:name="__RefHeading___Toc608230_1934241801"/>
      <w:bookmarkStart w:id="3610" w:name="_Toc1659"/>
      <w:bookmarkEnd w:id="3609"/>
      <w:r>
        <w:rPr>
          <w:rtl w:val="true"/>
        </w:rPr>
        <w:t>«</w:t>
      </w:r>
      <w:r>
        <w:rPr/>
        <w:t>45</w:t>
      </w:r>
      <w:r>
        <w:rPr>
          <w:rtl w:val="true"/>
        </w:rPr>
        <w:t>»</w:t>
      </w:r>
      <w:bookmarkEnd w:id="3610"/>
    </w:p>
    <w:p>
      <w:pPr>
        <w:pStyle w:val="BookText"/>
        <w:rPr/>
      </w:pPr>
      <w:r>
        <w:rPr>
          <w:rFonts w:ascii="Amiri" w:hAnsi="Amiri" w:eastAsia="Amiri" w:cs="Amiri"/>
          <w:color w:val="111111"/>
          <w:sz w:val="28"/>
          <w:sz w:val="28"/>
          <w:szCs w:val="28"/>
          <w:rtl w:val="true"/>
          <w:lang w:bidi="ar-SA"/>
        </w:rPr>
        <w:t>الْمُقْنِعُ،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مَيِّتَانِ أَوْ ثَلَاثَةُ مَوْتَي أَوْ عَشَرَةٌ فَصَلِّ عَلَيْهِمْ جَمِيعاً صَلَاةً وَاحِدَةً تَضَعُ مَيِّتاً وَاحِداً ثُمَّ تَجْعَلُ الْآخَرَ إِلَي أَلْيَةِ الرَّجُلِ الْأَوَّلِ ثُمَّ تَجْعَلُ الثَّالِثَ إِلَي أَلْيَةِ الثَّانِي شِبْهَ الْمُدَرَّجِ تَجْعَلُهُمْ عَلَي هَذَا مَا بَلَغُوا مِنَ الْمَوْتَي وَ قُمْ فِي الْوَسَطِ وَ كَبِّرْ خَمْسَ تَكْبِيرَاتٍ تَفْعَلُ كَمَا تَفْعَلُ إِذَا صَلَّيْتَ عَلَي وَاحِدَةٍ</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11" w:name="__RefHeading___Toc608232_1934241801"/>
      <w:bookmarkStart w:id="3612" w:name="_Toc1660"/>
      <w:bookmarkEnd w:id="3611"/>
      <w:r>
        <w:rPr>
          <w:rtl w:val="true"/>
        </w:rPr>
        <w:t>«</w:t>
      </w:r>
      <w:r>
        <w:rPr/>
        <w:t>46</w:t>
      </w:r>
      <w:r>
        <w:rPr>
          <w:rtl w:val="true"/>
        </w:rPr>
        <w:t>»</w:t>
      </w:r>
      <w:bookmarkEnd w:id="3612"/>
    </w:p>
    <w:p>
      <w:pPr>
        <w:pStyle w:val="BookText"/>
        <w:rPr/>
      </w:pPr>
      <w:r>
        <w:rPr>
          <w:rFonts w:ascii="Amiri" w:hAnsi="Amiri" w:eastAsia="Amiri" w:cs="Amiri"/>
          <w:color w:val="111111"/>
          <w:sz w:val="28"/>
          <w:sz w:val="28"/>
          <w:szCs w:val="28"/>
          <w:rtl w:val="true"/>
          <w:lang w:bidi="ar-SA"/>
        </w:rPr>
        <w:t>كِتَابُ الزُّهْدِ، لِلْحُسَيْنِ بْنِ سَعِيدٍ عَنْ إِبْرَاهِيمَ بْنِ أَبِي الْبِلَادِ عَنْ سَعْدٍ الْإِسْكَافِ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بَنِي إِسْرَائِيلَ عَابِدٌ فَأُعْجِبَ بِهِ دَاوُدُ عليه السلام فَأَوْحَي اللَّهُ تَبَارَكَ وَ تَعَالَي إِلَيْهِ لَا يُعْجِبْكَ شَيْ‌ءٌ مِنْ أَمْرِهِ فَإِنَّهُ مُرَاءٍ قَالَ فَمَاتَ الرَّجُلُ فَأَتَي دَاوُدُ فَقِيلَ لَهُ مَاتَ الرَّجُلُ قَالَ ادْفِنُوا صَاحِبَكُمْ قَالَ فَأَنْكَرَتْ ذَلِكَ بَنُو إِسْرَائِيلَ وَ قَالُوا كَيْفَ لَمْ يَحْضُرْهُ قَالَ فَلَمَّا غُسِّلَ قَامَ خَمْسُونَ رَجُلًا فَشَهِدُوا بِاللَّهِ مَا يَعْلَمُونَ إِلَّا خَيْراً فَلَمَّا صَلَّوْا عَلَيْهِ قَامَ خَمْسُونَ رَجُلًا فَشَهِدُوا بِاللَّهِ مَا يَعْلَمُونَ إِلَّا خَيْراً قَالَ فَأَوْحَي اللَّهُ عَزَّ وَ جَلَّ إِلَي دَاوُدَ عليه السلام مَا مَنَعَكَ أَنْ تَشْهَدَ فُلَاناً قَالَ الَّذِي أَطْلَعْتَنِي عَلَيْهِ مِنْ أَمْرِهِ قَالَ إِنْ كَانَ لَكَذَلِكَ وَ لَكِنْ شَهِدَهُ قَوْمٌ مِنَ الْأَحْبَارِ وَ الرُّهْبَانِ فَشَهِدُوا أَنَّهُمْ مَا يَعْلَمُونَ إِلَّا خَيْراً فَأَجَزْتُ شَهَادَتَهُمْ عَلَيْهِ وَ غَفَرْتُ لَهُ</w:t>
      </w:r>
    </w:p>
    <w:p>
      <w:pPr>
        <w:pStyle w:val="Heading5"/>
        <w:numPr>
          <w:ilvl w:val="4"/>
          <w:numId w:val="1"/>
        </w:numPr>
        <w:rPr/>
      </w:pPr>
      <w:bookmarkStart w:id="3613" w:name="__RefHeading___Toc608234_1934241801"/>
      <w:bookmarkStart w:id="3614" w:name="_Toc1661"/>
      <w:bookmarkEnd w:id="3613"/>
      <w:r>
        <w:rPr>
          <w:rtl w:val="true"/>
        </w:rPr>
        <w:t xml:space="preserve">روایت </w:t>
      </w:r>
      <w:r>
        <w:rPr/>
        <w:t>44</w:t>
      </w:r>
      <w:bookmarkEnd w:id="3614"/>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و ابن عباس از پیامبر صلّی الله علیه و آله روایت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جنازه ای را تشییع کند، برای او به ازای هر قدمی که تا هنگام بازگشت بر می دارد صد هزار حسنه ثبت می گردد، صد هزار گناه او زدوده می شود و صد هزار درجه بر درجات او افزوده می شود، و اگر بر آن جنازه نماز بگزارد صد هزار ملائکه در حالی که برای او طلب مغفرت می کنند در مراسم تشییع جنازه اش شرکت خواهند کرد، و اگر بماند تا آن جنازه دفن می گردد، جمیع آن صد هزار ملائکه مأمور می شوند که تا زمان برانگیخته شدن از قبر برای او طلب مغفرت و بخشش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بر میّتی نماز بگزارد، جبرئیل و هفتاد هزار ملائکه بر جنازه او نماز می گزارند، و تمام گناهانی که پیش تر مرتکب شده است بخشیده می شوند و اگر بر بالای سرمیّت بایستد تا دفن گردد و سپس بر او خاک بریزد، از مراسم تشییع جنازه باز می گردد در حالی که به ازای هر قدمی که از آغاز تشییع تا رسیدن به خانه برمی دارد یک قیراط اجر و پاداش برای او ثبت می گردد، و وزن هر قیراط به اندازه کوه احد است که در میزان سنجش اعمال او قرار می گیرد</w:t>
      </w:r>
      <w:r>
        <w:rPr>
          <w:rFonts w:eastAsia="IRNazanin" w:cs="IRNazanin"/>
          <w:color w:val="111111"/>
          <w:sz w:val="28"/>
          <w:szCs w:val="28"/>
          <w:rtl w:val="true"/>
          <w:lang w:bidi="fa-IR"/>
        </w:rPr>
        <w:t>.</w:t>
      </w:r>
      <w:r>
        <w:rPr>
          <w:rStyle w:val="FootnoteAnchor"/>
          <w:rtl w:val="true"/>
        </w:rPr>
        <w:footnoteReference w:id="1907"/>
      </w:r>
    </w:p>
    <w:p>
      <w:pPr>
        <w:pStyle w:val="Heading5"/>
        <w:numPr>
          <w:ilvl w:val="4"/>
          <w:numId w:val="1"/>
        </w:numPr>
        <w:rPr/>
      </w:pPr>
      <w:bookmarkStart w:id="3615" w:name="__RefHeading___Toc608236_1934241801"/>
      <w:bookmarkStart w:id="3616" w:name="_Toc1662"/>
      <w:bookmarkEnd w:id="3615"/>
      <w:r>
        <w:rPr>
          <w:rtl w:val="true"/>
        </w:rPr>
        <w:t xml:space="preserve">روایت </w:t>
      </w:r>
      <w:r>
        <w:rPr/>
        <w:t>45</w:t>
      </w:r>
      <w:bookmarkEnd w:id="3616"/>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هرگاه دو، سه یا ده میّت به صورت همزمان در کنار هم قرار گرفتند، بر همه آنان یک نماز واحد بگزار، و شیوه قرار دادن آن ها در کنار هم به این صورت است که یک میّت را بر زمین می گذاری سپس میّت دیگر را در کنار کفل او قرار می دهی، آن گاه میّت سوّم را در کنار کفل میّت دوّم قرار می دهی، و تمام جنازها را هر اندازه که باشند به همین ترتیب و به صورت پلکانی در کنار هم قرار می دهی، آن گاه در وسط آن ها بایست و پنج مرتبه تکبیر بگوی، و دقیقاً همان کارهایی را انجام ده که هنگام نماز بر یک جنازه واحد انجام می دهی</w:t>
      </w:r>
      <w:r>
        <w:rPr>
          <w:rFonts w:eastAsia="IRNazanin" w:cs="IRNazanin"/>
          <w:color w:val="111111"/>
          <w:sz w:val="28"/>
          <w:szCs w:val="28"/>
          <w:rtl w:val="true"/>
          <w:lang w:bidi="fa-IR"/>
        </w:rPr>
        <w:t>.</w:t>
      </w:r>
      <w:r>
        <w:rPr>
          <w:rStyle w:val="FootnoteAnchor"/>
          <w:rtl w:val="true"/>
        </w:rPr>
        <w:footnoteReference w:id="1908"/>
      </w:r>
    </w:p>
    <w:p>
      <w:pPr>
        <w:pStyle w:val="Heading5"/>
        <w:numPr>
          <w:ilvl w:val="4"/>
          <w:numId w:val="1"/>
        </w:numPr>
        <w:rPr/>
      </w:pPr>
      <w:bookmarkStart w:id="3617" w:name="__RefHeading___Toc608238_1934241801"/>
      <w:bookmarkStart w:id="3618" w:name="_Toc1663"/>
      <w:bookmarkEnd w:id="3617"/>
      <w:r>
        <w:rPr>
          <w:rtl w:val="true"/>
        </w:rPr>
        <w:t xml:space="preserve">روایت </w:t>
      </w:r>
      <w:r>
        <w:rPr/>
        <w:t>46</w:t>
      </w:r>
      <w:bookmarkEnd w:id="3618"/>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الزهد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 اسرائیل عابدی می زیست که داوود علیه السلام شیفته رفتار او بود، پس خداوند متعال به داوود وحی فرمود که هیچ عمل او تو را به شگفتی وا ندارد چرا که ریاکار است، آن عابد وفات نمود و نزد داوود علیه السلام آمدند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وفات نموده است، داوود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همرا خود را دفن کنید؛ بنی اسرائیل این کار داوود علیه السلام را ناپسند شمرده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داوود در مراسم تشییع جنازه عابد شرکت نمی کند؟ پس از غسل دادن عابد پنجاه مرد برخاستند و خدا را شاهد گرفتند که چیزی جز خیر از او نمی دانند، هنگامی که بر جنازه نماز گزاردند دوباره پنجاه مرد بر خاستند و خدا را شاهد گرفتند که چیزی جز خیر از او نمی دانند، پس خداوند متعال به داوود علیه السلام وحی فرمود چه چیز تو را از حضور در مراسم تشییع جنازه آن عابد منع کرد؟ داوود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که مرا از آن آگاه کردی،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واقعیّت چنان است که تو را از آن آگاه کردم ولی گروهی از کاهنان و راهبان شاهد مراسم تشییع جنازه آن عابد بودند و گواهی دادند که چیزی جز خیر از او نمی دانند، پس شهادت و گواهیِ آنان بر او را پذیرفتم و آنچه در موردش می دانستم را عفو نمودم</w:t>
      </w:r>
      <w:r>
        <w:rPr>
          <w:rFonts w:eastAsia="IRNazanin" w:cs="IRNazanin"/>
          <w:color w:val="111111"/>
          <w:sz w:val="28"/>
          <w:szCs w:val="28"/>
          <w:rtl w:val="true"/>
          <w:lang w:bidi="fa-IR"/>
        </w:rPr>
        <w:t xml:space="preserve">. </w:t>
      </w:r>
      <w:bookmarkStart w:id="3619" w:name="pg13517_329416"/>
    </w:p>
    <w:p>
      <w:pPr>
        <w:pStyle w:val="BookText"/>
        <w:rPr/>
      </w:pPr>
      <w:bookmarkEnd w:id="3619"/>
      <w:r>
        <w:rPr>
          <w:rFonts w:ascii="Amiri" w:hAnsi="Amiri" w:eastAsia="Amiri" w:cs="Amiri"/>
          <w:color w:val="111111"/>
          <w:sz w:val="28"/>
          <w:sz w:val="28"/>
          <w:szCs w:val="28"/>
          <w:rtl w:val="true"/>
          <w:lang w:bidi="ar-SA"/>
        </w:rPr>
        <w:t>عِلْمِي فِيهِ</w:t>
      </w:r>
      <w:r>
        <w:rPr>
          <w:rFonts w:eastAsia="Amiri" w:cs="Amiri" w:ascii="Amiri" w:hAnsi="Amiri"/>
          <w:color w:val="111111"/>
          <w:sz w:val="28"/>
          <w:szCs w:val="28"/>
          <w:rtl w:val="true"/>
          <w:lang w:bidi="ar-SA"/>
        </w:rPr>
        <w:t>.</w:t>
      </w:r>
    </w:p>
    <w:p>
      <w:pPr>
        <w:pStyle w:val="Heading5"/>
        <w:numPr>
          <w:ilvl w:val="4"/>
          <w:numId w:val="1"/>
        </w:numPr>
        <w:rPr/>
      </w:pPr>
      <w:bookmarkStart w:id="3620" w:name="__RefHeading___Toc608240_1934241801"/>
      <w:bookmarkStart w:id="3621" w:name="_Toc1664"/>
      <w:bookmarkEnd w:id="3620"/>
      <w:r>
        <w:rPr>
          <w:rtl w:val="true"/>
        </w:rPr>
        <w:t>«</w:t>
      </w:r>
      <w:r>
        <w:rPr/>
        <w:t>47</w:t>
      </w:r>
      <w:r>
        <w:rPr>
          <w:rtl w:val="true"/>
        </w:rPr>
        <w:t>»</w:t>
      </w:r>
      <w:bookmarkEnd w:id="3621"/>
    </w:p>
    <w:p>
      <w:pPr>
        <w:pStyle w:val="BookText"/>
        <w:rPr/>
      </w:pPr>
      <w:r>
        <w:rPr>
          <w:rFonts w:ascii="Amiri" w:hAnsi="Amiri" w:eastAsia="Amiri" w:cs="Amiri"/>
          <w:color w:val="111111"/>
          <w:sz w:val="28"/>
          <w:sz w:val="28"/>
          <w:szCs w:val="28"/>
          <w:rtl w:val="true"/>
          <w:lang w:bidi="ar-SA"/>
        </w:rPr>
        <w:t>مَجَالِسُ الْمُفِيدِ، عَنْ عَلِيِّ بْنِ مُحَمَّدٍ الْقُرَشِيِّ عَنْ عَلِيِّ بْنِ الْحَسَنِ بْنِ فَضَّالٍ عَنِ الْحَسَنِ بْنِ نَضْرٍ عَنْ أَبِيهِ عَنْ أَحْمَدَ بْنِ عَبْدِ اللَّهِ بْنِ عَبْدِ الْمَلِكِ عَنْ عَبْدِ الرَّحْمَنِ الْمَسْعُودِيِّ عَنْ عَمْرِو بْنِ حُرَيْثٍ الْأَنْصَارِيِّ عَنِ الْحُسَيْنِ بْنِ سَلَمَةَ الْبُنَانِيِّ عَنْ أَبِي خَالِدٍ الْكَابُلِيِّ عَنْ أَبِي جَعْفَرٍ مُحَمَّدِ بْنِ عَلِيٍّ الْبَاقِرِ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أَمِيرُ الْمُؤْمِنِينَ عليه السلام مِنْ تَغْسِيلِ رَسُولِ اللَّهِ صلي الله عليه و آله وَ تَكْفِينِهِ وَ تَحْنِيطِهِ أَذِنَ لِلنَّاسِ وَ قَالَ لِيَدْخُلْ مِنْكُمْ عَشَرَةٌ عَشَرَةٌ لِيُصَلُّوا عَلَيْهِ فَدَخَلُوا وَ قَامَ أَمِيرُ الْمُؤْمِنِينَ عليه السلام بَيْنَهُ وَ بَيْنَهُمْ وَ قَالَ إِنَّ اللَّهَ وَ مَلائِكَتَهُ يُصَلُّونَ عَلَي النَّبِيِّ يا أَيُّهَا الَّذِينَ آمَنُوا صَلُّوا عَلَيْهِ وَ سَلِّمُوا تَسْلِيماً وَ كَانَ النَّاسُ يَقُولُونَ كَمَا يَقُولُ قَالَ أَبُو جَعْفَرٍ عليه السلام وَ هَكَذَا كَانَتِ الصَّلَاةُ عَلَيْهِ‌</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22" w:name="__RefHeading___Toc608242_1934241801"/>
      <w:bookmarkStart w:id="3623" w:name="_Toc1665"/>
      <w:bookmarkEnd w:id="3622"/>
      <w:r>
        <w:rPr>
          <w:rtl w:val="true"/>
        </w:rPr>
        <w:t>توضيح</w:t>
      </w:r>
      <w:bookmarkEnd w:id="3623"/>
    </w:p>
    <w:p>
      <w:pPr>
        <w:pStyle w:val="BookText"/>
        <w:rPr/>
      </w:pPr>
      <w:r>
        <w:rPr>
          <w:rFonts w:ascii="Amiri" w:hAnsi="Amiri" w:eastAsia="Amiri" w:cs="Amiri"/>
          <w:color w:val="111111"/>
          <w:sz w:val="28"/>
          <w:sz w:val="28"/>
          <w:szCs w:val="28"/>
          <w:rtl w:val="true"/>
          <w:lang w:bidi="ar-SA"/>
        </w:rPr>
        <w:t>الظاهر أن أمير المؤمنين عليه السلام كان صلي علي النبي صلي الله عليه و آله قبل ذلك و اكتفي في صلاة سائر الناس عليه بذلك إما لعدم تقدم أبي بكر للصلاة أو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رَوَاهُ سُلَيْمُ بْنُ قَيْسٍ‌</w:t>
      </w:r>
      <w:r>
        <w:rPr>
          <w:rStyle w:val="FootnoteAnchor"/>
          <w:rtl w:val="true"/>
        </w:rPr>
        <w:footnoteReference w:id="1910"/>
      </w:r>
      <w:r>
        <w:rPr>
          <w:rFonts w:ascii="Amiri" w:hAnsi="Amiri" w:eastAsia="Amiri" w:cs="Amiri"/>
          <w:color w:val="111111"/>
          <w:sz w:val="28"/>
          <w:sz w:val="28"/>
          <w:szCs w:val="28"/>
          <w:rtl w:val="true"/>
          <w:lang w:bidi="ar-SA"/>
        </w:rPr>
        <w:t>عَلَي مَا وَجَدْتُهُ فِي كِتَابِهِ وَ رَوَاهُ عَنْهُ الطَّبْرِسِيُّ فِي الْإِحْتِجَاجِ‌</w:t>
      </w:r>
      <w:r>
        <w:rPr>
          <w:rStyle w:val="FootnoteAnchor"/>
          <w:rtl w:val="true"/>
        </w:rPr>
        <w:footnoteReference w:id="1911"/>
      </w:r>
    </w:p>
    <w:p>
      <w:pPr>
        <w:pStyle w:val="BookText"/>
        <w:rPr/>
      </w:pPr>
      <w:r>
        <w:rPr>
          <w:rFonts w:ascii="Amiri" w:hAnsi="Amiri" w:eastAsia="Amiri" w:cs="Amiri"/>
          <w:color w:val="111111"/>
          <w:sz w:val="28"/>
          <w:sz w:val="28"/>
          <w:szCs w:val="28"/>
          <w:rtl w:val="true"/>
          <w:lang w:bidi="ar-SA"/>
        </w:rPr>
        <w:t>أَيْضاً عَنْ سَلْمَانَ الْفَارِسِيِّ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عَلِيّاً عليه السلام وَ هُوَ يُغَسِّلُ رَسُولَ اللَّهِ صلي الله عليه و آله وَ قَدْ كَانَ أَوْصَي أَنْ لَا يُغَسِّلَهُ غَيْرُ عَلِيٍّ عليه السلام وَ أَخْبَرَ عَنْهُ أَنَّهُ لَا يُرِيدُ أَنْ يُقَلِّبَ مِنْهُ عُضْواً إِلَّا قُلِّبَ لَهُ وَ قَدْ قَالَ أَمِيرُ الْمُؤْمِنِينَ لِرَسُولِ اللَّهِ صلي الله عليه و آله مَنْ يُعِينُنِي عَلَي غُسْلِكَ يَا رَسُولَ اللَّهِ قَالَ جَبْرَئِيلُ عليه السلام فَلَمَّا غَسَّلَهُ وَ كَفَّنَهُ أَدْخَلَنِي وَ أَدْخَلَ أَبَا ذَرٍّ وَ الْمِقْدَادَ وَ فَاطِمَةَ وَ حَسَناً وَ حُسَيْناً عليهم السلام فَتَقَدَّمَ وَ صَفَفْنَا خَلْفَهُ فَصَلَّي عَلَيْهِ وَ عَائِشَةُ فِي الْحُجْرَةِ لَا تَعْلَمُ قَدْ أَخَذَ جَبْرَئِيلُ بِبَصَرِهَا ثُمَّ أَدْخَلَ عَشَرَةً مِنَ الْمُهَاجِرِينَ وَ عَشَرَةً مِنَ الْأَنْصَارِ فَيُصَلُّونَ وَ يَخْرُجُونَ حَتَّي لَمْ يَبْقَ أَحَدٌ مِنَ الْمُهَاجِرِينَ وَ الْأَنْصَارِ إِلَّا صَلَّي عَلَيْهِ</w:t>
      </w:r>
      <w:r>
        <w:rPr>
          <w:rFonts w:eastAsia="Amiri" w:cs="Amiri" w:ascii="Amiri" w:hAnsi="Amiri"/>
          <w:color w:val="111111"/>
          <w:sz w:val="28"/>
          <w:szCs w:val="28"/>
          <w:rtl w:val="true"/>
          <w:lang w:bidi="ar-SA"/>
        </w:rPr>
        <w:t>.</w:t>
      </w:r>
    </w:p>
    <w:p>
      <w:pPr>
        <w:pStyle w:val="Heading5"/>
        <w:numPr>
          <w:ilvl w:val="4"/>
          <w:numId w:val="1"/>
        </w:numPr>
        <w:rPr/>
      </w:pPr>
      <w:bookmarkStart w:id="3624" w:name="__RefHeading___Toc608244_1934241801"/>
      <w:bookmarkStart w:id="3625" w:name="_Toc1666"/>
      <w:bookmarkEnd w:id="3624"/>
      <w:r>
        <w:rPr>
          <w:rtl w:val="true"/>
        </w:rPr>
        <w:t xml:space="preserve">روایت </w:t>
      </w:r>
      <w:r>
        <w:rPr/>
        <w:t>47</w:t>
      </w:r>
      <w:bookmarkEnd w:id="3625"/>
    </w:p>
    <w:p>
      <w:pPr>
        <w:pStyle w:val="BookText"/>
        <w:rPr/>
      </w:pP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امیرالمؤمنین علیه السلام از غسل دادن، کفن کردن و مالیدن حنوط بر پیکر رسول خدا صلّی الله علیه و آله فارغ گشت، به مردم اجازه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ده نفر ده نفر وارد شوید و بر پیامبر نماز بگزارید، پس وارد شدند و امیرالمؤمنین بین پیکر پیامبر و مردم ایستاد و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خداوند و فرشتگان بر پیامبر درود می فرستند، ای کسانی که ایمان آورده اید شما نیز بر او درود و صلوات بفرستید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مردم این کلام امام علی علیه السلام را تکرار می کردند،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نماز گزاردن بر پیامبر صلّی الله علیه و آله چنین بود که ذکر گردید</w:t>
      </w:r>
      <w:r>
        <w:rPr>
          <w:rFonts w:eastAsia="IRNazanin" w:cs="IRNazanin"/>
          <w:color w:val="111111"/>
          <w:sz w:val="28"/>
          <w:szCs w:val="28"/>
          <w:rtl w:val="true"/>
          <w:lang w:bidi="fa-IR"/>
        </w:rPr>
        <w:t>.</w:t>
      </w:r>
      <w:r>
        <w:rPr>
          <w:rStyle w:val="FootnoteAnchor"/>
          <w:rtl w:val="true"/>
        </w:rPr>
        <w:footnoteReference w:id="1912"/>
      </w:r>
    </w:p>
    <w:p>
      <w:pPr>
        <w:pStyle w:val="Heading5"/>
        <w:numPr>
          <w:ilvl w:val="4"/>
          <w:numId w:val="1"/>
        </w:numPr>
        <w:rPr/>
      </w:pPr>
      <w:bookmarkStart w:id="3626" w:name="__RefHeading___Toc608246_1934241801"/>
      <w:bookmarkStart w:id="3627" w:name="_Toc1667"/>
      <w:bookmarkEnd w:id="3626"/>
      <w:r>
        <w:rPr>
          <w:rtl w:val="true"/>
        </w:rPr>
        <w:t>توضیح</w:t>
      </w:r>
      <w:bookmarkEnd w:id="3627"/>
    </w:p>
    <w:p>
      <w:pPr>
        <w:pStyle w:val="BookText"/>
        <w:rPr/>
      </w:pPr>
      <w:r>
        <w:rPr>
          <w:rFonts w:ascii="IRNazanin" w:hAnsi="IRNazanin" w:eastAsia="IRNazanin"/>
          <w:color w:val="111111"/>
          <w:sz w:val="28"/>
          <w:sz w:val="28"/>
          <w:szCs w:val="28"/>
          <w:rtl w:val="true"/>
          <w:lang w:bidi="fa-IR"/>
        </w:rPr>
        <w:t>از ظاهر حدیث چنین بر می آید که امام علی علیه السلام خود پیش تر بر پیکر پیامبر صلّی الله علیه و آله نماز گزارده بوده و در نماز سایر مردم به تکرار آیه مذکور اکتفا کرده است، و این کار به خاطر جلوگیری از پیش افتادن ابوبکر به عنوان امام در نماز و یا به دلایل دیگر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 را روایتی که سُلَیم بن قیس</w:t>
      </w:r>
      <w:r>
        <w:rPr>
          <w:rStyle w:val="FootnoteAnchor"/>
          <w:rtl w:val="true"/>
        </w:rPr>
        <w:footnoteReference w:id="1913"/>
      </w:r>
      <w:r>
        <w:rPr>
          <w:rFonts w:ascii="IRNazanin" w:hAnsi="IRNazanin" w:eastAsia="IRNazanin"/>
          <w:color w:val="111111"/>
          <w:sz w:val="28"/>
          <w:sz w:val="28"/>
          <w:szCs w:val="28"/>
          <w:rtl w:val="true"/>
          <w:lang w:bidi="fa-IR"/>
        </w:rPr>
        <w:t>در کتاب خویش و همچنین طبرسی در الاحتجاج</w:t>
      </w:r>
      <w:r>
        <w:rPr>
          <w:rStyle w:val="FootnoteAnchor"/>
          <w:rtl w:val="true"/>
        </w:rPr>
        <w:footnoteReference w:id="1914"/>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کرده اند تأیید می کند، به این ترتیب که از سلمان فارسی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علیه السلام رفتم در حالی که پیکر پیامبر صلّی الله علیه و آله را غسل می داد، و پیامبر وصیّت فرموده بود که کسی جز علی او را غسل ندهد، و به ایشان خبر داده بود که قصد زیر و رو کردن هر عضوی از اعضای پیکر پیامبر را داشته باشد، آن عضو زیر و رو می گردد، همچنین امام علی علیه السلام به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چه کسی مرا در غسل دادن شما یاری خواهد داد؟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پیامبر صلّی الله علیه وآله را غسل داد و کفن کرد، به من و ابوذر و مقداد، فاطمه و حسن و حسین علیهم السلام اجازه داد که وارد شویم، و خود به عنوان امام پیش افتاد و ما را پشت سر خود به صف کشید، آن گاه خود بر پیکر پیامبر نماز گزارد حال آنکه عایشه در حجره خود از این امر بی اطلّاع بود و جبرئیل جلو چشم او را گرفته بود، سپس ده نفر از انصار و ده نفر از مهاجرین را وارد حجره پیامبر می کرد، پس نماز می گزاردند و خارج می شدند، و این کار ادامه داشت تا جایی که همه مهاجرین و انصار بر پیکر پیامبر نماز گزاردند</w:t>
      </w:r>
      <w:r>
        <w:rPr>
          <w:rFonts w:eastAsia="IRNazanin" w:cs="IRNazanin"/>
          <w:color w:val="111111"/>
          <w:sz w:val="28"/>
          <w:szCs w:val="28"/>
          <w:rtl w:val="true"/>
          <w:lang w:bidi="fa-IR"/>
        </w:rPr>
        <w:t xml:space="preserve">. </w:t>
      </w:r>
      <w:bookmarkStart w:id="3628" w:name="pg13517_329417"/>
    </w:p>
    <w:p>
      <w:pPr>
        <w:pStyle w:val="BookText"/>
        <w:rPr/>
      </w:pPr>
      <w:bookmarkEnd w:id="3628"/>
      <w:r>
        <w:rPr>
          <w:rFonts w:ascii="Amiri" w:hAnsi="Amiri" w:eastAsia="Amiri" w:cs="Amiri"/>
          <w:color w:val="111111"/>
          <w:sz w:val="28"/>
          <w:sz w:val="28"/>
          <w:szCs w:val="28"/>
          <w:rtl w:val="true"/>
          <w:lang w:bidi="ar-SA"/>
        </w:rPr>
        <w:t>وَ قَدْ مَرَّ سَائِرُ الْأَخْبَارِ فِي ذَلِكَ فِي أَبْوَابِ وَفَاتِهِ صلي الله عليه و آله‌</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29" w:name="__RefHeading___Toc608248_1934241801"/>
      <w:bookmarkStart w:id="3630" w:name="_Toc1668"/>
      <w:bookmarkEnd w:id="3629"/>
      <w:r>
        <w:rPr>
          <w:rtl w:val="true"/>
        </w:rPr>
        <w:t>«</w:t>
      </w:r>
      <w:r>
        <w:rPr/>
        <w:t>48</w:t>
      </w:r>
      <w:r>
        <w:rPr>
          <w:rtl w:val="true"/>
        </w:rPr>
        <w:t>»</w:t>
      </w:r>
      <w:bookmarkEnd w:id="3630"/>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أَمِيرُ الْمُؤْمِنِينَ عليه السلام عَلَي جِنَازَةٍ ثُمَّ قَالَ إِنْ كُنْتَ مَغْفُوراً فَطُوبَي لَنَا نُصَلِّي عَلَي مَغْفُورٍ لَهُ وَ إِنْ كُنَّا مَغْفُورِينَ فَطُوبَي لَكَ يُصَلِّي عَلَيْكَ الْمَغْفُورُونَ</w:t>
      </w:r>
      <w:r>
        <w:rPr>
          <w:rFonts w:eastAsia="Amiri" w:cs="Amiri" w:ascii="Amiri" w:hAnsi="Amiri"/>
          <w:color w:val="111111"/>
          <w:sz w:val="28"/>
          <w:szCs w:val="28"/>
          <w:rtl w:val="true"/>
          <w:lang w:bidi="ar-SA"/>
        </w:rPr>
        <w:t>.</w:t>
      </w:r>
    </w:p>
    <w:p>
      <w:pPr>
        <w:pStyle w:val="Heading5"/>
        <w:numPr>
          <w:ilvl w:val="4"/>
          <w:numId w:val="1"/>
        </w:numPr>
        <w:rPr/>
      </w:pPr>
      <w:bookmarkStart w:id="3631" w:name="__RefHeading___Toc608250_1934241801"/>
      <w:bookmarkStart w:id="3632" w:name="_Toc1669"/>
      <w:bookmarkEnd w:id="3631"/>
      <w:r>
        <w:rPr>
          <w:rtl w:val="true"/>
        </w:rPr>
        <w:t>«</w:t>
      </w:r>
      <w:r>
        <w:rPr/>
        <w:t>49</w:t>
      </w:r>
      <w:r>
        <w:rPr>
          <w:rtl w:val="true"/>
        </w:rPr>
        <w:t>»</w:t>
      </w:r>
      <w:bookmarkEnd w:id="3632"/>
    </w:p>
    <w:p>
      <w:pPr>
        <w:pStyle w:val="BookText"/>
        <w:rPr/>
      </w:pPr>
      <w:r>
        <w:rPr>
          <w:rFonts w:ascii="Amiri" w:hAnsi="Amiri" w:eastAsia="Amiri" w:cs="Amiri"/>
          <w:color w:val="111111"/>
          <w:sz w:val="28"/>
          <w:sz w:val="28"/>
          <w:szCs w:val="28"/>
          <w:rtl w:val="true"/>
          <w:lang w:bidi="ar-SA"/>
        </w:rPr>
        <w:t>قُرْبُ الْإِسْنَادِ، وَ كِتَابُ الْمَسَائِلِ، بِسَنَدَيْهِمَا عَنْ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عَلَي الْجِنَازَةِ إِذَا احْمَرَّتِ الشَّمْسُ أَ تَصْلُحُ قَالَ لَا صَلَاةَ إِلَّا وَقْتَ صَلَاةٍ فَإِذَا وَجَبَتِ الشَّمْسُ فَصَلِّ الْمَغْرِبَ ثُمَّ صَلِّ عَلَي الْجِنَازَةِ</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33" w:name="__RefHeading___Toc608252_1934241801"/>
      <w:bookmarkStart w:id="3634" w:name="_Toc1670"/>
      <w:bookmarkEnd w:id="3633"/>
      <w:r>
        <w:rPr>
          <w:rtl w:val="true"/>
        </w:rPr>
        <w:t>بيان</w:t>
      </w:r>
      <w:bookmarkEnd w:id="3634"/>
    </w:p>
    <w:p>
      <w:pPr>
        <w:pStyle w:val="BookText"/>
        <w:rPr/>
      </w:pPr>
      <w:r>
        <w:rPr>
          <w:rFonts w:ascii="Amiri" w:hAnsi="Amiri" w:eastAsia="Amiri" w:cs="Amiri"/>
          <w:color w:val="111111"/>
          <w:sz w:val="28"/>
          <w:sz w:val="28"/>
          <w:szCs w:val="28"/>
          <w:rtl w:val="true"/>
          <w:lang w:bidi="ar-SA"/>
        </w:rPr>
        <w:t>لا خلاف بين أصحابنا في جواز إيقاع صلاة الجنازة في جميع الأوقات ما لم تزاحم صلاة حاضرة و لا كراهة لها أيضا و إن كانت في الأوقات المكروهة قال في المعتبر يصلي علي الجنازة في الأوقات الخمسة المكروهة ما لم تتضيق فريضة حاضرة و به قال الشافعي و أحمد و قال الأوزاعي يكره في الأوقات الخمسة و قال أبو حنيفة و مالك لا يجوز عند طلوع الشمس و غروبها و قيامها و قال في التذكرة و يصلي علي الجنازة في الأوقات الخمسة المكروهة ذهب إليه علماؤنا أجمع انتهي فالرواية محمولة علي التقية لأخبار كثيرة مر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هذا الخبر في التهذيب‌</w:t>
      </w:r>
      <w:r>
        <w:rPr>
          <w:rStyle w:val="FootnoteAnchor"/>
          <w:rtl w:val="true"/>
        </w:rPr>
        <w:footnoteReference w:id="1917"/>
      </w:r>
      <w:r>
        <w:rPr>
          <w:rFonts w:ascii="Amiri" w:hAnsi="Amiri" w:eastAsia="Amiri" w:cs="Amiri"/>
          <w:color w:val="111111"/>
          <w:sz w:val="28"/>
          <w:sz w:val="28"/>
          <w:szCs w:val="28"/>
          <w:rtl w:val="true"/>
          <w:lang w:bidi="ar-SA"/>
        </w:rPr>
        <w:t>هكذا قال لا صلاة في وقت صلاة و قال إذا وجبت و لعله سقط الاستثناء من الشيخ أو من النساخ و علي تقديره فلعل المعني أن الصلاة علي الجنازة إنما تكره إذا كان وقت صلاة و عند احمرار الشمس لم يدخل وقت الصلاة بعد فلا بأس بالصلاة فيها و يكون قوله إذا وجبت الشمس بيانا لحكم آخر و يحتمل أن يكون المراد بوقت الصلاة قرب وقتها فيكون محمولا علي التقية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سایر احادیث در این زمینه در ابواب وفات پیامبر صلّی الله علیه و آله نقل گردید</w:t>
      </w:r>
      <w:r>
        <w:rPr>
          <w:rFonts w:eastAsia="IRNazanin" w:cs="IRNazanin"/>
          <w:color w:val="111111"/>
          <w:sz w:val="28"/>
          <w:szCs w:val="28"/>
          <w:rtl w:val="true"/>
          <w:lang w:bidi="fa-IR"/>
        </w:rPr>
        <w:t>.</w:t>
      </w:r>
      <w:r>
        <w:rPr>
          <w:rStyle w:val="FootnoteAnchor"/>
          <w:rtl w:val="true"/>
        </w:rPr>
        <w:footnoteReference w:id="1918"/>
      </w:r>
    </w:p>
    <w:p>
      <w:pPr>
        <w:pStyle w:val="Heading5"/>
        <w:numPr>
          <w:ilvl w:val="4"/>
          <w:numId w:val="1"/>
        </w:numPr>
        <w:rPr/>
      </w:pPr>
      <w:bookmarkStart w:id="3635" w:name="__RefHeading___Toc608254_1934241801"/>
      <w:bookmarkStart w:id="3636" w:name="_Toc1671"/>
      <w:bookmarkEnd w:id="3635"/>
      <w:r>
        <w:rPr>
          <w:rtl w:val="true"/>
        </w:rPr>
        <w:t xml:space="preserve">روایت </w:t>
      </w:r>
      <w:r>
        <w:rPr/>
        <w:t>48</w:t>
      </w:r>
      <w:bookmarkEnd w:id="3636"/>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بر جنازه ای نماز گزارد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عفو قرار گرفته ای، خوشا به سعادت ما که بر کسی نماز می گزاریم که مورد عفو قرار گرفته است، و اگر ما از جمله کسانی هستیم که مورد عفو قرار گرفته ایم، خوشا به سعادت تو که کسانی بر جنازه ات نماز می گزارند که مورد عفو قرارگرفته اند</w:t>
      </w:r>
      <w:r>
        <w:rPr>
          <w:rFonts w:eastAsia="IRNazanin" w:cs="IRNazanin"/>
          <w:color w:val="111111"/>
          <w:sz w:val="28"/>
          <w:szCs w:val="28"/>
          <w:rtl w:val="true"/>
          <w:lang w:bidi="fa-IR"/>
        </w:rPr>
        <w:t>.</w:t>
      </w:r>
    </w:p>
    <w:p>
      <w:pPr>
        <w:pStyle w:val="Heading5"/>
        <w:numPr>
          <w:ilvl w:val="4"/>
          <w:numId w:val="1"/>
        </w:numPr>
        <w:rPr/>
      </w:pPr>
      <w:bookmarkStart w:id="3637" w:name="__RefHeading___Toc608256_1934241801"/>
      <w:bookmarkStart w:id="3638" w:name="_Toc1672"/>
      <w:bookmarkEnd w:id="3637"/>
      <w:r>
        <w:rPr>
          <w:rtl w:val="true"/>
        </w:rPr>
        <w:t xml:space="preserve">روایت </w:t>
      </w:r>
      <w:r>
        <w:rPr/>
        <w:t>49</w:t>
      </w:r>
      <w:bookmarkEnd w:id="3638"/>
    </w:p>
    <w:p>
      <w:pPr>
        <w:pStyle w:val="BookText"/>
        <w:rPr/>
      </w:pPr>
      <w:r>
        <w:rPr>
          <w:rFonts w:ascii="IRNazanin" w:hAnsi="IRNazanin" w:eastAsia="IRNazanin"/>
          <w:color w:val="111111"/>
          <w:sz w:val="28"/>
          <w:sz w:val="28"/>
          <w:szCs w:val="28"/>
          <w:rtl w:val="true"/>
          <w:lang w:bidi="fa-IR"/>
        </w:rPr>
        <w:t>قرب الأسناد و 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جعفر روایت شده که از برادرش امام موسی کاظم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هنگام سرخ شدن خورشید بر جنازه نماز گزارده 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گزاردن بر جنازه در تمام اوقات جز در وقت نمازهای یومیّه جایز است، پس آن گاه که خورشید غروب کرد نماز مغرب را به جا آور و سپس بر جنازه نماز بگزار</w:t>
      </w:r>
      <w:r>
        <w:rPr>
          <w:rFonts w:eastAsia="IRNazanin" w:cs="IRNazanin"/>
          <w:color w:val="111111"/>
          <w:sz w:val="28"/>
          <w:szCs w:val="28"/>
          <w:rtl w:val="true"/>
          <w:lang w:bidi="fa-IR"/>
        </w:rPr>
        <w:t>.</w:t>
      </w:r>
      <w:r>
        <w:rPr>
          <w:rStyle w:val="FootnoteAnchor"/>
          <w:rtl w:val="true"/>
        </w:rPr>
        <w:footnoteReference w:id="1919"/>
      </w:r>
    </w:p>
    <w:p>
      <w:pPr>
        <w:pStyle w:val="Heading5"/>
        <w:numPr>
          <w:ilvl w:val="4"/>
          <w:numId w:val="1"/>
        </w:numPr>
        <w:rPr/>
      </w:pPr>
      <w:bookmarkStart w:id="3639" w:name="__RefHeading___Toc608258_1934241801"/>
      <w:bookmarkStart w:id="3640" w:name="_Toc1673"/>
      <w:bookmarkEnd w:id="3639"/>
      <w:r>
        <w:rPr>
          <w:rtl w:val="true"/>
        </w:rPr>
        <w:t>توضیح</w:t>
      </w:r>
      <w:bookmarkEnd w:id="3640"/>
    </w:p>
    <w:p>
      <w:pPr>
        <w:pStyle w:val="BookText"/>
        <w:rPr/>
      </w:pPr>
      <w:r>
        <w:rPr>
          <w:rFonts w:ascii="IRNazanin" w:hAnsi="IRNazanin" w:eastAsia="IRNazanin"/>
          <w:color w:val="111111"/>
          <w:sz w:val="28"/>
          <w:sz w:val="28"/>
          <w:szCs w:val="28"/>
          <w:rtl w:val="true"/>
          <w:lang w:bidi="fa-IR"/>
        </w:rPr>
        <w:t>هیچ اختلاف نظری در بین فقهای ما بر سر جواز نماز گزاردن بر جنازه در تمام اوقات وجود ندارد، البته در صورتی که در زمان یکی از نمازهای یومیّه نباشد، همچنین نمازگزاردن بر جنازه در هیچ زمانی کراهت ندارد، هر چند در اوقاتی باشد که نماز گزاردن معمولی در آن ها مکروه است، در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در برگزاری نماز میّت در اوقات پنج گانه ای که نماز گزاردن در آن ها مکروه است وجود ندارد، البته اگر در تنگی زمان یکی از نمازهای واجب نباشد، شافعی و احمد نیز قائل به این نظر هستند، ولی اوزاعی نماز گزاردن بر میّت را در اوقات پنج گانه مکروه می داند، ابو حنیفه و مالک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گزاردن بر میّت هنگام طلوع، غروب و قیام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گرفتن خورشید در وسط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شیخ در التذکره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اوقات پنج گانه مکروه، اجازه برگزاری نماز میّت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علمای ما بر این نظر اتفاق دارند، 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عنایت به احادیثی که پیش تر ذکر گردید، روایت اخیر بر تقیّه حمل می شود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حدیث مذکور در التهذیب این گونه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فی وقت صلاة و اذا وجبت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حذف شدن استثناء از این عبارت از جانب شیخ یا نسخه نگاران بوده است، و شاید بر حسب عبارت التهذیب معنا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گزاردن بر میّت در وقت نمازهای واجب مکروه است، و هنگام سرخ شدن خورشید هنوز زمان نماز مغرب فرا نرسیده است، پس نمازگزاردن در آن اشکالی ندارد؛ 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وجبت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گرحُکم دیگری است، و ممکن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 زمان ادای آن باشد که در این صورت دوباره بر تقیه حمل می شود</w:t>
      </w:r>
      <w:r>
        <w:rPr>
          <w:rFonts w:eastAsia="IRNazanin" w:cs="IRNazanin"/>
          <w:color w:val="111111"/>
          <w:sz w:val="28"/>
          <w:szCs w:val="28"/>
          <w:rtl w:val="true"/>
          <w:lang w:bidi="fa-IR"/>
        </w:rPr>
        <w:t xml:space="preserve">. </w:t>
      </w:r>
      <w:bookmarkStart w:id="3641" w:name="pg13517_329418"/>
    </w:p>
    <w:p>
      <w:pPr>
        <w:pStyle w:val="Heading5"/>
        <w:numPr>
          <w:ilvl w:val="4"/>
          <w:numId w:val="1"/>
        </w:numPr>
        <w:rPr/>
      </w:pPr>
      <w:bookmarkStart w:id="3642" w:name="__RefHeading___Toc608260_1934241801"/>
      <w:bookmarkStart w:id="3643" w:name="_Toc1674"/>
      <w:bookmarkEnd w:id="3641"/>
      <w:bookmarkEnd w:id="3642"/>
      <w:r>
        <w:rPr>
          <w:rtl w:val="true"/>
        </w:rPr>
        <w:t>«</w:t>
      </w:r>
      <w:r>
        <w:rPr/>
        <w:t>50</w:t>
      </w:r>
      <w:r>
        <w:rPr>
          <w:rtl w:val="true"/>
        </w:rPr>
        <w:t>»</w:t>
      </w:r>
      <w:bookmarkEnd w:id="3643"/>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الَّتِي تُصَلَّي فِي الْأَوْقَاتِ كُلِّهَا إِنْ فَاتَتْكَ صَلَاةٌ فَصَلِّهَا إِذَا ذَكَرْتَ وَ صَلَاةُ الْكُسُوفِ وَ الصَّلَاةُ عَلَي الْجِنَازَةِ وَ رَكْعَتَيِ الْإِحْرَامِ وَ رَكْعَتَيِ الطَّوَافِ‌</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44" w:name="__RefHeading___Toc608262_1934241801"/>
      <w:bookmarkStart w:id="3645" w:name="_Toc1675"/>
      <w:bookmarkEnd w:id="3644"/>
      <w:r>
        <w:rPr>
          <w:rtl w:val="true"/>
        </w:rPr>
        <w:t>«</w:t>
      </w:r>
      <w:r>
        <w:rPr/>
        <w:t>51</w:t>
      </w:r>
      <w:r>
        <w:rPr>
          <w:rtl w:val="true"/>
        </w:rPr>
        <w:t>»</w:t>
      </w:r>
      <w:bookmarkEnd w:id="3645"/>
    </w:p>
    <w:p>
      <w:pPr>
        <w:pStyle w:val="BookText"/>
        <w:rPr/>
      </w:pPr>
      <w:r>
        <w:rPr>
          <w:rFonts w:ascii="Amiri" w:hAnsi="Amiri" w:eastAsia="Amiri" w:cs="Amiri"/>
          <w:color w:val="111111"/>
          <w:sz w:val="28"/>
          <w:sz w:val="28"/>
          <w:szCs w:val="28"/>
          <w:rtl w:val="true"/>
          <w:lang w:bidi="ar-SA"/>
        </w:rPr>
        <w:t>مَجَالِسُ الصَّدُوقِ، عَنِ الْحُسَيْنِ بْنِ إِبْرَاهِيمَ الْمُكَتِّبِ عَنْ حَمْزَةَ بْنِ الْقَاسِمِ الْعَلَوِيِّ عَنْ جَعْفَرٍ الْفَزَارِيِّ عَنْ مُحَمَّدِ بْنِ الْحُسَيْنِ الزَّيَّاتِ عَنْ سُلَيْمَانَ بْنِ حَفْصٍ الْمَرْوَزِيِّ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عليه السلام عَنْ عِلَّةِ دَفْنِهِ لِفَاطِمَةَ بِنْتِ رَسُولِ اللَّهِ صلي الله عليه و آله لَيْلًا فَقَالَ عليه السلام إِنَّهَا كَانَتْ سَاخِطَةً عَلَي قَوْمٍ كَرِهَتْ حُضُورَهُمْ جِنَازَتَهَا وَ حَرَامٌ عَلَي مَنْ يَتَوَلَّاهُمْ أَنْ يُصَلِّيَ عَلَي أَحَدٍ مِنْ وُلْدِهَا</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46" w:name="__RefHeading___Toc608264_1934241801"/>
      <w:bookmarkStart w:id="3647" w:name="_Toc1676"/>
      <w:bookmarkEnd w:id="3646"/>
      <w:r>
        <w:rPr>
          <w:rtl w:val="true"/>
        </w:rPr>
        <w:t>«</w:t>
      </w:r>
      <w:r>
        <w:rPr/>
        <w:t>52</w:t>
      </w:r>
      <w:r>
        <w:rPr>
          <w:rtl w:val="true"/>
        </w:rPr>
        <w:t>»</w:t>
      </w:r>
      <w:bookmarkEnd w:id="3647"/>
    </w:p>
    <w:p>
      <w:pPr>
        <w:pStyle w:val="BookText"/>
        <w:rPr/>
      </w:pPr>
      <w:r>
        <w:rPr>
          <w:rFonts w:ascii="Amiri" w:hAnsi="Amiri" w:eastAsia="Amiri" w:cs="Amiri"/>
          <w:color w:val="111111"/>
          <w:sz w:val="28"/>
          <w:sz w:val="28"/>
          <w:szCs w:val="28"/>
          <w:rtl w:val="true"/>
          <w:lang w:bidi="ar-SA"/>
        </w:rPr>
        <w:t>الْعِلَلُ، عَنْ أَبِيهِ عَنْ أَحْمَدَ بْنِ إِدْرِيسَ عَنْ أَحْمَدَ بْنِ مُحَمَّدِ بْنِ عِيسَي عَنْ مُحَمَّدِ بْنِ إِبْرَاهِيمَ النَّوْفَلِيِّ عَنْ إِسْمَاعِيلَ بْنِ أَبِي زِيَادٍ عَنْ جَعْفَرِ بْنِ مُحَمَّدٍ عَنْ أَبِيهِ عَنْ آبَائِهِ عَنْ عَلِيِّ بْنِ أَبِي طَالِبٍ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الصُّفُوفِ فِي الصَّلَاةِ الْمُقَدَّمُ وَ خَيْرُ الصُّفُوفِ فِي الْجَنَائِزِ الْمُؤَخَّرُ قِيلَ يَا رَسُولَ اللَّهِ وَ لِمَ قَالَ صَارَ سُتْرَةً لِلنِّسَاءِ</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48" w:name="__RefHeading___Toc608266_1934241801"/>
      <w:bookmarkStart w:id="3649" w:name="_Toc1677"/>
      <w:bookmarkEnd w:id="3648"/>
      <w:r>
        <w:rPr>
          <w:rtl w:val="true"/>
        </w:rPr>
        <w:t>توضيح و تنقيح</w:t>
      </w:r>
      <w:bookmarkEnd w:id="3649"/>
    </w:p>
    <w:p>
      <w:pPr>
        <w:pStyle w:val="BookText"/>
        <w:rPr/>
      </w:pPr>
      <w:r>
        <w:rPr>
          <w:rFonts w:ascii="Amiri" w:hAnsi="Amiri" w:eastAsia="Amiri" w:cs="Amiri"/>
          <w:color w:val="111111"/>
          <w:sz w:val="28"/>
          <w:sz w:val="28"/>
          <w:szCs w:val="28"/>
          <w:rtl w:val="true"/>
          <w:lang w:bidi="ar-SA"/>
        </w:rPr>
        <w:t>أقول من رأيت من أصحابنا رضوان الله عليهم كلامهم حملوا هذا الخبر علي أن المعني خير صفوف المصلين في سائر الصلوات الصف المقدم و خير صفوف المصلين في الصلاة علي الجنائز الصف المؤخر قال في المنتهي الصف الأخير في الصلاة علي الجنائز أفضل من الصف الأول و استدل بهذه الرواية و نحوه قال في التذكرة و قال في الذكري أفضل الصفوف المؤخر لخبر السكوني ثم قال و جعل الصدوق سبب الخبر ترغيب النساء في التأخر منعا لهن عن</w:t>
      </w:r>
    </w:p>
    <w:p>
      <w:pPr>
        <w:pStyle w:val="Heading5"/>
        <w:numPr>
          <w:ilvl w:val="4"/>
          <w:numId w:val="1"/>
        </w:numPr>
        <w:rPr/>
      </w:pPr>
      <w:bookmarkStart w:id="3650" w:name="__RefHeading___Toc608268_1934241801"/>
      <w:bookmarkStart w:id="3651" w:name="_Toc1678"/>
      <w:bookmarkEnd w:id="3650"/>
      <w:r>
        <w:rPr>
          <w:rtl w:val="true"/>
        </w:rPr>
        <w:t xml:space="preserve">روایت </w:t>
      </w:r>
      <w:r>
        <w:rPr/>
        <w:t>50</w:t>
      </w:r>
      <w:bookmarkEnd w:id="3651"/>
    </w:p>
    <w:p>
      <w:p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نمازهایی که در تمامی زمان ها اجازه اقامه دارند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کسوف، نماز میّت، دو رکعت نماز احرام و دو رکعت نماز طواف، اگر اقامه یک نماز را در وقت آن از دست دادی قضایش را هرگاه به یاد آوردی به جا آور</w:t>
      </w:r>
      <w:r>
        <w:rPr>
          <w:rFonts w:eastAsia="IRNazanin" w:cs="IRNazanin"/>
          <w:color w:val="111111"/>
          <w:sz w:val="28"/>
          <w:szCs w:val="28"/>
          <w:rtl w:val="true"/>
          <w:lang w:bidi="fa-IR"/>
        </w:rPr>
        <w:t>.</w:t>
      </w:r>
      <w:r>
        <w:rPr>
          <w:rStyle w:val="FootnoteAnchor"/>
          <w:rtl w:val="true"/>
        </w:rPr>
        <w:footnoteReference w:id="1923"/>
      </w:r>
    </w:p>
    <w:p>
      <w:pPr>
        <w:pStyle w:val="Heading5"/>
        <w:numPr>
          <w:ilvl w:val="4"/>
          <w:numId w:val="1"/>
        </w:numPr>
        <w:rPr/>
      </w:pPr>
      <w:bookmarkStart w:id="3652" w:name="__RefHeading___Toc608270_1934241801"/>
      <w:bookmarkStart w:id="3653" w:name="_Toc1679"/>
      <w:bookmarkEnd w:id="3652"/>
      <w:r>
        <w:rPr>
          <w:rtl w:val="true"/>
        </w:rPr>
        <w:t xml:space="preserve">روایت </w:t>
      </w:r>
      <w:r>
        <w:rPr/>
        <w:t>51</w:t>
      </w:r>
      <w:bookmarkEnd w:id="3653"/>
    </w:p>
    <w:p>
      <w:p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أصبغ بن نباته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در باره علّت به خاک سپردن فاطمه دختر رسول خدا صلّی الله علیه و آله در شب سؤال 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فاطمه بر قومی خشمگین بود که حضور آنان را در مراسم تشییع جنازه اش ناپسند می شمرد، و بر هر کسی که محبّت این قوم را در دل داشته باشد حرام است که بر پیکر یکی از فرزندان فاطمه نماز بگزارد</w:t>
      </w:r>
      <w:r>
        <w:rPr>
          <w:rFonts w:eastAsia="IRNazanin" w:cs="IRNazanin"/>
          <w:color w:val="111111"/>
          <w:sz w:val="28"/>
          <w:szCs w:val="28"/>
          <w:rtl w:val="true"/>
          <w:lang w:bidi="fa-IR"/>
        </w:rPr>
        <w:t>.</w:t>
      </w:r>
      <w:r>
        <w:rPr>
          <w:rStyle w:val="FootnoteAnchor"/>
          <w:rtl w:val="true"/>
        </w:rPr>
        <w:footnoteReference w:id="1924"/>
      </w:r>
    </w:p>
    <w:p>
      <w:pPr>
        <w:pStyle w:val="Heading5"/>
        <w:numPr>
          <w:ilvl w:val="4"/>
          <w:numId w:val="1"/>
        </w:numPr>
        <w:rPr/>
      </w:pPr>
      <w:bookmarkStart w:id="3654" w:name="__RefHeading___Toc608272_1934241801"/>
      <w:bookmarkStart w:id="3655" w:name="_Toc1680"/>
      <w:bookmarkEnd w:id="3654"/>
      <w:r>
        <w:rPr>
          <w:rtl w:val="true"/>
        </w:rPr>
        <w:t xml:space="preserve">روایت </w:t>
      </w:r>
      <w:r>
        <w:rPr/>
        <w:t>52</w:t>
      </w:r>
      <w:bookmarkEnd w:id="3655"/>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از پدرش و او نیز از پدرانش و آنان از علی بن ابی طالب علیهم السلام روایت کرده اند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صف در میان صفوف نماز، صف پیشین است و بهترین صف در میان صفوف نماز میت، صف پَسین،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دلیل این امرچیست؟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صف پَسین پوششی است برای صف زنان</w:t>
      </w:r>
      <w:r>
        <w:rPr>
          <w:rFonts w:eastAsia="IRNazanin" w:cs="IRNazanin"/>
          <w:color w:val="111111"/>
          <w:sz w:val="28"/>
          <w:szCs w:val="28"/>
          <w:rtl w:val="true"/>
          <w:lang w:bidi="fa-IR"/>
        </w:rPr>
        <w:t>.</w:t>
      </w:r>
      <w:r>
        <w:rPr>
          <w:rStyle w:val="FootnoteAnchor"/>
          <w:rtl w:val="true"/>
        </w:rPr>
        <w:footnoteReference w:id="1925"/>
      </w:r>
    </w:p>
    <w:p>
      <w:pPr>
        <w:pStyle w:val="Heading5"/>
        <w:numPr>
          <w:ilvl w:val="4"/>
          <w:numId w:val="1"/>
        </w:numPr>
        <w:rPr/>
      </w:pPr>
      <w:bookmarkStart w:id="3656" w:name="__RefHeading___Toc608274_1934241801"/>
      <w:bookmarkStart w:id="3657" w:name="_Toc1681"/>
      <w:bookmarkEnd w:id="3656"/>
      <w:r>
        <w:rPr>
          <w:rtl w:val="true"/>
        </w:rPr>
        <w:t>توضیح و تنقیح</w:t>
      </w:r>
      <w:bookmarkEnd w:id="3657"/>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هر یک از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نموده ام حدیث اخیر را بر این معنا حمل کرده اند که بهترین صف برای نمازگزاران در میان صفوف نمازهای دیگر صف نخست و بهترین صف در میان صفوف نماز میّت صف آخر است، شیخ 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صف آخر در نماز میت از صف نخست بیشتر است، و به روایت 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 است، در التذکره نیز سخن مشابهی از او نقل شده است، شهید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حدیث السکونی بهترین صف در میان صف نماز میّت، صف آخر است،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علّت ذکر این حدیث را ترغیب زنان به قرار گرفتن در صف اخیر به منظور منع آنان از </w:t>
      </w:r>
      <w:bookmarkStart w:id="3658" w:name="pg13517_329419"/>
    </w:p>
    <w:p>
      <w:pPr>
        <w:pStyle w:val="BookText"/>
        <w:rPr/>
      </w:pPr>
      <w:bookmarkEnd w:id="3658"/>
      <w:r>
        <w:rPr>
          <w:rFonts w:ascii="Amiri" w:hAnsi="Amiri" w:eastAsia="Amiri" w:cs="Amiri"/>
          <w:color w:val="111111"/>
          <w:sz w:val="28"/>
          <w:sz w:val="28"/>
          <w:szCs w:val="28"/>
          <w:rtl w:val="true"/>
          <w:lang w:bidi="ar-SA"/>
        </w:rPr>
        <w:t>الاختلاط بالرجال في الصلاة كما كن يصلين علي عهد النبي صلي الله عليه و آله و يتقدمن و إن كان الحكم بالأفضلية عاما لهن و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الصدوق رحمه الله في الفقيه و أفضل المواضع في الصلاة علي الميت الصف الأخير و العلة في ذلك أن النساء كن يختلطن بالرجال في الصلاة علي الجنائز فقال النبي صلي الله عليه و آله أفضل المواضع في الصلاة علي الميت الصف الأخير فتأخرن إلي الصف الأخير فبقي فضله علي ما ذكره عليه السلام انتهي</w:t>
      </w:r>
      <w:r>
        <w:rPr>
          <w:rFonts w:eastAsia="Amiri" w:cs="Amiri" w:ascii="Amiri" w:hAnsi="Amiri"/>
          <w:color w:val="111111"/>
          <w:sz w:val="28"/>
          <w:szCs w:val="28"/>
          <w:rtl w:val="true"/>
          <w:lang w:bidi="ar-SA"/>
        </w:rPr>
        <w:t>.</w:t>
      </w:r>
    </w:p>
    <w:p>
      <w:pPr>
        <w:pStyle w:val="Heading5"/>
        <w:numPr>
          <w:ilvl w:val="4"/>
          <w:numId w:val="1"/>
        </w:numPr>
        <w:rPr/>
      </w:pPr>
      <w:bookmarkStart w:id="3659" w:name="__RefHeading___Toc608276_1934241801"/>
      <w:bookmarkStart w:id="3660" w:name="_Toc1682"/>
      <w:bookmarkEnd w:id="3659"/>
      <w:r>
        <w:rPr>
          <w:rtl w:val="true"/>
        </w:rPr>
        <w:t>أقول</w:t>
      </w:r>
      <w:bookmarkEnd w:id="3660"/>
    </w:p>
    <w:p>
      <w:pPr>
        <w:pStyle w:val="BookText"/>
        <w:rPr/>
      </w:pPr>
      <w:r>
        <w:rPr>
          <w:rFonts w:ascii="Amiri" w:hAnsi="Amiri" w:eastAsia="Amiri" w:cs="Amiri"/>
          <w:color w:val="111111"/>
          <w:sz w:val="28"/>
          <w:sz w:val="28"/>
          <w:szCs w:val="28"/>
          <w:rtl w:val="true"/>
          <w:lang w:bidi="ar-SA"/>
        </w:rPr>
        <w:t>لا يخفي بعد ما فهموه من الخبر لفظا و معني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من جهة التعبير عن سائر الصلوات بالصلاة مطلقا من غير 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ارتكاب الحذف و التجوز ثانيا بحمل الجنائز علي صلاة الجنائز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تخصيص التعليل بالشق الأخير مع جريانه في الأول أيضا إلا أن يقال النساء كن لا يرغبن في سائر الصلاة إلي الصف الأول و هو أيضا تكلف لابتناء الحمل علي أمر لا يعلم تحققه بل الظاهر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عدم استقامة التعليل في الأخير أيضا إذ لو بني علي أنه صلي الله عليه و آله قال ذلك تورية لرغبة النساء إلي الأخير فلا يخفي سخافته و بعده عن منصب النبوة لاشتماله علي الحيلة و الخديعة في أحكام الدين و لو قيل إن ذلك صار سببا لتقرر هذا الحكم و جريانه فهذا أيضا تكلف إذ كان يكفي لتأخر النساء بيان أن ذلك خير لهن مع أن الأفضل متعلق بالرجال في جميع الأمور و لو قيل إن المراد أن الأفضل للنساء الصف المؤخر فلا اختصاص له بتلك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نفهم من الرواية و هو الظاهر منها لفظا و معنا أن المراد بالصفوف في الصلاة صفوف جميع الصلوات الشاملة لصلاة الجنازة و غيرها و المراد بصفوف الجنائز صفوف نفس الجنائز إذا وضعت للصلاة عليها و المعني أن خير الصفوف في الصلاة الصف المقدم أي ما كان أقرب إلي القبلة و خير الصفوف في الجنائز المؤخر أي ما كان أبعد عن القبلة و أقرب‌</w:t>
      </w:r>
      <w:r>
        <w:rPr>
          <w:rStyle w:val="FootnoteAnchor"/>
          <w:rtl w:val="true"/>
        </w:rPr>
        <w:footnoteReference w:id="1926"/>
      </w:r>
      <w:r>
        <w:rPr>
          <w:rFonts w:ascii="Amiri" w:hAnsi="Amiri" w:eastAsia="Amiri" w:cs="Amiri"/>
          <w:color w:val="111111"/>
          <w:sz w:val="28"/>
          <w:sz w:val="28"/>
          <w:szCs w:val="28"/>
          <w:rtl w:val="true"/>
          <w:lang w:bidi="ar-SA"/>
        </w:rPr>
        <w:t>من الإمام و لما كان الأشرف في جميع المواضع متعلقا بالرجال صار كل من الحكمين سببا لسترة النساء</w:t>
      </w:r>
    </w:p>
    <w:p>
      <w:pPr>
        <w:pStyle w:val="BookText"/>
        <w:rPr/>
      </w:pPr>
      <w:r>
        <w:rPr>
          <w:rFonts w:ascii="IRNazanin" w:hAnsi="IRNazanin" w:eastAsia="IRNazanin"/>
          <w:color w:val="111111"/>
          <w:sz w:val="28"/>
          <w:sz w:val="28"/>
          <w:szCs w:val="28"/>
          <w:rtl w:val="true"/>
          <w:lang w:bidi="fa-IR"/>
        </w:rPr>
        <w:t xml:space="preserve">اختلاط با مردان در نماز دانسته است، چنان که زنان در عهد پیامبر صلّی الله علیه و آله در صف آخر نماز می گزاردند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 افتادند، اگر چه حُکم دادن به برتری صف آخر حُکمی عمومی برای زنان و مردان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رحمه الله در الفقیه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مکان در نماز میّت صف آخر است، علّت این است که زنان در نماز گزاردن بر جنازه با مردان مختلط می شدند، 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مکان در نماز میّت صف آخر است، بنابراین زنان در صف آخر قرار گرفتند؛ پس فضیلت آن بر اساس آنچه حضرت علیه السلام ذکر کرد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نقل قول </w:t>
      </w:r>
      <w:r>
        <w:rPr>
          <w:rFonts w:eastAsia="IRNazanin" w:cs="IRNazanin"/>
          <w:color w:val="111111"/>
          <w:sz w:val="28"/>
          <w:szCs w:val="28"/>
          <w:rtl w:val="true"/>
          <w:lang w:bidi="fa-IR"/>
        </w:rPr>
        <w:t>.</w:t>
      </w:r>
    </w:p>
    <w:p>
      <w:pPr>
        <w:pStyle w:val="Heading5"/>
        <w:numPr>
          <w:ilvl w:val="4"/>
          <w:numId w:val="1"/>
        </w:numPr>
        <w:rPr/>
      </w:pPr>
      <w:bookmarkStart w:id="3661" w:name="__RefHeading___Toc608278_1934241801"/>
      <w:bookmarkStart w:id="3662" w:name="_Toc1683"/>
      <w:bookmarkEnd w:id="3661"/>
      <w:r>
        <w:rPr>
          <w:rtl w:val="true"/>
        </w:rPr>
        <w:t>می گویم</w:t>
      </w:r>
      <w:bookmarkEnd w:id="3662"/>
    </w:p>
    <w:p>
      <w:pPr>
        <w:pStyle w:val="BookText"/>
        <w:rPr/>
      </w:pPr>
      <w:r>
        <w:rPr>
          <w:rFonts w:ascii="IRNazanin" w:hAnsi="IRNazanin" w:eastAsia="IRNazanin"/>
          <w:color w:val="111111"/>
          <w:sz w:val="28"/>
          <w:sz w:val="28"/>
          <w:szCs w:val="28"/>
          <w:rtl w:val="true"/>
          <w:lang w:bidi="fa-IR"/>
        </w:rPr>
        <w:t>دور بودن آنچه از لفظ و معنای حدیث فهمیده اند از چند جهت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تعبیر نمودن از سایر نمازها به نماز به صورت مطلق و بدون قید و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ارتکاب حذف و جاری ساختن مجاز در قسمت دوّم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الجنائز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ترتیب که از جنازه به عنوان نماز بر جنازه تعبیرشود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دادن تعلیل به قسمت دوّم با وجود جاری بودن آن در قسمت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سایر نمازها رغبتی به قرار گرفتن در صف نخست نداشتند، که این دوباره تکلّف استّ چرا که احتمال بر پایه امری بنا شده است که تحقّق آن معلوم نیست، بلکه خلاف آن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راست و درست بودن تعلیل در قسمت دوّم، چرا که اگر بنا بر این نکته باشد که پیامبر صلّی الله علیه و آله این موضوع را از سر توریه و به منظور ترغیب زنان به ایستادن در صف آخر فرموده باشد، سخیف بودن و بعید بودن این کار از مقام و منصب نبوت بر کسی پوشیده نیست، زیرا مشتمل بر حیله و نیرنگ در اجرای احکام دین است، 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مذکور باعث ثابت شدن و اجرای این حُکم است، این سخن نیز تکلّف است، چه که کافی است در بیان عقب ایستادن زنان این نکته شرح داده شود که چنین کاری برای آنان بهتر است، همراه با ذکر این مطلب که گزینه برتر در تمام امور متعلّق به مردان است، و 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 که افضلیت برای زنان این است که صف آخِر بایستند پس این امر اختصاص به نماز میّت ندارد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ما از حدیث می فهمیم و از لفظ و معنای آن بر می آید این است که منظور از صفوف در نماز، صفوف تمام نمازهاست که شامل نماز میّت و غیر آن می شود، و منظور از صفوف جنازه ها، به صف کشیدن خود جنازه ها به منظور نماز گزاردن بر آن هاست، و معنا چنین است که بهترین صف در میان صفوف نماز صف نخست است، یعنی آن صف که به قبله نزدیک تر است، و بهتریت صف در میان صفوف جنازه ها صف آخر است، یعنی آن صف که از قبله دورتر و به امام نزدیک تر است، و از آنجا که در جمیع مواضع موضع اشرف متعلّق به مردان است، هر یک از دو حُکم مذکور سببی شده اند برای پوشیده ماندن زنان، </w:t>
      </w:r>
      <w:bookmarkStart w:id="3663" w:name="pg13517_329420"/>
    </w:p>
    <w:p>
      <w:pPr>
        <w:pStyle w:val="BookText"/>
        <w:rPr/>
      </w:pPr>
      <w:bookmarkEnd w:id="3663"/>
      <w:r>
        <w:rPr>
          <w:rFonts w:ascii="Amiri" w:hAnsi="Amiri" w:eastAsia="Amiri" w:cs="Amiri"/>
          <w:color w:val="111111"/>
          <w:sz w:val="28"/>
          <w:sz w:val="28"/>
          <w:szCs w:val="28"/>
          <w:rtl w:val="true"/>
          <w:lang w:bidi="ar-SA"/>
        </w:rPr>
        <w:t>لأن تأخرهن في الصفوف سترة لهن و تأخر جنائزهن لكونه سببا لبعدهن عن الرجال المصلين سترة لهن فاستقام التعليل في الجزءين و سلم الكلام عن ارتكاب الحذف و المجاز و صار الحكم مطابقا لما دلت عليه سائر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الأصحاب كيف ذهلوا عن هذا الاحتمال الظاهر و ذهبوا إلي ما يحتاج إلي تلك التكلفات البعيدة الركيكة فَخُذْ ما آتَيْتُكَ وَ كُنْ مِنَ الشَّاكِرِينَ</w:t>
      </w:r>
      <w:r>
        <w:rPr>
          <w:rFonts w:eastAsia="Amiri" w:cs="Amiri" w:ascii="Amiri" w:hAnsi="Amiri"/>
          <w:color w:val="111111"/>
          <w:sz w:val="28"/>
          <w:szCs w:val="28"/>
          <w:rtl w:val="true"/>
          <w:lang w:bidi="ar-SA"/>
        </w:rPr>
        <w:t>.</w:t>
      </w:r>
    </w:p>
    <w:p>
      <w:pPr>
        <w:pStyle w:val="Heading5"/>
        <w:numPr>
          <w:ilvl w:val="4"/>
          <w:numId w:val="1"/>
        </w:numPr>
        <w:rPr/>
      </w:pPr>
      <w:bookmarkStart w:id="3664" w:name="__RefHeading___Toc608280_1934241801"/>
      <w:bookmarkStart w:id="3665" w:name="_Toc1684"/>
      <w:bookmarkEnd w:id="3664"/>
      <w:r>
        <w:rPr>
          <w:rtl w:val="true"/>
        </w:rPr>
        <w:t>«</w:t>
      </w:r>
      <w:r>
        <w:rPr/>
        <w:t>53</w:t>
      </w:r>
      <w:r>
        <w:rPr>
          <w:rtl w:val="true"/>
        </w:rPr>
        <w:t>»</w:t>
      </w:r>
      <w:bookmarkEnd w:id="3665"/>
    </w:p>
    <w:p>
      <w:pPr>
        <w:pStyle w:val="BookText"/>
        <w:rPr/>
      </w:pPr>
      <w:r>
        <w:rPr>
          <w:rFonts w:ascii="Amiri" w:hAnsi="Amiri" w:eastAsia="Amiri" w:cs="Amiri"/>
          <w:color w:val="111111"/>
          <w:sz w:val="28"/>
          <w:sz w:val="28"/>
          <w:szCs w:val="28"/>
          <w:rtl w:val="true"/>
          <w:lang w:bidi="ar-SA"/>
        </w:rPr>
        <w:t>قُرْبُ الْإِسْنَادِ، وَ كِتَابُ الْمَسَائِلِ، بِسَنَدَيْهِمَا الْمُتَقَدِّمَيْنِ عَنْ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يُصَلِّي أَ لَهُ أَنْ يُكَبِّرَ قَبْلَ الْإِمَامِ قَالَ لَا يُكَبِّرُ إِلَّا مَعَ الْإِمَامِ فَإِنْ كَبَّرَ قَبْلَهُ أَعَادَ التَّكْبِيرَ</w:t>
      </w:r>
      <w:r>
        <w:rPr>
          <w:rStyle w:val="FootnoteAnchor"/>
          <w:rtl w:val="true"/>
        </w:rPr>
        <w:footnoteReference w:id="1927"/>
      </w:r>
    </w:p>
    <w:p>
      <w:pPr>
        <w:pStyle w:val="BookText"/>
        <w:rPr/>
      </w:pPr>
      <w:r>
        <w:rPr>
          <w:rFonts w:ascii="Amiri" w:hAnsi="Amiri" w:eastAsia="Amiri" w:cs="Amiri"/>
          <w:color w:val="111111"/>
          <w:sz w:val="28"/>
          <w:sz w:val="28"/>
          <w:szCs w:val="28"/>
          <w:rtl w:val="true"/>
          <w:lang w:bidi="ar-SA"/>
        </w:rPr>
        <w:t>قَالَ وَ سَأَلْتُهُ عَنِ الصَّبِيِّ يُصَلَّي عَلَيْهِ إِذَا مَاتَ وَ هُوَ ابْنُ خَمْسِ سِنِينَ فَقَالَ إِذَا عَقَلَ الصَّلَاةَ فَيُصَلَّي عَلَيْهِ‌</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66" w:name="__RefHeading___Toc608282_1934241801"/>
      <w:bookmarkStart w:id="3667" w:name="_Toc1685"/>
      <w:bookmarkEnd w:id="3666"/>
      <w:r>
        <w:rPr>
          <w:rtl w:val="true"/>
        </w:rPr>
        <w:t>«</w:t>
      </w:r>
      <w:r>
        <w:rPr/>
        <w:t>54</w:t>
      </w:r>
      <w:r>
        <w:rPr>
          <w:rtl w:val="true"/>
        </w:rPr>
        <w:t>»</w:t>
      </w:r>
      <w:bookmarkEnd w:id="3667"/>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عَلَي مَيِّتٍ فَقِفْ عِنْدَ رَأْسِهِ وَ كَبِّرْ وَ قُلْ أَشْهَدُ أَنْ لَا إِلَهَ إِلَّا اللَّهُ وَحْدَهُ لَا شَرِيكَ لَهُ وَ أَشْهَدُ أَنَّ مُحَمَّداً عَبْدُهُ وَ رَسُولُهُ أَرْسَلَهُ بِالْحَقِّ بَشِيراً وَ نَذِيراً بَيْنَ يَدَيِ السَّاعَةِ ثُمَّ كَبِّرِ الثَّانِيَةَ وَ قُلِ اللَّهُمَّ صَلِّ عَلَي مُحَمَّدٍ وَ آلِ مُحَمَّدٍ وَ ارْحَمْ مُحَمَّداً وَ آلَ مُحَمَّدٍ وَ بَارِكْ عَلَي مُحَمَّدٍ وَ آلِ مُحَمَّدٍ كَأَفْضَلِ مَا صَلَّيْتَ وَ بَارَكْتَ عَلَي إِبْرَاهِيمَ وَ آلِ إِبْرَاهِيمَ إِنَّكَ حَمِيدٌ مَجِيدٌ ثُمَّ كَبِّرِ الثَّالِثَةَ وَ قُلِ اللَّهُمَّ اغْفِرْ لِلْمُؤْمِنِينَ وَ الْمُؤْمِنَاتِ وَ الْمُسْلِمِينَ وَ الْمُسْلِمَاتِ الْأَحْيَاءِ مِنْهُمْ وَ الْأَمْوَاتِ ثُمَّ كَبِّرِ الرَّابِعَةَ وَ قُلِ اللَّهُمَّ إِنَّ هَذَا عَبْدُكَ وَ ابْنُ عَبْدِكَ وَ ابْنُ أَمَتِكَ نَزَلَ بِكَ وَ أَنْتَ خَيْرُ مَنْزُولٍ بِهِ اللَّهُمَّ إِنَّا لَا نَعْلَمُ مِنْهُ إِلَّا خَيْراً وَ أَنْتَ أَعْلَمُ بِهِ مِنَّا اللَّهُمَّ إِنْ كَانَ مُحْسِناً فَزِدْ فِي إِحْسَانِهِ وَ إِنْ كَانَ مُسِيئاً فَتَجَاوَزْ عَنْهُ وَ اغْفِرْ لَهُ اللَّهُمَّ اجْعَلْهُ عِنْدَكَ فِي أَعْلَي عِلِّيِّينَ وَ اخْلُفْ عَلَي أَهْلِهِ فِي الْغَابِرِينَ وَ ارْحَمْهُ بِرَحْمَتِكَ يَا أَرْحَمَ الرَّاحِمِينَ ثُمَّ كَبِّرِ الْخَامِسَةَ وَ لَا تَبْرَحْ مِنْ مَكَانِكَ حَتَّي تَرَي الْجِنَازَةَ عَلَي أَيْدِي الرِّجَالِ‌</w:t>
      </w:r>
      <w:r>
        <w:rPr>
          <w:rStyle w:val="FootnoteAnchor"/>
          <w:rtl w:val="true"/>
        </w:rPr>
        <w:footnoteReference w:id="1929"/>
      </w:r>
    </w:p>
    <w:p>
      <w:pPr>
        <w:pStyle w:val="BookText"/>
        <w:rPr/>
      </w:pPr>
      <w:r>
        <w:rPr>
          <w:rFonts w:ascii="IRNazanin" w:hAnsi="IRNazanin" w:eastAsia="IRNazanin"/>
          <w:color w:val="111111"/>
          <w:sz w:val="28"/>
          <w:sz w:val="28"/>
          <w:szCs w:val="28"/>
          <w:rtl w:val="true"/>
          <w:lang w:bidi="fa-IR"/>
        </w:rPr>
        <w:t>چرا که قرار گرفتن آنان در صف آخر نماز باعث پوشیده ماندن آن هاست؛ و به این ترتیب تعلیل در هر دو قسمت، راست و درست می گردد و کلام از اِعمال حذف و مجاز در امان خواهد بود، و حُکم مطابق با آن چیزی خواهد شد که سایر احادیث بر آن دلالت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شگفتم از فقها که چگونه از این احتمال آشکار غافل مانده و روی به نظرات و احتمالاتی آورده اند که مستلزم آن تکلّفات بعید و بی ارزش است، پس به دیده اعتبار بنگر آنچه به تو می رسد و از جمله شاکران باش</w:t>
      </w:r>
      <w:r>
        <w:rPr>
          <w:rFonts w:eastAsia="IRNazanin" w:cs="IRNazanin"/>
          <w:color w:val="111111"/>
          <w:sz w:val="28"/>
          <w:szCs w:val="28"/>
          <w:rtl w:val="true"/>
          <w:lang w:bidi="fa-IR"/>
        </w:rPr>
        <w:t>.</w:t>
      </w:r>
    </w:p>
    <w:p>
      <w:pPr>
        <w:pStyle w:val="Heading5"/>
        <w:numPr>
          <w:ilvl w:val="4"/>
          <w:numId w:val="1"/>
        </w:numPr>
        <w:rPr/>
      </w:pPr>
      <w:bookmarkStart w:id="3668" w:name="__RefHeading___Toc608284_1934241801"/>
      <w:bookmarkStart w:id="3669" w:name="_Toc1686"/>
      <w:bookmarkEnd w:id="3668"/>
      <w:r>
        <w:rPr>
          <w:rtl w:val="true"/>
        </w:rPr>
        <w:t xml:space="preserve">روایت </w:t>
      </w:r>
      <w:r>
        <w:rPr/>
        <w:t>53</w:t>
      </w:r>
      <w:bookmarkEnd w:id="3669"/>
    </w:p>
    <w:p>
      <w:pPr>
        <w:pStyle w:val="BookText"/>
        <w:rPr/>
      </w:pPr>
      <w:r>
        <w:rPr>
          <w:rFonts w:ascii="IRNazanin" w:hAnsi="IRNazanin" w:eastAsia="IRNazanin"/>
          <w:color w:val="111111"/>
          <w:sz w:val="28"/>
          <w:sz w:val="28"/>
          <w:szCs w:val="28"/>
          <w:rtl w:val="true"/>
          <w:lang w:bidi="fa-IR"/>
        </w:rPr>
        <w:t>قرب الأسناد و 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جعفر روایت شده که از برادرش امام موسی کاظم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کسی که به نماز میّت ایستاده است قبل از امام تکبیر گوید؟ امام موسی کاظم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تکبیر گوید مگر همراه امام، پس اگر قبل از امام تکبیر گوید باید آن ها را همراه امام تکرار کند</w:t>
      </w:r>
      <w:r>
        <w:rPr>
          <w:rFonts w:eastAsia="IRNazanin" w:cs="IRNazanin"/>
          <w:color w:val="111111"/>
          <w:sz w:val="28"/>
          <w:szCs w:val="28"/>
          <w:rtl w:val="true"/>
          <w:lang w:bidi="fa-IR"/>
        </w:rPr>
        <w:t>.</w:t>
      </w:r>
      <w:r>
        <w:rPr>
          <w:rStyle w:val="FootnoteAnchor"/>
          <w:rtl w:val="true"/>
        </w:rPr>
        <w:footnoteReference w:id="1930"/>
      </w:r>
    </w:p>
    <w:p>
      <w:pPr>
        <w:pStyle w:val="BookText"/>
        <w:rPr/>
      </w:pPr>
      <w:r>
        <w:rPr>
          <w:rFonts w:ascii="IRNazanin" w:hAnsi="IRNazanin" w:eastAsia="IRNazanin"/>
          <w:color w:val="111111"/>
          <w:sz w:val="28"/>
          <w:sz w:val="28"/>
          <w:szCs w:val="28"/>
          <w:rtl w:val="true"/>
          <w:lang w:bidi="fa-IR"/>
        </w:rPr>
        <w:t>همچنین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جنازه کودکی که سنّ او کم تر از پنج سال است نماز گزارده می شود؟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کودک به سنّی برسد که نماز را تعقّل کرده و بفهمد، بر جنازه او نماز گزارده می شود</w:t>
      </w:r>
      <w:r>
        <w:rPr>
          <w:rFonts w:eastAsia="IRNazanin" w:cs="IRNazanin"/>
          <w:color w:val="111111"/>
          <w:sz w:val="28"/>
          <w:szCs w:val="28"/>
          <w:rtl w:val="true"/>
          <w:lang w:bidi="fa-IR"/>
        </w:rPr>
        <w:t>.</w:t>
      </w:r>
      <w:r>
        <w:rPr>
          <w:rStyle w:val="FootnoteAnchor"/>
          <w:rtl w:val="true"/>
        </w:rPr>
        <w:footnoteReference w:id="1931"/>
      </w:r>
    </w:p>
    <w:p>
      <w:pPr>
        <w:pStyle w:val="Heading5"/>
        <w:numPr>
          <w:ilvl w:val="4"/>
          <w:numId w:val="1"/>
        </w:numPr>
        <w:rPr/>
      </w:pPr>
      <w:bookmarkStart w:id="3670" w:name="__RefHeading___Toc608286_1934241801"/>
      <w:bookmarkStart w:id="3671" w:name="_Toc1687"/>
      <w:bookmarkEnd w:id="3670"/>
      <w:r>
        <w:rPr>
          <w:rtl w:val="true"/>
        </w:rPr>
        <w:t xml:space="preserve">روایت </w:t>
      </w:r>
      <w:r>
        <w:rPr/>
        <w:t>54</w:t>
      </w:r>
      <w:bookmarkEnd w:id="3671"/>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بر میّتی نماز می گزاری، کنار سرش بایست، تکبیر سر داده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شَرِیکَ لَهُ وَ أَشْهَدُ أَنَّ مُحَمَّداً عَبْدُهُ وَ رَسُولُهُ أَرْسَلَهُ بِالْحَقِّ بَشِیراً وَ نَذِیراً بَیْنَ یَدَیِ السَّاعَةِ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 دهم که خدایی جز الله وجود ندارد، تنها و بی شریک است، همچنین شهادت می دهم که محمّد بنده و فرستاده خداوند است، و خداوند او را به عنوان بشارت و بیم دهنده و با براهین حق قبل از برپایی قیامت به سوی مردم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تکبیر دوّم را سر داده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وَ ارْحَمْ مُحَمَّداً وَ آلَ مُحَمَّدٍ وَ بَارِکْ عَلَی مُحَمَّدٍ وَ آلِ مُحَمَّدٍ کَأَفْضَلِ مَا صَلَّیْتَ وَ بَارَکْتَ عَلَی إِبْرَاهِیمَ وَ آلِ إِبْرَاهِیمَ إِنَّکَ حَمِیدٌ مَجِیدٌ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بر محمّد و آل محمّد درود بفرست، محمّد و آل محمّد را مورد رحمت خود قرار ده و آنان را مبارک و خجسته بگردان، آن گونه که بهترین درودها را بر ابراهیم و آل ابراهیم فرستادی و آنان را مبارک و خجسته گرداندی، به راستی که تو ستایش شده و بزرگوار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تکبیر سوّم را بر زبان رانده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لِلْمُؤْمِنِینَ وَ الْمُؤْمِنَاتِ وَ الْمُسْلِمِینَ وَ الْمُسْلِمَاتِ الْأَحْیَاءِ مِنْهُمْ وَ الْأَمْوَاتِ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مردان و زنان مؤمن، مردان و زنان مسلمان و مردگان و زنده گان آنان را مورد عفو و بخشش خود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تکبیر چهارم را سر داده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اللَّهُمَّ إِنَّ هَذَا عَبْدُکَ وَ ابْنُ عَبْدِکَ وَ ابْنُ أَمَتِکَ نَزَلَ بِکَ وَ أَنْتَ خَیْرُ مَنْزُولٍ بِهِ اللَّهُمَّ إِنَّا لَا نَعْلَمُ مِنْهُ إِلَّا خَیْراً وَ أَنْتَ أَعْلَمُ بِهِ مِنَّا اللَّهُمَّ إِنْ کَانَ مُحْسِناً فَزِدْ فِی إِحْسَانِهِ وَ إِنْ کَانَ مُسِیئاً فَتَجَاوَزْ عَنْهُ وَ اغْفِرْ لَهُ اللَّهُمَّ اجْعَلْهُ عِنْدَکَ فِی أَعْلَی عِلِّیِّینَ وَ اخْلُفْ عَلَی أَهْلِهِ فِی الْغَابِرِینَ وَ ارْحَمْهُ بِرَحْمَتِکَ یَا أَرْحَمَ الرَّاحِمِینَ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این بنده تو و فرزند بنده و کنیز توست، ما چیزی جز خیر از او نمی دانیم و تو از ما به احوالش آگاه تری؛ خداوندا، اگر نیکوکار بوده است بر نیکی هایش بیفزا، و اگر گناهکار بوده است از گناهانش درگذر و او را مورد عفو و بخشش قرار ده؛ خداوندا، او را نزد خود در بالاترین جایگاه های بهشت جایگزین گردان و جانشین او در میان بازماندگانش باش، و با رحمت خویش او را مورد رحم و شفقت قرار ده ای مهربان ترین مهربانان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پایان برای بار پنجم تکبیر بگوی، و از جای خود حرکت مکن تا اینکه جنازه را بر روی دست مردم مشاهده می کنی</w:t>
      </w:r>
      <w:r>
        <w:rPr>
          <w:rFonts w:eastAsia="IRNazanin" w:cs="IRNazanin"/>
          <w:color w:val="111111"/>
          <w:sz w:val="28"/>
          <w:szCs w:val="28"/>
          <w:rtl w:val="true"/>
          <w:lang w:bidi="fa-IR"/>
        </w:rPr>
        <w:t>.</w:t>
      </w:r>
      <w:r>
        <w:rPr>
          <w:rStyle w:val="FootnoteAnchor"/>
          <w:rtl w:val="true"/>
        </w:rPr>
        <w:footnoteReference w:id="1932"/>
      </w:r>
      <w:bookmarkStart w:id="3672" w:name="pg13517_329421"/>
    </w:p>
    <w:p>
      <w:pPr>
        <w:pStyle w:val="BookText"/>
        <w:rPr/>
      </w:pPr>
      <w:bookmarkEnd w:id="3672"/>
      <w:r>
        <w:rPr>
          <w:rFonts w:ascii="Amiri" w:hAnsi="Amiri" w:eastAsia="Amiri" w:cs="Amiri"/>
          <w:color w:val="111111"/>
          <w:sz w:val="28"/>
          <w:sz w:val="28"/>
          <w:szCs w:val="28"/>
          <w:rtl w:val="true"/>
          <w:lang w:bidi="ar-SA"/>
        </w:rPr>
        <w:t>وَ إِذَا صَلَّيْتَ عَلَي الْمَرْأَةِ فَقِفْ عِنْدَ صَدْرِهَا</w:t>
      </w:r>
      <w:r>
        <w:rPr>
          <w:rStyle w:val="FootnoteAnchor"/>
          <w:rtl w:val="true"/>
        </w:rPr>
        <w:footnoteReference w:id="1933"/>
      </w:r>
    </w:p>
    <w:p>
      <w:pPr>
        <w:pStyle w:val="BookText"/>
        <w:rPr/>
      </w:pPr>
      <w:r>
        <w:rPr>
          <w:rFonts w:ascii="Amiri" w:hAnsi="Amiri" w:eastAsia="Amiri" w:cs="Amiri"/>
          <w:color w:val="111111"/>
          <w:sz w:val="28"/>
          <w:sz w:val="28"/>
          <w:szCs w:val="28"/>
          <w:rtl w:val="true"/>
          <w:lang w:bidi="ar-SA"/>
        </w:rPr>
        <w:t>وَ إِذَا صَلَّيْتَ عَلَي الْمُسْتَضْعَفِ فَقُلِ اللَّهُمَّ اغْفِرْ لِلَّذِينَ تابُوا وَ اتَّبَعُوا سَبِيلَكَ وَ قِهِمْ عَذابَ الْجَحِيمِ‌</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لَمْ تَعْرِفْ مَذْهَبَ الْمَيِّتِ فَقُلِ اللَّهُمَّ إِنَّ هَذِهِ النَّفْسَ أَنْتَ أَحْيَيْتَهَا وَ أَنْتَ أَمَتَّهَا اللَّهُمَّ وَلِّهَا مَا تَوَلَّتْ وَ احْشُرْهَا مَعَ مَنْ أَحَبَّتْ‌</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صَلَّيْتَ عَلَي نَاصِبٍ فَقُلْ بَيْنَ التَّكْبِيرَةِ الرَّابِعَةِ 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أَخْزِ عَبْدَكَ فِي عِبَادِكَ وَ بِلَادِكَ اللَّهُمَّ أَصْلِهِ أَشَدَّ نَارِكَ اللَّهُمَّ أَذِقْهُ حَرَّ عَذَابِكَ فَإِنَّهُ كَانَ يُوَالِي أَعْدَاءَكَ وَ يُعَادِي أَوْلِيَاءَكَ وَ يُبْغِضُ أَهْلَ بَيْتِ نَبِيِّكَ فَإِذَا رُفِعَ فَقُلِ اللَّهُمَّ لَا تَرْفَعْهُ وَ لَا تُزَكِّهِ‌</w:t>
      </w:r>
      <w:r>
        <w:rPr>
          <w:rStyle w:val="FootnoteAnchor"/>
          <w:rtl w:val="true"/>
        </w:rPr>
        <w:footnoteReference w:id="1936"/>
      </w:r>
    </w:p>
    <w:p>
      <w:pPr>
        <w:pStyle w:val="BookText"/>
        <w:rPr/>
      </w:pPr>
      <w:r>
        <w:rPr>
          <w:rFonts w:ascii="Amiri" w:hAnsi="Amiri" w:eastAsia="Amiri" w:cs="Amiri"/>
          <w:color w:val="111111"/>
          <w:sz w:val="28"/>
          <w:sz w:val="28"/>
          <w:szCs w:val="28"/>
          <w:rtl w:val="true"/>
          <w:lang w:bidi="ar-SA"/>
        </w:rPr>
        <w:t>وَ الطِّفْلُ لَا يُصَلَّي عَلَيْهِ حَتَّي يَعْقِلَ الصَّلَاةَ فَإِنْ حَضَرْتَ مَعَ قَوْمٍ يُصَلُّونَ عَلَيْهِ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لِأَبَوَيْهِ وَ لَنَا فَرَطاً</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73" w:name="__RefHeading___Toc608288_1934241801"/>
      <w:bookmarkStart w:id="3674" w:name="_Toc1688"/>
      <w:bookmarkEnd w:id="3673"/>
      <w:r>
        <w:rPr>
          <w:rtl w:val="true"/>
        </w:rPr>
        <w:t>«</w:t>
      </w:r>
      <w:r>
        <w:rPr/>
        <w:t>55</w:t>
      </w:r>
      <w:r>
        <w:rPr>
          <w:rtl w:val="true"/>
        </w:rPr>
        <w:t>»</w:t>
      </w:r>
      <w:bookmarkEnd w:id="3674"/>
    </w:p>
    <w:p>
      <w:pPr>
        <w:pStyle w:val="BookText"/>
        <w:rPr/>
      </w:pPr>
      <w:r>
        <w:rPr>
          <w:rFonts w:ascii="Amiri" w:hAnsi="Amiri" w:eastAsia="Amiri" w:cs="Amiri"/>
          <w:color w:val="111111"/>
          <w:sz w:val="28"/>
          <w:sz w:val="28"/>
          <w:szCs w:val="28"/>
          <w:rtl w:val="true"/>
          <w:lang w:bidi="ar-SA"/>
        </w:rPr>
        <w:t>مِصْبَاحُ الْأَنْوَارِ، لِبَعْضِ الْأَصْحَابِ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كَمْ كَبَّرَ أَمِيرُ الْمُؤْمِنِينَ عليه السلام عَلَي فَاطِمَةَ عليها السلام فَقَالَ كَانَ يُكَبِّرُ أَمِيرُ الْمُؤْمِنِينَ عليه السلام تَكْبِيرَةً فَيُكَبِّرُ جَبْرَئِيلُ تَكْبِيرَةً وَ الْمَلَائِكَةُ الْمُقَرَّبُونَ إِلَي أَنْ كَبَّرَ أَمِيرُ الْمُؤْمِنِينَ عليه السلام خَمْساً فَقِيلَ لَهُ وَ أَيْنَ كَانَ يُصَلِّي عَلَيْهَا قَالَ فِي دَارِهَا ثُمَّ أَخْرَجَهَا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جَعْفَرِ بْنِ مُحَمَّدٍ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أَبِي طَالِبٍ عليه السلام صَلَّي عَلَي فَاطِمَةَ فَكَبَّرَ عَلَيْهَا خَمْساً وَ عِشْرِينَ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صَلَّي عَلَي فَاطِمَةَ عليها السلام وَ كَبَّرَ خَمْسَ تَكْبِيرَاتٍ</w:t>
      </w:r>
      <w:r>
        <w:rPr>
          <w:rFonts w:eastAsia="Amiri" w:cs="Amiri" w:ascii="Amiri" w:hAnsi="Amiri"/>
          <w:color w:val="111111"/>
          <w:sz w:val="28"/>
          <w:szCs w:val="28"/>
          <w:rtl w:val="true"/>
          <w:lang w:bidi="ar-SA"/>
        </w:rPr>
        <w:t>.</w:t>
      </w:r>
    </w:p>
    <w:p>
      <w:pPr>
        <w:pStyle w:val="Heading5"/>
        <w:numPr>
          <w:ilvl w:val="4"/>
          <w:numId w:val="1"/>
        </w:numPr>
        <w:rPr/>
      </w:pPr>
      <w:bookmarkStart w:id="3675" w:name="__RefHeading___Toc608290_1934241801"/>
      <w:bookmarkStart w:id="3676" w:name="_Toc1689"/>
      <w:bookmarkEnd w:id="3675"/>
      <w:r>
        <w:rPr>
          <w:rtl w:val="true"/>
        </w:rPr>
        <w:t>بيان</w:t>
      </w:r>
      <w:bookmarkEnd w:id="3676"/>
    </w:p>
    <w:p>
      <w:pPr>
        <w:pStyle w:val="BookText"/>
        <w:rPr/>
      </w:pPr>
      <w:r>
        <w:rPr>
          <w:rFonts w:ascii="Amiri" w:hAnsi="Amiri" w:eastAsia="Amiri" w:cs="Amiri"/>
          <w:color w:val="111111"/>
          <w:sz w:val="28"/>
          <w:sz w:val="28"/>
          <w:szCs w:val="28"/>
          <w:rtl w:val="true"/>
          <w:lang w:bidi="ar-SA"/>
        </w:rPr>
        <w:t>لعل التكبيرات الواجبة كانت خمسا و الباقية مستحبة من خصائصها صلوات الله عليها</w:t>
      </w:r>
      <w:r>
        <w:rPr>
          <w:rFonts w:eastAsia="Amiri" w:cs="Amiri" w:ascii="Amiri" w:hAnsi="Amiri"/>
          <w:color w:val="111111"/>
          <w:sz w:val="28"/>
          <w:szCs w:val="28"/>
          <w:rtl w:val="true"/>
          <w:lang w:bidi="ar-SA"/>
        </w:rPr>
        <w:t>.</w:t>
      </w:r>
    </w:p>
    <w:p>
      <w:pPr>
        <w:pStyle w:val="Heading5"/>
        <w:numPr>
          <w:ilvl w:val="4"/>
          <w:numId w:val="1"/>
        </w:numPr>
        <w:rPr/>
      </w:pPr>
      <w:bookmarkStart w:id="3677" w:name="__RefHeading___Toc608292_1934241801"/>
      <w:bookmarkStart w:id="3678" w:name="_Toc1690"/>
      <w:bookmarkEnd w:id="3677"/>
      <w:r>
        <w:rPr>
          <w:rtl w:val="true"/>
        </w:rPr>
        <w:t>«</w:t>
      </w:r>
      <w:r>
        <w:rPr/>
        <w:t>56</w:t>
      </w:r>
      <w:r>
        <w:rPr>
          <w:rtl w:val="true"/>
        </w:rPr>
        <w:t>»</w:t>
      </w:r>
      <w:bookmarkEnd w:id="3678"/>
    </w:p>
    <w:p>
      <w:pPr>
        <w:pStyle w:val="BookText"/>
        <w:rPr/>
      </w:pPr>
      <w:r>
        <w:rPr>
          <w:rFonts w:ascii="Amiri" w:hAnsi="Amiri" w:eastAsia="Amiri" w:cs="Amiri"/>
          <w:color w:val="111111"/>
          <w:sz w:val="28"/>
          <w:sz w:val="28"/>
          <w:szCs w:val="28"/>
          <w:rtl w:val="true"/>
          <w:lang w:bidi="ar-SA"/>
        </w:rPr>
        <w:t>مِصْبَاحُ الْأَنْوَارِ،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لِعَلِيٍّ عليه السلام إِنِّي أُوصِيكَ فِي نَفْسِي وَ هِيَ أَحَبُّ الْأَنْفُسِ إِلَيَّ بَعْدَ رَسُولِ اللَّهِ صلي الله عليه و آله إِذَا أَنَا مِتُّ فَغَسِّلْنِي بِيَدِكَ وَ حَنِّطْنِي وَ كَفِّنِّي وَ ادْفِنِّي لَيْلًا وَ لَا يَشْهَدْنِي فُلَانٌ وَ فُلَانٌ وَ اسْتَوْدَعْتُكَ</w:t>
      </w:r>
    </w:p>
    <w:p>
      <w:pPr>
        <w:pStyle w:val="BookText"/>
        <w:rPr/>
      </w:pPr>
      <w:r>
        <w:rPr>
          <w:rFonts w:ascii="IRNazanin" w:hAnsi="IRNazanin" w:eastAsia="IRNazanin"/>
          <w:color w:val="111111"/>
          <w:sz w:val="28"/>
          <w:sz w:val="28"/>
          <w:szCs w:val="28"/>
          <w:rtl w:val="true"/>
          <w:lang w:bidi="fa-IR"/>
        </w:rPr>
        <w:t>و هنگامی که قصد نمودی بر جنازه زن نماز بگزاری، رو به روی سینه اش بایست</w:t>
      </w:r>
      <w:r>
        <w:rPr>
          <w:rFonts w:eastAsia="IRNazanin" w:cs="IRNazanin"/>
          <w:color w:val="111111"/>
          <w:sz w:val="28"/>
          <w:szCs w:val="28"/>
          <w:rtl w:val="true"/>
          <w:lang w:bidi="fa-IR"/>
        </w:rPr>
        <w:t>.</w:t>
      </w:r>
      <w:r>
        <w:rPr>
          <w:rStyle w:val="FootnoteAnchor"/>
          <w:rtl w:val="true"/>
        </w:rPr>
        <w:footnoteReference w:id="1938"/>
      </w:r>
    </w:p>
    <w:p>
      <w:pPr>
        <w:pStyle w:val="BookText"/>
        <w:rPr/>
      </w:pPr>
      <w:r>
        <w:rPr>
          <w:rFonts w:ascii="IRNazanin" w:hAnsi="IRNazanin" w:eastAsia="IRNazanin"/>
          <w:color w:val="111111"/>
          <w:sz w:val="28"/>
          <w:sz w:val="28"/>
          <w:szCs w:val="28"/>
          <w:rtl w:val="true"/>
          <w:lang w:bidi="fa-IR"/>
        </w:rPr>
        <w:t>هنگامی که بر مستضعف نماز گزاردی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لِلَّذِینَ تابُوا وَ اتَّبَعُوا سَبِیلَکَ وَ قِهِمْ عَذابَ الْجَحِیمِ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کسانی که توبه کرده و پیرو راه تو شده اند را مورد عفو و مغفرت قرار ده و آنان را از عذاب جهنم محفوظ نگاه دار</w:t>
      </w:r>
      <w:r>
        <w:rPr>
          <w:rFonts w:eastAsia="IRNazanin" w:cs="IRNazanin"/>
          <w:color w:val="111111"/>
          <w:sz w:val="28"/>
          <w:szCs w:val="28"/>
          <w:rtl w:val="true"/>
          <w:lang w:bidi="fa-IR"/>
        </w:rPr>
        <w:t>}.</w:t>
      </w:r>
      <w:r>
        <w:rPr>
          <w:rStyle w:val="FootnoteAnchor"/>
          <w:rtl w:val="true"/>
        </w:rPr>
        <w:footnoteReference w:id="1939"/>
      </w:r>
    </w:p>
    <w:p>
      <w:pPr>
        <w:pStyle w:val="BookText"/>
        <w:rPr/>
      </w:pPr>
      <w:r>
        <w:rPr>
          <w:rFonts w:ascii="IRNazanin" w:hAnsi="IRNazanin" w:eastAsia="IRNazanin"/>
          <w:color w:val="111111"/>
          <w:sz w:val="28"/>
          <w:sz w:val="28"/>
          <w:szCs w:val="28"/>
          <w:rtl w:val="true"/>
          <w:lang w:bidi="fa-IR"/>
        </w:rPr>
        <w:t>اگر از مذهب میّت بی اطّلاع بودی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هَذِهِ النَّفْسَ أَنْتَ أَحْیَیْتَهَا وَ أَنْتَ أَمَتَّهَا اللَّهُمَّ وَلِّهَا مَا تَوَلَّتْ وَ احْشُرْهَا مَعَ مَنْ أَحَبَّتْ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این نفس را تو زنده گردانده و تو میراندی؛ خداوندا، کسانی را ولی و سر پرست او قرار ده که در دنیا ولی و سرپرست آنان بودی و او را با کسانی که دوست شان می داشت محشور گردان</w:t>
      </w:r>
      <w:r>
        <w:rPr>
          <w:rFonts w:eastAsia="IRNazanin" w:cs="IRNazanin"/>
          <w:color w:val="111111"/>
          <w:sz w:val="28"/>
          <w:szCs w:val="28"/>
          <w:rtl w:val="true"/>
          <w:lang w:bidi="fa-IR"/>
        </w:rPr>
        <w:t>}.</w:t>
      </w:r>
      <w:r>
        <w:rPr>
          <w:rStyle w:val="FootnoteAnchor"/>
          <w:rtl w:val="true"/>
        </w:rPr>
        <w:footnoteReference w:id="1940"/>
      </w:r>
    </w:p>
    <w:p>
      <w:pPr>
        <w:pStyle w:val="BookText"/>
        <w:rPr/>
      </w:pPr>
      <w:r>
        <w:rPr>
          <w:rFonts w:ascii="IRNazanin" w:hAnsi="IRNazanin" w:eastAsia="IRNazanin"/>
          <w:color w:val="111111"/>
          <w:sz w:val="28"/>
          <w:sz w:val="28"/>
          <w:szCs w:val="28"/>
          <w:rtl w:val="true"/>
          <w:lang w:bidi="fa-IR"/>
        </w:rPr>
        <w:t>و اگر بر جنازه یکی از دشمنان پیامبر و اهل بیت نماز گزاردی، بین تکبیر چهارم و پنجم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أَخْزِ عَبْدَکَ فِی عِبَادِکَ وَ بِلَادِکَ اللَّهُمَّ أَصْلِهِ أَشَدَّ نَارِکَ اللَّهُمَّ أَذِقْهُ حَرَّ عَذَابِکَ فَإِنَّهُ کَانَ یُوَالِی أَعْدَاءَکَ وَ یُعَادِی أَوْلِیَاءَکَ وَ یُبْغِضُ أَهْلَ بَیْتِ نَبِیِّکَ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این بنده خود را در میان بندگان و سرزمین  های خودت خوار و ذلیل گردان؛ خداوندا، او را به شدید ترین آتش خود واصل گردان؛ خداوندا، گرما و شدّت عذاب خود را به او بچشان، چرا که او با دشمنان تو دوست و با دوستان تو دشمن بود و اهل بیت پیامبرت را مورد بغض و کینه قرار می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هنگامی که جنازه او بر روی دست ها بلند شد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تَرْفَعْهُ وَ لَا تُزَکِّهِ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مقام او را رفیع مگردان و پاک مطهّرش مساز</w:t>
      </w:r>
      <w:r>
        <w:rPr>
          <w:rFonts w:eastAsia="IRNazanin" w:cs="IRNazanin"/>
          <w:color w:val="111111"/>
          <w:sz w:val="28"/>
          <w:szCs w:val="28"/>
          <w:rtl w:val="true"/>
          <w:lang w:bidi="fa-IR"/>
        </w:rPr>
        <w:t>}.</w:t>
      </w:r>
      <w:r>
        <w:rPr>
          <w:rStyle w:val="FootnoteAnchor"/>
          <w:rtl w:val="true"/>
        </w:rPr>
        <w:footnoteReference w:id="1941"/>
      </w:r>
    </w:p>
    <w:p>
      <w:pPr>
        <w:pStyle w:val="BookText"/>
        <w:rPr/>
      </w:pPr>
      <w:r>
        <w:rPr>
          <w:rFonts w:ascii="IRNazanin" w:hAnsi="IRNazanin" w:eastAsia="IRNazanin"/>
          <w:color w:val="111111"/>
          <w:sz w:val="28"/>
          <w:sz w:val="28"/>
          <w:szCs w:val="28"/>
          <w:rtl w:val="true"/>
          <w:lang w:bidi="fa-IR"/>
        </w:rPr>
        <w:t>بر جنازه کودک تا زمانی که به سنّی نرسد که نماز را تعقّل و فهم کند نماز گزارده نمی شود، امّا اگر در میان قومی حضور یافتی که بر جنازه کودکی نماز می گزارند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لِأَبَوَیْهِ وَ لَنَا فَرَطاً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این کودک را برای والدینش و ما اندوخته ای قرار ده که پیش تر از خود فرستاده ایم</w:t>
      </w:r>
      <w:r>
        <w:rPr>
          <w:rFonts w:eastAsia="IRNazanin" w:cs="IRNazanin"/>
          <w:color w:val="111111"/>
          <w:sz w:val="28"/>
          <w:szCs w:val="28"/>
          <w:rtl w:val="true"/>
          <w:lang w:bidi="fa-IR"/>
        </w:rPr>
        <w:t>}.</w:t>
      </w:r>
      <w:r>
        <w:rPr>
          <w:rStyle w:val="FootnoteAnchor"/>
          <w:rtl w:val="true"/>
        </w:rPr>
        <w:footnoteReference w:id="1942"/>
      </w:r>
    </w:p>
    <w:p>
      <w:pPr>
        <w:pStyle w:val="Heading5"/>
        <w:numPr>
          <w:ilvl w:val="4"/>
          <w:numId w:val="1"/>
        </w:numPr>
        <w:rPr/>
      </w:pPr>
      <w:bookmarkStart w:id="3679" w:name="__RefHeading___Toc608294_1934241801"/>
      <w:bookmarkStart w:id="3680" w:name="_Toc1691"/>
      <w:bookmarkEnd w:id="3679"/>
      <w:r>
        <w:rPr>
          <w:rtl w:val="true"/>
        </w:rPr>
        <w:t xml:space="preserve">روایت </w:t>
      </w:r>
      <w:r>
        <w:rPr/>
        <w:t>55</w:t>
      </w:r>
      <w:bookmarkEnd w:id="3680"/>
    </w:p>
    <w:p>
      <w:pPr>
        <w:pStyle w:val="BookText"/>
        <w:rPr/>
      </w:pP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چند مرتبه بر پیکر فاطمه علیها  السلام تکبیر گفت؟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یک بار تکبیر می گفت و جبرئیل و فرشتگان مقرّب پس از یک بار تکبیر می گفتند، تا اینکه امیرالمؤمنین به همین ترتیب پنج بار تکبیر گفت،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کجا بر فاطمه نماز گزارد؟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فاطمه سپس او را از خانه خارج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از پدرانش علیهم السلام روایت کرده که امام علی علیه السلام بر پیکر فاطمه علیها السلام نماز گزارد و بیست و پنج مرتبه بر او تکبیر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روایت شده که امیرالمؤمنین علیه السلام بر پیکر فاطمه علیها السلام نماز گزارد و پنج مرتبه تکبیر گفت</w:t>
      </w:r>
      <w:r>
        <w:rPr>
          <w:rFonts w:eastAsia="IRNazanin" w:cs="IRNazanin"/>
          <w:color w:val="111111"/>
          <w:sz w:val="28"/>
          <w:szCs w:val="28"/>
          <w:rtl w:val="true"/>
          <w:lang w:bidi="fa-IR"/>
        </w:rPr>
        <w:t>.</w:t>
      </w:r>
    </w:p>
    <w:p>
      <w:pPr>
        <w:pStyle w:val="Heading5"/>
        <w:numPr>
          <w:ilvl w:val="4"/>
          <w:numId w:val="1"/>
        </w:numPr>
        <w:rPr/>
      </w:pPr>
      <w:bookmarkStart w:id="3681" w:name="__RefHeading___Toc608296_1934241801"/>
      <w:bookmarkStart w:id="3682" w:name="_Toc1692"/>
      <w:bookmarkEnd w:id="3681"/>
      <w:r>
        <w:rPr>
          <w:rtl w:val="true"/>
        </w:rPr>
        <w:t>توضیح</w:t>
      </w:r>
      <w:bookmarkEnd w:id="3682"/>
    </w:p>
    <w:p>
      <w:pPr>
        <w:pStyle w:val="BookText"/>
        <w:rPr/>
      </w:pPr>
      <w:r>
        <w:rPr>
          <w:rFonts w:ascii="IRNazanin" w:hAnsi="IRNazanin" w:eastAsia="IRNazanin"/>
          <w:color w:val="111111"/>
          <w:sz w:val="28"/>
          <w:sz w:val="28"/>
          <w:szCs w:val="28"/>
          <w:rtl w:val="true"/>
          <w:lang w:bidi="fa-IR"/>
        </w:rPr>
        <w:t>شاید تعداد تکبیرهای واجب پنج مرتبه باشد، و تکبیرهای اضافه بر آن مستحبّ بوده و از خصوصیّات ویژه فاطمه علیها السلام باشد</w:t>
      </w:r>
      <w:r>
        <w:rPr>
          <w:rFonts w:eastAsia="IRNazanin" w:cs="IRNazanin"/>
          <w:color w:val="111111"/>
          <w:sz w:val="28"/>
          <w:szCs w:val="28"/>
          <w:rtl w:val="true"/>
          <w:lang w:bidi="fa-IR"/>
        </w:rPr>
        <w:t>.</w:t>
      </w:r>
    </w:p>
    <w:p>
      <w:pPr>
        <w:pStyle w:val="Heading5"/>
        <w:numPr>
          <w:ilvl w:val="4"/>
          <w:numId w:val="1"/>
        </w:numPr>
        <w:rPr/>
      </w:pPr>
      <w:bookmarkStart w:id="3683" w:name="__RefHeading___Toc608298_1934241801"/>
      <w:bookmarkStart w:id="3684" w:name="_Toc1693"/>
      <w:bookmarkEnd w:id="3683"/>
      <w:r>
        <w:rPr>
          <w:rtl w:val="true"/>
        </w:rPr>
        <w:t xml:space="preserve">روایت </w:t>
      </w:r>
      <w:r>
        <w:rPr/>
        <w:t>56</w:t>
      </w:r>
      <w:bookmarkEnd w:id="3684"/>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علی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در مورد نفس خویش که بعد از رسول خدا صلّی الله علیه وآله محبوب ترین نفس نزد من است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وفات نمودم مرا با دست خود غسل ده و با حنوط معطّرم گردان و مرا کفن کرده و شبانه به خاک بسپار و اجازه نده که فلان و فلانی در مراسم کفن و دفن حاضر شوند، و تا زمانی </w:t>
      </w:r>
      <w:bookmarkStart w:id="3685" w:name="pg13517_329422"/>
    </w:p>
    <w:p>
      <w:pPr>
        <w:pStyle w:val="BookText"/>
        <w:rPr/>
      </w:pPr>
      <w:bookmarkEnd w:id="3685"/>
      <w:r>
        <w:rPr>
          <w:rFonts w:ascii="Amiri" w:hAnsi="Amiri" w:eastAsia="Amiri" w:cs="Amiri"/>
          <w:color w:val="111111"/>
          <w:sz w:val="28"/>
          <w:sz w:val="28"/>
          <w:szCs w:val="28"/>
          <w:rtl w:val="true"/>
          <w:lang w:bidi="ar-SA"/>
        </w:rPr>
        <w:t>اللَّهَ تَعَالَي حَتَّي أَلْقَاكَ جَمَعَ اللَّهُ بَيْنِي وَ بَيْنَكَ فِي دَارِهِ وَ قُرْبِ جِوَارِهِ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فَاطِمَةَ الْوَفَاةُ بَكَتْ فَقَالَ لَهَا لَا تَبْكِي فَوَ اللَّهِ إِنَّ ذَلِكَ لَصَغِيرٌ عِنْدِي فِي ذَاتِ اللَّهِ قَالَ وَ أَوْصَتْهُ أَنْ لَا يُؤْذِنَ بِهَا الشَّيْخَيْنِ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يَحْيَي بْنِ عَبْدِ اللَّهِ بْنِ مُحَمَّدِ بْنِ عُمَرَ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 لِعَلِيٍّ عليه السلام إِنَّ لِي إِلَيْكَ حَاجَةً يَا أَبَا الْحَسَنِ فَقَالَ تُقْضَي يَا بِنْتَ رَسُولِ اللَّهِ فَقَالَتْ نَشَدْتُكَ بِاللَّهِ وَ بِحَقِّ مُحَمَّدٍ رَسُولِ اللَّهِ صلي الله عليه و آله أَنْ لَا يُصَلِّيَ عَلَيَّ أَبُو بَكْرٍ وَ لَا عُمَرُ</w:t>
      </w:r>
      <w:r>
        <w:rPr>
          <w:rFonts w:eastAsia="Amiri" w:cs="Amiri" w:ascii="Amiri" w:hAnsi="Amiri"/>
          <w:color w:val="111111"/>
          <w:sz w:val="28"/>
          <w:szCs w:val="28"/>
          <w:rtl w:val="true"/>
          <w:lang w:bidi="ar-SA"/>
        </w:rPr>
        <w:t>.</w:t>
      </w:r>
    </w:p>
    <w:p>
      <w:pPr>
        <w:pStyle w:val="Heading5"/>
        <w:numPr>
          <w:ilvl w:val="4"/>
          <w:numId w:val="1"/>
        </w:numPr>
        <w:rPr/>
      </w:pPr>
      <w:bookmarkStart w:id="3686" w:name="__RefHeading___Toc608300_1934241801"/>
      <w:bookmarkStart w:id="3687" w:name="_Toc1694"/>
      <w:bookmarkEnd w:id="3686"/>
      <w:r>
        <w:rPr>
          <w:rtl w:val="true"/>
        </w:rPr>
        <w:t>بيان</w:t>
      </w:r>
      <w:bookmarkEnd w:id="3687"/>
    </w:p>
    <w:p>
      <w:pPr>
        <w:pStyle w:val="BookText"/>
        <w:rPr/>
      </w:pPr>
      <w:r>
        <w:rPr>
          <w:rFonts w:ascii="Amiri" w:hAnsi="Amiri" w:eastAsia="Amiri" w:cs="Amiri"/>
          <w:color w:val="111111"/>
          <w:sz w:val="28"/>
          <w:sz w:val="28"/>
          <w:szCs w:val="28"/>
          <w:rtl w:val="true"/>
          <w:lang w:bidi="ar-SA"/>
        </w:rPr>
        <w:t>هذه الأخبار تدل علي أن منع حضور الكفار و المنافقين بل الفساق في الجنازة و عند الصلاة مطلوب</w:t>
      </w:r>
      <w:r>
        <w:rPr>
          <w:rFonts w:eastAsia="Amiri" w:cs="Amiri" w:ascii="Amiri" w:hAnsi="Amiri"/>
          <w:color w:val="111111"/>
          <w:sz w:val="28"/>
          <w:szCs w:val="28"/>
          <w:rtl w:val="true"/>
          <w:lang w:bidi="ar-SA"/>
        </w:rPr>
        <w:t>.</w:t>
      </w:r>
    </w:p>
    <w:p>
      <w:pPr>
        <w:pStyle w:val="Heading5"/>
        <w:numPr>
          <w:ilvl w:val="4"/>
          <w:numId w:val="1"/>
        </w:numPr>
        <w:rPr/>
      </w:pPr>
      <w:bookmarkStart w:id="3688" w:name="__RefHeading___Toc608302_1934241801"/>
      <w:bookmarkStart w:id="3689" w:name="_Toc1695"/>
      <w:bookmarkEnd w:id="3688"/>
      <w:r>
        <w:rPr>
          <w:rtl w:val="true"/>
        </w:rPr>
        <w:t>«</w:t>
      </w:r>
      <w:r>
        <w:rPr/>
        <w:t>57</w:t>
      </w:r>
      <w:r>
        <w:rPr>
          <w:rtl w:val="true"/>
        </w:rPr>
        <w:t>»</w:t>
      </w:r>
      <w:bookmarkEnd w:id="3689"/>
    </w:p>
    <w:p>
      <w:pPr>
        <w:pStyle w:val="BookText"/>
        <w:rPr/>
      </w:pPr>
      <w:r>
        <w:rPr>
          <w:rFonts w:ascii="Amiri" w:hAnsi="Amiri" w:eastAsia="Amiri" w:cs="Amiri"/>
          <w:color w:val="111111"/>
          <w:sz w:val="28"/>
          <w:sz w:val="28"/>
          <w:szCs w:val="28"/>
          <w:rtl w:val="true"/>
          <w:lang w:bidi="ar-SA"/>
        </w:rPr>
        <w:t>الْخَرَائِجُ لِلرَّاوَنْدِيِّ، عَنْ مُحَمَّدِ بْنِ عَبْدِ الْحَمِيدِ عَنْ عَاصِمِ بْنِ حُمَيْدٍ عَنْ يَزِيدَ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قَاعِداً فَسَأَلَهُ رَجُلٌ مِنَ الْقُمِّيِّينَ أَ تُصَلِّي النِّسَاءُ عَلَي الْجَنَائِزِ فَقَالَ إِنَّ الْمُغِيرَةَ بْنَ أَبِي الْعَاصِ ادَّعَي أَنَّهُ رَمَي رَسُولَ اللَّهِ صلي الله عليه و آله فَكُسِرَتْ رَبَاعِيَتُهُ وَ شَقَّ شَفَتَيْهِ وَ كَذَبَ وَ ادَّعَي أَنَّهُ قَتَلَ حَمْزَةَ وَ كَذَبَ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يَوْمُ الْخَنْدَقِ ضُرِبَ عَلَي أُذُنَيْهِ فَنَامَ فَلَمْ يَسْتَيْقِظْ حَتَّي أَصْبَحَ فَخَشِيَ أَنْ يُؤْخَذَ فَتَنَكَّرَ وَ تَقَنَّعَ بِثَوْبِهِ وَ جَاءَ إِلَي مَنْزِلِ عُثْمَانَ يَطْلُبُهُ وَ تَسَمَّي بِاسْمِ رَجُلٍ مِنْ بَنِي سُلَيْمٍ كَانَ يَجْلِبُ إِلَي عُثْمَانَ الْخَيْلَ وَ الْغَنَمَ وَ السَّمْنَ فَجَاءَ عُثْمَانُ فَأَدْخَلَهُ فِي مَنْزِلِهِ وَ قَالَ وَيْحَكَ مَا صَنَعْتَ ادَّعَيْتَ أَنَّكَ رَمَيْتَ رَسُولَ اللَّهِ صلي الله عليه و آله وَ ادَّعَيْتَ أَنَّكَ شَقَقْتَ شَفَتَيْهِ وَ كَسَرْتَ رَبَاعِيَتَهُ وَ ادَّعَيْتَ أَنَّكَ قَتَلْتَ حَمْزَةَ فَأَخْبَرَهُ بِمَا لَقِيَ وَ أَنَّهُ ضُرِبَ عَلَي أُذُنِهِ فَلَمَّا سَمِعَتْ ابْنَةُ النَّبِيِّ صلي الله عليه و آله بِمَا صَنَعَ بِأَبِيهَا وَ عَمِّهَا صَاحَتْ فَأَسْكَتَهَا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عُثْمَانُ إِلَي رَسُولِ اللَّهِ صلي الله عليه و آله وَ هُوَ جَالِسٌ فِي الْمَسْجِدِ فَاسْتَقْبَلَهُ بِوَجْهِهِ وَ قَالَ يَا رَسُولَ اللَّهِ إِنَّكَ آمَنْتَ عَمِّيَ الْمُغِيرَةَ وَ كَذَبَ فَصَرَفَ عَنْهُ رَسُولُ اللَّهِ صلي الله عليه و آله</w:t>
      </w:r>
    </w:p>
    <w:p>
      <w:pPr>
        <w:pStyle w:val="BookText"/>
        <w:rPr/>
      </w:pPr>
      <w:r>
        <w:rPr>
          <w:rFonts w:ascii="IRNazanin" w:hAnsi="IRNazanin" w:eastAsia="IRNazanin"/>
          <w:color w:val="111111"/>
          <w:sz w:val="28"/>
          <w:sz w:val="28"/>
          <w:szCs w:val="28"/>
          <w:rtl w:val="true"/>
          <w:lang w:bidi="fa-IR"/>
        </w:rPr>
        <w:t>که ملاقاتت می کنم تو را به خدا می سپارم، خداوند من و تو را در دار رحمت و جوار نزدیک خویش جمع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پدرانش علیهم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در حال احتضار قرار گرفت گریست، پس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نکن، به خدا سوگند که این مساله نزد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خداوند، کوچک است، سپس فاطمه علیها السلام سفارش فرمود که به 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حضور در مراسم کفن و دفن داده نشود، و علی علیه السلام چنان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 شده است که فاطمه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 مرا نزد تو حاجتی است،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حاجتت بر آورده می شود،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و حقّ رسول خدا صلّی الله علیه وآله سوگند می دهم که اجازه ندهی ابوبکر و عمر بر پیکر من نماز بگزارند </w:t>
      </w:r>
      <w:r>
        <w:rPr>
          <w:rFonts w:eastAsia="IRNazanin" w:cs="IRNazanin"/>
          <w:color w:val="111111"/>
          <w:sz w:val="28"/>
          <w:szCs w:val="28"/>
          <w:rtl w:val="true"/>
          <w:lang w:bidi="fa-IR"/>
        </w:rPr>
        <w:t>.</w:t>
      </w:r>
    </w:p>
    <w:p>
      <w:pPr>
        <w:pStyle w:val="Heading5"/>
        <w:numPr>
          <w:ilvl w:val="4"/>
          <w:numId w:val="1"/>
        </w:numPr>
        <w:rPr/>
      </w:pPr>
      <w:bookmarkStart w:id="3690" w:name="__RefHeading___Toc608304_1934241801"/>
      <w:bookmarkStart w:id="3691" w:name="_Toc1696"/>
      <w:bookmarkEnd w:id="3690"/>
      <w:r>
        <w:rPr>
          <w:rtl w:val="true"/>
        </w:rPr>
        <w:t>توضیح</w:t>
      </w:r>
      <w:bookmarkEnd w:id="3691"/>
    </w:p>
    <w:p>
      <w:pPr>
        <w:pStyle w:val="BookText"/>
        <w:rPr/>
      </w:pPr>
      <w:r>
        <w:rPr>
          <w:rFonts w:ascii="IRNazanin" w:hAnsi="IRNazanin" w:eastAsia="IRNazanin"/>
          <w:color w:val="111111"/>
          <w:sz w:val="28"/>
          <w:sz w:val="28"/>
          <w:szCs w:val="28"/>
          <w:rtl w:val="true"/>
          <w:lang w:bidi="fa-IR"/>
        </w:rPr>
        <w:t>این احادیث دلالت می کنند بر اینکه منع حضور کفّار و حتی فاسقین در مراسم تشییع جنازه و هنگام نماز مطلوب است</w:t>
      </w:r>
      <w:r>
        <w:rPr>
          <w:rFonts w:eastAsia="IRNazanin" w:cs="IRNazanin"/>
          <w:color w:val="111111"/>
          <w:sz w:val="28"/>
          <w:szCs w:val="28"/>
          <w:rtl w:val="true"/>
          <w:lang w:bidi="fa-IR"/>
        </w:rPr>
        <w:t>.</w:t>
      </w:r>
    </w:p>
    <w:p>
      <w:pPr>
        <w:pStyle w:val="Heading5"/>
        <w:numPr>
          <w:ilvl w:val="4"/>
          <w:numId w:val="1"/>
        </w:numPr>
        <w:rPr/>
      </w:pPr>
      <w:bookmarkStart w:id="3692" w:name="__RefHeading___Toc608306_1934241801"/>
      <w:bookmarkStart w:id="3693" w:name="_Toc1697"/>
      <w:bookmarkEnd w:id="3692"/>
      <w:r>
        <w:rPr>
          <w:rtl w:val="true"/>
        </w:rPr>
        <w:t xml:space="preserve">روایت </w:t>
      </w:r>
      <w:r>
        <w:rPr/>
        <w:t>57</w:t>
      </w:r>
      <w:bookmarkEnd w:id="3693"/>
    </w:p>
    <w:p>
      <w:pPr>
        <w:pStyle w:val="BookText"/>
        <w:rPr/>
      </w:pPr>
      <w:r>
        <w:rPr>
          <w:rFonts w:ascii="IRNazanin" w:hAnsi="IRNazanin" w:eastAsia="IRNazanin"/>
          <w:color w:val="111111"/>
          <w:sz w:val="28"/>
          <w:sz w:val="28"/>
          <w:szCs w:val="28"/>
          <w:rtl w:val="true"/>
          <w:lang w:bidi="fa-IR"/>
        </w:rPr>
        <w:t>الخرائج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حمید از یزید بن خلیفه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نشسته بودم که مردی از اهالی قم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زنان بر جنازه نماز بگزارند؟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مغیره بن أبی العاص مدّعی شد که رسول خدا صلّی الله علیه و آله را هدف قرار داده و نیزه ایشان را شکسته و لبان مبارکش را شکافته است، ولی دروغ گفت، همچنین ادّعا کرد که حمزه را به شهادت رسانده است و باز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غزوه خندق خواب بر او چیره گشت و خوابید و تا صبح بیدار نشد، و ترسید که مؤاخذه شود پس لباسی بر سر خود کشید که شناخته نشود، آن گاه به سوی منزل عثمان آمد و او را طلب می کرد و خود را مردی از قبیله بنی سلیم معرّفی کرد که برای عثمان اسب، گوسفند و روغن می آورد، پس عثمان آمد و مغیره را وارد منزل خویش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چکار کرده ای؟ ادّعا نموده ای که رسول خدا صلّی الله علیه و آله را هدف قرار داده و لبان مبارکش را شکافته و نیزه اش را شکسته ای؛ سپس مدّعی شده ای که حمزه را به شهادت رسانده ای، آن گاه مغیره عثمان را از آنچه بر سرش آمده و اینکه خواب بر او غلبه کرده بود آگاه کرد، هنگامی که دختر بیامبر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همسر عثمان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کارهایی که مغیره در مورد پدر و عمویش انجام داده را شنید فریاد بلندی کشید، سپس عثمان او را آرام کرد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عثمان از خانه به سوی رسول خدا صلّی الله علیه و آله که در مسجد نشسته بود خارج شد، و رو در روی پیامبر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آیا عمویم مغیره که دروغ گفته است را امان می دهی؟ رسول خدا صلّی الله علیه و آله </w:t>
      </w:r>
      <w:bookmarkStart w:id="3694" w:name="pg13517_329423"/>
    </w:p>
    <w:p>
      <w:pPr>
        <w:pStyle w:val="BookText"/>
        <w:rPr/>
      </w:pPr>
      <w:bookmarkEnd w:id="3694"/>
      <w:r>
        <w:rPr>
          <w:rFonts w:ascii="Amiri" w:hAnsi="Amiri" w:eastAsia="Amiri" w:cs="Amiri"/>
          <w:color w:val="111111"/>
          <w:sz w:val="28"/>
          <w:sz w:val="28"/>
          <w:szCs w:val="28"/>
          <w:rtl w:val="true"/>
          <w:lang w:bidi="ar-SA"/>
        </w:rPr>
        <w:t xml:space="preserve">وَجْهَهُ ثُمَّ اسْتَقْبَلَهُ مِنَ الْجَانِبِ الْآخَرِ فَقَالَ يَا رَسُولَ اللَّهِ إِنَّكَ آمَنْتَ عَمِّيَ الْمُغِيرَةَ وَ كَذَبَ فَصَرَفَ رَسُولُ اللَّهِ صلي الله عليه و آله وَجْهَهُ عَنْهُ ثُمَّ قَالَ آمَنَّاهُ وَ أَجَّلْنَاهُ ثَلَاثاً فَلَعَنَ اللَّهُ مَنْ أَعْطَاهُ رَاحِلَةً أَوْ رَحْلًا أَوْ قَتَباً أَوْ سِقَاءً أَوْ قِرْبَةً أَوْ دَلْواً أَوْ خُفّاً أَوْ نَعْلًا أَوْ زَاداً أَوْ 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عَشَرَةُ أَشْيَاءَ فَأَعْطَاهَا كُلَّهَا عُثْمَانُ فَخَرَجَ فَسَارَ عَلَي نَاقَتِهِ فَنَقِبَتْ ثُمَّ مَشَي فِي خُفَّيْهِ فَنَقِبَتَا ثُمَّ مَشَي فِي نَعْلَيْهِ فَنَقِبَتَا ثُمَّ مَشَي عَلَي رِجْلَيْهِ فَنَقِبَتَا ثُمَّ مَشَي عَلَي رُكْبَتَيْهِ فَنَقِبَتَا فَأَتَي شَجَرَةً فَجَلَسَ تَحْتَهَا فَجَاءَ الْمَلَكُ فَأَخْبَرَ رَسُولَ اللَّهِ صلي الله عليه و آله بِمَكَانِهِ فَبَعَثَ إِلَيْهِ رَسُولُ اللَّهِ صلي الله عليه و آله زَيْداً وَ الزُّبَيْرَ فَقَالَ لَهُمَا ائْتِيَاهُ فَهُوَ فِي مَكَانِ كَذَا وَ كَذَا فَاقْتُلَاهُ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أَتَيَاهُ قَالَ زَيْدٌ لِلزُّبَيْرِ إِنَّهُ ادَّعَي أَنَّهُ قَتَلَ أَخِي وَ قَدْ كَانَ رَسُولُ اللَّهِ صلي الله عليه و آله آخَي بَيْنَ حَمْزَةَ وَ زَيْداً فَاتْرُكْنِي أَقْتُلْهُ فَتَرَكَهُ الزُّبَيْرُ فَقَتَلَهُ فَرَجَعَ عُثْمَانُ مِنْ عِنْدِ النَّبِيِّ صلي الله عليه و آله فَقَالَ لِامْرَأَتِهِ إِنَّكِ أَرْسَلْتِي إِلَي أَبِيكِ فَأَعْلَمْتِيهِ بِمَكَانِ عَمِّي فَحَلَفَتْ لَهُ بِاللَّهِ مَا فَعَلَتْ فَلَمْ يُصَدِّقْهَا فَأَخَذَ خَشَبَةَ الْقَتَبِ فَضَرَبَهَا ضَرْباً مُبَرِّحاً فَأَرْسَلَتْ إِلَي أَبِيهَا تَشْكُو ذَلِكَ وَ تُخْبِرُهُ بِمَا صَنَعَ فَأَرْسَلَ إِلَيْهَا أَنِّي لَأَسْتَحْيِي لِلْمَرْأَةِ أَنْ لَا تَزَالَ تَجُرُّ ذُيُولَهَا تَشْكُو زَوْجَهَا فَأَرْسَلَتْ إِلَيْهِ أَنَّهُ قَدْ قَتَلَنِي فَقَالَ لِعَلِيٍّ عليه السلام خُذِ السَّيْفَ ثُمَّ أْتِ بِنْتَ عَمِّكَ فَخُذْ بِيَدِهَا فَمَنْ حَالَ بَيْنَكَ وَ بَيْنَهَا فَاضْرِبْهُ بِالسَّيْفِ فَدَخَلَ عَلِيٌّ فَأَخَذَ بِيَدِهَا فَجَاءَ بِهَا النَّبِيَّ صلي الله عليه و آله فَأَرَتْهُ ظَهْرَهَا فَقَالَ أَبُوهَا قَتَلَهَا قَتَلَهُ اللَّهُ فَمَكَثَتْ يَوْماً وَ مَاتَتْ فِي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اجْتَمَعَ النَّاسُ لِلصَّلَاةِ عَلَيْهَا فَخَرَجَ رَسُولُ اللَّهِ صلي الله عليه و آله مِنْ بَيْتِهِ وَ عُثْمَانُ جَالِسٌ مَعَ الْقَوْمِ فَقَالَ رَسُولُ اللَّهِ صلي الله عليه و آله مَنْ أَلَمَّ بِجَارِيَتِهِ اللَّيْلَةَ فَلَا يَشْهَدْ جَنَازَتَهَا قَالَهَا مَرَّتَيْنِ وَ هُوَ سَاكِتٌ فَقَالَ رَسُولُ اللَّهِ صلي الله عليه و آله لِيَقُومَنَّ أَوْ لَنُسَمِّيَنَّهُ بِاسْمِهِ وَ اسْمِ أَبِيهِ فَقَامَ يَتَوَكَّأُ عَلَي مَهِينٍ قَالَ فَخَرَجَتْ فَاطِمَةُ فِي نِسَائِهَا فَصَلَّتْ عَلَي أُخْتِهَا</w:t>
      </w:r>
      <w:r>
        <w:rPr>
          <w:rFonts w:eastAsia="Amiri" w:cs="Amiri" w:ascii="Amiri" w:hAnsi="Amiri"/>
          <w:color w:val="111111"/>
          <w:sz w:val="28"/>
          <w:szCs w:val="28"/>
          <w:rtl w:val="true"/>
          <w:lang w:bidi="ar-SA"/>
        </w:rPr>
        <w:t>.</w:t>
      </w:r>
    </w:p>
    <w:p>
      <w:pPr>
        <w:pStyle w:val="Heading5"/>
        <w:numPr>
          <w:ilvl w:val="4"/>
          <w:numId w:val="1"/>
        </w:numPr>
        <w:rPr/>
      </w:pPr>
      <w:bookmarkStart w:id="3695" w:name="__RefHeading___Toc608308_1934241801"/>
      <w:bookmarkStart w:id="3696" w:name="_Toc1698"/>
      <w:bookmarkEnd w:id="3695"/>
      <w:r>
        <w:rPr>
          <w:rtl w:val="true"/>
        </w:rPr>
        <w:t>بيان</w:t>
      </w:r>
      <w:bookmarkEnd w:id="3696"/>
    </w:p>
    <w:p>
      <w:pPr>
        <w:pStyle w:val="BookText"/>
        <w:rPr/>
      </w:pPr>
      <w:r>
        <w:rPr>
          <w:rFonts w:ascii="Amiri" w:hAnsi="Amiri" w:eastAsia="Amiri" w:cs="Amiri"/>
          <w:color w:val="111111"/>
          <w:sz w:val="28"/>
          <w:sz w:val="28"/>
          <w:szCs w:val="28"/>
          <w:rtl w:val="true"/>
          <w:lang w:bidi="ar-SA"/>
        </w:rPr>
        <w:t>رواه في الكافي‌</w:t>
      </w:r>
      <w:r>
        <w:rPr>
          <w:rStyle w:val="FootnoteAnchor"/>
          <w:rtl w:val="true"/>
        </w:rPr>
        <w:footnoteReference w:id="1943"/>
      </w:r>
      <w:r>
        <w:rPr>
          <w:rFonts w:ascii="Amiri" w:hAnsi="Amiri" w:eastAsia="Amiri" w:cs="Amiri"/>
          <w:color w:val="111111"/>
          <w:sz w:val="28"/>
          <w:sz w:val="28"/>
          <w:szCs w:val="28"/>
          <w:rtl w:val="true"/>
          <w:lang w:bidi="ar-SA"/>
        </w:rPr>
        <w:t>بسند آخر عن يزيد بن خليفة مع اختلاف ما</w:t>
      </w:r>
    </w:p>
    <w:p>
      <w:pPr>
        <w:pStyle w:val="BookText"/>
        <w:rPr/>
      </w:pPr>
      <w:r>
        <w:rPr>
          <w:rFonts w:ascii="IRNazanin" w:hAnsi="IRNazanin" w:eastAsia="IRNazanin"/>
          <w:color w:val="111111"/>
          <w:sz w:val="28"/>
          <w:sz w:val="28"/>
          <w:szCs w:val="28"/>
          <w:rtl w:val="true"/>
          <w:lang w:bidi="fa-IR"/>
        </w:rPr>
        <w:t>چهره از وی بر تافت، آن گاه عثمان از سویی دیگر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عمویم مغیره که دروغ گفته است را امان می دهی؟ پیامبر دوباره چهره از او بر تافت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امان داده و سه روز به او مهلت می دهیم، ولی لعنت خدا بر کسی که به او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وسایل سفر، پالان، وسیله آبکشی، مشک یا ظرف آب، سطل چاه، خفّ، کفشّ، زاد و توشه یا آب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لوازمی که پیامبر بر شمرده ده عدد است که عثمان تمامی آن ها را به مغیره داد، پس مغیره از خانه عثمان خارج شد و سوار بر شترش به راه افتاد، ولی سم های شتر نازک گشت و از رفتن باز ماند، آن گاه خفّ هایش را به پا کرد ولی خف ّهایش نیز سوارخ شدند، سوی کفش هایش رفت و آن ها نیز سوراخ شدند، سپس با پاهایش به راه افتاد و پاهایش از رفتن باز ماند، بر روی زانوهایش افتاد ولی زانوهایش نیز خم شدند، در نهایت به درختی رسید و در زیر سایه اش نشست، پس فرشته ای نزد رسول خدا صلّی الله علیه و آله آمد و ایشان را از مکان مغیره آگاه کرد، بنابراین پیامبر زید و زبیر را به سوی او فرستاد و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مغیره که در فلان و فلان مکان است بروید و او را به قتل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زید و زبیر نزد مغیره رسیدند، زید به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شده است که برادر مرا به شهادت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میان حمزه و زید پیوند برادری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بگذار من به قتلش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نیز او را رها کرد و زید او را به قتل رساند؛ پس از این ماجرا عثمان از نزد پیامبر صلّی الله علیه و آله بازگشت و به همسرش که دختر پیامبر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را نزد پیامبر فرستاده و او را از مکان عمویم آگاه ساخته ای، دختر پیامبر نیز سوگند یاد کرد که چنین کاری را انجام نداده است، ولی عثمان سخنش را باور نکرد و چوب قَتَب را گرفت و او را به شدت کتک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شکایت خود از این ماجرا را نزد پدر فرستاد و پیامبر را از کاری که عثمان انجام داده بود آگاه ساخت، پیامبر به سوی دخترش پاسخ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زن ناپسند می شمارم تا زمانی که دامن بر زمین می کشد از شوهرش شکایت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دوباره نامه باز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تا حدّ مرگ زده است، آن گاه پیامبر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را بگیر نزد دختر عمویت برو دستش را بگیر و او را بیاور، و هر کسی که بین تو و او قرار گرفت را با شمشیر بزن، پس علی وارد خانه شد و دست دختر پیامبر صلّی الله علیه و آله را گرفت و او را نزد پیامبر آورد، و دختر پیامبر پشتش را به پدر نمایاند، پس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لعنتش کند دخترم را کشته است؛ دختر پیامبر یک روز زنده ماند و در روز دوّم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نماز گزاردن بر پیکر او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از خانه خارج شد حال آنکه عثمان با آن گروه از مردم نشسته بود،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امشب با کنیزش نزدیکی کرده است اجازه ندارد در تشییع جنازه دخترم شرکت کند، و این سخن را دوبار تکرار فرمود و عثمان همچنان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خود برمی خیزد یا او را با اسم خود و پدرش صدا بزنیم، بنابراین عثمان با ذلّت برخاست و بر عصای خود تکیه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فاطمه سلام الله علیها از میان زنان خارج شد و بر پیکر خواهرش نماز گزارد</w:t>
      </w:r>
      <w:r>
        <w:rPr>
          <w:rFonts w:eastAsia="IRNazanin" w:cs="IRNazanin"/>
          <w:color w:val="111111"/>
          <w:sz w:val="28"/>
          <w:szCs w:val="28"/>
          <w:rtl w:val="true"/>
          <w:lang w:bidi="fa-IR"/>
        </w:rPr>
        <w:t>.</w:t>
      </w:r>
    </w:p>
    <w:p>
      <w:pPr>
        <w:pStyle w:val="Heading5"/>
        <w:numPr>
          <w:ilvl w:val="4"/>
          <w:numId w:val="1"/>
        </w:numPr>
        <w:rPr/>
      </w:pPr>
      <w:bookmarkStart w:id="3697" w:name="__RefHeading___Toc608310_1934241801"/>
      <w:bookmarkStart w:id="3698" w:name="_Toc1699"/>
      <w:bookmarkEnd w:id="3697"/>
      <w:r>
        <w:rPr>
          <w:rtl w:val="true"/>
        </w:rPr>
        <w:t>توضیح</w:t>
      </w:r>
      <w:bookmarkEnd w:id="3698"/>
    </w:p>
    <w:p>
      <w:pPr>
        <w:pStyle w:val="BookText"/>
        <w:rPr/>
      </w:pPr>
      <w:r>
        <w:rPr>
          <w:rFonts w:ascii="IRNazanin" w:hAnsi="IRNazanin" w:eastAsia="IRNazanin"/>
          <w:color w:val="111111"/>
          <w:sz w:val="28"/>
          <w:sz w:val="28"/>
          <w:szCs w:val="28"/>
          <w:rtl w:val="true"/>
          <w:lang w:bidi="fa-IR"/>
        </w:rPr>
        <w:t>صدوق در الکافی</w:t>
      </w:r>
      <w:r>
        <w:rPr>
          <w:rStyle w:val="FootnoteAnchor"/>
          <w:rtl w:val="true"/>
        </w:rPr>
        <w:footnoteReference w:id="1944"/>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با سندی دیگر از یزید بن خلیفه و با اندکی اختلاف روایت کرده است</w:t>
      </w:r>
      <w:r>
        <w:rPr>
          <w:rFonts w:eastAsia="IRNazanin" w:cs="IRNazanin"/>
          <w:color w:val="111111"/>
          <w:sz w:val="28"/>
          <w:szCs w:val="28"/>
          <w:rtl w:val="true"/>
          <w:lang w:bidi="fa-IR"/>
        </w:rPr>
        <w:t xml:space="preserve">. </w:t>
      </w:r>
      <w:bookmarkStart w:id="3699" w:name="pg13517_329424"/>
    </w:p>
    <w:p>
      <w:pPr>
        <w:pStyle w:val="BookText"/>
        <w:rPr/>
      </w:pPr>
      <w:bookmarkEnd w:id="3699"/>
      <w:r>
        <w:rPr>
          <w:rFonts w:ascii="Amiri" w:hAnsi="Amiri" w:eastAsia="Amiri" w:cs="Amiri"/>
          <w:color w:val="111111"/>
          <w:sz w:val="28"/>
          <w:sz w:val="28"/>
          <w:szCs w:val="28"/>
          <w:rtl w:val="true"/>
          <w:lang w:bidi="ar-SA"/>
        </w:rPr>
        <w:t>قوله ضرب علي أذنيه أي استولي عليه النوم كما قال تعالي فَضَرَبْنا عَلَي آذانِهِمْ‌</w:t>
      </w:r>
      <w:r>
        <w:rPr>
          <w:rStyle w:val="FootnoteAnchor"/>
          <w:rtl w:val="true"/>
        </w:rPr>
        <w:footnoteReference w:id="1945"/>
      </w:r>
      <w:r>
        <w:rPr>
          <w:rFonts w:ascii="Amiri" w:hAnsi="Amiri" w:eastAsia="Amiri" w:cs="Amiri"/>
          <w:color w:val="111111"/>
          <w:sz w:val="28"/>
          <w:sz w:val="28"/>
          <w:szCs w:val="28"/>
          <w:rtl w:val="true"/>
          <w:lang w:bidi="ar-SA"/>
        </w:rPr>
        <w:t>قال البيضاوي أي ضربنا عليهم حجابا يمنع السماع بمعني أنمناهم إنامة لا تنبههم فيها الأصوات فحذف المفعول كما حذف في قولهم بني علي امرأته و قال الجوهري نقب البعير بالكسر إذا رقت أخفافه و أنقب الرجل إذا نقب بعيره و نقب الخف الملبوس تخرق و ألم بجاريته أي قاربها و واقعها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أنه لعنه الله زني بجارية رقية في تلك الليلة و لعله عليه السلام نسبها إليه سترا عليه أو كان جاريتها فصحف و يدل علي استحباب صلاة النساء علي الجنازة و يمكن تخصيصه بمن كانت من أقربائها جمعا بين الأخبار أو يحمل أخبار النهي علي اللاتي يخرجن للتنزه لا للصلاة و متابعة للسنة</w:t>
      </w:r>
      <w:r>
        <w:rPr>
          <w:rFonts w:eastAsia="Amiri" w:cs="Amiri" w:ascii="Amiri" w:hAnsi="Amiri"/>
          <w:color w:val="111111"/>
          <w:sz w:val="28"/>
          <w:szCs w:val="28"/>
          <w:rtl w:val="true"/>
          <w:lang w:bidi="ar-SA"/>
        </w:rPr>
        <w:t>.</w:t>
      </w:r>
    </w:p>
    <w:p>
      <w:pPr>
        <w:pStyle w:val="Heading5"/>
        <w:numPr>
          <w:ilvl w:val="4"/>
          <w:numId w:val="1"/>
        </w:numPr>
        <w:rPr/>
      </w:pPr>
      <w:bookmarkStart w:id="3700" w:name="__RefHeading___Toc608312_1934241801"/>
      <w:bookmarkStart w:id="3701" w:name="_Toc1700"/>
      <w:bookmarkEnd w:id="3700"/>
      <w:r>
        <w:rPr>
          <w:rtl w:val="true"/>
        </w:rPr>
        <w:t>«</w:t>
      </w:r>
      <w:r>
        <w:rPr/>
        <w:t>58</w:t>
      </w:r>
      <w:r>
        <w:rPr>
          <w:rtl w:val="true"/>
        </w:rPr>
        <w:t>»</w:t>
      </w:r>
      <w:bookmarkEnd w:id="3701"/>
    </w:p>
    <w:p>
      <w:pPr>
        <w:pStyle w:val="BookText"/>
        <w:rPr/>
      </w:pPr>
      <w:r>
        <w:rPr>
          <w:rFonts w:ascii="Amiri" w:hAnsi="Amiri" w:eastAsia="Amiri" w:cs="Amiri"/>
          <w:color w:val="111111"/>
          <w:sz w:val="28"/>
          <w:sz w:val="28"/>
          <w:szCs w:val="28"/>
          <w:rtl w:val="true"/>
          <w:lang w:bidi="ar-SA"/>
        </w:rPr>
        <w:t>قُرْبُ الْإِسْنَادِ، عَنْ سِنْدِيِّ بْنِ مُحَمَّدٍ عَنْ صَفْوَانَ الْجَمَّالِ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رَجُلٌ مِنَ الْمُنَافِقِينَ فَخَرَجَ الْحُسَيْنُ بْنُ عَلِيٍّ عليه السلام يَمْشِي فَلَقِيَ مَوْلًي لَهُ فَقَالَ أَيْنَ تَذْهَبُ فَقَالَ أَفِرُّ مِنْ جِنَازَةِ هَذَا الْمُنَافِقِ أَنْ أُصَلِّيَ عَلَيْهِ قَالَ قُمْ إِلَي جَنْبِي فَمَا سَمِعْتَنِي أَقُولُ فَقُلْ قَالَ فَرَفَعَ 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عَبْدَكَ أَلْفَ لَعْنَةٍ مُخْتَلِفَةٍ اللَّهُمَّ أَخْزِ عَبْدَكَ فِي بِلَادِكَ وَ عِبَادِكَ اللَّهُمَّ أَصْلِهِ حَرَّ نَارِكَ اللَّهُمَّ أَذِقْهُ أَشَدَّ عَذَابِكَ فَإِنَّهُ كَانَ يُوَالِي أَعْدَاءَكَ وَ يُعَادِي أَوْلِيَاءَكَ وَ يُبْغِضُ أَهْلَ بَيْتِ نَبِيِّكَ‌</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02" w:name="__RefHeading___Toc608314_1934241801"/>
      <w:bookmarkStart w:id="3703" w:name="_Toc1701"/>
      <w:bookmarkEnd w:id="3702"/>
      <w:r>
        <w:rPr>
          <w:rtl w:val="true"/>
        </w:rPr>
        <w:t>بيان</w:t>
      </w:r>
      <w:bookmarkEnd w:id="3703"/>
    </w:p>
    <w:p>
      <w:pPr>
        <w:pStyle w:val="BookText"/>
        <w:rPr/>
      </w:pPr>
      <w:r>
        <w:rPr>
          <w:rFonts w:ascii="Amiri" w:hAnsi="Amiri" w:eastAsia="Amiri" w:cs="Amiri"/>
          <w:color w:val="111111"/>
          <w:sz w:val="28"/>
          <w:sz w:val="28"/>
          <w:szCs w:val="28"/>
          <w:rtl w:val="true"/>
          <w:lang w:bidi="ar-SA"/>
        </w:rPr>
        <w:t>قوله من المنافقين أي من أهل الخلاف و الضلال فإنهم منافقون يظهرون الإسلام و لترك ولاية الأئمة عليهم السلام باطنا من أخبث المشركين و الكفار و يمكن أن يكون المراد بعض بني أمية و أشباههم من الذين كانوا لم يؤمنوا بالله و رسوله أصلا و كانوا يظهرون الإسلام للمصالح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مولي له أي معتقه أو شيعته و محبه قوله فرفع يده أي للتكبير و يحتمل أن يكون صلوات الله عليه اكتفي بالرفع تقية و لم يكبر قوله</w:t>
      </w:r>
    </w:p>
    <w:p>
      <w:pPr>
        <w:pStyle w:val="BookText"/>
        <w:rPr/>
      </w:pPr>
      <w:r>
        <w:rPr>
          <w:rFonts w:ascii="IRNazanin" w:hAnsi="IRNazanin" w:eastAsia="IRNazanin"/>
          <w:color w:val="111111"/>
          <w:sz w:val="28"/>
          <w:sz w:val="28"/>
          <w:szCs w:val="28"/>
          <w:rtl w:val="true"/>
          <w:lang w:bidi="fa-IR"/>
        </w:rPr>
        <w:t>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علی أُذنیه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بر او چیره گشت، آن گونه که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فضربنا علی آذانهم</w:t>
      </w:r>
      <w:r>
        <w:rPr>
          <w:rFonts w:eastAsia="IRNazanin" w:cs="IRNazanin"/>
          <w:color w:val="111111"/>
          <w:sz w:val="28"/>
          <w:szCs w:val="28"/>
          <w:rtl w:val="true"/>
          <w:lang w:bidi="fa-IR"/>
        </w:rPr>
        <w:t>»</w:t>
      </w:r>
      <w:r>
        <w:rPr>
          <w:rStyle w:val="FootnoteAnchor"/>
          <w:rtl w:val="true"/>
        </w:rPr>
        <w:footnoteReference w:id="19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خواب را بر آنان چیره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بیضاوی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افکندیم که مانع شنیدن می شد، به این معنا که آنان را به گونه ای در خواب غرق ساختیم که سر و صدا آنان را بیدار نمی کرد، بنابراین مفعول حذف شده است، آن گونه که مفعول در این قول آنان حذف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علی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نَقِبَ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های شتر خفیف و نازک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أنقب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پای شترش نازک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 الخُفّ الملبوس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 سوراخ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بجاریتها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کنیز خود نزدیکی کرد و با او درآویخت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الکافی آمده است که وی، لعنت خدا بر او باد، آن شب با کنیز رقیّه دچار زنا شد، و شاید پیامبر صلّی الله علیه و آله در کلام خویش کنیز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تا اسمش پوشیده بماند، و یا عبارت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آن تصحیف صورت گرفته است، همچنین این روایت بر استحباب نماز گزاردن زنان بر جنازه دلالت دارد، و امکان دارد که از جمع بین احادیث این حُکم استنباط شود که استحباب نمازگزاردن بر جنازه، مخصوص زنانی است که از بستگان میّت به شمار می روند، یا اینکه احادیث دالّ بر نهی نماز گزاردن زنان بر جنازه بر زمانی حمل شود که آنان به منظور تفریح و وقت گذرانی و نه اقامه نماز و پیروی از سنّت خارج شوند</w:t>
      </w:r>
      <w:r>
        <w:rPr>
          <w:rFonts w:eastAsia="IRNazanin" w:cs="IRNazanin"/>
          <w:color w:val="111111"/>
          <w:sz w:val="28"/>
          <w:szCs w:val="28"/>
          <w:rtl w:val="true"/>
          <w:lang w:bidi="fa-IR"/>
        </w:rPr>
        <w:t>.</w:t>
      </w:r>
    </w:p>
    <w:p>
      <w:pPr>
        <w:pStyle w:val="Heading5"/>
        <w:numPr>
          <w:ilvl w:val="4"/>
          <w:numId w:val="1"/>
        </w:numPr>
        <w:rPr/>
      </w:pPr>
      <w:bookmarkStart w:id="3704" w:name="__RefHeading___Toc608316_1934241801"/>
      <w:bookmarkStart w:id="3705" w:name="_Toc1702"/>
      <w:bookmarkEnd w:id="3704"/>
      <w:r>
        <w:rPr>
          <w:rtl w:val="true"/>
        </w:rPr>
        <w:t xml:space="preserve">روایت </w:t>
      </w:r>
      <w:r>
        <w:rPr/>
        <w:t>58</w:t>
      </w:r>
      <w:bookmarkEnd w:id="3705"/>
    </w:p>
    <w:p>
      <w:pPr>
        <w:pStyle w:val="BookText"/>
        <w:rPr/>
      </w:pP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منافقین مُرد، حسین بن علی علیهما  السلام پیاده راه می رفت که یکی از دوستداران خود را مشاهده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شرکت در تشییع جنازه این منافق فرار می کنم که بر جسد او نماز نگزارم، 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من بایست و هر آنچه از من می شنوی را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دستش را بالا برده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عَبْدَکَ أَلْفَ لَعْنَةٍ مُخْتَلِفَةٍ اللَّهُمَّ أَخْزِ عَبْدَکَ فِی بِلَادِکَ وَ عِبَادِکَ اللَّهُمَّ أَصْلِهِ حَرَّ نَارِکَ اللَّهُمَّ أَذِقْهُ أَشَدَّ عَذَابِکَ فَإِنَّهُ کَانَ یُوَالِی أَعْدَاءَکَ وَ یُعَادِی أَوْلِیَاءَکَ وَ یُبْغِضُ أَهْلَ بَیْتِ نَبِیِّکَ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به هزار شیوه مختلف بر این بنده خود لعنت و نفرین بفرست؛ خداوندا، این بنده ات را در میان بندگان و سرزمین های خویش خوار و ذلیل گردان؛ خداوندا، او را به گرمای آتش خود واصل و شدیدترین عذاب را به او بچشان، چرا که با دشمنان تو دوست و با دوستانت دشمن بود و اهل بیت پیامبرت را مورد بغض و کینه قرار می داد</w:t>
      </w:r>
      <w:r>
        <w:rPr>
          <w:rFonts w:eastAsia="IRNazanin" w:cs="IRNazanin"/>
          <w:color w:val="111111"/>
          <w:sz w:val="28"/>
          <w:szCs w:val="28"/>
          <w:rtl w:val="true"/>
          <w:lang w:bidi="fa-IR"/>
        </w:rPr>
        <w:t>}.</w:t>
      </w:r>
      <w:r>
        <w:rPr>
          <w:rStyle w:val="FootnoteAnchor"/>
          <w:rtl w:val="true"/>
        </w:rPr>
        <w:footnoteReference w:id="1948"/>
      </w:r>
    </w:p>
    <w:p>
      <w:pPr>
        <w:pStyle w:val="Heading5"/>
        <w:numPr>
          <w:ilvl w:val="4"/>
          <w:numId w:val="1"/>
        </w:numPr>
        <w:rPr/>
      </w:pPr>
      <w:bookmarkStart w:id="3706" w:name="__RefHeading___Toc608318_1934241801"/>
      <w:bookmarkStart w:id="3707" w:name="_Toc1703"/>
      <w:bookmarkEnd w:id="3706"/>
      <w:r>
        <w:rPr>
          <w:rtl w:val="true"/>
        </w:rPr>
        <w:t>توضیح</w:t>
      </w:r>
      <w:bookmarkEnd w:id="3707"/>
    </w:p>
    <w:p>
      <w:pPr>
        <w:pStyle w:val="BookText"/>
        <w:rPr/>
      </w:pPr>
      <w:r>
        <w:rPr>
          <w:rFonts w:ascii="IRNazanin" w:hAnsi="IRNazanin" w:eastAsia="IRNazanin"/>
          <w:color w:val="111111"/>
          <w:sz w:val="28"/>
          <w:sz w:val="28"/>
          <w:szCs w:val="28"/>
          <w:rtl w:val="true"/>
          <w:lang w:bidi="fa-IR"/>
        </w:rPr>
        <w:t>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مخالفان و گمراهان، چرا که آنان منافق هستند و در ظاهر ادّعای اسلام می کنند، و به خاطر ترک پذیرش باطنی ولایت امامان علیهم  السلام از خبیث ترین مشرکان و کفّار به شمار می روند، همچنین ممکن است منظور از منافقین، گروهی از بنی امیّه و کسانی شبیه به آنان باشد که در اصل به خدا و رسول او ایمان نداشته اند و به خاطر کسب منافع دنیوی تظاهر به مسلمان بودن کرده اند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آزاد شده یا شیعه و دوستدار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به منظور تکبیر گفتن بالا برد، و ممکن است که امام حسین صلوات الله علیه به خاطر تقیّه به بلند کردن دست ها اکتفا کرده و تکبیر نگفته باشد، </w:t>
      </w:r>
      <w:bookmarkStart w:id="3708" w:name="pg13517_329425"/>
    </w:p>
    <w:p>
      <w:pPr>
        <w:pStyle w:val="BookText"/>
        <w:rPr/>
      </w:pPr>
      <w:bookmarkEnd w:id="3708"/>
      <w:r>
        <w:rPr>
          <w:rFonts w:ascii="Amiri" w:hAnsi="Amiri" w:eastAsia="Amiri" w:cs="Amiri"/>
          <w:color w:val="111111"/>
          <w:sz w:val="28"/>
          <w:sz w:val="28"/>
          <w:szCs w:val="28"/>
          <w:rtl w:val="true"/>
          <w:lang w:bidi="ar-SA"/>
        </w:rPr>
        <w:t>عليه السلام مختلفة أي أنواعا مختلفة مشتملة علي أنواع العذاب و الخزي و في الكافي ألف لعنة مؤتلفة غير مختلفة فالمعني مؤلفة في الشدة و الكثرة غير مختلفة بأن يكون بعضها أخف من بعض أو المراد به الايتلاف في الورود أي يرد جميعها عليه معا لا علي التعاقب قال في النهاية اللعن الطرد و الإبعاد من الله تعالي و من الخلق السب و الدعاء و قال الجوهري خزي بالكسر يخزي خزيا أي ذل و هان و قال ابن السكيت وقع في بلية و أخزاه الله</w:t>
      </w:r>
      <w:r>
        <w:rPr>
          <w:rFonts w:eastAsia="Amiri" w:cs="Amiri" w:ascii="Amiri" w:hAnsi="Amiri"/>
          <w:color w:val="111111"/>
          <w:sz w:val="28"/>
          <w:szCs w:val="28"/>
          <w:rtl w:val="true"/>
          <w:lang w:bidi="ar-SA"/>
        </w:rPr>
        <w:t>.</w:t>
      </w:r>
    </w:p>
    <w:p>
      <w:pPr>
        <w:pStyle w:val="Heading5"/>
        <w:numPr>
          <w:ilvl w:val="4"/>
          <w:numId w:val="1"/>
        </w:numPr>
        <w:rPr/>
      </w:pPr>
      <w:bookmarkStart w:id="3709" w:name="__RefHeading___Toc608320_1934241801"/>
      <w:bookmarkStart w:id="3710" w:name="_Toc1704"/>
      <w:bookmarkEnd w:id="3709"/>
      <w:r>
        <w:rPr>
          <w:rtl w:val="true"/>
        </w:rPr>
        <w:t>أقول</w:t>
      </w:r>
      <w:bookmarkEnd w:id="3710"/>
    </w:p>
    <w:p>
      <w:pPr>
        <w:pStyle w:val="BookText"/>
        <w:rPr/>
      </w:pPr>
      <w:r>
        <w:rPr>
          <w:rFonts w:ascii="Amiri" w:hAnsi="Amiri" w:eastAsia="Amiri" w:cs="Amiri"/>
          <w:color w:val="111111"/>
          <w:sz w:val="28"/>
          <w:sz w:val="28"/>
          <w:szCs w:val="28"/>
          <w:rtl w:val="true"/>
          <w:lang w:bidi="ar-SA"/>
        </w:rPr>
        <w:t>يمكن أن يكون المراد إذلاله و خزيه و عذابه بين من مات من العباد و لا محالة يقع عذابه في البرزخ في بلدة من البلاد أو يقدر مضاف أي أهل بلادك و يحتمل أن يراد به الخزي في الدنيا بعد موته بظهور معايبه علي الخلق و اشتهاره بينهم بالكفر و العصيان</w:t>
      </w:r>
      <w:r>
        <w:rPr>
          <w:rFonts w:eastAsia="Amiri" w:cs="Amiri" w:ascii="Amiri" w:hAnsi="Amiri"/>
          <w:color w:val="111111"/>
          <w:sz w:val="28"/>
          <w:szCs w:val="28"/>
          <w:rtl w:val="true"/>
          <w:lang w:bidi="ar-SA"/>
        </w:rPr>
        <w:t>.</w:t>
      </w:r>
    </w:p>
    <w:p>
      <w:pPr>
        <w:pStyle w:val="Heading5"/>
        <w:numPr>
          <w:ilvl w:val="4"/>
          <w:numId w:val="1"/>
        </w:numPr>
        <w:rPr/>
      </w:pPr>
      <w:bookmarkStart w:id="3711" w:name="__RefHeading___Toc608322_1934241801"/>
      <w:bookmarkStart w:id="3712" w:name="_Toc1705"/>
      <w:bookmarkEnd w:id="3711"/>
      <w:r>
        <w:rPr>
          <w:rtl w:val="true"/>
        </w:rPr>
        <w:t>«</w:t>
      </w:r>
      <w:r>
        <w:rPr/>
        <w:t>59</w:t>
      </w:r>
      <w:r>
        <w:rPr>
          <w:rtl w:val="true"/>
        </w:rPr>
        <w:t>»</w:t>
      </w:r>
      <w:bookmarkEnd w:id="3712"/>
    </w:p>
    <w:p>
      <w:pPr>
        <w:pStyle w:val="BookText"/>
        <w:rPr/>
      </w:pPr>
      <w:r>
        <w:rPr>
          <w:rFonts w:ascii="Amiri" w:hAnsi="Amiri" w:eastAsia="Amiri" w:cs="Amiri"/>
          <w:color w:val="111111"/>
          <w:sz w:val="28"/>
          <w:sz w:val="28"/>
          <w:szCs w:val="28"/>
          <w:rtl w:val="true"/>
          <w:lang w:bidi="ar-SA"/>
        </w:rPr>
        <w:t>مُنْتَهَي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عَقِيلٍ يُكَبِّرُ وَ يَقُولُ أَشْهَدُ أَنْ لَا إِلَهَ إِلَّا اللَّهُ وَحْدَهُ لَا شَرِيكَ لَهُ وَ أَنَّ مُحَمَّداً عَبْدُهُ وَ رَسُولُهُ اللَّهُمَّ صَلِّ عَلَي مُحَمَّدٍ وَ آلِ مُحَمَّدٍ وَ أَعْلِ دَرَجَتَهُ وَ بَيِّضْ وَجْهَهُ كَمَا بَلَّغَ رِسَالَتَكَ وَ جَاهَدَ فِي سَبِيلِكَ وَ نَصَحَ لِأُمَّتِهِ وَ لَمْ يَدَعْهُمْ سُدًي مُهْمَلِينَ بَعْدَهُ بَلْ نَصَبَ لَهُمُ الدَّاعِيَ إِلَي سَبِيلِكَ الدَّالَّ عَلَي مَا الْتَبَسَ عَلَيْهِمْ مِنْ حَلَالِكَ وَ حَرَامِكَ دَاعِياً إِلَي مُوَالاتِهِ وَ مُعَادَاتِهِ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لِيَهْلِكَ مَنْ هَلَكَ عَنْ بَيِّنَةٍ وَ يَحْيي مَنْ حَيَّ عَنْ بَيِّنَةٍ وَ عَبَدَكَ حَتَّي أَتَاهُ الْيَقِينُ فَصَلَّي اللَّهُ عَلَيْهِ وَ عَلَي أَهْلِ بَيْتِهِ الطَّاهِرِينَ ثُمَّ يَسْتَغْفِرُ لِلْمُؤْمِنِينَ وَ الْمُؤْمِنَاتِ الْأَحْيَاءِ مِنْهُمْ وَ الْأَمْوَاتِ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اللَّهُمَّ عَبْدُكَ وَ ابْنُ عَبْدِكَ تَخَلَّي مِنَ الدُّنْيَا وَ احْتَاجَ إِلَي مَا عِنْدَكَ نَزَلَ بِكَ وَ أَنْتَ خَيْرُ مَنْزُولٍ بِهِ افْتَقَرَ إِلَي رَحْمَتِكَ وَ أَنْتَ غَنِيٌّ مِنْ عَذَابِهِ اللَّهُمَّ إِنَّا لَا نَعْلَمُ مِنْهُ إِلَّا خَيْراً وَ أَنْتَ أَعْلَمُ بِهِ مِنَّا فَإِنْ كَانَ مُحْسِناً فَزِدْ فِي إِحْسَانِهِ وَ إِنْ كَانَ مُسِيئاً فَاغْفِرْ لَهُ ذُنُوبَهُ وَ ارْحَمْهُ وَ تَجَاوَزْ عَنْهُ اللَّهُمَّ أَلْحِقْهُ بِنَبِيِّهِ وَ صَالِحِ سَلَفِهِ اللَّهُمَّ عَفْوَكَ عَفْوَكَ ثُمَّ يُكَبِّرُ وَ يَقُولُ هَذَا فِي كُلِّ تَكْبِيرَةٍ</w:t>
      </w:r>
      <w:r>
        <w:rPr>
          <w:rFonts w:eastAsia="Amiri" w:cs="Amiri" w:ascii="Amiri" w:hAnsi="Amiri"/>
          <w:color w:val="111111"/>
          <w:sz w:val="28"/>
          <w:szCs w:val="28"/>
          <w:rtl w:val="true"/>
          <w:lang w:bidi="ar-SA"/>
        </w:rPr>
        <w:t>.</w:t>
      </w:r>
    </w:p>
    <w:p>
      <w:pPr>
        <w:pStyle w:val="Heading5"/>
        <w:numPr>
          <w:ilvl w:val="4"/>
          <w:numId w:val="1"/>
        </w:numPr>
        <w:rPr/>
      </w:pPr>
      <w:bookmarkStart w:id="3713" w:name="__RefHeading___Toc608324_1934241801"/>
      <w:bookmarkStart w:id="3714" w:name="_Toc1706"/>
      <w:bookmarkEnd w:id="3713"/>
      <w:r>
        <w:rPr>
          <w:rtl w:val="true"/>
        </w:rPr>
        <w:t>أقول</w:t>
      </w:r>
      <w:bookmarkEnd w:id="3714"/>
    </w:p>
    <w:p>
      <w:pPr>
        <w:pStyle w:val="BookText"/>
        <w:rPr/>
      </w:pPr>
      <w:r>
        <w:rPr>
          <w:rFonts w:ascii="Amiri" w:hAnsi="Amiri" w:eastAsia="Amiri" w:cs="Amiri"/>
          <w:color w:val="111111"/>
          <w:sz w:val="28"/>
          <w:sz w:val="28"/>
          <w:szCs w:val="28"/>
          <w:rtl w:val="true"/>
          <w:lang w:bidi="ar-SA"/>
        </w:rPr>
        <w:t>إنما أوردت هذا مع عدم التصريح بالرواية لبعد اختراع مثل ذلك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مختلفی از لعنت و نفرین که شامل انواع عذاب و ذلّت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لعنه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الکافی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لعنه مؤتلفة غیر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که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لعنت که در شدّت و کثرت یکدست هستند و اختلافی با هم ندارند که یکی از لعن و نفرین ها سبک تر و خفیف تر از دیگری باشد، یا مقصود چنین است که لعن و نفرین ها به صورت همزمان بر او نازل شوند،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لعن و نفرین به صورت جمعی و همزمان و نه پس و پیش بر او نازل شوند، شیخ در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شدن و دوری از خداوند متعال، و اگر از جانب مردم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دادن و نفرین کردن،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خَزِیِ یَخزَی خِزیاً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و خوار گشت، و ابن سکیّت گفته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 و مصیبتی گرفتار آمد و خداوند او را خوار و بی مقدار گرداند</w:t>
      </w:r>
      <w:r>
        <w:rPr>
          <w:rFonts w:eastAsia="IRNazanin" w:cs="IRNazanin"/>
          <w:color w:val="111111"/>
          <w:sz w:val="28"/>
          <w:szCs w:val="28"/>
          <w:rtl w:val="true"/>
          <w:lang w:bidi="fa-IR"/>
        </w:rPr>
        <w:t>.</w:t>
      </w:r>
    </w:p>
    <w:p>
      <w:pPr>
        <w:pStyle w:val="Heading5"/>
        <w:numPr>
          <w:ilvl w:val="4"/>
          <w:numId w:val="1"/>
        </w:numPr>
        <w:rPr/>
      </w:pPr>
      <w:bookmarkStart w:id="3715" w:name="__RefHeading___Toc608326_1934241801"/>
      <w:bookmarkStart w:id="3716" w:name="_Toc1707"/>
      <w:bookmarkEnd w:id="3715"/>
      <w:r>
        <w:rPr>
          <w:rtl w:val="true"/>
        </w:rPr>
        <w:t>می گویم</w:t>
      </w:r>
      <w:bookmarkEnd w:id="3716"/>
    </w:p>
    <w:p>
      <w:pPr>
        <w:pStyle w:val="BookText"/>
        <w:rPr/>
      </w:pPr>
      <w:r>
        <w:rPr>
          <w:rFonts w:ascii="IRNazanin" w:hAnsi="IRNazanin" w:eastAsia="IRNazanin"/>
          <w:color w:val="111111"/>
          <w:sz w:val="28"/>
          <w:sz w:val="28"/>
          <w:szCs w:val="28"/>
          <w:rtl w:val="true"/>
          <w:lang w:bidi="fa-IR"/>
        </w:rPr>
        <w:t xml:space="preserve">ممکن است منظور از کلام مذکور، ذلیل کردن و خوار نمودن و عذاب دادن او در میان بندگانی باشد که وفات نموده اند، و ناگزیر عذاب دادن منافق در برزخ در سرزمینی از سرزمین ها صورت می پذیرد، همچنین احتمال اینکه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در تقدیر باشد نیز وجود دارد،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بلادک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سرزمین های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دیگر این است که مقصود از این کلام، خوار و ذلیل کردن منافق در همین دنیا و پس از مرگ او باشد به این ترتیب که معایبش بر خلق آشکار شود و در میان آنان به عنوان شخصی که مرتکب کفر و عصیان شده است شهرت یابد</w:t>
      </w:r>
      <w:r>
        <w:rPr>
          <w:rFonts w:eastAsia="IRNazanin" w:cs="IRNazanin"/>
          <w:color w:val="111111"/>
          <w:sz w:val="28"/>
          <w:szCs w:val="28"/>
          <w:rtl w:val="true"/>
          <w:lang w:bidi="fa-IR"/>
        </w:rPr>
        <w:t>.</w:t>
      </w:r>
    </w:p>
    <w:p>
      <w:pPr>
        <w:pStyle w:val="Heading5"/>
        <w:numPr>
          <w:ilvl w:val="4"/>
          <w:numId w:val="1"/>
        </w:numPr>
        <w:rPr/>
      </w:pPr>
      <w:bookmarkStart w:id="3717" w:name="__RefHeading___Toc608328_1934241801"/>
      <w:bookmarkStart w:id="3718" w:name="_Toc1708"/>
      <w:bookmarkEnd w:id="3717"/>
      <w:r>
        <w:rPr>
          <w:rtl w:val="true"/>
        </w:rPr>
        <w:t xml:space="preserve">روایت </w:t>
      </w:r>
      <w:r>
        <w:rPr/>
        <w:t>59</w:t>
      </w:r>
      <w:bookmarkEnd w:id="3718"/>
    </w:p>
    <w:p>
      <w:pPr>
        <w:pStyle w:val="BookText"/>
        <w:rPr/>
      </w:pPr>
      <w:r>
        <w:rPr>
          <w:rFonts w:ascii="IRNazanin" w:hAnsi="IRNazanin" w:eastAsia="IRNazanin"/>
          <w:color w:val="111111"/>
          <w:sz w:val="28"/>
          <w:sz w:val="28"/>
          <w:szCs w:val="28"/>
          <w:rtl w:val="true"/>
          <w:lang w:bidi="fa-IR"/>
        </w:rPr>
        <w:t>منتهی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عقیل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 بر میّت تکبیر سر داده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شَرِیکَ لَهُ وَ أَنَّ مُحَمَّداً عَبْدُهُ وَ رَسُولُهُ اللَّهُمَّ صَلِّ عَلَی مُحَمَّدٍ وَ آلِ مُحَمَّدٍ وَ أَعْلِ دَرَجَتَهُ وَ بَیِّضْ وَجْهَهُ کَمَا بَلَّغَ رِسَالَتَکَ وَ جَاهَدَ فِی سَبِیلِکَ وَ نَصَحَ لِأُمَّتِهِ وَ لَمْ یَدَعْهُمْ سُدًی مُهْمَلِینَ بَعْدَهُ بَلْ نَصَبَ لَهُمُ الدَّاعِیَ إِلَی سَبِیلِکَ الدَّالَّ عَلَی مَا الْتَبَسَ عَلَیْهِمْ مِنْ حَلَالِکَ وَ حَرَامِکَ دَاعِیاً إِلَی مُوَالاتِهِ وَ مُعَادَاتِهِ لِیَهْلِکَ مَنْ هَلَکَ عَنْ بَیِّنَةٍ وَ یَحْیی مَنْ حَیَّ عَنْ بَیِّنَةٍ وَ عَبَدَکَ حَتَّی أَتَاهُ الْیَقِینُ فَصَلَّی اللَّهُ عَلَیْهِ وَ عَلَی أَهْلِ بَیْتِهِ الطَّاهِرِینَ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شهادت می دهم که خدایی جز الله وجود ندارد، تنها و بی شریک است، همچنین شهادت می دهم که محمّد بنده و فرستاده خداوند است؛ خداوندا، بر محمّد و آل محمّد درود بفرست، درجه اش را عالی و وجهش را سفید گردان، چنان که رسالت و پیام تو را ابلاغ نمود، در راه تو به کوشش مجاهدت پرداخت، برای امّتش ناصح و پندآموز بود، و آنان را بعد از وفاتش به حال خود و سرگردان رها نساخت، بلکه کسی را منصوب کرد تا آنان را به قرار گرفتن در مسیر تو دعوت کند و بر حلال و حرام تو که بر آنان مشتبه شده است دلالت کند، و آنان را به دوستی و دشمنی خود فراخواند تا هر که هلاک می گردد از سر دلیل و برهان باشد و هر که زنده می گردد باز از سر دلیل و برهان باشد، و محمّد صلّی الله علیه و آله به عبادت تو پرداخت تا به یقین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وفات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خدایا بر او و اهل بیت پاک و مطهّرش درود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برای مردان و زنان مؤمن و زند گان و مردگان آنان طلب مغفرت و بخشش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عَبْدُکَ وَ ابْنُ عَبْدِکَ تَخَلَّی مِنَ الدُّنْیَا وَ احْتَاجَ إِلَی مَا عِنْدَکَ نَزَلَ بِکَ وَ أَنْتَ خَیْرُ مَنْزُولٍ بِهِ افْتَقَرَ إِلَی رَحْمَتِکَ وَ أَنْتَ غَنِیٌّ مِنْ عَذَابِهِ اللَّهُمَّ إِنَّا لَا نَعْلَمُ مِنْهُ إِلَّا خَیْراً وَ أَنْتَ أَعْلَمُ بِهِ مِنَّا فَإِنْ کَانَ مُحْسِناً فَزِدْ فِی إِحْسَانِهِ وَ إِنْ کَانَ مُسِیئاً فَاغْفِرْ لَهُ ذُنُوبَهُ وَ ارْحَمْهُ وَ تَجَاوَزْ عَنْهُ اللَّهُمَّ أَلْحِقْهُ بِنَبِیِّهِ وَ صَالِحِ سَلَفِهِ اللَّهُمَّ عَفْوَکَ عَفْوَکَ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این بنده و فرزند بنده تو دنیا را رها ساخت و نیازمند چیزی گشت که نزد تو وجود دارد، به درگاهت آمده است و تو بهترین کسی هستی که به درگاهت روی آورده می شود، نیازمند رحمت تو گشته است و تو از عذاب دادن او بی نیازی؛ خداوندا، ما چیزی جز خیر از او نمی دانیم و تو از ما به احوال او آگاه تری، پس اگر نیکوکار بوده است بر نیکی هایش بیفزا و اگر گناهکار بوده است گناهانش را ببخش، و مورد رحمتش قرار ده و از او درگذر؛ خداوندا، او را به پیامبر و سلف صالحش ملحق گردان؛ خداوندا، عفو تو را طلب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سپس تکبیر سرداده و این عبارت را پس از هر تکبیر تکرار می کند</w:t>
      </w:r>
      <w:r>
        <w:rPr>
          <w:rFonts w:eastAsia="IRNazanin" w:cs="IRNazanin"/>
          <w:color w:val="111111"/>
          <w:sz w:val="28"/>
          <w:szCs w:val="28"/>
          <w:rtl w:val="true"/>
          <w:lang w:bidi="fa-IR"/>
        </w:rPr>
        <w:t>.</w:t>
      </w:r>
    </w:p>
    <w:p>
      <w:pPr>
        <w:pStyle w:val="Heading5"/>
        <w:numPr>
          <w:ilvl w:val="4"/>
          <w:numId w:val="1"/>
        </w:numPr>
        <w:rPr/>
      </w:pPr>
      <w:bookmarkStart w:id="3719" w:name="__RefHeading___Toc608330_1934241801"/>
      <w:bookmarkStart w:id="3720" w:name="_Toc1709"/>
      <w:bookmarkEnd w:id="3719"/>
      <w:r>
        <w:rPr>
          <w:rtl w:val="true"/>
        </w:rPr>
        <w:t>می گویم</w:t>
      </w:r>
      <w:bookmarkEnd w:id="3720"/>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کلام را بدون اشاره واضح به روایت ذکر کردم، چرا که امکان </w:t>
      </w:r>
      <w:bookmarkStart w:id="3721" w:name="pg13517_329426"/>
    </w:p>
    <w:p>
      <w:pPr>
        <w:pStyle w:val="BookText"/>
        <w:rPr/>
      </w:pPr>
      <w:bookmarkEnd w:id="3721"/>
      <w:r>
        <w:rPr>
          <w:rFonts w:ascii="IRNazanin" w:hAnsi="IRNazanin" w:eastAsia="IRNazanin"/>
          <w:color w:val="111111"/>
          <w:sz w:val="28"/>
          <w:sz w:val="28"/>
          <w:szCs w:val="28"/>
          <w:rtl w:val="true"/>
          <w:lang w:bidi="fa-IR"/>
        </w:rPr>
        <w:t>من غیر روایة لا سیما من القدماء</w:t>
      </w:r>
      <w:r>
        <w:rPr>
          <w:rFonts w:eastAsia="IRNazanin" w:cs="IRNazanin"/>
          <w:color w:val="111111"/>
          <w:sz w:val="28"/>
          <w:szCs w:val="28"/>
          <w:rtl w:val="true"/>
          <w:lang w:bidi="fa-IR"/>
        </w:rPr>
        <w:t>.</w:t>
      </w:r>
    </w:p>
    <w:p>
      <w:pPr>
        <w:pStyle w:val="Heading5"/>
        <w:numPr>
          <w:ilvl w:val="4"/>
          <w:numId w:val="1"/>
        </w:numPr>
        <w:rPr/>
      </w:pPr>
      <w:bookmarkStart w:id="3722" w:name="__RefHeading___Toc608332_1934241801"/>
      <w:bookmarkStart w:id="3723" w:name="_Toc1710"/>
      <w:bookmarkEnd w:id="3722"/>
      <w:r>
        <w:rPr>
          <w:rtl w:val="true"/>
        </w:rPr>
        <w:t>«</w:t>
      </w:r>
      <w:r>
        <w:rPr/>
        <w:t>60</w:t>
      </w:r>
      <w:r>
        <w:rPr>
          <w:rtl w:val="true"/>
        </w:rPr>
        <w:t>»</w:t>
      </w:r>
      <w:bookmarkEnd w:id="3723"/>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الْمَوَاطِنُ الَّتِی لَیْسَ فِیهَا دُعَاءٌ مُوَقَّتٌ الصَّلَاةُ عَلَی الْجِنَازَةِ وَ الْقُنُوتُ وَ الْمُسْتَجَارُ وَ الصَّفَا وَ الْمَرْوَةُ وَ الْوُقُوفُ بِعَرَفَاتٍ وَ رکعتی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رَکْعَتَا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24" w:name="__RefHeading___Toc608334_1934241801"/>
      <w:bookmarkStart w:id="3725" w:name="_Toc1711"/>
      <w:bookmarkEnd w:id="3724"/>
      <w:r>
        <w:rPr>
          <w:rtl w:val="true"/>
        </w:rPr>
        <w:t>«</w:t>
      </w:r>
      <w:r>
        <w:rPr/>
        <w:t>61</w:t>
      </w:r>
      <w:r>
        <w:rPr>
          <w:rtl w:val="true"/>
        </w:rPr>
        <w:t>»</w:t>
      </w:r>
      <w:bookmarkEnd w:id="3725"/>
    </w:p>
    <w:p>
      <w:pPr>
        <w:pStyle w:val="BookText"/>
        <w:rPr/>
      </w:pPr>
      <w:r>
        <w:rPr>
          <w:rFonts w:ascii="Amiri" w:hAnsi="Amiri" w:eastAsia="Amiri" w:cs="Amiri"/>
          <w:color w:val="111111"/>
          <w:sz w:val="28"/>
          <w:sz w:val="28"/>
          <w:szCs w:val="28"/>
          <w:rtl w:val="true"/>
          <w:lang w:bidi="ar-SA"/>
        </w:rPr>
        <w:t>الْعِلَلُ، لِمُحَمَّدِ بْنِ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التَّکْبِیرِ عَلَی الْمَیِّتِ خَمْساً أَنَّهُ أَخَذَ اللَّهُ مِنْ کُلِّ فَرِیضَةٍ تَکْبِیرَةً لِلْمَیِّتِ مِنَ الصَّلَاةِ وَ الزَّکَاةِ وَ الْحَجِّ وَ الصَّوْمِ وَ الْوَلَایَةِ وَ الْعِلَّةُ فِی تَرْکِ الْعَامَّةِ تَکْبِیرَةً أَنَّهُمْ أَنْکَرُوا الْوَلَایَةَ وَ تَرَکُوا تَکْبِیرَهَا</w:t>
      </w:r>
      <w:r>
        <w:rPr>
          <w:rFonts w:eastAsia="Amiri" w:cs="Amiri" w:ascii="Amiri" w:hAnsi="Amiri"/>
          <w:color w:val="111111"/>
          <w:sz w:val="28"/>
          <w:szCs w:val="28"/>
          <w:rtl w:val="true"/>
          <w:lang w:bidi="ar-SA"/>
        </w:rPr>
        <w:t>.</w:t>
      </w:r>
    </w:p>
    <w:p>
      <w:pPr>
        <w:pStyle w:val="Heading5"/>
        <w:numPr>
          <w:ilvl w:val="4"/>
          <w:numId w:val="1"/>
        </w:numPr>
        <w:rPr/>
      </w:pPr>
      <w:bookmarkStart w:id="3726" w:name="__RefHeading___Toc608336_1934241801"/>
      <w:bookmarkStart w:id="3727" w:name="_Toc1712"/>
      <w:bookmarkEnd w:id="3726"/>
      <w:r>
        <w:rPr>
          <w:rtl w:val="true"/>
        </w:rPr>
        <w:t>«</w:t>
      </w:r>
      <w:r>
        <w:rPr/>
        <w:t>62</w:t>
      </w:r>
      <w:r>
        <w:rPr>
          <w:rtl w:val="true"/>
        </w:rPr>
        <w:t>»</w:t>
      </w:r>
      <w:bookmarkEnd w:id="3727"/>
    </w:p>
    <w:p>
      <w:pPr>
        <w:pStyle w:val="BookText"/>
        <w:rPr/>
      </w:pPr>
      <w:r>
        <w:rPr>
          <w:rFonts w:ascii="Amiri" w:hAnsi="Amiri" w:eastAsia="Amiri" w:cs="Amiri"/>
          <w:color w:val="111111"/>
          <w:sz w:val="28"/>
          <w:sz w:val="28"/>
          <w:szCs w:val="28"/>
          <w:rtl w:val="true"/>
          <w:lang w:bidi="ar-SA"/>
        </w:rPr>
        <w:t>الْهِدَایَةُ، لِلْحُسَیْنِ بْنِ حَمْدَانَ عَنْ عِیسَی بْنِ مَهْدِیٍّ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أَنَا وَ الْحُسَیْنُ بْنُ غِیَاثٍ وَ الْحَسَنُ بْنُ مَسْعُودٍ وَ الْحُسَیْنُ بْنُ إِبْرَاهِیمَ وَ أَحْمَدُ بْنُ حَسَّانَ وَ طَالِبُ بْنُ حَاتِمٍ وَ الْحَسَنُ بْنُ مُحَمَّدٍ وَ مُحَمَّدُ بْنُ أَحْمَدَ بْنِ الْخَضِیبِ إِلَی سُرَّمَنْ‌رَأَی فِی سَنَةِ تِسْعٍ وَ خَمْسِینَ وَ مِائَتَیْنِ لِلتَّهْنِئَةِ بِمَوْلِدِ الْمَهْدِیِّ صَلَوَاتُ اللَّهِ عَلَیْهِ فَدَخَلْنَا عَلَی سَیِّدِنَا أَبِی مُحَمَّدٍ علیه السلام وَ نَحْنُ نَیِّفٌ وَ سَبْعُونَ رَجُلًا فَهَنَّیْنَاهُ وَ بَکَیْنَا فَقَالَ إِنَّ الْبُکَاءَ مِنَ السُّرُورِ مِنْ نِعَمِ اللَّهِ تَعَالَی مِثْلِ الشُّکْرِ لَهَا فَطِیبُوا أَنْفُساً وَ قَرُّوا أَعْیُناً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سَاقَ الْحَدِیثَ إِلَی أَنْ قَالَ قَالَ علیه السلام وَ فِی أَنْفُسِکُمْ مَا لَمْ تَسْأَلُوا عَنْهُ وَ أَنَا أُنَبِّئُکُمْ بِهِ وَ هُوَ التَّکْبِیرُ عَلَی الْمَیِّتِ کَیْفَ یَکُونُ تَکْبِیرُنَا خَمْساً وَ تَکْبِیرُ غَیْرِنَا أَرْبَعاً فَقُلْنَا یَا سَیِّدَنَا هَذَا الَّذِی أَرَدْنَا أَنْ نَسْأَلَکَ عَنْهُ فَقَالَ علیه السلام أَوَّلُ مَنْ صُلِّیَ عَلَیْهِ مِنَ الْمُسْلِمِینَ مِنَّا</w:t>
      </w:r>
      <w:r>
        <w:rPr>
          <w:rStyle w:val="FootnoteAnchor"/>
          <w:rtl w:val="true"/>
        </w:rPr>
        <w:footnoteReference w:id="19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عَبْدِ الْمُطَّلِبِ أَسَدُ اللَّهِ وَ أَسَدُ رَسُولِهِ فَإِنَّهُ لَمَّا قُتِلَ قَلِقَ رَسُولُ اللَّهِ صلی الله علیه و آله وَ حَزَنَ وَ قَلَّ صَبْرُهُ عَلَیْهِ فَقَالَ وَ کَانَ قَوْلُهُ حَقّاً لَأَقْتُلَنَّ بِکُلِّ شَعْرَةٍ مِنْ عَمِّی حَمْزَةَ سَبْعِینَ رَجُلًا مِنْ مُشْرِکِی قُرَیْشٍ فَأَوْحَی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عاقَبْتُمْ فَعاقِبُوا بِمِثْلِ ما عُوقِبْتُمْ بِهِ وَ لَئِنْ صَبَرْتُمْ لَهُوَ خَیْرٌ لِلصَّابِرِینَ‌</w:t>
      </w:r>
      <w:r>
        <w:rPr>
          <w:rStyle w:val="FootnoteAnchor"/>
          <w:rtl w:val="true"/>
        </w:rPr>
        <w:footnoteReference w:id="1951"/>
      </w:r>
      <w:r>
        <w:rPr>
          <w:rFonts w:ascii="Amiri" w:hAnsi="Amiri" w:eastAsia="Amiri" w:cs="Amiri"/>
          <w:color w:val="111111"/>
          <w:sz w:val="28"/>
          <w:sz w:val="28"/>
          <w:szCs w:val="28"/>
          <w:rtl w:val="true"/>
          <w:lang w:bidi="ar-SA"/>
        </w:rPr>
        <w:t>وَ إِنَّمَا أَحَبَّ اللَّهُ تَعَالَی أَنْ یَجْعَلَ ذَلِکَ سُنَّةً فِی الْمُسْلِمِینَ لِأَنَّهُ لَوْ کَانَ قَتَلَ بِکُلِّ شَعْرَةٍ مِنْ حَمْزَةَ سَبْعِینَ رَجُلًا مِنَ الْمُشْرِکِینَ مَا کَانَ یَکُونُ فِی قَتْلِهِمْ حَرَجٌ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اختراع چنین کلامی، مخصوصاً از سوی قدما، بدون وجود روایت وجود ندارد</w:t>
      </w:r>
      <w:r>
        <w:rPr>
          <w:rFonts w:eastAsia="IRNazanin" w:cs="IRNazanin"/>
          <w:color w:val="111111"/>
          <w:sz w:val="28"/>
          <w:szCs w:val="28"/>
          <w:rtl w:val="true"/>
          <w:lang w:bidi="fa-IR"/>
        </w:rPr>
        <w:t>.</w:t>
      </w:r>
    </w:p>
    <w:p>
      <w:pPr>
        <w:pStyle w:val="Heading5"/>
        <w:numPr>
          <w:ilvl w:val="4"/>
          <w:numId w:val="1"/>
        </w:numPr>
        <w:rPr/>
      </w:pPr>
      <w:bookmarkStart w:id="3728" w:name="__RefHeading___Toc608338_1934241801"/>
      <w:bookmarkStart w:id="3729" w:name="_Toc1713"/>
      <w:bookmarkEnd w:id="3728"/>
      <w:r>
        <w:rPr>
          <w:rtl w:val="true"/>
        </w:rPr>
        <w:t xml:space="preserve">روایت </w:t>
      </w:r>
      <w:r>
        <w:rPr/>
        <w:t>60</w:t>
      </w:r>
      <w:bookmarkEnd w:id="3729"/>
    </w:p>
    <w:p>
      <w:p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مواضعی که دعا خواندن در آن ها مقیّد به زمان محدودی نیست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میّت، قنوت، دعای مستجار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موضعی در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صفا و مروه، وقوف در عرفات و دو رکعت نماز طواف</w:t>
      </w:r>
      <w:r>
        <w:rPr>
          <w:rFonts w:eastAsia="IRNazanin" w:cs="IRNazanin"/>
          <w:color w:val="111111"/>
          <w:sz w:val="28"/>
          <w:szCs w:val="28"/>
          <w:rtl w:val="true"/>
          <w:lang w:bidi="fa-IR"/>
        </w:rPr>
        <w:t>.</w:t>
      </w:r>
      <w:r>
        <w:rPr>
          <w:rStyle w:val="FootnoteAnchor"/>
          <w:rtl w:val="true"/>
        </w:rPr>
        <w:footnoteReference w:id="1952"/>
      </w:r>
    </w:p>
    <w:p>
      <w:pPr>
        <w:pStyle w:val="Heading5"/>
        <w:numPr>
          <w:ilvl w:val="4"/>
          <w:numId w:val="1"/>
        </w:numPr>
        <w:rPr/>
      </w:pPr>
      <w:bookmarkStart w:id="3730" w:name="__RefHeading___Toc608340_1934241801"/>
      <w:bookmarkStart w:id="3731" w:name="_Toc1714"/>
      <w:bookmarkEnd w:id="3730"/>
      <w:r>
        <w:rPr>
          <w:rtl w:val="true"/>
        </w:rPr>
        <w:t xml:space="preserve">روایت </w:t>
      </w:r>
      <w:r>
        <w:rPr/>
        <w:t>61</w:t>
      </w:r>
      <w:bookmarkEnd w:id="3731"/>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علی بن ابراهیم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پنج مرتبه تکبیر گفتن بر میّت آن است که خداوند متعال به ازای هر یک از فرایض نماز، زکات، حج، روزه و ولایت تکبیری را در نماز میّت قرار داده است، و دلیل اینکه عامّه یک تکبیر را ترک کرده و چهار بار تکبیر می گویند این است که آنان ولایت را انکار کرده و تکبیرش را ترک کرده اند</w:t>
      </w:r>
      <w:r>
        <w:rPr>
          <w:rFonts w:eastAsia="IRNazanin" w:cs="IRNazanin"/>
          <w:color w:val="111111"/>
          <w:sz w:val="28"/>
          <w:szCs w:val="28"/>
          <w:rtl w:val="true"/>
          <w:lang w:bidi="fa-IR"/>
        </w:rPr>
        <w:t>.</w:t>
      </w:r>
    </w:p>
    <w:p>
      <w:pPr>
        <w:pStyle w:val="Heading5"/>
        <w:numPr>
          <w:ilvl w:val="4"/>
          <w:numId w:val="1"/>
        </w:numPr>
        <w:rPr/>
      </w:pPr>
      <w:bookmarkStart w:id="3732" w:name="__RefHeading___Toc608342_1934241801"/>
      <w:bookmarkStart w:id="3733" w:name="_Toc1715"/>
      <w:bookmarkEnd w:id="3732"/>
      <w:r>
        <w:rPr>
          <w:rtl w:val="true"/>
        </w:rPr>
        <w:t xml:space="preserve">روایت </w:t>
      </w:r>
      <w:r>
        <w:rPr/>
        <w:t>62</w:t>
      </w:r>
      <w:bookmarkEnd w:id="3733"/>
    </w:p>
    <w:p>
      <w:p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حمدان از عیسی بن مهدی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 بن غیاث، حسن بن مسعود، حسین بن ابراهیم، احمد بن حَسّان، طالب بن حاتِم، حسن بن محمد و محمد بن احمد بن خضیب در سال دویست و پنجاه و نُه و به منظور تبریک گفتن میلاد مهدی علیه السلام به سوی سامراء خارج شدیم، و در حالی که هفتاد و چند نفر بودیم نزد امام حسن عسکری علیه السلام رفتیم و به ایشان تبریک گفتیم و گریستیم،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گریستن از سر شادی از نعمت های خداوند است مانند شکرگزاری ، پس جان های خود را پاک و مطهّر و چشم هایتان را روشن گردانید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را پی گرفته تا آنجا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شما مسأله ای است که از علّت آن نمی پرسید و من از پاسخش آگاهتان می کنم، منظورم تکبیر گفتن بر میّت است، چگونه ما پنج مرتبه تکبیر می گوییم و دیگران چهار مرتبه؟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سرورمان، این همان سؤالی است که می خواستیم از شما بپرسیم، 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در میان ما مسلمانان بر پیکرش نماز گزارده شد حمزه پسر عبدالمطّلب شیر خدا و رسولش بوده است، هنگامی که حمزه به شهادت رسید، رسول خدا صلّی الله علیه و آله نگران و اندوهگین گشت و صبرش به خاطر از دست دادن او کاهش یافت، پس در حالی که کلامش حقّ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در ازای هر تار موی عمویم حمزه هفتاد مرد از مشرکان قریش را خواهم کشت، آن گاه خداوند متعال به او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عَاقَبْتُمْ فَعَاقِبُوا بِمِثْلِ مَا عُوقِبْتُمْ بِهِ وَ لَئِنْ صَبَرْتُمْ لَهُوَ خَیْرٌ لِلصَّابِرِینَ</w:t>
      </w:r>
      <w:r>
        <w:rPr>
          <w:rFonts w:eastAsia="IRNazanin" w:cs="IRNazanin"/>
          <w:color w:val="111111"/>
          <w:sz w:val="28"/>
          <w:szCs w:val="28"/>
          <w:rtl w:val="true"/>
          <w:lang w:bidi="fa-IR"/>
        </w:rPr>
        <w:t>»</w:t>
      </w:r>
      <w:r>
        <w:rPr>
          <w:rStyle w:val="FootnoteAnchor"/>
          <w:rtl w:val="true"/>
        </w:rPr>
        <w:footnoteReference w:id="19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عقوبت کردید همان گونه که مورد عقوبت قرار گرفته‌اید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متجاوز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عقوبت رسانید و اگر صبر کنید البته آن برای شکیبایان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بدین وسیله خواسته که این امر را به عنوان سنّتی در میان مسلمانان قرار دهد، چرا که اگر پیامبر در ازای هر تار موی حمزه هفتاد مرد از مشرکان را می کشت، در قتل آنان هیچ حرجی وجود نداشت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أَرَادَ دَفْنَهُ وَ أَحَبَّ أَنْ یَلْقَی اللَّهَ مُضَرَّجاً بِدِمَائِهِ وَ کَانَ قَدْ أَمَرَ اللَّهُ أَنْ یُغَسِّلَ مَوْتَی الْمُسْلِمِینَ فَدَفَنَهُ بِثِیَابِهِ فَصَارَ سُنَّةً لِلْمُسْلِمِینَ أَنْ لَا یُغَسَّلَ شَهِیدُهُمْ وَ أَمَرَ اللَّهُ أَنْ یُکَبِّرَ عَلَیْهِ سَبْعِینَ تَکْبِیرَةً وَ یَسْتَغْفِرَ لَهُ مَا بَیْنَ کُلِّ تَکْبِیرَتَیْنِ مِنْهَا فَأَوْحَی اللَّهُ تَعَالَی إِلَیْهِ أَنِّی قَدْ فَضَّلْتُ عَمَّکَ حَمْزَةَ بِسَبْعِینَ تَکْبِیرَةً لِعَظَمَتِهِ عِنْدِی وَ کَرَامَتِهِ عَلَیَّ وَ کَبِّرْ خَمْساً عَلَی کُلِّ مُؤْمِنٍ وَ مُؤْمِنَةٍ فَإِنِّی أَفْرِضُ عَلَی أُمَّتِکَ خَمْسَ صَلَوَاتٍ فِی کُلِّ یَوْمٍ وَ لَیْلَةٍ أُزَوِّدُهُ ثَوَابَهَا وَ أُثْبِتُ لَهُ أَجْرَهَا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مِنَّا فَقَالَ یَا سَیِّدَنَا فَمَنْ صَلَّی الْأَرْبَعَةَ فَقَالَ مَا کَبَّرَهَا تَیْمِیٌّ وَ لَا عَدَوِیٌّ وَ لَا ثَالِثُهُمَا مِنْ بَنِی أُمَیَّةَ وَ لَا ابْنُ هِنْدٍ لَعَنَهُمُ اللَّهُ وَ أَوَّلُ مَنْ کَبَّرَهَا وَ سَنَّهَا فِیهِمْ طَرِیدُ رَسُولِ اللَّهِ صلی الله علیه و آله وَ هُوَ مَرْوَانُ بْنُ الْحَکَمِ لَعَنَهُ اللَّهُ لِأَنَ اللَّعِینَ مُعَاوِیَةَ وَصَّی ابْنَهُ یَزِیدَ لَعَنَهُ اللَّهُ بِأَشْیَاءَ کَثِیرَةٍ فَکَانَ مِنْهَا أَنَّهُ قَالَ إِنِّی خَائِفٌ عَلَیْکَ یَا یَزِیدُ مِنْ أَرْبَعَةِ</w:t>
      </w:r>
      <w:r>
        <w:rPr>
          <w:rStyle w:val="FootnoteAnchor"/>
          <w:rtl w:val="true"/>
        </w:rPr>
        <w:footnoteReference w:id="1954"/>
      </w:r>
      <w:r>
        <w:rPr>
          <w:rFonts w:ascii="Amiri" w:hAnsi="Amiri" w:eastAsia="Amiri" w:cs="Amiri"/>
          <w:color w:val="111111"/>
          <w:sz w:val="28"/>
          <w:sz w:val="28"/>
          <w:szCs w:val="28"/>
          <w:rtl w:val="true"/>
          <w:lang w:bidi="ar-SA"/>
        </w:rPr>
        <w:t xml:space="preserve">أَنْفُسٍ مِنِ ابْنِ عُمَرَ وَ مِنِ ابْنِ عُثْمَانَ وَ مَرْوَانَ بْنِ الْحَکَمِ وَ عَبْدِ اللَّهِ بْنِ الزُّبَیْرِ وَ الْحُسَیْنِ بْنِ عَلِیٍّ وَ وَیْلَکَ یَا یَزِیدُ مِنْ هَذَا یَعْنِی الْحُسَیْنَ علیه السلام وَ أَمَّا مَرْوَانُ فَإِذَا مِتُّ وَ جَهَّزْتُمُونِی وَ وَضَعْتُمُونِی عَلَی نَعْشِی لِلصَّلَاةِ فَسَیَقُولُونَ لَکَ تَقَدَّمْ فَصَلِّ عَلَی أَبِیکَ فَقُلْ مَا کُنْتُ لِأَعْصِیَ أَبِی فِیمَا أَوْصَانِی بِهِ وَ قَدْ قَالَ لِی إِنَّهُ لَا یُصَلِّی عَلَیَّ إِلَّا شَیْخٌ مِنْ بَنِی أُمَیَّةَ وَ هُوَ عَمِّی مَرْوَانُ بْنُ الْحَکَمِ فَقَدِّمْهُ وَ تَقَدَّمْ إِلَی ثِقَاتِ مَوَالِینَا وَ هُمْ یَحْمِلُونَ سِلَاحَهُمْ مُجَرَّداً تَحْتَ أَثْوَابِهِمْ فَإِذَا تَقَدَّمَ لِلصَّلَاةِ فَکَبَّرَ أَرْبَعَ تَکْبِیرَاتٍ فَاشْتَغَلَ بِدُعَاءِ الْخَامِسَةِ فَقَبْلَ أَنْ یُسَلِّمَ فَلْیَقْتُلُوهُ فَإِنَّکَ تُرَاحُ مِنْهُ وَ هُوَ أَعْظَمُهُمْ عَلَیْکَ فَنَمَی الْخَبَرُ إِلَی مَرْوَانَ لَعَنَهُ اللَّهُ فَأَسَرَّهَا فِی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تُوُفِّیَ مُعَاوِیَةُ وَ حُمِلَ سَرِیرُهُ لِلصَّلَاةِ عَلَیْهِ فَقَالُوا لِیَزِیدَ تَقَدَّمْ فَقَالَ لَهُمْ مَا أَوْصَانِی مُعَاوِیَةُ إِلَّا أَنَّ مَرْوَانَ بْنَ الْحَکَمِ یُصَلِّی عَلَیْهِ فَعِنْدَهَا قَدَّمُوا مَرْوَانَ فَکَبَّرَ أَرْبَعاً وَ خَرَجَ عَنِ الصَّلَاةِ قَبْلَ دُعَاءِ الْخَامِسَةِ وَ اشْتَغَلَ النَّاسُ إِلَی أَنْ کَبَّرُوا الْخَامِسَةَ وَ أَفْلَتَ مَرْوَانُ لَعَنَهُ اللَّهُ فَقَالُوا إِنَّ التَّکْبِیرَ عَلَی الْمَیِّتِ أَرْبَعُ تَکْبِیرَاتٍ</w:t>
      </w:r>
    </w:p>
    <w:p>
      <w:pPr>
        <w:pStyle w:val="BookText"/>
        <w:rPr/>
      </w:pPr>
      <w:r>
        <w:rPr>
          <w:rFonts w:ascii="IRNazanin" w:hAnsi="IRNazanin" w:eastAsia="IRNazanin"/>
          <w:color w:val="111111"/>
          <w:sz w:val="28"/>
          <w:sz w:val="28"/>
          <w:szCs w:val="28"/>
          <w:rtl w:val="true"/>
          <w:lang w:bidi="fa-IR"/>
        </w:rPr>
        <w:t>پیامبر صلّی الله علیه و آله خواست که حمزه را به همان صورت دفن کند و دوست داشت که وی خداوند را در حالی که آغشته در خون خود است ملاقات کند، این در حالی است که خداوند امر فرموده بود که مردگان مسلمانان غسل داده شوند، پس پیامبر حمزه را با لباسش دفن فرمود و این برای مسلمانان تبدیل به سنّت گشت که شهدای خود را غسل ندهند، آن گاه خداوند امر فرمود که هفتاد مرتبه بر پیکر او تکبیر سر داده شود و در بین هر دو تکبیر برای او طلب مغفرت شود، سپس خداوند متعال به پیامبر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عمویت حمزه را به خاطر عظمت و بزرگواری اش نزد من، با هفتاد تکبیر فضیلت بخشیدم، ولی بر پیکر هر مرد و زن مؤمن پنج بار تکبیر بگوی، چرا که من در طول هر شبانه روز پنج وعده نماز را بر امّت تو واجب گردانده ام که ثواب آن پنج وعده نماز را به عنوان زاد و توشه او قرار داده و اجر آن ها را برایش ثبت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ما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ما، چه کسی چهار بار تکبیر گفته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تیمیّ، عدویّ و سوّمین نفر آن ها از بنی امیّه و همچنین پسر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بار تکبیر نگفته اند، نخستین کسی که چهار بار تکبیر گفت و آن را تبدیل به سنّت کرد، طرد شده رسول خدا صلّی الله علیه و آله یعنی مروان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این ترتیب که معاویه ملعون پسرش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چند مسأله سفارش نمود، از جمله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من از وجود چهار نفر بر تو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ابن عثمان، مروان بن حکم و عبدالله بن زبیر، و حسین بن علی، پس وای بر تو یزید از دست نفر آخر، یعنی حسین علیه  السلام، امّا مروان پس هنگامی که وفات نمودم و مراسم کفن و دفن مرا انجام دادید و به منظور نماز روی تابوت قرارم دادید، به تو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پیش آی و بر پیکر پدرت نماز بگزار،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پدرم را در آنچه بدان سفارشم نموده نافرمانی نمی  کنم، او به من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برمن نماز نمی گزارد مگر شیخی از بنی امیّه، و آن شیخ عمویم مروان بن حکم است؛ پس مروان را پیش فرست و او نیز پیشاپیش دوستداران مورد اعتماد ما که سلاح هایشان را بدون غلاف در زیر لباس هایشان پنهان کرده اند قرار می گیرد، هنگامی که مروان به عنوان امام پیش افتاد و چهار مرتبه تکبیر گفت و مشغول دعای تکبیر پنجم شد، باید دوستداران ما قبل از آنکه سلام دهد او را به قتل برسانند، به این ترتیب از مروان که دشوارترین گزینه در میان افراد مذکور است رهایی خواهی یافت؛ امّا این خبر به گوش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آن را نزد خود پنهان نگاه داشت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معاویه از دنیا رفت و تابوتش حمل گردید تا بر او نماز گزارده شود، پس به یزید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پیش آی، یزید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مرا جز به این سفارش نکرده که مروان بن حکم بر پیکر او نماز بگزارد، بنابراین مروان را پیش فرستادند، پس مروان چهار بار تکبیر گفت و قبل از شروع دعای پنج از نماز خارج شد، ولی مردم تا سر دادن تکبیر پنجم مشغول دعا بودند، وبه ابن ترتیب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آنان گریخت، آن گاه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تکبیرهای سر داده شده بر میّت چهار تکبیر است </w:t>
      </w:r>
      <w:bookmarkStart w:id="3734" w:name="pg13517_329428"/>
    </w:p>
    <w:p>
      <w:pPr>
        <w:pStyle w:val="BookText"/>
        <w:rPr/>
      </w:pPr>
      <w:bookmarkEnd w:id="3734"/>
      <w:r>
        <w:rPr>
          <w:rFonts w:ascii="Amiri" w:hAnsi="Amiri" w:eastAsia="Amiri" w:cs="Amiri"/>
          <w:color w:val="111111"/>
          <w:sz w:val="28"/>
          <w:sz w:val="28"/>
          <w:szCs w:val="28"/>
          <w:rtl w:val="true"/>
          <w:lang w:bidi="ar-SA"/>
        </w:rPr>
        <w:t xml:space="preserve">لِئَلَّا یَکُونَ مَرْوَانُ مُبْدِعاً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قَائِلٌ مِنَّا یَا سَیِّدَنَا فَهَلْ یَجُوزُ أَنْ نُکَبِّرَ أَرْبَعاً تَقِیَّةً فَقَالَ علیه السلام لَا هِیَ خَمْسٌ لَا تَقِیَّةَ فِیهَا</w:t>
      </w:r>
      <w:r>
        <w:rPr>
          <w:rFonts w:eastAsia="Amiri" w:cs="Amiri" w:ascii="Amiri" w:hAnsi="Amiri"/>
          <w:color w:val="111111"/>
          <w:sz w:val="28"/>
          <w:szCs w:val="28"/>
          <w:rtl w:val="true"/>
          <w:lang w:bidi="ar-SA"/>
        </w:rPr>
        <w:t>.</w:t>
      </w:r>
    </w:p>
    <w:p>
      <w:pPr>
        <w:pStyle w:val="Heading5"/>
        <w:numPr>
          <w:ilvl w:val="4"/>
          <w:numId w:val="1"/>
        </w:numPr>
        <w:rPr/>
      </w:pPr>
      <w:bookmarkStart w:id="3735" w:name="__RefHeading___Toc608344_1934241801"/>
      <w:bookmarkStart w:id="3736" w:name="_Toc1716"/>
      <w:bookmarkEnd w:id="3735"/>
      <w:r>
        <w:rPr>
          <w:rtl w:val="true"/>
        </w:rPr>
        <w:t>بیان</w:t>
      </w:r>
      <w:bookmarkEnd w:id="3736"/>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المعنی أن لا حاجة إلی التقیة فیها إذ یمکن الإتیان بالتکبیر إخفاتا من غیر رفع الید</w:t>
      </w:r>
      <w:r>
        <w:rPr>
          <w:rFonts w:eastAsia="IRNazanin" w:cs="IRNazanin"/>
          <w:color w:val="111111"/>
          <w:sz w:val="28"/>
          <w:szCs w:val="28"/>
          <w:rtl w:val="true"/>
          <w:lang w:bidi="fa-IR"/>
        </w:rPr>
        <w:t xml:space="preserve">. </w:t>
      </w:r>
      <w:bookmarkStart w:id="3737" w:name="pg13517_329429"/>
    </w:p>
    <w:p>
      <w:pPr>
        <w:pStyle w:val="BookText"/>
        <w:rPr/>
      </w:pPr>
      <w:bookmarkEnd w:id="3737"/>
      <w:r>
        <w:rPr>
          <w:rFonts w:ascii="IRNazanin" w:hAnsi="IRNazanin" w:eastAsia="IRNazanin"/>
          <w:color w:val="111111"/>
          <w:sz w:val="28"/>
          <w:sz w:val="28"/>
          <w:szCs w:val="28"/>
          <w:rtl w:val="true"/>
          <w:lang w:bidi="fa-IR"/>
        </w:rPr>
        <w:t>تا مروان به عنوان بدعت گزار شناخته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مهدی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ما از امام عسکری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از سر تقیّه چهار تکبیر بگوییم؟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تعداد تکبیرهای نماز میّت پنج تکبیر است و هیچ تقیّه ای در آن جایز نیست</w:t>
      </w:r>
      <w:r>
        <w:rPr>
          <w:rFonts w:eastAsia="IRNazanin" w:cs="IRNazanin"/>
          <w:color w:val="111111"/>
          <w:sz w:val="28"/>
          <w:szCs w:val="28"/>
          <w:rtl w:val="true"/>
          <w:lang w:bidi="fa-IR"/>
        </w:rPr>
        <w:t>.</w:t>
      </w:r>
    </w:p>
    <w:p>
      <w:pPr>
        <w:pStyle w:val="Heading5"/>
        <w:numPr>
          <w:ilvl w:val="4"/>
          <w:numId w:val="1"/>
        </w:numPr>
        <w:rPr/>
      </w:pPr>
      <w:bookmarkStart w:id="3738" w:name="__RefHeading___Toc608346_1934241801"/>
      <w:bookmarkStart w:id="3739" w:name="_Toc1717"/>
      <w:bookmarkEnd w:id="3738"/>
      <w:r>
        <w:rPr>
          <w:rtl w:val="true"/>
        </w:rPr>
        <w:t>توضیح</w:t>
      </w:r>
      <w:bookmarkEnd w:id="3739"/>
    </w:p>
    <w:p>
      <w:pPr>
        <w:pStyle w:val="BookText"/>
        <w:rPr/>
      </w:pPr>
      <w:r>
        <w:rPr>
          <w:rFonts w:ascii="IRNazanin" w:hAnsi="IRNazanin" w:eastAsia="IRNazanin"/>
          <w:color w:val="111111"/>
          <w:sz w:val="28"/>
          <w:sz w:val="28"/>
          <w:szCs w:val="28"/>
          <w:rtl w:val="true"/>
          <w:lang w:bidi="fa-IR"/>
        </w:rPr>
        <w:t>شاید معنا چنین باشد که نیازی به رعایت تقیّه در سر دادن تکبیر پنجم نیست، چرا که می توان تکبیر پنجم را پنهانی و بدون بلند کردن دست بر زبان آورد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8453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5"/>
                        <a:stretch/>
                      </pic:blipFill>
                      <pic:spPr>
                        <a:xfrm>
                          <a:off x="0" y="0"/>
                          <a:ext cx="5334120" cy="6845400"/>
                        </a:xfrm>
                        <a:prstGeom prst="rect">
                          <a:avLst/>
                        </a:prstGeom>
                        <a:ln w="0">
                          <a:noFill/>
                        </a:ln>
                      </pic:spPr>
                    </pic:pic>
                  </a:graphicData>
                </a:graphic>
              </wp:inline>
            </w:drawing>
          </mc:Choice>
          <mc:Fallback>
            <w:pict>
              <v:shape id="shape_0" stroked="f" o:allowincell="f" style="position:absolute;margin-left:0pt;margin-top:-539.05pt;width:419.95pt;height:538.95pt;mso-wrap-style:none;v-text-anchor:middle;mso-position-horizontal:left;mso-position-vertical:top" type="_x0000_t75">
                <v:imagedata r:id="rId4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صورة فتوغرافیة من الصفحة الاُولی من نسخة الأصل ینطبق علی ص </w:t>
      </w:r>
      <w:r>
        <w:rPr>
          <w:rFonts w:eastAsia="IRNazanin" w:cs="IRNazanin"/>
          <w:color w:val="111111"/>
          <w:sz w:val="28"/>
          <w:szCs w:val="28"/>
          <w:lang w:bidi="fa-IR"/>
        </w:rPr>
        <w:t>25</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08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08"/>
                        <a:stretch/>
                      </pic:blipFill>
                      <pic:spPr>
                        <a:xfrm>
                          <a:off x="0" y="0"/>
                          <a:ext cx="5308560" cy="6985080"/>
                        </a:xfrm>
                        <a:prstGeom prst="rect">
                          <a:avLst/>
                        </a:prstGeom>
                        <a:ln w="0">
                          <a:noFill/>
                        </a:ln>
                      </pic:spPr>
                    </pic:pic>
                  </a:graphicData>
                </a:graphic>
              </wp:inline>
            </w:drawing>
          </mc:Choice>
          <mc:Fallback>
            <w:pict>
              <v:shape id="shape_0" stroked="f" o:allowincell="f" style="position:absolute;margin-left:0pt;margin-top:-550.05pt;width:417.95pt;height:549.95pt;mso-wrap-style:none;v-text-anchor:middle;mso-position-horizontal:left;mso-position-vertical:top" type="_x0000_t75">
                <v:imagedata r:id="rId4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صورة فتوغرافیة اُخری من هذه النسخة ینطبق علی ص </w:t>
      </w:r>
      <w:r>
        <w:rPr>
          <w:rFonts w:eastAsia="IRNazanin" w:cs="IRNazanin"/>
          <w:color w:val="111111"/>
          <w:sz w:val="28"/>
          <w:szCs w:val="28"/>
          <w:lang w:bidi="fa-IR"/>
        </w:rPr>
        <w:t>74</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723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11"/>
                        <a:stretch/>
                      </pic:blipFill>
                      <pic:spPr>
                        <a:xfrm>
                          <a:off x="0" y="0"/>
                          <a:ext cx="5334120" cy="6972480"/>
                        </a:xfrm>
                        <a:prstGeom prst="rect">
                          <a:avLst/>
                        </a:prstGeom>
                        <a:ln w="0">
                          <a:noFill/>
                        </a:ln>
                      </pic:spPr>
                    </pic:pic>
                  </a:graphicData>
                </a:graphic>
              </wp:inline>
            </w:drawing>
          </mc:Choice>
          <mc:Fallback>
            <w:pict>
              <v:shape id="shape_0" stroked="f" o:allowincell="f" style="position:absolute;margin-left:0pt;margin-top:-549.05pt;width:419.95pt;height:548.95pt;mso-wrap-style:none;v-text-anchor:middle;mso-position-horizontal:left;mso-position-vertical:top" type="_x0000_t75">
                <v:imagedata r:id="rId4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صورة فتوغرافیة من آخر هذه النسخة ینطبق علی ص </w:t>
      </w:r>
      <w:r>
        <w:rPr>
          <w:rFonts w:eastAsia="IRNazanin" w:cs="IRNazanin"/>
          <w:color w:val="111111"/>
          <w:sz w:val="28"/>
          <w:szCs w:val="28"/>
          <w:lang w:bidi="fa-IR"/>
        </w:rPr>
        <w:t>387</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bookmarkStart w:id="3740" w:name="pg13517_329435"/>
    </w:p>
    <w:p>
      <w:pPr>
        <w:pStyle w:val="Heading2"/>
        <w:numPr>
          <w:ilvl w:val="1"/>
          <w:numId w:val="1"/>
        </w:numPr>
        <w:rPr/>
      </w:pPr>
      <w:bookmarkStart w:id="3741" w:name="__RefHeading___Toc608348_1934241801"/>
      <w:bookmarkStart w:id="3742" w:name="_Toc1718"/>
      <w:bookmarkEnd w:id="3740"/>
      <w:bookmarkEnd w:id="3741"/>
      <w:r>
        <w:rPr>
          <w:rtl w:val="true"/>
        </w:rPr>
        <w:t>کلمة المصحّح</w:t>
      </w:r>
      <w:bookmarkEnd w:id="374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رسوله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الجزء الثانی من 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 الثامن عشر حسب تجزئة المؤلف العلامة و قد انتهی رقمه حسب تجزئتنا إلی الواحد و الثمانین و قد قابلناه علی طبعة الکمبانی المشهورة بطبع أمین الضرب ثمّ علی نسختین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نسخة الأصل الذی هو بخطّ ید المؤلّف العلّامة المجلسیّ قدّس سرّه یبتدی‌ء من باب جوامع أحکام الأغسال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طبعتنا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ینتهی خاتمته أواسط باب وجوب الصلاة علی المیت الرقم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طبعتنا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لولا هذه النسخة لم یکن لنا تصحیح بیاناته و إیضاحاته المعلقة علی الأحادیث خصوصا ممّا کان فی طبعة الکمبانی سقطا أو محرّفا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ثانیها نسخة ثمینة کتبت فی حیاة المؤلّف رحمه اللّه و قوبلت علی نسخته یبتدء من أواسط باب وجوب الصلاة علی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طبعتنا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فی مقدّمة الثانی و الثمانین تعریف بهذا النسخة أبسط و أوضح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هاتان النسختان کلتاهما لخزانة کتب الفاضل البحّاث الوجیه الموفّق المرزا فخر الدین النصیریّ الأمینیّ زاده اللّه توفیقا لحفظ کتب سلفنا الصالحین أودعها سماحته عندنا للعرض و المقابلة خدمة للدین و أهله فجزاه اللّه عنّا و عن المسلمین خیر جزاء 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إلیکم فیما یلی أربع صور فتوغرافیّة من النسخة الأولی التی هی بخطّ العلّامة المجلسیّ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الباقر البهبودی</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انتهی الجزء الثانی من المجلّد الثامن عشر من کتاب بحار الأنوار الجامعة لدرر أخبار الأئمة الأطهار صلوات اللّه علیهم ما دامت اللیل و النهار، و هو الجزء الواحد و الثمانون حسب تجزئتنا فی هذه الطبعة النفیسة الرائقة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بذلنا جهدنا فی تصحیحه و مقابلته فخرج بحمد اللّه و مشیّته نقیّا من الأغلاط إلّا نزراً زهیداً زاغ عنه البصر و کلّ عنه النظر لا یکاد یخفی علی القاری‌ء الکریم و من اللّه نسأل العصمة و هو ولیّ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إبراهیم المیانجی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الباقر البهبودی</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bookmarkStart w:id="3743" w:name="pg13517_329439"/>
    </w:p>
    <w:p>
      <w:pPr>
        <w:pStyle w:val="Heading2"/>
        <w:numPr>
          <w:ilvl w:val="1"/>
          <w:numId w:val="1"/>
        </w:numPr>
        <w:rPr/>
      </w:pPr>
      <w:bookmarkStart w:id="3744" w:name="__RefHeading___Toc608350_1934241801"/>
      <w:bookmarkStart w:id="3745" w:name="_Toc1719"/>
      <w:bookmarkEnd w:id="3743"/>
      <w:bookmarkEnd w:id="3744"/>
      <w:r>
        <w:rPr>
          <w:rtl w:val="true"/>
        </w:rPr>
        <w:t>فهرس ما فی هذا الجزء من الأبواب</w:t>
      </w:r>
      <w:bookmarkEnd w:id="3745"/>
    </w:p>
    <w:p>
      <w:pPr>
        <w:pStyle w:val="BookText"/>
        <w:rPr/>
      </w:pPr>
      <w:r>
        <w:rPr>
          <w:rFonts w:ascii="IRNazanin" w:hAnsi="IRNazanin" w:eastAsia="IRNazanin"/>
          <w:color w:val="111111"/>
          <w:sz w:val="28"/>
          <w:sz w:val="28"/>
          <w:szCs w:val="28"/>
          <w:rtl w:val="true"/>
          <w:lang w:bidi="fa-IR"/>
        </w:rPr>
        <w:t>عناوین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الصفحة</w:t>
      </w:r>
    </w:p>
    <w:p>
      <w:pPr>
        <w:pStyle w:val="BookText"/>
        <w:rPr/>
      </w:pPr>
      <w:r>
        <w:rPr>
          <w:rFonts w:ascii="IRNazanin" w:hAnsi="IRNazanin" w:eastAsia="IRNazanin"/>
          <w:color w:val="111111"/>
          <w:sz w:val="28"/>
          <w:sz w:val="28"/>
          <w:szCs w:val="28"/>
          <w:rtl w:val="true"/>
          <w:lang w:bidi="fa-IR"/>
        </w:rPr>
        <w:t>أبواب الأغسال و أحکامها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علل الأغسال و ثوابها و أقسامها و واجبها و مندوبها و جوامع أحکامها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جوامع أحکام الأغسال الواجبة و المندوبة و آدابها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وجوب غسل الجنابة و علله و کیفیّته و أحکام الجنب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غسل الحیض و الاستحاضة و النفاس عللها و آدابها و أحکامها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غسل الجمعة و آدابها و أحکامها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التیمم و آدابه و أحکامه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أبواب الجنائز و مقدّماتها و لواحقها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العافیة و المرض و ثواب المرض و علله و أنواعه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آداب المریض و أحکامه و شکواه و صبره و غیرها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نادر فی الطاعون و الفرار منه و ممّن ابتلی به و موت الفجأة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ثواب عیادة المریض و آدابها و فضل السعی فی حاجته و کیفیّة معاشرة أصحاب البلاء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آداب الاحتضار و أحکامه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تجهیز المیّت و ما یتعلّق به من الأحکام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تشییع الجنازة و سننه و آدابه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وجوب غسل المیت و علله و آدابه و أحکامه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التکفین و آدابه و أحکامه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وجوب الصلاة علی المیت و عللها و آدابها و أحکامها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bookmarkStart w:id="3746" w:name="pg13517_329441"/>
    </w:p>
    <w:p>
      <w:pPr>
        <w:pStyle w:val="Heading2"/>
        <w:numPr>
          <w:ilvl w:val="1"/>
          <w:numId w:val="1"/>
        </w:numPr>
        <w:rPr/>
      </w:pPr>
      <w:bookmarkStart w:id="3747" w:name="__RefHeading___Toc608352_1934241801"/>
      <w:bookmarkStart w:id="3748" w:name="_Toc1720"/>
      <w:bookmarkEnd w:id="3746"/>
      <w:bookmarkEnd w:id="3747"/>
      <w:r>
        <w:rPr>
          <w:rtl w:val="true"/>
        </w:rPr>
        <w:t>رموز الکتاب</w:t>
      </w:r>
      <w:bookmarkEnd w:id="374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لبشارة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لمجالس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لفهرست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لفرحة الغریّ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 الإختصاص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لکشف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العیاشیّ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لقصص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لصحیفة الرضا علیه السلام</w:t>
      </w:r>
    </w:p>
    <w:p>
      <w:pPr>
        <w:pStyle w:val="BookText"/>
        <w:rPr/>
      </w:pP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لفقه الرضا علیه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لروضة الواعظین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لإعلام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للعیون و 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لغوالی اللئالی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فرات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علیّ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 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للکتاب العتیق الغرویّ</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لإکمال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لرجال 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لکشف الغمّة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الکفعمیّ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لکنز جامع الفوائد و تأویل الآیات الظاهرة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للبلد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الإمام العسکریّ علیه السلام</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للتمحیص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للمصباحین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لمعانی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لمکارم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لکامل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لعیون أخبار الرضا علیه السلام</w:t>
      </w:r>
    </w:p>
    <w:p>
      <w:pPr>
        <w:pStyle w:val="BookText"/>
        <w:rPr/>
      </w:pP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لتنبیه الخاطر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للکفایة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للخرائج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لبصائر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للطرائف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لکتابی الحسین بن سعید او لکتابه و النوادر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لا یحضره الفقیه</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 لم نجده في الخصال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این حدیث را در الخصال نیافتیم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ليطلب وجهه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 الذي منه خلق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أضفناه من المصدرين بقرينة ما نقل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أمر من يغسله بغسله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 يغسل الميت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المعني أنّه مذكور في القرآن العزيز مثله في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تَطَهَّرْنَ فَأْتُوهُنَّ مِنْ حَيْثُ أَمَرَكُمُ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بالتطهر الاغتسال للإطلاق كما في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فَاطَّهَّرُوا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يقيد بعضو دون عضو، و اما أنّه شرط للدخول في الصلاة، فلان المفهوم من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فَاطَّهَّرُوا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الذي يجب عند الدخول في الصلاة الطهارة الشاملة لجميع الأعضاء، و انما أوجبت للجنابة، لخصوصية المورد و هم الرجال المخاطبون، و الحائض غير طاهر أيضا، و الا لم تؤمر بالتطهر للمباشرة فيجب عليها تحصيل الطهارة للصلاة أيضا بهذه القرينة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تبريز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تراه في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در 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خواهی یافت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هاتان الروايتان مرتا في باب نجاسة الميتة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تكرر الثانية في باب ما ينقض الوضوء و ما لا ينقضه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يناسبان الباب، فذكرهما في هذا الباب مقتحم و السهو ناش من طبعة الكمبانيّ حين جمع بين النسخ المختلفة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دو روایت در باب نجاست میّت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اند، و روایت دوم در باب موارد نقض و عدم نقض و عدم نقض وضو صفحه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تکرار شده است، و هر دو روایت متناسب با این باب نیستند و ذکر آنها در این باب نابجاست و از اشتباهی ناشی می شود که در چاپ کنعانی روی داده است آن گاه که نسخه های مختلف را گرد آورده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التهذيب عن أيوب بن نوح عن بعض أصحابنا عن أبي عبد اللّه عليه السلام قال اذا قطع من الرجل قطعة فهي ميتة، فإذا مسه إنسان فكل ما كان فيه عظم فقد وجب علي من يمسه الغسل، فان لم يكن فيه عظم فلا غسل عليه، راجع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لابي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نام بعد الغسل؟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ليس هو مثل غسل يوم الجمعة؟ اذا اغتسلت بعد الفجر كفاك</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من الكمبانيّ</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و اتمام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کتاب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إکمال الدین و إتمام النعمة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و تمام الخبر في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المزار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راجع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حدیث به صورت کامل در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خواهد شد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به 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 أنت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المصدر المطبوع، و لعله في القسم المخطوط الذي لم يطبع بعد و قد أخرجه العلامة النوريّ في 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أيضا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در نسخه مطبوع نیافتیم، شاید در نسخه خطی باشد که هر گز چاپ نشده و علامه نوری در المستدرک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روایت کرده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ليالي الافراد تكون خمس عشرة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چاپ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چاپ 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چاپ 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 قدر ما يكتفي أحدهما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أيهما يبدأ به؟ و هو أظهر، و في العلل ما يكفي أحدهم أيهم؟ فلعل الجمع علي المجاز، أو لان المراد أن بعضهم محدث و لم يذكر في السؤال و لا في الجواب لظهوره و ظهور حكمه، منه عفي عنه، كذا بخطه قدس سره في الهامش</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قد عرفت مرارا أنّه كتاب التكليف لابن أبي العزاقر الشلمغاني عمله في حال استقامته رسالة عملية ترجع إليه العوام كسائر ما عمل علي طبقه في ذاك العهد من الرسائل، و الشباهة فيها و في سياق ألفاظها لا تدلّ علي أن بعضها اخذ من بعض، كما هو المعهود اليوم بين الرسائل العملية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عبد الحميد الكوفيّ، عنونه البرقي في رجاله فيمن أدرك الرضا عليه السلام من أصحاب الصادق، فقال أدركه و لم يسمع منه فيما أعلم، و هكذا ذكره الشيخ في رجاله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 الرضا عليه السلام و لم يسمع منه علي قول سعد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 صاحب الحديث هو الكاظم عليه السلام؛ و انما يحتمل ارساله إذا كان المراد به الرضا عليه السّلام خصوصا و الصدوق يروي الحديث من طريق سعد بن عبد اللّه الذي نقل عنه أن إبراهيم هذا لم يسمع عن الرضا عليه السلام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علل الشرایع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ذلك ذيل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سبق</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شرح این مطلب که در 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مراجعه کن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عن أئمتنا عليهم السلام الاستناد الي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جُنُباً إِلَّا عابِرِي سَبِيلٍ حَتَّي تَغْتَسِلُوا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ستعرف عن الروايات؛ و ليس فيها أن الصلاة هنا أطلق و أريد بها مواضعها اطلاقا للحال علي المحل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تكرار في الحكم و لا شائبته، فان من المسلم أن التيمم لا يرفع الجنابة بل يبيح الصلاة فقط مع بقاء الجنابة، و انما تعرض لذلك في صدر الآية مبادرة الي دفع ما قد يتوهم أن الجنابة كالحيض قذارة باطنية لا يجوز معها الصلاة بوجه، الا بعد رفعها، و لا يرتفع الا بالغسل، كما توهمه عمر بن الخطّاب علي ما روي في الصحيحين أن رجلا أتي عمر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أجنبت فلم أجد الماء،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 فقال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تذكر يا أمير المؤمنين اذ أنا و أنت في سرية فأجنبنا فلم نجد الماء فأما أنت فلم تصل و أمّا أنا فتمعكت في التراب فصليت، فقال النبيّ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كان يكفيك أن تضرب بيديك ثمّ تنفخ فيهما ثمّ تمسح بهما وجهك و كفيك؟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 اللّه يا عمار، فقال ان شئت لم أحدث به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لكنه قد ذهب علي هذا القائل أن في الاستخدام نوع الغاز و تعمية لا يعرفه الا الخواص من البيانيين، و هو ينافي توجه الخطاب الي عموم المؤمنين في حكم تكليفي عملي، فكيف بهذا النوع من الاستخدام الذي لم يذكر فيه اللفظ ثانيا و لا ضميره، فهو الغاز في الغاز و تعمية في تعمية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مطبوع</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مطبوع</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ازچاپ سنگی</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غیر چاپی</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غیر چاپی</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 به جلد</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از چاپ سنگی،</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نجف</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نجف،</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سنگی</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نجف،</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سنگی</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يقين خ ل يبقين خ 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يخرج الحديث في الخصال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 تراه في 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وحدیث از الخصال استخراج نشد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این حدیث را در العیون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خواهی دید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عیون الأخبار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تراه في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تحت الرقم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این حدیث را در روضه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خواهی دید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شماره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خواهد شد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الخصال ذيل الحديث</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يجزي خ</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متفرقا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الاخبار في جميع موارد الغسل، سواء كان في الوضوء أو الغسل أو غير ذلك أن يبتدئ بالاعلي فالاعلي، و يمسح كذلك ليزول الغسالة بالطبع عن الاسفل، و هذا أمر يوجبه الفطرة فلو أخل به لاخل بالغرض من الغسل و الاغتسال</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الرجلين انما يغسلان لاجل قذارة الغسالة، و لذلك قال عليه السلام في الصورة الأولي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يغتسل في مكان يسيل الماء علي رجليه بعد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بأن يغتسل علي صخرة مثلا أو خشبة بحيث يسيل الماء علي رجليه بعد تمام الغسل، فإذا قد تمّ غسلهما من دون أن يتلطخ بالغسالة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سنگی</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ساءه ذلك، و هكذا في الحديث الآتي</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192</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سنگی</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در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مشاهده خواهی کرد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سنگی</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بحار الأنوار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مطبوعة الكمبانيّ هاهنا اختلال</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المطبوع من المصدر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درنسخه مطبوع مصدر ذکر نشده است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نجف،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ازچاپ سنگی</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نجف،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سنگی</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 فيه شرارهن بدل سرارهن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سنگی</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التهذیب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سورة الم تنزيل التي سطرت في المصحف الشريف بعد سورة لقمان، و هذا اصطلاح لهم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سوره سجده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 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قرآن بعد از سوره لقمان قرار گرفته است، و این اصطلاح رایج در میان فقهاست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يطلق علي معنيين 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الحاصل بالمصدر، و هو الحالة الحاصلة من سيلان الدم كالحدث الحاصل من طرو الاحداث، و لعله أنسب في المقام و الثاني دم الحيض، و هو بعيد و لعلّ مراد من قال بالمصدر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المعني الأول أو الأعمّ منه و من المعني المصدري، فتأمل منه رحمه اللّه، كذا في هامش نسخة الأصل بخط يده قدّس سرّه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القراءة هو الوجه من حيث سياق الكلام و طبعه، و لو كان بالتشديد، لكان قوله تعالي بعده فَإِذا تَطَهَّرْنَ حشوا زائدا، و الحكم المستفاد من سياق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اعتزال النساء و حرمة اتيانهن حتّي يطهرن و تجويز اتيانهن بعد التطهر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الاغتسال كما عرفت من ورود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جُنُباً حَتَّي تَغْتَسِلُوا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النساء بدل قوله تعالي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إِنْ كُنْتُمْ جُنُباً فَاطَّهَّرُوا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المائدة أن المراد بالتطهر هو الاغتسال</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آية الايلاء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لِلَّذِينَ يُؤْلُونَ مِنْ نِسائِهِمْ تَرَبُّصُ أَرْبَعَةِ أَشْهُرٍ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له كذا، اذا هيأه نزلا و تسبب في تهيئته كما في قوله تعالي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رَبَّنا مَنْ قَدَّمَ لَنا هذا فَزِدْهُ عَذاباً ضِعْفاً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المعني بقرينة ما سبقه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الإتيان في الحرث طلب الولد، بانزال الماء في الحرث لا عزله ليتحقّق معني الحرث بكماله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لكنك عرفت في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دم الحيض نجس لا يعفي عنه في الصلاة لكونه دما مسفوحا، و عرفت آنفا أن المراد بالتطهر في آي القرآن هو الاغتسال و إذا كان التطهر للصلاة واجبة في مورد الجنابة بعنوان الشرط لقوله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كُنْتُمْ جُنُباً فَاطَّهَّرُوا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أفاد أن خلاف التطهر أياما كان مانع عن الدخول في الصلاة، و إذا كانت الحائض غير متطهر بحكم الآية لزمها القعود عن الصلاة حتّي يطهر و يطهر بالاغتسال، و مثلها المستحاضة و النفساء بحكم السنة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ان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تَقْرَبُوهُنَّ حَتَّي يَطْهُرْنَ فَإِذا تَطَهَّرْنَ فَأْتُوهُنَّ مِنْ حَيْثُ أَمَرَكُمُ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تفسيري للاعتزال، لا أنّه حكم ثان، فان الاعتزال بالمعني الذي ذكروه إذا تحقّق لم يتحقّق الاقتراب حتّي ينهي عنه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يعني أولئك</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بنات هؤلاء و هؤلاء</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وضعتها أدخلتها المسجد فساهمت عليها الأنبياء فأصابت القرعة زكريا و كفلها زكريا، فلم تخرج من المسجد حتّي بلغت فلما بلغت ما تبلغ النساء خرجت، فهل كانت تقدر علي أن تقضي تلك الأيّام التي خرجت و هي عليها أن تكون الدهر في المسجد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است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يظهر من آيات القصة بمعاونة الاخبار الواردة في ذلك، أن المحرر هو الذي كان وقفا علي عبادة اللّه عزّ و جلّ، و لما كانت عباداتهم و صلواتهم لا تصح الا في البيوت المبنية لذلك كالبيعة أو البيت المقدس، كانوا يبنون للمحرر بن غرفا يسكنون فيها، و كان علي محرريهم أن ينفقوا بالكسوة و الطعام و علي المحررين أن يقوموا بعبادة اللّه لا يخرجون منها، الا لضرورة و هذا التحرير بمعني تعهد الانفاق علي المحرر كان عبادة عندهم، و لذلك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فَتَقَبَّلْ مِنِّي إِنَّكَ أَنْتَ السَّمِيعُ الْعَلِيمُ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هكذا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هكذا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سنگی،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سنگی،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50:1</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نجف</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بتمامه في الأمالي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 این حدیث به صورت کامل در الأمالی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الثلاثة باصطلاحهم أن تثني الخنصر و البنصر و الوسطي من اليمني لكن تضع رءوس الانامل قريبة من اصولها و في التسعة تقعد تلك الأصابع أيضا لكن تبسط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الأصابع علي الكف مائلة أنا ملها إلي جهة الرسغ، و للخمسين تجعل السبابة منتصبة و تضع الإبهام علي الكف محاذيا للسبابة، فيحصل من ثلاثة و خمسين هيئة من يشير بيده للشهادة و بسط الانامل الثلاثة علي الكف أنسب بها، فلهذا حملوا الخبر عليه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المكتبة المرتضوية، و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المکتبة المرتضویه،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جلد</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چاپ مراجعه کن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الخطب</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فليراجع</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ذیل عدد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ازخطبه ها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سجادة تعمل من سعف النخل و ترمل بالخيوط، قاله الجوهريّ</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أيضا في 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صدوق نیز در العلل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أثبت ما رويناه عن أهل البيت صلوات الله عليهم و استحبوا لها أن تغتسل لكل صلاتين إلخ؛ و هو أشبه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الأسلام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الرضيّ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 له صلي الله عليه و آله امرأة استحيضت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ليست بالحيضة و لكنها ركضة من الرحم ثمّ قال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استعارة و المراد بقوله ركضة من الرحم أن الرحم نفحت بهذا الدم من غير حيضة و لكن من حادث علة فأشبهت رمحة الفرس أو ركضة البعير،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بخطه قدّس سرّه في الهامش</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يحب خ 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فيه كما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حضروا المسجد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آن گونه که در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شده به حدیث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حضروا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افزوده شده است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المغتسل للجمعة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طهرني و طهر قلبي و أنق غسلي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أجر علي لساني محبة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كذا بخطه رحمه اللّه في هامش الأصل</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ص</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 ص</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 ص</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 ص</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غررالدّر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لا ينعقد بملاحظة لفظ المرض فقط و انما ينعقد بعد ملاحظة القرائن،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القرينة هنا قائمة علي أن المراد المرض الذي يضر به استعمال الماء لتناسب الحكم و الموضوع، حتي أن في المحدث بالحدث الأصفر يراد بمرضه ما يضر به استعمال الماء لغسل الوجه و اليدين فقط سواء كان هو الصداع أو وجع الضرس أو الحمي أو كان هو شين الوجه و اليدين و تشويه خلقها و جلدها بالكزة و نحوها، و في المحدث بالحدث الأكبر يراد بمرضه ما يضر به استعمال الماء لغسل جسده أي عضو كان</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شين الجلد و تشويه خلقة الأصابع باصابة البرد أو الكزة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يستظهر من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به من كان علي جناح السفر سواء كان علي ظهر مركوبه أو طريقه يضرب و يسعي مع القافلة، أو كان في المنزل لكن القافلة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مستعجلة للركوب، فلا يمكنه استعمال الماء لغسل الجنابة، و الحال هذه و ينطبق علي هذا المعني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عابِرِي 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عبر عن ذلك بالعبور في السبيل، فالتلبس بالمسير هو الذي يجوّز التيمم للجنب</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سيجي‌ء الكلام فيه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الصحيح، فان الوضوء أمر واحد ذي أجزاء بحيث لو أخل بأحد أجزائه بطل، فالذي يغسل وجهه و إحدي يديه، يكون كالعابث، مع أنّه قد أسرف باهراق هذا الماء، بخلاف الجنب، فانه يتطهر منه ما غسله من الأعضاء بالشرائط و هو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الأعلي فالاعلي، و هو ظاهر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قد عرفت أن المرض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الاشتغال بالسفر كل واحد منهما عذر في حدّ نفسه، كما أن اعواز الماء عذر بنفسه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سائر الاشكالات التي تورد علي الآيات الكريمة و بالخصوص آيات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ينشأ من حمل ألفاظ القرآن علي عرف الشرع مع أن عرف الشرع انما تحقّق بعد نزول الآيات و استنباط الحكم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فالقرآن الكريم نزل بلسان عربي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يبين بنفسه ما تضمنه من الاحكام و غيرها و اللازم أن تحمل ألفاظها علي حقيقة معانيها من دون تصرف فيها</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 مجي‌ء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بمعني الواو لم يثبت، و ما استدلّ به الكوفيون و الاخفش و الجرمي مدخول فيه، علي أن مجيئها بمعني الواو في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جاءَ أَحَدٌ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يدفعه السياق، حيث ان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تكررت في جملة واحدة ثلاث مرّات، و الأولي منها و الثالثة بمعني الترديد و التقسيم و هو المعني الاصلي، فكيف تكون الثانية بينهما بمعني الجمع، و هل يكون ذلك الا الغازا و تعمية في حكم تكليفي توجه الي عامة المؤمنين؟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قال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في معني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يَزِيدُونَ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 أنّه علي طريق الإبهام علي المخاطبين، و ثانيها أن أو للتخيير كأنّ الرائي خير بين أن يقول هم مائة ألف أو يزيدون، عن سيبويه؛ و المعني أنهم كانوا عددا لو نظر اليهم الناظر لقال هم مائة ألف أو يزيدون، و ثالثها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بمعني الواو كأنّه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يزيدون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الكوفيين، و قال بعضهم بل يزيدون</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لكنك قد عرفت أن هذا البيان هو الوجه في الآية و لا ينافي كون الملامسة بمعني الجماع</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الصعيد صفة مشبهة و هو فعيل بمعني فاعل و معناه الغبار و قد سمي العرب الطريق صعيدا لصعود الغبار منه حين مشي القوافل، و هو المراد بقول بعضهم التراب كالجوهري و ابن فارس، كما قد عبر عنه بالمرتفع من الأرض و قيده بعضهم كأبي عبيدة بما لم يخالطه رمل و لا سبخة لكنه مفاد الطيب كما يأتي وجهه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في الذيل أبحاث لا بأس بمراجعتها</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تراه في معاني الاخبار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این حدیث را در معانی الأخبار نیز خواهی دید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بقرينة ما مر في معني الصعيد أن التراب إذا كان منتفشا يابسا تكفي الضربة الواحدة، فانه في هذه الصورة تعلق غبار التراب باليد بقدر كفاية المسحين، و أمّا إذا كان ذا نداوة قليلة أو كان غير منتفش وجب التكرار، و لاجل ذلك نفسه يجب النفض أو النفخ و ذلك إذا علق التراب بالكفين كثيرا بحيث إذا مسح وجهه حال التراب بين الماسح و الممسوح، و قد كان عليه أن يمسح بغبار التراب و هو الصعيد، لا التراب نفسه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ما مر عن الفقه في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متفق عليه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و ثلج، معرب دمه بالفارسية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عمارا استند و عمل في ذلك بقوله صلي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لي الأرض مسجدا و ترابها طهورا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لم يجد الماء تمعك في التراب ليوصل التراب الي ظاهر جسده، و أمّا آية التيمم فلعله كان غافلا عنها أو غير قارئ لها، أو كان ابتلاؤه بذلك قبل نزول آية التيمم و سؤاله بعد ذلك، و الا فآية التيمم ظاهرة المراد ليس يخفي علي مثل عمّار و قد مر حديثه ذلك عن الصحيحين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الذيل و سيأتي أيضا عن الدعائم و غيره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 المطبوع</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مصدر چاپی یافت نشد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 قوله لم يرفع به رأسا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يلتفت به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 الأصل؛ ستأتي بسند آخر في باب ما يصح السجود عليه، منه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 الأصل؛ ستأتي بسند آخر في باب ما يصح السجود عليه، منه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الآية الشريفة أمر بتيمم الصعيد، و أن المراد بالصعيد ليس هو الا الغبار المرتفع من الأرض، و انما أمروا عليهم السلام بضرب الكفين علي الأرض ليتحقّق مفهوم التيمم، و هو طلب الصعيد فانه لا يحصل علي الكفين الا بضربهما علي الأرض ليثور الغبار و يلصق بهما، و لو صح التيمم بالخزف المطبوخ أو الصفاة قبل أن تبلي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الصخرة الملساء، لما كان لضرب اليد عليها وجه، الا أن يكون عليها غبار تعلو بضرب اليد عليها كما في الصفا البالية و هو الطين المتحجر من صفوة الأرض ينجمد بعد انحسار الماء عن وجهها</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 مخطوط</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دعوات راوندیّ</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حکمت ها، شماره </w:t>
      </w:r>
      <w:r>
        <w:rPr>
          <w:rFonts w:eastAsia="IRNazanin" w:cs="IRNazanin"/>
          <w:b w:val="false"/>
          <w:bCs w:val="false"/>
          <w:i w:val="false"/>
          <w:iCs w:val="false"/>
          <w:color w:val="333333"/>
          <w:sz w:val="20"/>
          <w:szCs w:val="20"/>
        </w:rPr>
        <w:t>388</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حکمت ها، شماره </w:t>
      </w:r>
      <w:r>
        <w:rPr>
          <w:rFonts w:eastAsia="IRNazanin" w:cs="IRNazanin"/>
          <w:b w:val="false"/>
          <w:bCs w:val="false"/>
          <w:i w:val="false"/>
          <w:iCs w:val="false"/>
          <w:color w:val="333333"/>
          <w:sz w:val="20"/>
          <w:szCs w:val="20"/>
        </w:rPr>
        <w:t>426</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 الآية في 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آیه از سوره 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و الآية في سورة 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و الآية في سورة 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384</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ط نجف و قد أخرج مثله في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 و له شرح واف من شاء فليراجع</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نجف، این حدیث در الکافی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الصادق عليه السلام يحدث عن الباقر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المؤمن إلخ</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نجف</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بسند آخر</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 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 مانند آن در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است</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صفّين ص</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قسم الحكم و في الباب شرح مستوفي للمؤلّف قدّس سرّه علي مبني المتكلّمين، راجع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صفین</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نهیج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قسمت حکمت ها، این حدیث در باب شرح کامل مؤلف بر مبنای فکری متکلّمین ذکر شده است پس به جلد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قسمت حکمت ها</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هذه الأحاديث مسندا عن الكافي تراها في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شدة ابتلاء المؤمن و علته و فضل البلاء، مع شرح مستوفي، من أرادها فليراجع</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احادیث با استناد به الکافی روایت شده اند و آن ها را در جلد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شدّت ابتلای مؤمن و علّت و فضیلت آن مشاهده کرده ای</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الصدوق</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مکتبة الصدوق</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المحاسن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الآية في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لم نجده</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آیه نیز از 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حکمت ها</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نهج البلاغة این حدیث را نیافتیم</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 و صدره؛ كان لي فيما مضي أخ في اللّه إلخ</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حکمت ها</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الاخوان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151</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الآية في 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از سوره 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الدواء مني فجعل يتداوي فأتي الشفاء</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الطبعة الحديثة و فيها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و آية</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جدید مراجعه کن</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نجف</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از نجف 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سنگی</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النهاية</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المناهي</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3:117</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المنتهي للعلامة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الدين مخطوط، و الحديث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المنتهی تألیف علّلامة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اعلام الدین، و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مشاهده می کنی</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در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 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السيّد الرضيّ في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ذلك قوله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عائد المريض علي مخارف الجنة</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 التمريض حسن القيام علي المريض برفع حوائجه و التكفل بمداواته، قال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فعلت هنا للسلب، و ان كانت في أكثر الامر انما تكون للاثبات</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الاحتضار،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 المريض نفسه عند الموت سوقا و سياقا؛ شرع في نزع الروح</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رواه في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البراء بن معرور الأنصاريّ بالمدينة و كان رسول اللّه صلّي اللّه عليه و آله بمكّة و أنّه حضره الموت و كان رسول اللّه صلّي اللّه عليه و آله و المسلمون يصلون الي بيت المقدس فأوصي البراء بن معرور اذا دفن أن يجعل وجهه تلقاء النبيّ صلّي اللّه عليه و آله الي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و رواه في 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هكذا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سقط في المتن</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أمالي الصدوق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روایت شده است</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 و كقفل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 و مخرج النفس</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العلامتين ساقط من الكمبانيّ</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94</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القمّيّ في تفسيره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يخرجه و رواه السيّد في فلاح السائل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قد أخرجه في كتاب الوصايا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القمی نیز در تفسیر خود صفحه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 روایت کرده است و سیّد در 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روایت کرده و در کتاب الوصایا جلد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نقل کرده است</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رأيتها فاكتف بها، و ذكر باقي الحديث و قال هو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الْبُشْري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 و الحديث بتمامه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 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 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این حدیث به صورت کامل در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است</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 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ترين الي ما بلغت من الهزال فلا تحمليني علي سرير ظاهر يراني الناس بهذه الحالة فيشمتوا بي؛ و هذا المعني خلاف ما ذكر في الحديث الآتي، مع أنّه لا يليق بالسيّدة الصديقة سلام اللّه عليها</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في ذيل تاريخ الزهراء سيدة نساء العالمين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الحديثة أن أسماء بنت عميس كانت حين وفاة السيّدة فاطمة، زوجة لابي بكر و في حجرها ولدها المرضع محمّد بن أبي بكر، فلم تكن في امكانها أن تخدم في بيت فاطمة و علي تمرضها عامة الليالي و الايام، ثمّ تغسلها ليلا بنفسها وحدها كما في بعض الروايات أو مع علي عليه السّلام كما في بعض آخر، و لا لان تقوم نصحا لها في وجه عائشة بل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أبي بكر زوجها يمنعهما أن يدخلا علي السيّدة فاطمة، كما وقع في ذيل هذا الحديث نفسه و قد أخرجه المؤلّف العلامة في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تاريخها صلي الله عليه و آله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اسلامی</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آنفا أن التي وصفت النعش لها عليه السلام هي أسماء بنت أبي عميس، و بعد ما عرفت أنّها دفنت في بيتها، لم يكن لهذا المقال مجال</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 قد مر تمامها في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این حدیث به صورت کامل در جلد</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سنگی،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نجف</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قرب الإسناد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في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شرح</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مانند این حدیث در 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البحار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سنگی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نجف</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الخاطر</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أخرجه في الوسائل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و لا يوجد الحديث في المصدر نعم قد مر تحت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بتفاوت</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الخاطر</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الوسائل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روایت شده است ولی در خود منبع یافت نشد</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 و ظاهر نسخة المؤلّف العلامة المجلسيّ أنهما كلام واحد</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حکمت ها شماره </w:t>
      </w:r>
      <w:r>
        <w:rPr>
          <w:rFonts w:eastAsia="IRNazanin" w:cs="IRNazanin"/>
          <w:b w:val="false"/>
          <w:bCs w:val="false"/>
          <w:i w:val="false"/>
          <w:iCs w:val="false"/>
          <w:color w:val="333333"/>
          <w:sz w:val="20"/>
          <w:szCs w:val="20"/>
        </w:rPr>
        <w:t>122</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حکمت ها شماره </w:t>
      </w:r>
      <w:r>
        <w:rPr>
          <w:rFonts w:eastAsia="IRNazanin" w:cs="IRNazanin"/>
          <w:b w:val="false"/>
          <w:bCs w:val="false"/>
          <w:i w:val="false"/>
          <w:iCs w:val="false"/>
          <w:color w:val="333333"/>
          <w:sz w:val="20"/>
          <w:szCs w:val="20"/>
        </w:rPr>
        <w:t>123</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ضمن حديث، و رواه في 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أيضا</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الناس في عهد الرسول صلّي اللّه عليه و آله و ما بعده الي زمن طويل يلبسون الشملة من دون خياطة، فكانوا يأتزرون بشملة و يسمونها المئزر و الازار، و يرتدون باخري و يسمونها الرداء لكونها ساترا للردء، و قد ورد في لباسه صلّي اللّه عليه و آله أنّه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ازار و رداء، و ورد في النهج أنّه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إن امامكم قد اكتفي من دنياه بطمريه و من طعمه بقرصيه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ورد عن أبي ذر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 اللّه الدنيا عني مذمة بعد رغيفين من الشعير أتغذي بأحدهما و أتعشي بالآخر و بعد شملتي صوف أتزر باحداهما و أرتدي بالاخري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كانوا يلبسون الشملة الواسعة شملة الصماء، و يسمون هذه الشملة بالريطة</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يعني بالشيخ ابن الجنيد الاسكافي، و يكون المراد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الدليل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الدليل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ارسال طرف العمامة أو أخذ مئزر من 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فدليل الامتياز بوضع الرداء و الحذاء موجود، و قد روي شطر منها في التهذيب</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وجه الاختصاص و أنّه هو الاقتداء بأبي محمّد العسكريّ عليه السلام في وفاة أخيه محمّد و رحلة أبيه الهادي عليهما السلام</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كان المراد بالرداء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الكساء المتداول في زماننا هذا، فان لابسه خارج عن السنة موضوعا، و أمّا إذا كان بمعني الرداء المقابل للإزار، كما في لباسي الاحرام ففيه أخذ خلاف السنة سنة، مع ما ورد من النهي عن ذلك في أخبار كما مر</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سنگی،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نجف</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ذلك مشكاة المصابيح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به مشکاة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مشكاة المصابيح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 و ابن ماجة و روي أبو داود نحوه و قال الترمذي؛ و قد روي عن ثوبان موقوفا</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مشکاة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است</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صرت عظما ليس عليه الا جلدة، و كيف ينظر الرجال الي جثتي علي السرير إذا حملت قالت لها أسماء إلخ</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زاد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القوم تمر عليهم الجنازة و لا يريدون اتباعها فأما من أراد ذلك قام و مشي و لم يجلس حتّي يوضع السرير</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221</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الملائكة خ ل</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في يومنا هذا فقد ظهر بالابحاث العلمية بل و رئي بالمكبرات أن المني الذي يدفقه الرجل في كل مرة من جنابته مركب من ملايين نطفة ذات حياة تسمي كل واحدة منها عند الاصطلاح الجديد اسپرماتوزئيد و أمّا المرأة فليس في منيها شي‌ء من هذه النطف و لا من غير جنسها، و الذي تدفقه المرأة حين وصالها انما هو مائع غليظ كالمني الذي يدفقه الرجل العقيم من دون أن يكون فيها نطفة ذات حياة، و لكن المرأة تجود بيضتاها في كل شهر متناوبا بنطفة واحدة تسمي في اصطلاحهم اول ليس في داخل غشائها الا ماء الحياة التي سموها پروتوپلاسم و هي التي تلاقيها نطفة واحدة من ملايين نطف الموجودة في مني الرجل فيخلق من لقاحهما و اجتماعهما علقة صغيرة تكون أصل الجنين</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الهدایة </w:t>
      </w:r>
      <w:r>
        <w:rPr>
          <w:rFonts w:eastAsia="IRNazanin" w:cs="IRNazanin"/>
          <w:b w:val="false"/>
          <w:bCs w:val="false"/>
          <w:i w:val="false"/>
          <w:iCs w:val="false"/>
          <w:color w:val="333333"/>
          <w:sz w:val="20"/>
          <w:szCs w:val="20"/>
        </w:rPr>
        <w:t>24</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سنگی</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اناء كبيرا ينسب الي حميد، و لعله كان رجلا فخارا يصنع الاناء الكبير، أو صانعا من الصناع</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مد يده اليسري خ ل</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الحرص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الأشنان</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رواه 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نجف</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من الاخبار و هكذا الآيات الكريمة أن الزوجية باقية بعد وفاة أحد الزوجين في الدائمة، و لذلك يحكم علي الزوجة بالحداد و العدة و يثبت بينهما التوارث علي الزوجية، و قد سماها اللّه عزّ و جلّ في كتابه زوجة في موارد منها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الَّذِينَ يُتَوَفَّوْنَ مِنْكُمْ وَ يَذَرُونَ أَزْواجاً وَصِيَّةً لِأَزْواجِهِمْ مَتاعاً إِلَي الْحَوْلِ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الَّذِينَ يُتَوَفَّوْنَ مِنْكُمْ وَ يَذَرُونَ أَزْواجاً يَتَرَبَّصْنَ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في آيات الارث</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العلل و الخصال تحت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سنگی،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نجف</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کتاب العلل و کتاب الخصال تحت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است</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نجف،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سنگی</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ط حجر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سنگی،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نجف</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غيبة الشيخ الطوسيّ</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غيبة الشيخ الطوسيّ</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كان في الأصل و هكذا الكمبانيّ العلل، لكنه من سهو القلم</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غیبة الشیخ الطوسی</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غیبة الشیخ الطوسی</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تراه في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المكرر نقلا عن مكارم الأخلاق</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المطلب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به حديث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لابي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العمامة للميت من الكفن هي؟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انما الكفن المفروض ثلاثة أثواب، أو ثوب تام لا أقل منه يواري فيه جسده كله، فما زاد فهو سنة الي أن يبلغ خمسة، فما زاد فمبتدع، و العمامة سنة،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التهذيب</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ممّا ورد في تكفين النبيّ صلّي اللّه عليه و آله أنّه كفن في ثوبي احرامه ثمّ 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صلي الله عليه و آله ببرد حبرة، و لا معني لذلك الا أنّه البس الثوبان بهيئة الازار و الرداء كما كان دأبه صلي الله عليه و آله في ملبسه في حياته، و الازار هو المئزر نفسه كالملحف و اللحاف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السنة</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129</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تري فيها سائر الروايات المشار إليها في المتن</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الفقیه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علل الشرایع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،تحت شماره </w:t>
      </w:r>
      <w:r>
        <w:rPr>
          <w:rFonts w:eastAsia="IRNazanin" w:cs="IRNazanin"/>
          <w:b w:val="false"/>
          <w:bCs w:val="false"/>
          <w:i w:val="false"/>
          <w:iCs w:val="false"/>
          <w:color w:val="333333"/>
          <w:sz w:val="20"/>
          <w:szCs w:val="20"/>
        </w:rPr>
        <w:t>122</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قال في التنقيح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ملخصه أن الامام السبط الحسن الزكي توفّي سنة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مات أسامة سنة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الهجرة و 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الحسين بدل الحسن، و قال في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روي الكافي الخبر و نسخه مختلفة في الحسن 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التحريف منحصرا به فسهل بن زاذويه في سنده محرف سهل بن زياد، بشهادة رواية الكافي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w:t>
      </w:r>
      <w:r>
        <w:rPr>
          <w:rFonts w:eastAsia="IRNazanin" w:cs="IRNazanin"/>
          <w:b w:val="false"/>
          <w:bCs w:val="false"/>
          <w:i w:val="false"/>
          <w:iCs w:val="false"/>
          <w:color w:val="333333"/>
          <w:sz w:val="20"/>
          <w:szCs w:val="20"/>
        </w:rPr>
        <w:t>12</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سبق و قد أخرجه عن اكمال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صفحه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 این حدیث را از اکمال الدین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رواه في اكمال الدين و اتمام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أيضا</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رضا</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اکمال الدین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 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الانجاز و هو القضاء و الاعطاء</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نجف،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سنگی؛ شیخ نیز در التهذیب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نجف 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سنگی این حدیث را روایت کرده است</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الراونديّ مخطوط، و قد أخرجه السيّد في فلاح السائل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مدينة العلم أيضا</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دعوات الراوندی، سیّد نیز به نقل از کتاب مدینة العلم در فلّاح السائل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روایت کرده است</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 رواه في الكافي 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يحرم في الثوب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 متن الدعاء من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متن الدعاء فقط، راجع شرح ذلك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الصفحة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جلد</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 متن دعا نیز در صفحات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 قد أخرجه في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این صفحات فقط متن دعا ذکر شده است، برای شرح آن به بحارالأنوار</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این حدیث در البحار</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است</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العلامتين زيادة من المصدر</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الحسين بن علي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عرفت أنّه الصحيح</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مثله الشيخ في أماليه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حمويه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الحسين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خليفة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العباس بن الفضل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أبي رجاء أبو سليمان، عن إبراهيم بن سعد، عن أبي إسحاق، عن أبي عبد اللّه بن عليّ بن أبي رافع عن أبيه، عن سلمي امرأة أبي رافع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مرضت فاطمة عليها السلام فلما كان اليوم الذي ماتت فيه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هيئي لي ماء، فصببت لها فاغتسلت كأحسن ما كانت تغتسل، 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ائتني بثياب جدد، فلبستها، ثمّ أتت البيت الذي كانت فيه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افرشي لي في وسطه ثمّ اضطجعت و استقبلت القبلة و وضعت يدها تحت خدها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مقبوضة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أكشفن فاني قد اغتسلت،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ماتت، فلما جاء عليّ عليه السلام أخبرته،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تكشف، فحملها يغسلها عليها السلام، انتهي</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در أمالی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نظیر این حدیث را روایت کرده است</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ط حجر،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علل الشرایع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ازچاپ سنگی،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اسلامی</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به من حيث الوقوف، فان الشيخ رواه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أحمد بن يحيي، عن أبي جعفر، عن أبي الجوزاء، عن الحسين ابن علوان، عن عمرو بن خالد؛ عن زيد بن عليّ، عن آبائه عن علي عليهم السلام</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الإخبار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الشریع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باب النوادر آخر الكتاب تحت الرقم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عليه السلام </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عیون الأخبار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امام عسکری علیه السلام</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ط حجر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سنگی،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نجف</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سنگی،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نجف</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الكتب و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خمس خ ل</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شماره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قسمت نامه ها،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 لم يسق بين الكلامين كلاما فلا معني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ساق الكلام الي أن قال</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باب غسل الاطفال و الصبيان و الصلاة عليهم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الکافی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،به باب غسل کودکان و نوزادان و نماز بر آنان مراجعه کن</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باب صلاة النساء علي الجنائز تحت الرقم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 محمّد بن مسلم</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نماز بر جنازه، تحت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روایت از محمّد بن مسلم</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سيف بن عميرة</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و لفظه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الي أبي محمّد الحسن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يجوز أن يجعل الميتين علي جنازة واحدة في موضع الحاجة و قلة الناس؟ و ان كان الميتان رجلا و امرأة يحملان علي سرير واجد و يصلي عليهما؟ فوقع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يحمل الرجل مع المرأة علي سرير واحد</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سنگی،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نجف</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سنگی</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نسب الامر الي الكاظم عليه السلام علي المبني المشهور أن الكتاب من إملاء الرضا عليه السلام ، و حيث نسب الامر في الكتاب الي أبيه كان هو الكاظم عليه السلام ، و ليس كذلك كما عرفت</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متفرقا</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علل الشرایع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الاطفال ط مكتبة الصدوق</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المطبوع 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چاپ شده در البحار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سنگی</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سنگی</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از چاپ اسلامی</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 رواه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اسلامی</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الإسلامية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ازچاپ اسلامی،</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حجر</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جلد</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صفحه چاپ مراجعه کن</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سنگی،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نجف</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من طبعة الكمبانيّ</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نجف 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سنگی</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نجف 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سنگی</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سنگی</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عمنا خ ل</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خمسة ظ</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image" Target="media/image3.jpeg"/><Relationship Id="rId406" Type="http://schemas.openxmlformats.org/officeDocument/2006/relationships/image" Target="media/image3.jpeg"/><Relationship Id="rId407" Type="http://schemas.openxmlformats.org/officeDocument/2006/relationships/footer" Target="footer400.xml"/><Relationship Id="rId408" Type="http://schemas.openxmlformats.org/officeDocument/2006/relationships/image" Target="media/image4.jpeg"/><Relationship Id="rId409" Type="http://schemas.openxmlformats.org/officeDocument/2006/relationships/image" Target="media/image4.jpeg"/><Relationship Id="rId410" Type="http://schemas.openxmlformats.org/officeDocument/2006/relationships/footer" Target="footer401.xml"/><Relationship Id="rId411" Type="http://schemas.openxmlformats.org/officeDocument/2006/relationships/image" Target="media/image5.jpeg"/><Relationship Id="rId412" Type="http://schemas.openxmlformats.org/officeDocument/2006/relationships/image" Target="media/image5.jpeg"/><Relationship Id="rId413" Type="http://schemas.openxmlformats.org/officeDocument/2006/relationships/footer" Target="footer402.xml"/><Relationship Id="rId414" Type="http://schemas.openxmlformats.org/officeDocument/2006/relationships/footer" Target="footer403.xml"/><Relationship Id="rId415" Type="http://schemas.openxmlformats.org/officeDocument/2006/relationships/footer" Target="footer404.xml"/><Relationship Id="rId416" Type="http://schemas.openxmlformats.org/officeDocument/2006/relationships/footer" Target="footer405.xml"/><Relationship Id="rId417" Type="http://schemas.openxmlformats.org/officeDocument/2006/relationships/footer" Target="footer406.xml"/><Relationship Id="rId418" Type="http://schemas.openxmlformats.org/officeDocument/2006/relationships/footer" Target="footer407.xml"/><Relationship Id="rId419" Type="http://schemas.openxmlformats.org/officeDocument/2006/relationships/footer" Target="footer408.xml"/><Relationship Id="rId420" Type="http://schemas.openxmlformats.org/officeDocument/2006/relationships/footer" Target="footer409.xml"/><Relationship Id="rId421" Type="http://schemas.openxmlformats.org/officeDocument/2006/relationships/footer" Target="footer410.xml"/><Relationship Id="rId422" Type="http://schemas.openxmlformats.org/officeDocument/2006/relationships/image" Target="media/image2.jpeg"/><Relationship Id="rId423" Type="http://schemas.openxmlformats.org/officeDocument/2006/relationships/image" Target="media/image2.jpeg"/><Relationship Id="rId424" Type="http://schemas.openxmlformats.org/officeDocument/2006/relationships/footer" Target="footer411.xml"/><Relationship Id="rId425" Type="http://schemas.openxmlformats.org/officeDocument/2006/relationships/footnotes" Target="footnotes.xml"/><Relationship Id="rId426" Type="http://schemas.openxmlformats.org/officeDocument/2006/relationships/numbering" Target="numbering.xml"/><Relationship Id="rId427" Type="http://schemas.openxmlformats.org/officeDocument/2006/relationships/fontTable" Target="fontTable.xml"/><Relationship Id="rId428" Type="http://schemas.openxmlformats.org/officeDocument/2006/relationships/settings" Target="settings.xml"/><Relationship Id="rId4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815</Pages>
  <Words>134869</Words>
  <Characters>493112</Characters>
  <CharactersWithSpaces>625310</CharactersWithSpaces>
  <Paragraphs>2986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2026-08-24T08:32:37Z</dcterms:created>
  <dc:creator>ghaemiyeh.com</dc:creator>
  <dc:description/>
  <dc:language>en-US</dc:language>
  <cp:lastModifiedBy/>
  <dcterms:modified xsi:type="dcterms:W3CDTF">2026-08-24T12:03:18Z</dcterms:modified>
  <cp:revision>1</cp:revision>
  <dc:subject/>
  <dc:title>بحار الانوار دریاهای نور مجموعه ای فراگیر از دُرّهای ناب روایات امامان معصوم علیهم السلام با ترجمه فارسی جلد 78</dc:title>
</cp:coreProperties>
</file>

<file path=docProps/custom.xml><?xml version="1.0" encoding="utf-8"?>
<Properties xmlns="http://schemas.openxmlformats.org/officeDocument/2006/custom-properties" xmlns:vt="http://schemas.openxmlformats.org/officeDocument/2006/docPropsVTypes"/>
</file>