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الصادق علیه السلام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745760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0745762_7370918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0745764_73709187">
            <w:r>
              <w:rPr>
                <w:webHidden/>
                <w:rStyle w:val="IndexLink"/>
                <w:rtl w:val="true"/>
              </w:rPr>
              <w:t>الطواف</w:t>
            </w:r>
            <w:r>
              <w:rPr>
                <w:rStyle w:val="IndexLink"/>
                <w:rtl w:val="true"/>
              </w:rPr>
              <w:tab/>
            </w:r>
            <w:r>
              <w:rPr>
                <w:rStyle w:val="IndexLink"/>
              </w:rPr>
              <w:t>11</w:t>
            </w:r>
          </w:hyperlink>
        </w:p>
        <w:p>
          <w:pPr>
            <w:pStyle w:val="Contents2"/>
            <w:tabs>
              <w:tab w:val="clear" w:pos="8743"/>
              <w:tab w:val="right" w:pos="9026" w:leader="dot"/>
            </w:tabs>
            <w:rPr/>
          </w:pPr>
          <w:hyperlink w:anchor="__RefHeading___Toc10745766_73709187">
            <w:r>
              <w:rPr>
                <w:webHidden/>
                <w:rStyle w:val="IndexLink"/>
                <w:rtl w:val="true"/>
              </w:rPr>
              <w:t>اعتبار الطهارة في الطواف</w:t>
            </w:r>
            <w:r>
              <w:rPr>
                <w:rStyle w:val="IndexLink"/>
                <w:rtl w:val="true"/>
              </w:rPr>
              <w:tab/>
            </w:r>
            <w:r>
              <w:rPr>
                <w:rStyle w:val="IndexLink"/>
              </w:rPr>
              <w:t>11</w:t>
            </w:r>
          </w:hyperlink>
        </w:p>
        <w:p>
          <w:pPr>
            <w:pStyle w:val="Contents2"/>
            <w:tabs>
              <w:tab w:val="clear" w:pos="8743"/>
              <w:tab w:val="right" w:pos="9026" w:leader="dot"/>
            </w:tabs>
            <w:rPr/>
          </w:pPr>
          <w:hyperlink w:anchor="__RefHeading___Toc10745768_73709187">
            <w:r>
              <w:rPr>
                <w:webHidden/>
                <w:rStyle w:val="IndexLink"/>
                <w:rtl w:val="true"/>
              </w:rPr>
              <w:t>حكم طواف المُحدِث بالحَدَث الأكبر</w:t>
            </w:r>
            <w:r>
              <w:rPr>
                <w:rStyle w:val="IndexLink"/>
                <w:rtl w:val="true"/>
              </w:rPr>
              <w:tab/>
            </w:r>
            <w:r>
              <w:rPr>
                <w:rStyle w:val="IndexLink"/>
              </w:rPr>
              <w:t>14</w:t>
            </w:r>
          </w:hyperlink>
        </w:p>
        <w:p>
          <w:pPr>
            <w:pStyle w:val="Contents2"/>
            <w:tabs>
              <w:tab w:val="clear" w:pos="8743"/>
              <w:tab w:val="right" w:pos="9026" w:leader="dot"/>
            </w:tabs>
            <w:rPr/>
          </w:pPr>
          <w:hyperlink w:anchor="__RefHeading___Toc10745770_73709187">
            <w:r>
              <w:rPr>
                <w:webHidden/>
                <w:rStyle w:val="IndexLink"/>
                <w:rtl w:val="true"/>
              </w:rPr>
              <w:t>إزالة النجاسة من شرائط الطواف</w:t>
            </w:r>
            <w:r>
              <w:rPr>
                <w:rStyle w:val="IndexLink"/>
                <w:rtl w:val="true"/>
              </w:rPr>
              <w:tab/>
            </w:r>
            <w:r>
              <w:rPr>
                <w:rStyle w:val="IndexLink"/>
              </w:rPr>
              <w:t>18</w:t>
            </w:r>
          </w:hyperlink>
        </w:p>
        <w:p>
          <w:pPr>
            <w:pStyle w:val="Contents2"/>
            <w:tabs>
              <w:tab w:val="clear" w:pos="8743"/>
              <w:tab w:val="right" w:pos="9026" w:leader="dot"/>
            </w:tabs>
            <w:rPr/>
          </w:pPr>
          <w:hyperlink w:anchor="__RefHeading___Toc10745772_73709187">
            <w:r>
              <w:rPr>
                <w:webHidden/>
                <w:rStyle w:val="IndexLink"/>
                <w:rtl w:val="true"/>
              </w:rPr>
              <w:t>اعتبار سَتر العورة في الطواف</w:t>
            </w:r>
            <w:r>
              <w:rPr>
                <w:rStyle w:val="IndexLink"/>
                <w:rtl w:val="true"/>
              </w:rPr>
              <w:tab/>
            </w:r>
            <w:r>
              <w:rPr>
                <w:rStyle w:val="IndexLink"/>
              </w:rPr>
              <w:t>23</w:t>
            </w:r>
          </w:hyperlink>
        </w:p>
        <w:p>
          <w:pPr>
            <w:pStyle w:val="Contents2"/>
            <w:tabs>
              <w:tab w:val="clear" w:pos="8743"/>
              <w:tab w:val="right" w:pos="9026" w:leader="dot"/>
            </w:tabs>
            <w:rPr/>
          </w:pPr>
          <w:hyperlink w:anchor="__RefHeading___Toc10745774_73709187">
            <w:r>
              <w:rPr>
                <w:webHidden/>
                <w:rStyle w:val="IndexLink"/>
                <w:rtl w:val="true"/>
              </w:rPr>
              <w:t>اعتبار إباحة السّاتر في الطواف</w:t>
            </w:r>
            <w:r>
              <w:rPr>
                <w:rStyle w:val="IndexLink"/>
                <w:rtl w:val="true"/>
              </w:rPr>
              <w:tab/>
            </w:r>
            <w:r>
              <w:rPr>
                <w:rStyle w:val="IndexLink"/>
              </w:rPr>
              <w:t>25</w:t>
            </w:r>
          </w:hyperlink>
        </w:p>
        <w:p>
          <w:pPr>
            <w:pStyle w:val="Contents2"/>
            <w:tabs>
              <w:tab w:val="clear" w:pos="8743"/>
              <w:tab w:val="right" w:pos="9026" w:leader="dot"/>
            </w:tabs>
            <w:rPr/>
          </w:pPr>
          <w:hyperlink w:anchor="__RefHeading___Toc10745776_73709187">
            <w:r>
              <w:rPr>
                <w:webHidden/>
                <w:rStyle w:val="IndexLink"/>
                <w:rtl w:val="true"/>
              </w:rPr>
              <w:t>يعتبر الختان في الطواف للرجل</w:t>
            </w:r>
            <w:r>
              <w:rPr>
                <w:rStyle w:val="IndexLink"/>
                <w:rtl w:val="true"/>
              </w:rPr>
              <w:tab/>
            </w:r>
            <w:r>
              <w:rPr>
                <w:rStyle w:val="IndexLink"/>
              </w:rPr>
              <w:t>28</w:t>
            </w:r>
          </w:hyperlink>
        </w:p>
        <w:p>
          <w:pPr>
            <w:pStyle w:val="Contents2"/>
            <w:tabs>
              <w:tab w:val="clear" w:pos="8743"/>
              <w:tab w:val="right" w:pos="9026" w:leader="dot"/>
            </w:tabs>
            <w:rPr/>
          </w:pPr>
          <w:hyperlink w:anchor="__RefHeading___Toc10745778_73709187">
            <w:r>
              <w:rPr>
                <w:webHidden/>
                <w:rStyle w:val="IndexLink"/>
                <w:rtl w:val="true"/>
              </w:rPr>
              <w:t>واجبات الطواف</w:t>
            </w:r>
            <w:r>
              <w:rPr>
                <w:rStyle w:val="IndexLink"/>
                <w:rtl w:val="true"/>
              </w:rPr>
              <w:tab/>
            </w:r>
            <w:r>
              <w:rPr>
                <w:rStyle w:val="IndexLink"/>
              </w:rPr>
              <w:t>32</w:t>
            </w:r>
          </w:hyperlink>
        </w:p>
        <w:p>
          <w:pPr>
            <w:pStyle w:val="Contents2"/>
            <w:tabs>
              <w:tab w:val="clear" w:pos="8743"/>
              <w:tab w:val="right" w:pos="9026" w:leader="dot"/>
            </w:tabs>
            <w:rPr/>
          </w:pPr>
          <w:hyperlink w:anchor="__RefHeading___Toc10745780_73709187">
            <w:r>
              <w:rPr>
                <w:webHidden/>
                <w:rStyle w:val="IndexLink"/>
                <w:rtl w:val="true"/>
              </w:rPr>
              <w:t>اعتبارُ جَعل البيت على اليسار</w:t>
            </w:r>
            <w:r>
              <w:rPr>
                <w:rStyle w:val="IndexLink"/>
                <w:rtl w:val="true"/>
              </w:rPr>
              <w:tab/>
            </w:r>
            <w:r>
              <w:rPr>
                <w:rStyle w:val="IndexLink"/>
              </w:rPr>
              <w:t>37</w:t>
            </w:r>
          </w:hyperlink>
        </w:p>
        <w:p>
          <w:pPr>
            <w:pStyle w:val="Contents2"/>
            <w:tabs>
              <w:tab w:val="clear" w:pos="8743"/>
              <w:tab w:val="right" w:pos="9026" w:leader="dot"/>
            </w:tabs>
            <w:rPr/>
          </w:pPr>
          <w:hyperlink w:anchor="__RefHeading___Toc10745782_73709187">
            <w:r>
              <w:rPr>
                <w:webHidden/>
                <w:rStyle w:val="IndexLink"/>
                <w:rtl w:val="true"/>
              </w:rPr>
              <w:t>اعتبار إدخال حِجْر إسماعيل في الطواف</w:t>
            </w:r>
            <w:r>
              <w:rPr>
                <w:rStyle w:val="IndexLink"/>
                <w:rtl w:val="true"/>
              </w:rPr>
              <w:tab/>
            </w:r>
            <w:r>
              <w:rPr>
                <w:rStyle w:val="IndexLink"/>
              </w:rPr>
              <w:t>40</w:t>
            </w:r>
          </w:hyperlink>
        </w:p>
        <w:p>
          <w:pPr>
            <w:pStyle w:val="Contents2"/>
            <w:tabs>
              <w:tab w:val="clear" w:pos="8743"/>
              <w:tab w:val="right" w:pos="9026" w:leader="dot"/>
            </w:tabs>
            <w:rPr/>
          </w:pPr>
          <w:hyperlink w:anchor="__RefHeading___Toc10745784_73709187">
            <w:r>
              <w:rPr>
                <w:webHidden/>
                <w:rStyle w:val="IndexLink"/>
                <w:rtl w:val="true"/>
              </w:rPr>
              <w:t>يعتبر أنْ يكون الطواف بين المقام والبيت</w:t>
            </w:r>
            <w:r>
              <w:rPr>
                <w:rStyle w:val="IndexLink"/>
                <w:rtl w:val="true"/>
              </w:rPr>
              <w:tab/>
            </w:r>
            <w:r>
              <w:rPr>
                <w:rStyle w:val="IndexLink"/>
              </w:rPr>
              <w:t>43</w:t>
            </w:r>
          </w:hyperlink>
        </w:p>
        <w:p>
          <w:pPr>
            <w:pStyle w:val="Contents2"/>
            <w:tabs>
              <w:tab w:val="clear" w:pos="8743"/>
              <w:tab w:val="right" w:pos="9026" w:leader="dot"/>
            </w:tabs>
            <w:rPr/>
          </w:pPr>
          <w:hyperlink w:anchor="__RefHeading___Toc10745786_73709187">
            <w:r>
              <w:rPr>
                <w:webHidden/>
                <w:rStyle w:val="IndexLink"/>
                <w:rtl w:val="true"/>
              </w:rPr>
              <w:t>وجوب ركعتي الطواف خلف المقام</w:t>
            </w:r>
            <w:r>
              <w:rPr>
                <w:rStyle w:val="IndexLink"/>
                <w:rtl w:val="true"/>
              </w:rPr>
              <w:tab/>
            </w:r>
            <w:r>
              <w:rPr>
                <w:rStyle w:val="IndexLink"/>
              </w:rPr>
              <w:t>47</w:t>
            </w:r>
          </w:hyperlink>
        </w:p>
        <w:p>
          <w:pPr>
            <w:pStyle w:val="Contents2"/>
            <w:tabs>
              <w:tab w:val="clear" w:pos="8743"/>
              <w:tab w:val="right" w:pos="9026" w:leader="dot"/>
            </w:tabs>
            <w:rPr/>
          </w:pPr>
          <w:hyperlink w:anchor="__RefHeading___Toc10745788_73709187">
            <w:r>
              <w:rPr>
                <w:webHidden/>
                <w:rStyle w:val="IndexLink"/>
                <w:rtl w:val="true"/>
              </w:rPr>
              <w:t>محلّ إيقاع الصلاة</w:t>
            </w:r>
            <w:r>
              <w:rPr>
                <w:rStyle w:val="IndexLink"/>
                <w:rtl w:val="true"/>
              </w:rPr>
              <w:tab/>
            </w:r>
            <w:r>
              <w:rPr>
                <w:rStyle w:val="IndexLink"/>
              </w:rPr>
              <w:t>49</w:t>
            </w:r>
          </w:hyperlink>
        </w:p>
        <w:p>
          <w:pPr>
            <w:pStyle w:val="Contents2"/>
            <w:tabs>
              <w:tab w:val="clear" w:pos="8743"/>
              <w:tab w:val="right" w:pos="9026" w:leader="dot"/>
            </w:tabs>
            <w:rPr/>
          </w:pPr>
          <w:hyperlink w:anchor="__RefHeading___Toc10745790_73709187">
            <w:r>
              <w:rPr>
                <w:webHidden/>
                <w:rStyle w:val="IndexLink"/>
                <w:rtl w:val="true"/>
              </w:rPr>
              <w:t>حكم نسيان ركعتي الطواف</w:t>
            </w:r>
            <w:r>
              <w:rPr>
                <w:rStyle w:val="IndexLink"/>
                <w:rtl w:val="true"/>
              </w:rPr>
              <w:tab/>
            </w:r>
            <w:r>
              <w:rPr>
                <w:rStyle w:val="IndexLink"/>
              </w:rPr>
              <w:t>57</w:t>
            </w:r>
          </w:hyperlink>
        </w:p>
        <w:p>
          <w:pPr>
            <w:pStyle w:val="Contents2"/>
            <w:tabs>
              <w:tab w:val="clear" w:pos="8743"/>
              <w:tab w:val="right" w:pos="9026" w:leader="dot"/>
            </w:tabs>
            <w:rPr/>
          </w:pPr>
          <w:hyperlink w:anchor="__RefHeading___Toc10745792_73709187">
            <w:r>
              <w:rPr>
                <w:webHidden/>
                <w:rStyle w:val="IndexLink"/>
                <w:rtl w:val="true"/>
              </w:rPr>
              <w:t>حكم ترك صلاة الطواف عمداً</w:t>
            </w:r>
            <w:r>
              <w:rPr>
                <w:rStyle w:val="IndexLink"/>
                <w:rtl w:val="true"/>
              </w:rPr>
              <w:tab/>
            </w:r>
            <w:r>
              <w:rPr>
                <w:rStyle w:val="IndexLink"/>
              </w:rPr>
              <w:t>64</w:t>
            </w:r>
          </w:hyperlink>
        </w:p>
        <w:p>
          <w:pPr>
            <w:pStyle w:val="Contents2"/>
            <w:tabs>
              <w:tab w:val="clear" w:pos="8743"/>
              <w:tab w:val="right" w:pos="9026" w:leader="dot"/>
            </w:tabs>
            <w:rPr/>
          </w:pPr>
          <w:hyperlink w:anchor="__RefHeading___Toc10745794_73709187">
            <w:r>
              <w:rPr>
                <w:webHidden/>
                <w:rStyle w:val="IndexLink"/>
                <w:rtl w:val="true"/>
              </w:rPr>
              <w:t>وجوب المبادرة إلى الصلاة</w:t>
            </w:r>
            <w:r>
              <w:rPr>
                <w:rStyle w:val="IndexLink"/>
                <w:rtl w:val="true"/>
              </w:rPr>
              <w:tab/>
            </w:r>
            <w:r>
              <w:rPr>
                <w:rStyle w:val="IndexLink"/>
              </w:rPr>
              <w:t>66</w:t>
            </w:r>
          </w:hyperlink>
        </w:p>
        <w:p>
          <w:pPr>
            <w:pStyle w:val="Contents2"/>
            <w:tabs>
              <w:tab w:val="clear" w:pos="8743"/>
              <w:tab w:val="right" w:pos="9026" w:leader="dot"/>
            </w:tabs>
            <w:rPr/>
          </w:pPr>
          <w:hyperlink w:anchor="__RefHeading___Toc10745796_73709187">
            <w:r>
              <w:rPr>
                <w:webHidden/>
                <w:rStyle w:val="IndexLink"/>
                <w:rtl w:val="true"/>
              </w:rPr>
              <w:t>مقدّمات الطواف المستحبّة</w:t>
            </w:r>
            <w:r>
              <w:rPr>
                <w:rStyle w:val="IndexLink"/>
                <w:rtl w:val="true"/>
              </w:rPr>
              <w:tab/>
            </w:r>
            <w:r>
              <w:rPr>
                <w:rStyle w:val="IndexLink"/>
              </w:rPr>
              <w:t>69</w:t>
            </w:r>
          </w:hyperlink>
        </w:p>
        <w:p>
          <w:pPr>
            <w:pStyle w:val="Contents2"/>
            <w:tabs>
              <w:tab w:val="clear" w:pos="8743"/>
              <w:tab w:val="right" w:pos="9026" w:leader="dot"/>
            </w:tabs>
            <w:rPr/>
          </w:pPr>
          <w:hyperlink w:anchor="__RefHeading___Toc10745798_73709187">
            <w:r>
              <w:rPr>
                <w:webHidden/>
                <w:rStyle w:val="IndexLink"/>
                <w:rtl w:val="true"/>
              </w:rPr>
              <w:t>استحباب الغسل</w:t>
            </w:r>
            <w:r>
              <w:rPr>
                <w:rStyle w:val="IndexLink"/>
                <w:rtl w:val="true"/>
              </w:rPr>
              <w:tab/>
            </w:r>
            <w:r>
              <w:rPr>
                <w:rStyle w:val="IndexLink"/>
              </w:rPr>
              <w:t>72</w:t>
            </w:r>
          </w:hyperlink>
        </w:p>
        <w:p>
          <w:pPr>
            <w:pStyle w:val="Contents2"/>
            <w:tabs>
              <w:tab w:val="clear" w:pos="8743"/>
              <w:tab w:val="right" w:pos="9026" w:leader="dot"/>
            </w:tabs>
            <w:rPr/>
          </w:pPr>
          <w:hyperlink w:anchor="__RefHeading___Toc10745800_73709187">
            <w:r>
              <w:rPr>
                <w:webHidden/>
                <w:rStyle w:val="IndexLink"/>
                <w:rtl w:val="true"/>
              </w:rPr>
              <w:t>استلام الحَجَر</w:t>
            </w:r>
            <w:r>
              <w:rPr>
                <w:rStyle w:val="IndexLink"/>
                <w:rtl w:val="true"/>
              </w:rPr>
              <w:tab/>
            </w:r>
            <w:r>
              <w:rPr>
                <w:rStyle w:val="IndexLink"/>
              </w:rPr>
              <w:t>75</w:t>
            </w:r>
          </w:hyperlink>
        </w:p>
        <w:p>
          <w:pPr>
            <w:pStyle w:val="Contents2"/>
            <w:tabs>
              <w:tab w:val="clear" w:pos="8743"/>
              <w:tab w:val="right" w:pos="9026" w:leader="dot"/>
            </w:tabs>
            <w:rPr/>
          </w:pPr>
          <w:hyperlink w:anchor="__RefHeading___Toc10745802_73709187">
            <w:r>
              <w:rPr>
                <w:webHidden/>
                <w:rStyle w:val="IndexLink"/>
                <w:rtl w:val="true"/>
              </w:rPr>
              <w:t>استحباب الدّعاء في الطواف</w:t>
            </w:r>
            <w:r>
              <w:rPr>
                <w:rStyle w:val="IndexLink"/>
                <w:rtl w:val="true"/>
              </w:rPr>
              <w:tab/>
            </w:r>
            <w:r>
              <w:rPr>
                <w:rStyle w:val="IndexLink"/>
              </w:rPr>
              <w:t>82</w:t>
            </w:r>
          </w:hyperlink>
        </w:p>
        <w:p>
          <w:pPr>
            <w:pStyle w:val="Contents2"/>
            <w:tabs>
              <w:tab w:val="clear" w:pos="8743"/>
              <w:tab w:val="right" w:pos="9026" w:leader="dot"/>
            </w:tabs>
            <w:rPr/>
          </w:pPr>
          <w:hyperlink w:anchor="__RefHeading___Toc10745804_73709187">
            <w:r>
              <w:rPr>
                <w:webHidden/>
                <w:rStyle w:val="IndexLink"/>
                <w:rtl w:val="true"/>
              </w:rPr>
              <w:t>استحباب التزام المُستجار</w:t>
            </w:r>
            <w:r>
              <w:rPr>
                <w:rStyle w:val="IndexLink"/>
                <w:rtl w:val="true"/>
              </w:rPr>
              <w:tab/>
            </w:r>
            <w:r>
              <w:rPr>
                <w:rStyle w:val="IndexLink"/>
              </w:rPr>
              <w:t>83</w:t>
            </w:r>
          </w:hyperlink>
        </w:p>
        <w:p>
          <w:pPr>
            <w:pStyle w:val="Contents2"/>
            <w:tabs>
              <w:tab w:val="clear" w:pos="8743"/>
              <w:tab w:val="right" w:pos="9026" w:leader="dot"/>
            </w:tabs>
            <w:rPr/>
          </w:pPr>
          <w:hyperlink w:anchor="__RefHeading___Toc10745806_73709187">
            <w:r>
              <w:rPr>
                <w:webHidden/>
                <w:rStyle w:val="IndexLink"/>
                <w:rtl w:val="true"/>
              </w:rPr>
              <w:t>استحباب استلام الأركان</w:t>
            </w:r>
            <w:r>
              <w:rPr>
                <w:rStyle w:val="IndexLink"/>
                <w:rtl w:val="true"/>
              </w:rPr>
              <w:tab/>
            </w:r>
            <w:r>
              <w:rPr>
                <w:rStyle w:val="IndexLink"/>
              </w:rPr>
              <w:t>85</w:t>
            </w:r>
          </w:hyperlink>
        </w:p>
        <w:p>
          <w:pPr>
            <w:pStyle w:val="Contents2"/>
            <w:tabs>
              <w:tab w:val="clear" w:pos="8743"/>
              <w:tab w:val="right" w:pos="9026" w:leader="dot"/>
            </w:tabs>
            <w:rPr/>
          </w:pPr>
          <w:hyperlink w:anchor="__RefHeading___Toc10745808_73709187">
            <w:r>
              <w:rPr>
                <w:webHidden/>
                <w:rStyle w:val="IndexLink"/>
                <w:rtl w:val="true"/>
              </w:rPr>
              <w:t>مقدار الطواف المستحبّ‌</w:t>
            </w:r>
            <w:r>
              <w:rPr>
                <w:rStyle w:val="IndexLink"/>
                <w:rtl w:val="true"/>
              </w:rPr>
              <w:tab/>
            </w:r>
            <w:r>
              <w:rPr>
                <w:rStyle w:val="IndexLink"/>
              </w:rPr>
              <w:t>88</w:t>
            </w:r>
          </w:hyperlink>
        </w:p>
        <w:p>
          <w:pPr>
            <w:pStyle w:val="Contents2"/>
            <w:tabs>
              <w:tab w:val="clear" w:pos="8743"/>
              <w:tab w:val="right" w:pos="9026" w:leader="dot"/>
            </w:tabs>
            <w:rPr/>
          </w:pPr>
          <w:hyperlink w:anchor="__RefHeading___Toc10745810_73709187">
            <w:r>
              <w:rPr>
                <w:webHidden/>
                <w:rStyle w:val="IndexLink"/>
                <w:rtl w:val="true"/>
              </w:rPr>
              <w:t>كراهة الكلام أثناء الطواف</w:t>
            </w:r>
            <w:r>
              <w:rPr>
                <w:rStyle w:val="IndexLink"/>
                <w:rtl w:val="true"/>
              </w:rPr>
              <w:tab/>
            </w:r>
            <w:r>
              <w:rPr>
                <w:rStyle w:val="IndexLink"/>
              </w:rPr>
              <w:t>92</w:t>
            </w:r>
          </w:hyperlink>
        </w:p>
        <w:p>
          <w:pPr>
            <w:pStyle w:val="Contents2"/>
            <w:tabs>
              <w:tab w:val="clear" w:pos="8743"/>
              <w:tab w:val="right" w:pos="9026" w:leader="dot"/>
            </w:tabs>
            <w:rPr/>
          </w:pPr>
          <w:hyperlink w:anchor="__RefHeading___Toc10745812_73709187">
            <w:r>
              <w:rPr>
                <w:webHidden/>
                <w:rStyle w:val="IndexLink"/>
                <w:rtl w:val="true"/>
              </w:rPr>
              <w:t>الطواف ركن يبطل الحَجّ بتركه عمداً</w:t>
            </w:r>
            <w:r>
              <w:rPr>
                <w:rStyle w:val="IndexLink"/>
                <w:rtl w:val="true"/>
              </w:rPr>
              <w:tab/>
            </w:r>
            <w:r>
              <w:rPr>
                <w:rStyle w:val="IndexLink"/>
              </w:rPr>
              <w:t>94</w:t>
            </w:r>
          </w:hyperlink>
        </w:p>
        <w:p>
          <w:pPr>
            <w:pStyle w:val="Contents2"/>
            <w:tabs>
              <w:tab w:val="clear" w:pos="8743"/>
              <w:tab w:val="right" w:pos="9026" w:leader="dot"/>
            </w:tabs>
            <w:rPr/>
          </w:pPr>
          <w:hyperlink w:anchor="__RefHeading___Toc10745814_73709187">
            <w:r>
              <w:rPr>
                <w:webHidden/>
                <w:rStyle w:val="IndexLink"/>
                <w:rtl w:val="true"/>
              </w:rPr>
              <w:t>عدم بطلان الحَجّ بترك الطواف نسياناً</w:t>
            </w:r>
            <w:r>
              <w:rPr>
                <w:rStyle w:val="IndexLink"/>
                <w:rtl w:val="true"/>
              </w:rPr>
              <w:tab/>
            </w:r>
            <w:r>
              <w:rPr>
                <w:rStyle w:val="IndexLink"/>
              </w:rPr>
              <w:t>98</w:t>
            </w:r>
          </w:hyperlink>
        </w:p>
        <w:p>
          <w:pPr>
            <w:pStyle w:val="Contents2"/>
            <w:tabs>
              <w:tab w:val="clear" w:pos="8743"/>
              <w:tab w:val="right" w:pos="9026" w:leader="dot"/>
            </w:tabs>
            <w:rPr/>
          </w:pPr>
          <w:hyperlink w:anchor="__RefHeading___Toc10745816_73709187">
            <w:r>
              <w:rPr>
                <w:webHidden/>
                <w:rStyle w:val="IndexLink"/>
                <w:rtl w:val="true"/>
              </w:rPr>
              <w:t>وجوب الاستنابة في الطواف لو تعذّر العود</w:t>
            </w:r>
            <w:r>
              <w:rPr>
                <w:rStyle w:val="IndexLink"/>
                <w:rtl w:val="true"/>
              </w:rPr>
              <w:tab/>
            </w:r>
            <w:r>
              <w:rPr>
                <w:rStyle w:val="IndexLink"/>
              </w:rPr>
              <w:t>101</w:t>
            </w:r>
          </w:hyperlink>
        </w:p>
        <w:p>
          <w:pPr>
            <w:pStyle w:val="Contents2"/>
            <w:tabs>
              <w:tab w:val="clear" w:pos="8743"/>
              <w:tab w:val="right" w:pos="9026" w:leader="dot"/>
            </w:tabs>
            <w:rPr/>
          </w:pPr>
          <w:hyperlink w:anchor="__RefHeading___Toc10745818_73709187">
            <w:r>
              <w:rPr>
                <w:webHidden/>
                <w:rStyle w:val="IndexLink"/>
                <w:rtl w:val="true"/>
              </w:rPr>
              <w:t>ما به يتحقّق الترك</w:t>
            </w:r>
            <w:r>
              <w:rPr>
                <w:rStyle w:val="IndexLink"/>
                <w:rtl w:val="true"/>
              </w:rPr>
              <w:tab/>
            </w:r>
            <w:r>
              <w:rPr>
                <w:rStyle w:val="IndexLink"/>
              </w:rPr>
              <w:t>103</w:t>
            </w:r>
          </w:hyperlink>
        </w:p>
        <w:p>
          <w:pPr>
            <w:pStyle w:val="Contents2"/>
            <w:tabs>
              <w:tab w:val="clear" w:pos="8743"/>
              <w:tab w:val="right" w:pos="9026" w:leader="dot"/>
            </w:tabs>
            <w:rPr/>
          </w:pPr>
          <w:hyperlink w:anchor="__RefHeading___Toc10745820_73709187">
            <w:r>
              <w:rPr>
                <w:webHidden/>
                <w:rStyle w:val="IndexLink"/>
                <w:rtl w:val="true"/>
              </w:rPr>
              <w:t>وجوب إعادة السعي مع قضاء الطواف</w:t>
            </w:r>
            <w:r>
              <w:rPr>
                <w:rStyle w:val="IndexLink"/>
                <w:rtl w:val="true"/>
              </w:rPr>
              <w:tab/>
            </w:r>
            <w:r>
              <w:rPr>
                <w:rStyle w:val="IndexLink"/>
              </w:rPr>
              <w:t>106</w:t>
            </w:r>
          </w:hyperlink>
        </w:p>
        <w:p>
          <w:pPr>
            <w:pStyle w:val="Contents2"/>
            <w:tabs>
              <w:tab w:val="clear" w:pos="8743"/>
              <w:tab w:val="right" w:pos="9026" w:leader="dot"/>
            </w:tabs>
            <w:rPr/>
          </w:pPr>
          <w:hyperlink w:anchor="__RefHeading___Toc10745822_73709187">
            <w:r>
              <w:rPr>
                <w:webHidden/>
                <w:rStyle w:val="IndexLink"/>
                <w:rtl w:val="true"/>
              </w:rPr>
              <w:t>وجوب الكفّارة على من واقع أهله قبل قضاء الفائت</w:t>
            </w:r>
            <w:r>
              <w:rPr>
                <w:rStyle w:val="IndexLink"/>
                <w:rtl w:val="true"/>
              </w:rPr>
              <w:tab/>
            </w:r>
            <w:r>
              <w:rPr>
                <w:rStyle w:val="IndexLink"/>
              </w:rPr>
              <w:t>108</w:t>
            </w:r>
          </w:hyperlink>
        </w:p>
        <w:p>
          <w:pPr>
            <w:pStyle w:val="Contents2"/>
            <w:tabs>
              <w:tab w:val="clear" w:pos="8743"/>
              <w:tab w:val="right" w:pos="9026" w:leader="dot"/>
            </w:tabs>
            <w:rPr/>
          </w:pPr>
          <w:hyperlink w:anchor="__RefHeading___Toc10745824_73709187">
            <w:r>
              <w:rPr>
                <w:webHidden/>
                <w:rStyle w:val="IndexLink"/>
                <w:rtl w:val="true"/>
              </w:rPr>
              <w:t>حكم نسيان طواف النساء</w:t>
            </w:r>
            <w:r>
              <w:rPr>
                <w:rStyle w:val="IndexLink"/>
                <w:rtl w:val="true"/>
              </w:rPr>
              <w:tab/>
            </w:r>
            <w:r>
              <w:rPr>
                <w:rStyle w:val="IndexLink"/>
              </w:rPr>
              <w:t>111</w:t>
            </w:r>
          </w:hyperlink>
        </w:p>
        <w:p>
          <w:pPr>
            <w:pStyle w:val="Contents2"/>
            <w:tabs>
              <w:tab w:val="clear" w:pos="8743"/>
              <w:tab w:val="right" w:pos="9026" w:leader="dot"/>
            </w:tabs>
            <w:rPr/>
          </w:pPr>
          <w:hyperlink w:anchor="__RefHeading___Toc10745826_73709187">
            <w:r>
              <w:rPr>
                <w:webHidden/>
                <w:rStyle w:val="IndexLink"/>
                <w:rtl w:val="true"/>
              </w:rPr>
              <w:t>حكم الشكّ في عدد الطواف</w:t>
            </w:r>
            <w:r>
              <w:rPr>
                <w:rStyle w:val="IndexLink"/>
                <w:rtl w:val="true"/>
              </w:rPr>
              <w:tab/>
            </w:r>
            <w:r>
              <w:rPr>
                <w:rStyle w:val="IndexLink"/>
              </w:rPr>
              <w:t>115</w:t>
            </w:r>
          </w:hyperlink>
        </w:p>
        <w:p>
          <w:pPr>
            <w:pStyle w:val="Contents2"/>
            <w:tabs>
              <w:tab w:val="clear" w:pos="8743"/>
              <w:tab w:val="right" w:pos="9026" w:leader="dot"/>
            </w:tabs>
            <w:rPr/>
          </w:pPr>
          <w:hyperlink w:anchor="__RefHeading___Toc10745828_73709187">
            <w:r>
              <w:rPr>
                <w:webHidden/>
                <w:rStyle w:val="IndexLink"/>
                <w:rtl w:val="true"/>
              </w:rPr>
              <w:t>القِران بين الطوافين</w:t>
            </w:r>
            <w:r>
              <w:rPr>
                <w:rStyle w:val="IndexLink"/>
                <w:rtl w:val="true"/>
              </w:rPr>
              <w:tab/>
            </w:r>
            <w:r>
              <w:rPr>
                <w:rStyle w:val="IndexLink"/>
              </w:rPr>
              <w:t>125</w:t>
            </w:r>
          </w:hyperlink>
        </w:p>
        <w:p>
          <w:pPr>
            <w:pStyle w:val="Contents2"/>
            <w:tabs>
              <w:tab w:val="clear" w:pos="8743"/>
              <w:tab w:val="right" w:pos="9026" w:leader="dot"/>
            </w:tabs>
            <w:rPr/>
          </w:pPr>
          <w:hyperlink w:anchor="__RefHeading___Toc10745830_73709187">
            <w:r>
              <w:rPr>
                <w:webHidden/>
                <w:rStyle w:val="IndexLink"/>
                <w:rtl w:val="true"/>
              </w:rPr>
              <w:t>حكم الزيادة على الطواف عمداً</w:t>
            </w:r>
            <w:r>
              <w:rPr>
                <w:rStyle w:val="IndexLink"/>
                <w:rtl w:val="true"/>
              </w:rPr>
              <w:tab/>
            </w:r>
            <w:r>
              <w:rPr>
                <w:rStyle w:val="IndexLink"/>
              </w:rPr>
              <w:t>132</w:t>
            </w:r>
          </w:hyperlink>
        </w:p>
        <w:p>
          <w:pPr>
            <w:pStyle w:val="Contents2"/>
            <w:tabs>
              <w:tab w:val="clear" w:pos="8743"/>
              <w:tab w:val="right" w:pos="9026" w:leader="dot"/>
            </w:tabs>
            <w:rPr/>
          </w:pPr>
          <w:hyperlink w:anchor="__RefHeading___Toc10745832_73709187">
            <w:r>
              <w:rPr>
                <w:webHidden/>
                <w:rStyle w:val="IndexLink"/>
                <w:rtl w:val="true"/>
              </w:rPr>
              <w:t>حكم الزيادة سهواً</w:t>
            </w:r>
            <w:r>
              <w:rPr>
                <w:rStyle w:val="IndexLink"/>
                <w:rtl w:val="true"/>
              </w:rPr>
              <w:tab/>
            </w:r>
            <w:r>
              <w:rPr>
                <w:rStyle w:val="IndexLink"/>
              </w:rPr>
              <w:t>135</w:t>
            </w:r>
          </w:hyperlink>
        </w:p>
        <w:p>
          <w:pPr>
            <w:pStyle w:val="Contents2"/>
            <w:tabs>
              <w:tab w:val="clear" w:pos="8743"/>
              <w:tab w:val="right" w:pos="9026" w:leader="dot"/>
            </w:tabs>
            <w:rPr/>
          </w:pPr>
          <w:hyperlink w:anchor="__RefHeading___Toc10745834_73709187">
            <w:r>
              <w:rPr>
                <w:webHidden/>
                <w:rStyle w:val="IndexLink"/>
                <w:rtl w:val="true"/>
              </w:rPr>
              <w:t>وجوب الإتيان بصلاة الطواف الواجب قبل السعي</w:t>
            </w:r>
            <w:r>
              <w:rPr>
                <w:rStyle w:val="IndexLink"/>
                <w:rtl w:val="true"/>
              </w:rPr>
              <w:tab/>
            </w:r>
            <w:r>
              <w:rPr>
                <w:rStyle w:val="IndexLink"/>
              </w:rPr>
              <w:t>138</w:t>
            </w:r>
          </w:hyperlink>
        </w:p>
        <w:p>
          <w:pPr>
            <w:pStyle w:val="Contents2"/>
            <w:tabs>
              <w:tab w:val="clear" w:pos="8743"/>
              <w:tab w:val="right" w:pos="9026" w:leader="dot"/>
            </w:tabs>
            <w:rPr/>
          </w:pPr>
          <w:hyperlink w:anchor="__RefHeading___Toc10745836_73709187">
            <w:r>
              <w:rPr>
                <w:webHidden/>
                <w:rStyle w:val="IndexLink"/>
                <w:rtl w:val="true"/>
              </w:rPr>
              <w:t>حكم من نقص من طوافه</w:t>
            </w:r>
            <w:r>
              <w:rPr>
                <w:rStyle w:val="IndexLink"/>
                <w:rtl w:val="true"/>
              </w:rPr>
              <w:tab/>
            </w:r>
            <w:r>
              <w:rPr>
                <w:rStyle w:val="IndexLink"/>
              </w:rPr>
              <w:t>141</w:t>
            </w:r>
          </w:hyperlink>
        </w:p>
        <w:p>
          <w:pPr>
            <w:pStyle w:val="Contents2"/>
            <w:tabs>
              <w:tab w:val="clear" w:pos="8743"/>
              <w:tab w:val="right" w:pos="9026" w:leader="dot"/>
            </w:tabs>
            <w:rPr/>
          </w:pPr>
          <w:hyperlink w:anchor="__RefHeading___Toc10745838_73709187">
            <w:r>
              <w:rPr>
                <w:webHidden/>
                <w:rStyle w:val="IndexLink"/>
                <w:rtl w:val="true"/>
              </w:rPr>
              <w:t>عدم جواز تقديم الطواف والسّعي على الوقوف</w:t>
            </w:r>
            <w:r>
              <w:rPr>
                <w:rStyle w:val="IndexLink"/>
                <w:rtl w:val="true"/>
              </w:rPr>
              <w:tab/>
            </w:r>
            <w:r>
              <w:rPr>
                <w:rStyle w:val="IndexLink"/>
              </w:rPr>
              <w:t>155</w:t>
            </w:r>
          </w:hyperlink>
        </w:p>
        <w:p>
          <w:pPr>
            <w:pStyle w:val="Contents2"/>
            <w:tabs>
              <w:tab w:val="clear" w:pos="8743"/>
              <w:tab w:val="right" w:pos="9026" w:leader="dot"/>
            </w:tabs>
            <w:rPr/>
          </w:pPr>
          <w:hyperlink w:anchor="__RefHeading___Toc10745840_73709187">
            <w:r>
              <w:rPr>
                <w:webHidden/>
                <w:rStyle w:val="IndexLink"/>
                <w:rtl w:val="true"/>
              </w:rPr>
              <w:t>السعي</w:t>
            </w:r>
            <w:r>
              <w:rPr>
                <w:rStyle w:val="IndexLink"/>
                <w:rtl w:val="true"/>
              </w:rPr>
              <w:tab/>
            </w:r>
            <w:r>
              <w:rPr>
                <w:rStyle w:val="IndexLink"/>
              </w:rPr>
              <w:t>161</w:t>
            </w:r>
          </w:hyperlink>
        </w:p>
        <w:p>
          <w:pPr>
            <w:pStyle w:val="Contents2"/>
            <w:tabs>
              <w:tab w:val="clear" w:pos="8743"/>
              <w:tab w:val="right" w:pos="9026" w:leader="dot"/>
            </w:tabs>
            <w:rPr/>
          </w:pPr>
          <w:hyperlink w:anchor="__RefHeading___Toc10745842_73709187">
            <w:r>
              <w:rPr>
                <w:webHidden/>
                <w:rStyle w:val="IndexLink"/>
                <w:rtl w:val="true"/>
              </w:rPr>
              <w:t>بيان المراد من الصَّفا والمروة</w:t>
            </w:r>
            <w:r>
              <w:rPr>
                <w:rStyle w:val="IndexLink"/>
                <w:rtl w:val="true"/>
              </w:rPr>
              <w:tab/>
            </w:r>
            <w:r>
              <w:rPr>
                <w:rStyle w:val="IndexLink"/>
              </w:rPr>
              <w:t>163</w:t>
            </w:r>
          </w:hyperlink>
        </w:p>
        <w:p>
          <w:pPr>
            <w:pStyle w:val="Contents2"/>
            <w:tabs>
              <w:tab w:val="clear" w:pos="8743"/>
              <w:tab w:val="right" w:pos="9026" w:leader="dot"/>
            </w:tabs>
            <w:rPr/>
          </w:pPr>
          <w:hyperlink w:anchor="__RefHeading___Toc10745844_73709187">
            <w:r>
              <w:rPr>
                <w:webHidden/>
                <w:rStyle w:val="IndexLink"/>
                <w:rtl w:val="true"/>
              </w:rPr>
              <w:t>كيفيّة السعي</w:t>
            </w:r>
            <w:r>
              <w:rPr>
                <w:rStyle w:val="IndexLink"/>
                <w:rtl w:val="true"/>
              </w:rPr>
              <w:tab/>
            </w:r>
            <w:r>
              <w:rPr>
                <w:rStyle w:val="IndexLink"/>
              </w:rPr>
              <w:t>167</w:t>
            </w:r>
          </w:hyperlink>
        </w:p>
        <w:p>
          <w:pPr>
            <w:pStyle w:val="Contents2"/>
            <w:tabs>
              <w:tab w:val="clear" w:pos="8743"/>
              <w:tab w:val="right" w:pos="9026" w:leader="dot"/>
            </w:tabs>
            <w:rPr/>
          </w:pPr>
          <w:hyperlink w:anchor="__RefHeading___Toc10745846_73709187">
            <w:r>
              <w:rPr>
                <w:webHidden/>
                <w:rStyle w:val="IndexLink"/>
                <w:rtl w:val="true"/>
              </w:rPr>
              <w:t>مستحبّات السّعي</w:t>
            </w:r>
            <w:r>
              <w:rPr>
                <w:rStyle w:val="IndexLink"/>
                <w:rtl w:val="true"/>
              </w:rPr>
              <w:tab/>
            </w:r>
            <w:r>
              <w:rPr>
                <w:rStyle w:val="IndexLink"/>
              </w:rPr>
              <w:t>168</w:t>
            </w:r>
          </w:hyperlink>
        </w:p>
        <w:p>
          <w:pPr>
            <w:pStyle w:val="Contents2"/>
            <w:tabs>
              <w:tab w:val="clear" w:pos="8743"/>
              <w:tab w:val="right" w:pos="9026" w:leader="dot"/>
            </w:tabs>
            <w:rPr/>
          </w:pPr>
          <w:hyperlink w:anchor="__RefHeading___Toc10745848_73709187">
            <w:r>
              <w:rPr>
                <w:webHidden/>
                <w:rStyle w:val="IndexLink"/>
                <w:rtl w:val="true"/>
              </w:rPr>
              <w:t>السعي ركنٌ للحَجّ‌</w:t>
            </w:r>
            <w:r>
              <w:rPr>
                <w:rStyle w:val="IndexLink"/>
                <w:rtl w:val="true"/>
              </w:rPr>
              <w:tab/>
            </w:r>
            <w:r>
              <w:rPr>
                <w:rStyle w:val="IndexLink"/>
              </w:rPr>
              <w:t>176</w:t>
            </w:r>
          </w:hyperlink>
        </w:p>
        <w:p>
          <w:pPr>
            <w:pStyle w:val="Contents2"/>
            <w:tabs>
              <w:tab w:val="clear" w:pos="8743"/>
              <w:tab w:val="right" w:pos="9026" w:leader="dot"/>
            </w:tabs>
            <w:rPr/>
          </w:pPr>
          <w:hyperlink w:anchor="__RefHeading___Toc10745850_73709187">
            <w:r>
              <w:rPr>
                <w:webHidden/>
                <w:rStyle w:val="IndexLink"/>
                <w:rtl w:val="true"/>
              </w:rPr>
              <w:t>حكم الزّيادة على السّبع متعمّداً</w:t>
            </w:r>
            <w:r>
              <w:rPr>
                <w:rStyle w:val="IndexLink"/>
                <w:rtl w:val="true"/>
              </w:rPr>
              <w:tab/>
            </w:r>
            <w:r>
              <w:rPr>
                <w:rStyle w:val="IndexLink"/>
              </w:rPr>
              <w:t>181</w:t>
            </w:r>
          </w:hyperlink>
        </w:p>
        <w:p>
          <w:pPr>
            <w:pStyle w:val="Contents2"/>
            <w:tabs>
              <w:tab w:val="clear" w:pos="8743"/>
              <w:tab w:val="right" w:pos="9026" w:leader="dot"/>
            </w:tabs>
            <w:rPr/>
          </w:pPr>
          <w:hyperlink w:anchor="__RefHeading___Toc10745852_73709187">
            <w:r>
              <w:rPr>
                <w:webHidden/>
                <w:rStyle w:val="IndexLink"/>
                <w:rtl w:val="true"/>
              </w:rPr>
              <w:t>حكم الزيادة في السعي سهواً</w:t>
            </w:r>
            <w:r>
              <w:rPr>
                <w:rStyle w:val="IndexLink"/>
                <w:rtl w:val="true"/>
              </w:rPr>
              <w:tab/>
            </w:r>
            <w:r>
              <w:rPr>
                <w:rStyle w:val="IndexLink"/>
              </w:rPr>
              <w:t>184</w:t>
            </w:r>
          </w:hyperlink>
        </w:p>
        <w:p>
          <w:pPr>
            <w:pStyle w:val="Contents2"/>
            <w:tabs>
              <w:tab w:val="clear" w:pos="8743"/>
              <w:tab w:val="right" w:pos="9026" w:leader="dot"/>
            </w:tabs>
            <w:rPr/>
          </w:pPr>
          <w:hyperlink w:anchor="__RefHeading___Toc10745854_73709187">
            <w:r>
              <w:rPr>
                <w:webHidden/>
                <w:rStyle w:val="IndexLink"/>
                <w:rtl w:val="true"/>
              </w:rPr>
              <w:t>الشكّ في عدد الأسواط</w:t>
            </w:r>
            <w:r>
              <w:rPr>
                <w:rStyle w:val="IndexLink"/>
                <w:rtl w:val="true"/>
              </w:rPr>
              <w:tab/>
            </w:r>
            <w:r>
              <w:rPr>
                <w:rStyle w:val="IndexLink"/>
              </w:rPr>
              <w:t>187</w:t>
            </w:r>
          </w:hyperlink>
        </w:p>
        <w:p>
          <w:pPr>
            <w:pStyle w:val="Contents2"/>
            <w:tabs>
              <w:tab w:val="clear" w:pos="8743"/>
              <w:tab w:val="right" w:pos="9026" w:leader="dot"/>
            </w:tabs>
            <w:rPr/>
          </w:pPr>
          <w:hyperlink w:anchor="__RefHeading___Toc10745856_73709187">
            <w:r>
              <w:rPr>
                <w:webHidden/>
                <w:rStyle w:val="IndexLink"/>
                <w:rtl w:val="true"/>
              </w:rPr>
              <w:t>حكم قطع السعي في وقت الفريضة</w:t>
            </w:r>
            <w:r>
              <w:rPr>
                <w:rStyle w:val="IndexLink"/>
                <w:rtl w:val="true"/>
              </w:rPr>
              <w:tab/>
            </w:r>
            <w:r>
              <w:rPr>
                <w:rStyle w:val="IndexLink"/>
              </w:rPr>
              <w:t>189</w:t>
            </w:r>
          </w:hyperlink>
        </w:p>
        <w:p>
          <w:pPr>
            <w:pStyle w:val="Contents2"/>
            <w:tabs>
              <w:tab w:val="clear" w:pos="8743"/>
              <w:tab w:val="right" w:pos="9026" w:leader="dot"/>
            </w:tabs>
            <w:rPr/>
          </w:pPr>
          <w:hyperlink w:anchor="__RefHeading___Toc10745858_73709187">
            <w:r>
              <w:rPr>
                <w:webHidden/>
                <w:rStyle w:val="IndexLink"/>
                <w:rtl w:val="true"/>
              </w:rPr>
              <w:t>حكم الإحلال بظنّ الإتمام</w:t>
            </w:r>
            <w:r>
              <w:rPr>
                <w:rStyle w:val="IndexLink"/>
                <w:rtl w:val="true"/>
              </w:rPr>
              <w:tab/>
            </w:r>
            <w:r>
              <w:rPr>
                <w:rStyle w:val="IndexLink"/>
              </w:rPr>
              <w:t>193</w:t>
            </w:r>
          </w:hyperlink>
        </w:p>
        <w:p>
          <w:pPr>
            <w:pStyle w:val="Contents2"/>
            <w:tabs>
              <w:tab w:val="clear" w:pos="8743"/>
              <w:tab w:val="right" w:pos="9026" w:leader="dot"/>
            </w:tabs>
            <w:rPr/>
          </w:pPr>
          <w:hyperlink w:anchor="__RefHeading___Toc10745860_73709187">
            <w:r>
              <w:rPr>
                <w:webHidden/>
                <w:rStyle w:val="IndexLink"/>
                <w:rtl w:val="true"/>
              </w:rPr>
              <w:t>التقصير</w:t>
            </w:r>
            <w:r>
              <w:rPr>
                <w:rStyle w:val="IndexLink"/>
                <w:rtl w:val="true"/>
              </w:rPr>
              <w:tab/>
            </w:r>
            <w:r>
              <w:rPr>
                <w:rStyle w:val="IndexLink"/>
              </w:rPr>
              <w:t>195</w:t>
            </w:r>
          </w:hyperlink>
        </w:p>
        <w:p>
          <w:pPr>
            <w:pStyle w:val="Contents2"/>
            <w:tabs>
              <w:tab w:val="clear" w:pos="8743"/>
              <w:tab w:val="right" w:pos="9026" w:leader="dot"/>
            </w:tabs>
            <w:rPr/>
          </w:pPr>
          <w:hyperlink w:anchor="__RefHeading___Toc10745862_73709187">
            <w:r>
              <w:rPr>
                <w:webHidden/>
                <w:rStyle w:val="IndexLink"/>
                <w:rtl w:val="true"/>
              </w:rPr>
              <w:t>أفعال الحَجّ‌</w:t>
            </w:r>
            <w:r>
              <w:rPr>
                <w:rStyle w:val="IndexLink"/>
                <w:rtl w:val="true"/>
              </w:rPr>
              <w:tab/>
            </w:r>
            <w:r>
              <w:rPr>
                <w:rStyle w:val="IndexLink"/>
              </w:rPr>
              <w:t>202</w:t>
            </w:r>
          </w:hyperlink>
        </w:p>
        <w:p>
          <w:pPr>
            <w:pStyle w:val="Contents2"/>
            <w:tabs>
              <w:tab w:val="clear" w:pos="8743"/>
              <w:tab w:val="right" w:pos="9026" w:leader="dot"/>
            </w:tabs>
            <w:rPr/>
          </w:pPr>
          <w:hyperlink w:anchor="__RefHeading___Toc10745864_73709187">
            <w:r>
              <w:rPr>
                <w:webHidden/>
                <w:rStyle w:val="IndexLink"/>
                <w:rtl w:val="true"/>
              </w:rPr>
              <w:t>الوقوف بعرفات ركن</w:t>
            </w:r>
            <w:r>
              <w:rPr>
                <w:rStyle w:val="IndexLink"/>
                <w:rtl w:val="true"/>
              </w:rPr>
              <w:tab/>
            </w:r>
            <w:r>
              <w:rPr>
                <w:rStyle w:val="IndexLink"/>
              </w:rPr>
              <w:t>204</w:t>
            </w:r>
          </w:hyperlink>
        </w:p>
        <w:p>
          <w:pPr>
            <w:pStyle w:val="Contents2"/>
            <w:tabs>
              <w:tab w:val="clear" w:pos="8743"/>
              <w:tab w:val="right" w:pos="9026" w:leader="dot"/>
            </w:tabs>
            <w:rPr/>
          </w:pPr>
          <w:hyperlink w:anchor="__RefHeading___Toc10745866_73709187">
            <w:r>
              <w:rPr>
                <w:webHidden/>
                <w:rStyle w:val="IndexLink"/>
                <w:rtl w:val="true"/>
              </w:rPr>
              <w:t>كيفيّة الوقوف بعرفات</w:t>
            </w:r>
            <w:r>
              <w:rPr>
                <w:rStyle w:val="IndexLink"/>
                <w:rtl w:val="true"/>
              </w:rPr>
              <w:tab/>
            </w:r>
            <w:r>
              <w:rPr>
                <w:rStyle w:val="IndexLink"/>
              </w:rPr>
              <w:t>208</w:t>
            </w:r>
          </w:hyperlink>
        </w:p>
        <w:p>
          <w:pPr>
            <w:pStyle w:val="Contents2"/>
            <w:tabs>
              <w:tab w:val="clear" w:pos="8743"/>
              <w:tab w:val="right" w:pos="9026" w:leader="dot"/>
            </w:tabs>
            <w:rPr/>
          </w:pPr>
          <w:hyperlink w:anchor="__RefHeading___Toc10745868_73709187">
            <w:r>
              <w:rPr>
                <w:webHidden/>
                <w:rStyle w:val="IndexLink"/>
                <w:rtl w:val="true"/>
              </w:rPr>
              <w:t>وجوب الوقوف من أوّل الزوال</w:t>
            </w:r>
            <w:r>
              <w:rPr>
                <w:rStyle w:val="IndexLink"/>
                <w:rtl w:val="true"/>
              </w:rPr>
              <w:tab/>
            </w:r>
            <w:r>
              <w:rPr>
                <w:rStyle w:val="IndexLink"/>
              </w:rPr>
              <w:t>208</w:t>
            </w:r>
          </w:hyperlink>
        </w:p>
        <w:p>
          <w:pPr>
            <w:pStyle w:val="Contents2"/>
            <w:tabs>
              <w:tab w:val="clear" w:pos="8743"/>
              <w:tab w:val="right" w:pos="9026" w:leader="dot"/>
            </w:tabs>
            <w:rPr/>
          </w:pPr>
          <w:hyperlink w:anchor="__RefHeading___Toc10745870_73709187">
            <w:r>
              <w:rPr>
                <w:webHidden/>
                <w:rStyle w:val="IndexLink"/>
                <w:rtl w:val="true"/>
              </w:rPr>
              <w:t>فروع الوقوف بعرفات</w:t>
            </w:r>
            <w:r>
              <w:rPr>
                <w:rStyle w:val="IndexLink"/>
                <w:rtl w:val="true"/>
              </w:rPr>
              <w:tab/>
            </w:r>
            <w:r>
              <w:rPr>
                <w:rStyle w:val="IndexLink"/>
              </w:rPr>
              <w:t>215</w:t>
            </w:r>
          </w:hyperlink>
        </w:p>
        <w:p>
          <w:pPr>
            <w:pStyle w:val="Contents2"/>
            <w:tabs>
              <w:tab w:val="clear" w:pos="8743"/>
              <w:tab w:val="right" w:pos="9026" w:leader="dot"/>
            </w:tabs>
            <w:rPr/>
          </w:pPr>
          <w:hyperlink w:anchor="__RefHeading___Toc10745872_73709187">
            <w:r>
              <w:rPr>
                <w:webHidden/>
                <w:rStyle w:val="IndexLink"/>
                <w:rtl w:val="true"/>
              </w:rPr>
              <w:t>وقت الوقوف الإضطراري</w:t>
            </w:r>
            <w:r>
              <w:rPr>
                <w:rStyle w:val="IndexLink"/>
                <w:rtl w:val="true"/>
              </w:rPr>
              <w:tab/>
            </w:r>
            <w:r>
              <w:rPr>
                <w:rStyle w:val="IndexLink"/>
              </w:rPr>
              <w:t>216</w:t>
            </w:r>
          </w:hyperlink>
        </w:p>
        <w:p>
          <w:pPr>
            <w:pStyle w:val="Contents2"/>
            <w:tabs>
              <w:tab w:val="clear" w:pos="8743"/>
              <w:tab w:val="right" w:pos="9026" w:leader="dot"/>
            </w:tabs>
            <w:rPr/>
          </w:pPr>
          <w:hyperlink w:anchor="__RefHeading___Toc10745874_73709187">
            <w:r>
              <w:rPr>
                <w:webHidden/>
                <w:rStyle w:val="IndexLink"/>
                <w:rtl w:val="true"/>
              </w:rPr>
              <w:t>حكم من أفاض من عرفات قبل الغروب</w:t>
            </w:r>
            <w:r>
              <w:rPr>
                <w:rStyle w:val="IndexLink"/>
                <w:rtl w:val="true"/>
              </w:rPr>
              <w:tab/>
            </w:r>
            <w:r>
              <w:rPr>
                <w:rStyle w:val="IndexLink"/>
              </w:rPr>
              <w:t>221</w:t>
            </w:r>
          </w:hyperlink>
        </w:p>
        <w:p>
          <w:pPr>
            <w:pStyle w:val="Contents2"/>
            <w:tabs>
              <w:tab w:val="clear" w:pos="8743"/>
              <w:tab w:val="right" w:pos="9026" w:leader="dot"/>
            </w:tabs>
            <w:rPr/>
          </w:pPr>
          <w:hyperlink w:anchor="__RefHeading___Toc10745876_73709187">
            <w:r>
              <w:rPr>
                <w:webHidden/>
                <w:rStyle w:val="IndexLink"/>
                <w:rtl w:val="true"/>
              </w:rPr>
              <w:t>لا يُجزي الوقوف بحدود عَرفة</w:t>
            </w:r>
            <w:r>
              <w:rPr>
                <w:rStyle w:val="IndexLink"/>
                <w:rtl w:val="true"/>
              </w:rPr>
              <w:tab/>
            </w:r>
            <w:r>
              <w:rPr>
                <w:rStyle w:val="IndexLink"/>
              </w:rPr>
              <w:t>226</w:t>
            </w:r>
          </w:hyperlink>
        </w:p>
        <w:p>
          <w:pPr>
            <w:pStyle w:val="Contents2"/>
            <w:tabs>
              <w:tab w:val="clear" w:pos="8743"/>
              <w:tab w:val="right" w:pos="9026" w:leader="dot"/>
            </w:tabs>
            <w:rPr/>
          </w:pPr>
          <w:hyperlink w:anchor="__RefHeading___Toc10745878_73709187">
            <w:r>
              <w:rPr>
                <w:webHidden/>
                <w:rStyle w:val="IndexLink"/>
                <w:rtl w:val="true"/>
              </w:rPr>
              <w:t>وقت الخروج من مكّة</w:t>
            </w:r>
            <w:r>
              <w:rPr>
                <w:rStyle w:val="IndexLink"/>
                <w:rtl w:val="true"/>
              </w:rPr>
              <w:tab/>
            </w:r>
            <w:r>
              <w:rPr>
                <w:rStyle w:val="IndexLink"/>
              </w:rPr>
              <w:t>228</w:t>
            </w:r>
          </w:hyperlink>
        </w:p>
        <w:p>
          <w:pPr>
            <w:pStyle w:val="Contents2"/>
            <w:tabs>
              <w:tab w:val="clear" w:pos="8743"/>
              <w:tab w:val="right" w:pos="9026" w:leader="dot"/>
            </w:tabs>
            <w:rPr/>
          </w:pPr>
          <w:hyperlink w:anchor="__RefHeading___Toc10745880_73709187">
            <w:r>
              <w:rPr>
                <w:webHidden/>
                <w:rStyle w:val="IndexLink"/>
                <w:rtl w:val="true"/>
              </w:rPr>
              <w:t>بعض آداب الوقوف بعرفات</w:t>
            </w:r>
            <w:r>
              <w:rPr>
                <w:rStyle w:val="IndexLink"/>
                <w:rtl w:val="true"/>
              </w:rPr>
              <w:tab/>
            </w:r>
            <w:r>
              <w:rPr>
                <w:rStyle w:val="IndexLink"/>
              </w:rPr>
              <w:t>234</w:t>
            </w:r>
          </w:hyperlink>
        </w:p>
        <w:p>
          <w:pPr>
            <w:pStyle w:val="Contents2"/>
            <w:tabs>
              <w:tab w:val="clear" w:pos="8743"/>
              <w:tab w:val="right" w:pos="9026" w:leader="dot"/>
            </w:tabs>
            <w:rPr/>
          </w:pPr>
          <w:hyperlink w:anchor="__RefHeading___Toc10745882_73709187">
            <w:r>
              <w:rPr>
                <w:webHidden/>
                <w:rStyle w:val="IndexLink"/>
                <w:rtl w:val="true"/>
              </w:rPr>
              <w:t>استحباب الدّعاء في عرفات</w:t>
            </w:r>
            <w:r>
              <w:rPr>
                <w:rStyle w:val="IndexLink"/>
                <w:rtl w:val="true"/>
              </w:rPr>
              <w:tab/>
            </w:r>
            <w:r>
              <w:rPr>
                <w:rStyle w:val="IndexLink"/>
              </w:rPr>
              <w:t>236</w:t>
            </w:r>
          </w:hyperlink>
        </w:p>
        <w:p>
          <w:pPr>
            <w:pStyle w:val="Contents2"/>
            <w:tabs>
              <w:tab w:val="clear" w:pos="8743"/>
              <w:tab w:val="right" w:pos="9026" w:leader="dot"/>
            </w:tabs>
            <w:rPr/>
          </w:pPr>
          <w:hyperlink w:anchor="__RefHeading___Toc10745884_73709187">
            <w:r>
              <w:rPr>
                <w:webHidden/>
                <w:rStyle w:val="IndexLink"/>
                <w:rtl w:val="true"/>
              </w:rPr>
              <w:t>مكروهات الوقوف بعرفات</w:t>
            </w:r>
            <w:r>
              <w:rPr>
                <w:rStyle w:val="IndexLink"/>
                <w:rtl w:val="true"/>
              </w:rPr>
              <w:tab/>
            </w:r>
            <w:r>
              <w:rPr>
                <w:rStyle w:val="IndexLink"/>
              </w:rPr>
              <w:t>240</w:t>
            </w:r>
          </w:hyperlink>
        </w:p>
        <w:p>
          <w:pPr>
            <w:pStyle w:val="Contents2"/>
            <w:tabs>
              <w:tab w:val="clear" w:pos="8743"/>
              <w:tab w:val="right" w:pos="9026" w:leader="dot"/>
            </w:tabs>
            <w:rPr/>
          </w:pPr>
          <w:hyperlink w:anchor="__RefHeading___Toc10745886_73709187">
            <w:r>
              <w:rPr>
                <w:webHidden/>
                <w:rStyle w:val="IndexLink"/>
                <w:rtl w:val="true"/>
              </w:rPr>
              <w:t>كفاية الحَجّ الذي وقع على طبق حكم قاضي العامّة</w:t>
            </w:r>
            <w:r>
              <w:rPr>
                <w:rStyle w:val="IndexLink"/>
                <w:rtl w:val="true"/>
              </w:rPr>
              <w:tab/>
            </w:r>
            <w:r>
              <w:rPr>
                <w:rStyle w:val="IndexLink"/>
              </w:rPr>
              <w:t>242</w:t>
            </w:r>
          </w:hyperlink>
        </w:p>
        <w:p>
          <w:pPr>
            <w:pStyle w:val="Contents2"/>
            <w:tabs>
              <w:tab w:val="clear" w:pos="8743"/>
              <w:tab w:val="right" w:pos="9026" w:leader="dot"/>
            </w:tabs>
            <w:rPr/>
          </w:pPr>
          <w:hyperlink w:anchor="__RefHeading___Toc10745888_73709187">
            <w:r>
              <w:rPr>
                <w:webHidden/>
                <w:rStyle w:val="IndexLink"/>
                <w:rtl w:val="true"/>
              </w:rPr>
              <w:t>بحث حول التقيّة في الوقوف بعرفات</w:t>
            </w:r>
            <w:r>
              <w:rPr>
                <w:rStyle w:val="IndexLink"/>
                <w:rtl w:val="true"/>
              </w:rPr>
              <w:tab/>
            </w:r>
            <w:r>
              <w:rPr>
                <w:rStyle w:val="IndexLink"/>
              </w:rPr>
              <w:t>246</w:t>
            </w:r>
          </w:hyperlink>
        </w:p>
        <w:p>
          <w:pPr>
            <w:pStyle w:val="Contents2"/>
            <w:tabs>
              <w:tab w:val="clear" w:pos="8743"/>
              <w:tab w:val="right" w:pos="9026" w:leader="dot"/>
            </w:tabs>
            <w:rPr/>
          </w:pPr>
          <w:hyperlink w:anchor="__RefHeading___Toc10745890_73709187">
            <w:r>
              <w:rPr>
                <w:webHidden/>
                <w:rStyle w:val="IndexLink"/>
                <w:rtl w:val="true"/>
              </w:rPr>
              <w:t>دليل التقيّة شاملٌ لجميع العبادات</w:t>
            </w:r>
            <w:r>
              <w:rPr>
                <w:rStyle w:val="IndexLink"/>
                <w:rtl w:val="true"/>
              </w:rPr>
              <w:tab/>
            </w:r>
            <w:r>
              <w:rPr>
                <w:rStyle w:val="IndexLink"/>
              </w:rPr>
              <w:t>246</w:t>
            </w:r>
          </w:hyperlink>
        </w:p>
        <w:p>
          <w:pPr>
            <w:pStyle w:val="Contents2"/>
            <w:tabs>
              <w:tab w:val="clear" w:pos="8743"/>
              <w:tab w:val="right" w:pos="9026" w:leader="dot"/>
            </w:tabs>
            <w:rPr/>
          </w:pPr>
          <w:hyperlink w:anchor="__RefHeading___Toc10745892_73709187">
            <w:r>
              <w:rPr>
                <w:webHidden/>
                <w:rStyle w:val="IndexLink"/>
                <w:rtl w:val="true"/>
              </w:rPr>
              <w:t>إعتبار المندوحة</w:t>
            </w:r>
            <w:r>
              <w:rPr>
                <w:rStyle w:val="IndexLink"/>
                <w:rtl w:val="true"/>
              </w:rPr>
              <w:tab/>
            </w:r>
            <w:r>
              <w:rPr>
                <w:rStyle w:val="IndexLink"/>
              </w:rPr>
              <w:t>249</w:t>
            </w:r>
          </w:hyperlink>
        </w:p>
        <w:p>
          <w:pPr>
            <w:pStyle w:val="Contents2"/>
            <w:tabs>
              <w:tab w:val="clear" w:pos="8743"/>
              <w:tab w:val="right" w:pos="9026" w:leader="dot"/>
            </w:tabs>
            <w:rPr/>
          </w:pPr>
          <w:hyperlink w:anchor="__RefHeading___Toc10745894_73709187">
            <w:r>
              <w:rPr>
                <w:webHidden/>
                <w:rStyle w:val="IndexLink"/>
                <w:rtl w:val="true"/>
              </w:rPr>
              <w:t>حكم ما لو ترك التقيّة ووقف اليوم التاسع</w:t>
            </w:r>
            <w:r>
              <w:rPr>
                <w:rStyle w:val="IndexLink"/>
                <w:rtl w:val="true"/>
              </w:rPr>
              <w:tab/>
            </w:r>
            <w:r>
              <w:rPr>
                <w:rStyle w:val="IndexLink"/>
              </w:rPr>
              <w:t>252</w:t>
            </w:r>
          </w:hyperlink>
        </w:p>
        <w:p>
          <w:pPr>
            <w:pStyle w:val="Contents2"/>
            <w:tabs>
              <w:tab w:val="clear" w:pos="8743"/>
              <w:tab w:val="right" w:pos="9026" w:leader="dot"/>
            </w:tabs>
            <w:rPr/>
          </w:pPr>
          <w:hyperlink w:anchor="__RefHeading___Toc10745896_73709187">
            <w:r>
              <w:rPr>
                <w:webHidden/>
                <w:rStyle w:val="IndexLink"/>
                <w:rtl w:val="true"/>
              </w:rPr>
              <w:t>دلالة دليل السيرة</w:t>
            </w:r>
            <w:r>
              <w:rPr>
                <w:rStyle w:val="IndexLink"/>
                <w:rtl w:val="true"/>
              </w:rPr>
              <w:tab/>
            </w:r>
            <w:r>
              <w:rPr>
                <w:rStyle w:val="IndexLink"/>
              </w:rPr>
              <w:t>255</w:t>
            </w:r>
          </w:hyperlink>
        </w:p>
        <w:p>
          <w:pPr>
            <w:pStyle w:val="Contents2"/>
            <w:tabs>
              <w:tab w:val="clear" w:pos="8743"/>
              <w:tab w:val="right" w:pos="9026" w:leader="dot"/>
            </w:tabs>
            <w:rPr/>
          </w:pPr>
          <w:hyperlink w:anchor="__RefHeading___Toc10745898_73709187">
            <w:r>
              <w:rPr>
                <w:webHidden/>
                <w:rStyle w:val="IndexLink"/>
                <w:rtl w:val="true"/>
              </w:rPr>
              <w:t>رسالة في التقيَّة</w:t>
            </w:r>
            <w:r>
              <w:rPr>
                <w:rStyle w:val="IndexLink"/>
                <w:rtl w:val="true"/>
              </w:rPr>
              <w:tab/>
            </w:r>
            <w:r>
              <w:rPr>
                <w:rStyle w:val="IndexLink"/>
              </w:rPr>
              <w:t>259</w:t>
            </w:r>
          </w:hyperlink>
        </w:p>
        <w:p>
          <w:pPr>
            <w:pStyle w:val="Contents3"/>
            <w:tabs>
              <w:tab w:val="clear" w:pos="8459"/>
              <w:tab w:val="right" w:pos="9026" w:leader="dot"/>
            </w:tabs>
            <w:rPr/>
          </w:pPr>
          <w:hyperlink w:anchor="__RefHeading___Toc10745900_73709187">
            <w:r>
              <w:rPr>
                <w:webHidden/>
                <w:rStyle w:val="IndexLink"/>
                <w:rtl w:val="true"/>
              </w:rPr>
              <w:t>اشارة</w:t>
            </w:r>
            <w:r>
              <w:rPr>
                <w:rStyle w:val="IndexLink"/>
                <w:rtl w:val="true"/>
              </w:rPr>
              <w:tab/>
            </w:r>
            <w:r>
              <w:rPr>
                <w:rStyle w:val="IndexLink"/>
              </w:rPr>
              <w:t>259</w:t>
            </w:r>
          </w:hyperlink>
        </w:p>
        <w:p>
          <w:pPr>
            <w:pStyle w:val="Contents3"/>
            <w:tabs>
              <w:tab w:val="clear" w:pos="8459"/>
              <w:tab w:val="right" w:pos="9026" w:leader="dot"/>
            </w:tabs>
            <w:rPr/>
          </w:pPr>
          <w:hyperlink w:anchor="__RefHeading___Toc10745902_73709187">
            <w:r>
              <w:rPr>
                <w:webHidden/>
                <w:rStyle w:val="IndexLink"/>
                <w:rtl w:val="true"/>
              </w:rPr>
              <w:t>تقديم</w:t>
            </w:r>
            <w:r>
              <w:rPr>
                <w:rStyle w:val="IndexLink"/>
                <w:rtl w:val="true"/>
              </w:rPr>
              <w:tab/>
            </w:r>
            <w:r>
              <w:rPr>
                <w:rStyle w:val="IndexLink"/>
              </w:rPr>
              <w:t>261</w:t>
            </w:r>
          </w:hyperlink>
        </w:p>
        <w:p>
          <w:pPr>
            <w:pStyle w:val="Contents3"/>
            <w:tabs>
              <w:tab w:val="clear" w:pos="8459"/>
              <w:tab w:val="right" w:pos="9026" w:leader="dot"/>
            </w:tabs>
            <w:rPr/>
          </w:pPr>
          <w:hyperlink w:anchor="__RefHeading___Toc10745904_73709187">
            <w:r>
              <w:rPr>
                <w:webHidden/>
                <w:rStyle w:val="IndexLink"/>
                <w:rtl w:val="true"/>
              </w:rPr>
              <w:t>المراد بالتقيّة</w:t>
            </w:r>
            <w:r>
              <w:rPr>
                <w:rStyle w:val="IndexLink"/>
                <w:rtl w:val="true"/>
              </w:rPr>
              <w:tab/>
            </w:r>
            <w:r>
              <w:rPr>
                <w:rStyle w:val="IndexLink"/>
              </w:rPr>
              <w:t>265</w:t>
            </w:r>
          </w:hyperlink>
        </w:p>
        <w:p>
          <w:pPr>
            <w:pStyle w:val="Contents3"/>
            <w:tabs>
              <w:tab w:val="clear" w:pos="8459"/>
              <w:tab w:val="right" w:pos="9026" w:leader="dot"/>
            </w:tabs>
            <w:rPr/>
          </w:pPr>
          <w:hyperlink w:anchor="__RefHeading___Toc10745906_73709187">
            <w:r>
              <w:rPr>
                <w:webHidden/>
                <w:rStyle w:val="IndexLink"/>
                <w:rtl w:val="true"/>
              </w:rPr>
              <w:t>حكم التقيّة تكليفاً</w:t>
            </w:r>
            <w:r>
              <w:rPr>
                <w:rStyle w:val="IndexLink"/>
                <w:rtl w:val="true"/>
              </w:rPr>
              <w:tab/>
            </w:r>
            <w:r>
              <w:rPr>
                <w:rStyle w:val="IndexLink"/>
              </w:rPr>
              <w:t>268</w:t>
            </w:r>
          </w:hyperlink>
        </w:p>
        <w:p>
          <w:pPr>
            <w:pStyle w:val="Contents3"/>
            <w:tabs>
              <w:tab w:val="clear" w:pos="8459"/>
              <w:tab w:val="right" w:pos="9026" w:leader="dot"/>
            </w:tabs>
            <w:rPr/>
          </w:pPr>
          <w:hyperlink w:anchor="__RefHeading___Toc10745908_73709187">
            <w:r>
              <w:rPr>
                <w:webHidden/>
                <w:rStyle w:val="IndexLink"/>
                <w:rtl w:val="true"/>
              </w:rPr>
              <w:t>التقيّة الإكراهيّة</w:t>
            </w:r>
            <w:r>
              <w:rPr>
                <w:rStyle w:val="IndexLink"/>
                <w:rtl w:val="true"/>
              </w:rPr>
              <w:tab/>
            </w:r>
            <w:r>
              <w:rPr>
                <w:rStyle w:val="IndexLink"/>
              </w:rPr>
              <w:t>270</w:t>
            </w:r>
          </w:hyperlink>
        </w:p>
        <w:p>
          <w:pPr>
            <w:pStyle w:val="Contents3"/>
            <w:tabs>
              <w:tab w:val="clear" w:pos="8459"/>
              <w:tab w:val="right" w:pos="9026" w:leader="dot"/>
            </w:tabs>
            <w:rPr/>
          </w:pPr>
          <w:hyperlink w:anchor="__RefHeading___Toc10745910_73709187">
            <w:r>
              <w:rPr>
                <w:webHidden/>
                <w:rStyle w:val="IndexLink"/>
                <w:rtl w:val="true"/>
              </w:rPr>
              <w:t>التقيّة الصادرة عن الخوف</w:t>
            </w:r>
            <w:r>
              <w:rPr>
                <w:rStyle w:val="IndexLink"/>
                <w:rtl w:val="true"/>
              </w:rPr>
              <w:tab/>
            </w:r>
            <w:r>
              <w:rPr>
                <w:rStyle w:val="IndexLink"/>
              </w:rPr>
              <w:t>288</w:t>
            </w:r>
          </w:hyperlink>
        </w:p>
        <w:p>
          <w:pPr>
            <w:pStyle w:val="Contents3"/>
            <w:tabs>
              <w:tab w:val="clear" w:pos="8459"/>
              <w:tab w:val="right" w:pos="9026" w:leader="dot"/>
            </w:tabs>
            <w:rPr/>
          </w:pPr>
          <w:hyperlink w:anchor="__RefHeading___Toc10745912_73709187">
            <w:r>
              <w:rPr>
                <w:webHidden/>
                <w:rStyle w:val="IndexLink"/>
                <w:rtl w:val="true"/>
              </w:rPr>
              <w:t>الأحكام المستخرجة</w:t>
            </w:r>
            <w:r>
              <w:rPr>
                <w:rStyle w:val="IndexLink"/>
                <w:rtl w:val="true"/>
              </w:rPr>
              <w:tab/>
            </w:r>
            <w:r>
              <w:rPr>
                <w:rStyle w:val="IndexLink"/>
              </w:rPr>
              <w:t>290</w:t>
            </w:r>
          </w:hyperlink>
        </w:p>
        <w:p>
          <w:pPr>
            <w:pStyle w:val="Contents3"/>
            <w:tabs>
              <w:tab w:val="clear" w:pos="8459"/>
              <w:tab w:val="right" w:pos="9026" w:leader="dot"/>
            </w:tabs>
            <w:rPr/>
          </w:pPr>
          <w:hyperlink w:anchor="__RefHeading___Toc10745914_73709187">
            <w:r>
              <w:rPr>
                <w:webHidden/>
                <w:rStyle w:val="IndexLink"/>
                <w:rtl w:val="true"/>
              </w:rPr>
              <w:t>التقيّة لغرض الكتمان</w:t>
            </w:r>
            <w:r>
              <w:rPr>
                <w:rStyle w:val="IndexLink"/>
                <w:rtl w:val="true"/>
              </w:rPr>
              <w:tab/>
            </w:r>
            <w:r>
              <w:rPr>
                <w:rStyle w:val="IndexLink"/>
              </w:rPr>
              <w:t>292</w:t>
            </w:r>
          </w:hyperlink>
        </w:p>
        <w:p>
          <w:pPr>
            <w:pStyle w:val="Contents3"/>
            <w:tabs>
              <w:tab w:val="clear" w:pos="8459"/>
              <w:tab w:val="right" w:pos="9026" w:leader="dot"/>
            </w:tabs>
            <w:rPr/>
          </w:pPr>
          <w:hyperlink w:anchor="__RefHeading___Toc10745916_73709187">
            <w:r>
              <w:rPr>
                <w:webHidden/>
                <w:rStyle w:val="IndexLink"/>
                <w:rtl w:val="true"/>
              </w:rPr>
              <w:t>التقيَّة المداراتيّة</w:t>
            </w:r>
            <w:r>
              <w:rPr>
                <w:rStyle w:val="IndexLink"/>
                <w:rtl w:val="true"/>
              </w:rPr>
              <w:tab/>
            </w:r>
            <w:r>
              <w:rPr>
                <w:rStyle w:val="IndexLink"/>
              </w:rPr>
              <w:t>299</w:t>
            </w:r>
          </w:hyperlink>
        </w:p>
        <w:p>
          <w:pPr>
            <w:pStyle w:val="Contents3"/>
            <w:tabs>
              <w:tab w:val="clear" w:pos="8459"/>
              <w:tab w:val="right" w:pos="9026" w:leader="dot"/>
            </w:tabs>
            <w:rPr/>
          </w:pPr>
          <w:hyperlink w:anchor="__RefHeading___Toc10745918_73709187">
            <w:r>
              <w:rPr>
                <w:webHidden/>
                <w:rStyle w:val="IndexLink"/>
                <w:rtl w:val="true"/>
              </w:rPr>
              <w:t>حكم التقيّة وضعاً</w:t>
            </w:r>
            <w:r>
              <w:rPr>
                <w:rStyle w:val="IndexLink"/>
                <w:rtl w:val="true"/>
              </w:rPr>
              <w:tab/>
            </w:r>
            <w:r>
              <w:rPr>
                <w:rStyle w:val="IndexLink"/>
              </w:rPr>
              <w:t>303</w:t>
            </w:r>
          </w:hyperlink>
        </w:p>
        <w:p>
          <w:pPr>
            <w:pStyle w:val="Contents3"/>
            <w:tabs>
              <w:tab w:val="clear" w:pos="8459"/>
              <w:tab w:val="right" w:pos="9026" w:leader="dot"/>
            </w:tabs>
            <w:rPr/>
          </w:pPr>
          <w:hyperlink w:anchor="__RefHeading___Toc10745920_73709187">
            <w:r>
              <w:rPr>
                <w:webHidden/>
                <w:rStyle w:val="IndexLink"/>
                <w:rtl w:val="true"/>
              </w:rPr>
              <w:t>التقيّة في بيان الحكم</w:t>
            </w:r>
            <w:r>
              <w:rPr>
                <w:rStyle w:val="IndexLink"/>
                <w:rtl w:val="true"/>
              </w:rPr>
              <w:tab/>
            </w:r>
            <w:r>
              <w:rPr>
                <w:rStyle w:val="IndexLink"/>
              </w:rPr>
              <w:t>305</w:t>
            </w:r>
          </w:hyperlink>
        </w:p>
        <w:p>
          <w:pPr>
            <w:pStyle w:val="Contents3"/>
            <w:tabs>
              <w:tab w:val="clear" w:pos="8459"/>
              <w:tab w:val="right" w:pos="9026" w:leader="dot"/>
            </w:tabs>
            <w:rPr/>
          </w:pPr>
          <w:hyperlink w:anchor="__RefHeading___Toc10745922_73709187">
            <w:r>
              <w:rPr>
                <w:webHidden/>
                <w:rStyle w:val="IndexLink"/>
                <w:rtl w:val="true"/>
              </w:rPr>
              <w:t>التقيَّة في ترك الواجب</w:t>
            </w:r>
            <w:r>
              <w:rPr>
                <w:rStyle w:val="IndexLink"/>
                <w:rtl w:val="true"/>
              </w:rPr>
              <w:tab/>
            </w:r>
            <w:r>
              <w:rPr>
                <w:rStyle w:val="IndexLink"/>
              </w:rPr>
              <w:t>306</w:t>
            </w:r>
          </w:hyperlink>
        </w:p>
        <w:p>
          <w:pPr>
            <w:pStyle w:val="Contents3"/>
            <w:tabs>
              <w:tab w:val="clear" w:pos="8459"/>
              <w:tab w:val="right" w:pos="9026" w:leader="dot"/>
            </w:tabs>
            <w:rPr/>
          </w:pPr>
          <w:hyperlink w:anchor="__RefHeading___Toc10745924_73709187">
            <w:r>
              <w:rPr>
                <w:webHidden/>
                <w:rStyle w:val="IndexLink"/>
                <w:rtl w:val="true"/>
              </w:rPr>
              <w:t>التقيَّة في الموضوع</w:t>
            </w:r>
            <w:r>
              <w:rPr>
                <w:rStyle w:val="IndexLink"/>
                <w:rtl w:val="true"/>
              </w:rPr>
              <w:tab/>
            </w:r>
            <w:r>
              <w:rPr>
                <w:rStyle w:val="IndexLink"/>
              </w:rPr>
              <w:t>308</w:t>
            </w:r>
          </w:hyperlink>
        </w:p>
        <w:p>
          <w:pPr>
            <w:pStyle w:val="Contents3"/>
            <w:tabs>
              <w:tab w:val="clear" w:pos="8459"/>
              <w:tab w:val="right" w:pos="9026" w:leader="dot"/>
            </w:tabs>
            <w:rPr/>
          </w:pPr>
          <w:hyperlink w:anchor="__RefHeading___Toc10745926_73709187">
            <w:r>
              <w:rPr>
                <w:webHidden/>
                <w:rStyle w:val="IndexLink"/>
                <w:rtl w:val="true"/>
              </w:rPr>
              <w:t>إجزاء العمل على طبق التقيّة</w:t>
            </w:r>
            <w:r>
              <w:rPr>
                <w:rStyle w:val="IndexLink"/>
                <w:rtl w:val="true"/>
              </w:rPr>
              <w:tab/>
            </w:r>
            <w:r>
              <w:rPr>
                <w:rStyle w:val="IndexLink"/>
              </w:rPr>
              <w:t>310</w:t>
            </w:r>
          </w:hyperlink>
        </w:p>
        <w:p>
          <w:pPr>
            <w:pStyle w:val="Contents3"/>
            <w:tabs>
              <w:tab w:val="clear" w:pos="8459"/>
              <w:tab w:val="right" w:pos="9026" w:leader="dot"/>
            </w:tabs>
            <w:rPr/>
          </w:pPr>
          <w:hyperlink w:anchor="__RefHeading___Toc10745928_73709187">
            <w:r>
              <w:rPr>
                <w:webHidden/>
                <w:rStyle w:val="IndexLink"/>
                <w:rtl w:val="true"/>
              </w:rPr>
              <w:t>الوجوه الأُخر للإجزاء ونقدها</w:t>
            </w:r>
            <w:r>
              <w:rPr>
                <w:rStyle w:val="IndexLink"/>
                <w:rtl w:val="true"/>
              </w:rPr>
              <w:tab/>
            </w:r>
            <w:r>
              <w:rPr>
                <w:rStyle w:val="IndexLink"/>
              </w:rPr>
              <w:t>313</w:t>
            </w:r>
          </w:hyperlink>
        </w:p>
        <w:p>
          <w:pPr>
            <w:pStyle w:val="Contents3"/>
            <w:tabs>
              <w:tab w:val="clear" w:pos="8459"/>
              <w:tab w:val="right" w:pos="9026" w:leader="dot"/>
            </w:tabs>
            <w:rPr/>
          </w:pPr>
          <w:hyperlink w:anchor="__RefHeading___Toc10745930_73709187">
            <w:r>
              <w:rPr>
                <w:webHidden/>
                <w:rStyle w:val="IndexLink"/>
                <w:rtl w:val="true"/>
              </w:rPr>
              <w:t>ترتّب الآثار الأخر على العمل بالتقيّة</w:t>
            </w:r>
            <w:r>
              <w:rPr>
                <w:rStyle w:val="IndexLink"/>
                <w:rtl w:val="true"/>
              </w:rPr>
              <w:tab/>
            </w:r>
            <w:r>
              <w:rPr>
                <w:rStyle w:val="IndexLink"/>
              </w:rPr>
              <w:t>316</w:t>
            </w:r>
          </w:hyperlink>
        </w:p>
        <w:p>
          <w:pPr>
            <w:pStyle w:val="Contents3"/>
            <w:tabs>
              <w:tab w:val="clear" w:pos="8459"/>
              <w:tab w:val="right" w:pos="9026" w:leader="dot"/>
            </w:tabs>
            <w:rPr/>
          </w:pPr>
          <w:hyperlink w:anchor="__RefHeading___Toc10745932_73709187">
            <w:r>
              <w:rPr>
                <w:webHidden/>
                <w:rStyle w:val="IndexLink"/>
                <w:rtl w:val="true"/>
              </w:rPr>
              <w:t>اعتبار المندوحة</w:t>
            </w:r>
            <w:r>
              <w:rPr>
                <w:rStyle w:val="IndexLink"/>
                <w:rtl w:val="true"/>
              </w:rPr>
              <w:tab/>
            </w:r>
            <w:r>
              <w:rPr>
                <w:rStyle w:val="IndexLink"/>
              </w:rPr>
              <w:t>320</w:t>
            </w:r>
          </w:hyperlink>
        </w:p>
        <w:p>
          <w:pPr>
            <w:pStyle w:val="Contents3"/>
            <w:tabs>
              <w:tab w:val="clear" w:pos="8459"/>
              <w:tab w:val="right" w:pos="9026" w:leader="dot"/>
            </w:tabs>
            <w:rPr/>
          </w:pPr>
          <w:hyperlink w:anchor="__RefHeading___Toc10745934_73709187">
            <w:r>
              <w:rPr>
                <w:webHidden/>
                <w:rStyle w:val="IndexLink"/>
                <w:rtl w:val="true"/>
              </w:rPr>
              <w:t>حكم العبادة مع ترك التقيّة</w:t>
            </w:r>
            <w:r>
              <w:rPr>
                <w:rStyle w:val="IndexLink"/>
                <w:rtl w:val="true"/>
              </w:rPr>
              <w:tab/>
            </w:r>
            <w:r>
              <w:rPr>
                <w:rStyle w:val="IndexLink"/>
              </w:rPr>
              <w:t>325</w:t>
            </w:r>
          </w:hyperlink>
        </w:p>
        <w:p>
          <w:pPr>
            <w:pStyle w:val="Contents3"/>
            <w:tabs>
              <w:tab w:val="clear" w:pos="8459"/>
              <w:tab w:val="right" w:pos="9026" w:leader="dot"/>
            </w:tabs>
            <w:rPr/>
          </w:pPr>
          <w:hyperlink w:anchor="__RefHeading___Toc10745936_73709187">
            <w:r>
              <w:rPr>
                <w:webHidden/>
                <w:rStyle w:val="IndexLink"/>
                <w:rtl w:val="true"/>
              </w:rPr>
              <w:t>التقيّة عن غير المخالف</w:t>
            </w:r>
            <w:r>
              <w:rPr>
                <w:rStyle w:val="IndexLink"/>
                <w:rtl w:val="true"/>
              </w:rPr>
              <w:tab/>
            </w:r>
            <w:r>
              <w:rPr>
                <w:rStyle w:val="IndexLink"/>
              </w:rPr>
              <w:t>328</w:t>
            </w:r>
          </w:hyperlink>
        </w:p>
        <w:p>
          <w:pPr>
            <w:pStyle w:val="Contents2"/>
            <w:tabs>
              <w:tab w:val="clear" w:pos="8743"/>
              <w:tab w:val="right" w:pos="9026" w:leader="dot"/>
            </w:tabs>
            <w:rPr/>
          </w:pPr>
          <w:hyperlink w:anchor="__RefHeading___Toc10745938_73709187">
            <w:r>
              <w:rPr>
                <w:webHidden/>
                <w:rStyle w:val="IndexLink"/>
                <w:rtl w:val="true"/>
              </w:rPr>
              <w:t>فهرس الموضوعات</w:t>
            </w:r>
            <w:r>
              <w:rPr>
                <w:rStyle w:val="IndexLink"/>
                <w:rtl w:val="true"/>
              </w:rPr>
              <w:tab/>
            </w:r>
            <w:r>
              <w:rPr>
                <w:rStyle w:val="IndexLink"/>
              </w:rPr>
              <w:t>330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10_104097"/>
      <w:bookmarkStart w:id="1" w:name="pg11810_104097"/>
      <w:bookmarkEnd w:id="1"/>
    </w:p>
    <w:p>
      <w:pPr>
        <w:pStyle w:val="Heading2"/>
        <w:numPr>
          <w:ilvl w:val="1"/>
          <w:numId w:val="1"/>
        </w:numPr>
        <w:rPr/>
      </w:pPr>
      <w:bookmarkStart w:id="2" w:name="pg11810_104097"/>
      <w:bookmarkStart w:id="3" w:name="__RefHeading___Toc10745760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سیدمحمدصادق،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محمدصادق الحسینی‌الروحانی؛ باشراف قاسم‌محمد مصری‌العاملی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دانش،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4200000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6384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شرح و تعلیقی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علامه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قاسم محمد مصری،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20214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3334286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745762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الصادق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سماحة آية الله العظمى السيّد محمدصادق الحسينى الروحانى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 للّه الذي أوجب الحَجّ تشيّيداً للدِّين، وجَعَله من القواعد التي عليها بناء الإسلام، والصّلاة على محمّدٍ المبعوث إلى كافّة الأنام، وعلى آله هُداة الخلق، وأعلام الحَقّ‌، واللّعن الدائم على أعدائهم إلى يوم الدِّين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فهذا هو الجزء السابع عشر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وفّقني اللّه سبحانه لطبعه، راجياً منه تعالى التوفيق لنشر بقيّة الأجزاء، إنّه وليّ التوفيق</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810_104103"/>
      <w:bookmarkStart w:id="8" w:name="pg11810_104103"/>
      <w:bookmarkEnd w:id="8"/>
    </w:p>
    <w:p>
      <w:pPr>
        <w:pStyle w:val="BookText"/>
        <w:rPr/>
      </w:pPr>
      <w:bookmarkStart w:id="9" w:name="pg11810_104103"/>
      <w:bookmarkEnd w:id="9"/>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واجبٌ مرّة في العُمرة المتمتّع بها، ومرّتين في حَجّه، وفي كلّ واحدٍ من عُمرة الباقيين مرّتين، وكذا في حجّهما، ويشترط فيه الطهارة</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10745764_73709187"/>
      <w:bookmarkStart w:id="11" w:name="_Toc3"/>
      <w:bookmarkEnd w:id="10"/>
      <w:r>
        <w:rPr>
          <w:rtl w:val="true"/>
        </w:rPr>
        <w:t>الطواف</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عند بيان صورة التمتّع وأخويه أنّه واجبٌ في كلّ من العُمرة والحَجّ بأقسامهما إجماعاً، بل ضرورة</w:t>
      </w:r>
      <w:r>
        <w:rPr>
          <w:rStyle w:val="FootnoteAnchor"/>
          <w:rtl w:val="true"/>
        </w:rPr>
        <w:footnoteReference w:id="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واجبٌ مرّة في العُمرة المتمتّع بها، ومرّتين في حجّه، وفي كلّ واحدٍ من عُمرة الباقيين مرّتين، وكذا في حجّهما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تقدّمت النصوص المستفيضة المتضمّنة لذلك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المقام إنّما هو في واجباته، ومستحبّاته، وأحكامه، وعليه فهاهنا 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واجباته، وفيه مقامان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أفعاله</w:t>
      </w:r>
      <w:r>
        <w:rPr>
          <w:rFonts w:eastAsia="Amiri" w:cs="Amiri" w:ascii="Amiri" w:hAnsi="Amiri"/>
          <w:color w:val="111111"/>
          <w:sz w:val="28"/>
          <w:szCs w:val="28"/>
          <w:rtl w:val="true"/>
          <w:lang w:bidi="ar-SA"/>
        </w:rPr>
        <w:t>.</w:t>
      </w:r>
    </w:p>
    <w:p>
      <w:pPr>
        <w:pStyle w:val="Heading2"/>
        <w:numPr>
          <w:ilvl w:val="1"/>
          <w:numId w:val="1"/>
        </w:numPr>
        <w:rPr/>
      </w:pPr>
      <w:bookmarkStart w:id="12" w:name="__RefHeading___Toc10745766_73709187"/>
      <w:bookmarkStart w:id="13" w:name="_Toc4"/>
      <w:bookmarkEnd w:id="12"/>
      <w:r>
        <w:rPr>
          <w:rtl w:val="true"/>
        </w:rPr>
        <w:t>اعتبار الطهارة في الطواف</w:t>
      </w:r>
      <w:bookmarkEnd w:id="13"/>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الحَدَث الأكبر والأصغر في الطواف الواجب، واشتراطها فيه ممّا لا خلاف فيه بين الأصحاب، كما صرّح به جماعة، بل عليه الإجماع محقّقاً ومحكيّاً</w:t>
      </w:r>
      <w:r>
        <w:rPr>
          <w:rStyle w:val="FootnoteAnchor"/>
          <w:rtl w:val="true"/>
        </w:rPr>
        <w:footnoteReference w:id="3"/>
      </w:r>
      <w:r>
        <w:rPr>
          <w:rFonts w:ascii="Amiri" w:hAnsi="Amiri" w:eastAsia="Amiri" w:cs="Amiri"/>
          <w:color w:val="111111"/>
          <w:sz w:val="28"/>
          <w:sz w:val="28"/>
          <w:szCs w:val="28"/>
          <w:rtl w:val="true"/>
          <w:lang w:bidi="ar-SA"/>
        </w:rPr>
        <w:t xml:space="preserve">،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بإجماعنا الظاهر المصرّح به في كلام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إليه علمائنا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علمائنا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وإطلاق جملة من العبارات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الطواف المندوب كماعن الحلبي</w:t>
      </w:r>
      <w:r>
        <w:rPr>
          <w:rStyle w:val="FootnoteAnchor"/>
          <w:rtl w:val="true"/>
        </w:rPr>
        <w:footnoteReference w:id="8"/>
      </w:r>
      <w:r>
        <w:rPr>
          <w:rFonts w:ascii="Amiri" w:hAnsi="Amiri" w:eastAsia="Amiri" w:cs="Amiri"/>
          <w:color w:val="111111"/>
          <w:sz w:val="28"/>
          <w:sz w:val="28"/>
          <w:szCs w:val="28"/>
          <w:rtl w:val="true"/>
          <w:lang w:bidi="ar-SA"/>
        </w:rPr>
        <w:t>، وصريح جملةٍ منها الاختصاص بالواجب، بل هو المشهور بين الأصحاب</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ظاهر في اشتراطها فيه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يقضي المناسك كلّها على غير وضوء إلّاالطواف بالبيت، والوضوء أفضل</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جعفر، عن أخيه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طاف</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بالبيت وهو جُنُب، فذكر وهو في الطواف‌؟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الطواف ولا يعتدّ بشيء ممّا 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رجلٍ طاف ثمّ ذكر أنّه على غير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طوافه ولا يعتدّ به</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ظاهر في عدم اشتراطها فيه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زيد الشحّام،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طاف بالبيت على غير وضوء؟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من هذه الطائفة خبر أبي حمزة،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أينسك المناسك وهو على غير وضوء؟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إلّاالطواف بالبيت، فإنّ فيه صلاة</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ظاهر التعليل أنّ الطهارة شرط في صلاته دون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اشتراطها في الطواف الواجب دون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عبيد بن زرارة، عن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طاف على غير وضوء؟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تطوّعاً فليتوضّأ وليصلِّ‌</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يطوف الرّجل النافلة على غير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4" w:name="pg11810_104106"/>
    </w:p>
    <w:p>
      <w:pPr>
        <w:pStyle w:val="BookText"/>
        <w:rPr/>
      </w:pPr>
      <w:bookmarkEnd w:id="14"/>
      <w:r>
        <w:rPr>
          <w:rFonts w:ascii="Amiri" w:hAnsi="Amiri" w:eastAsia="Amiri" w:cs="Amiri"/>
          <w:color w:val="111111"/>
          <w:sz w:val="28"/>
          <w:sz w:val="28"/>
          <w:szCs w:val="28"/>
          <w:rtl w:val="true"/>
          <w:lang w:bidi="ar-SA"/>
        </w:rPr>
        <w:t>وضوء ثمّ يتوضّأ ويُصلّي، فإنْ طاف متعمّداً على غير وضوء، فليتوضّأ وليصلِّ‌، ومن طاف تطوّعاً وصلّى ركعتين على غير وضوء فليعد الركعتين ولا يعد الطواف</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طاف طواف الفريضة، وهو على غير طهور؟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ويعيد طوافه، وإنْ كان تطوّعاً توضّأ وصلّى ركعتين</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النصوص يقتضي تقيّيد الأولتين بالثالثة، وتكون النتيجة حينئذٍ اشتراطها في الواجب منه دون المندوب، كما هو المشهور</w:t>
      </w:r>
      <w:r>
        <w:rPr>
          <w:rFonts w:eastAsia="Amiri" w:cs="Amiri" w:ascii="Amiri" w:hAnsi="Amiri"/>
          <w:color w:val="111111"/>
          <w:sz w:val="28"/>
          <w:szCs w:val="28"/>
          <w:rtl w:val="true"/>
          <w:lang w:bidi="ar-SA"/>
        </w:rPr>
        <w:t>.</w:t>
      </w:r>
    </w:p>
    <w:p>
      <w:pPr>
        <w:pStyle w:val="Heading2"/>
        <w:numPr>
          <w:ilvl w:val="1"/>
          <w:numId w:val="1"/>
        </w:numPr>
        <w:rPr/>
      </w:pPr>
      <w:bookmarkStart w:id="15" w:name="__RefHeading___Toc10745768_73709187"/>
      <w:bookmarkStart w:id="16" w:name="_Toc5"/>
      <w:bookmarkEnd w:id="15"/>
      <w:r>
        <w:rPr>
          <w:rtl w:val="true"/>
        </w:rPr>
        <w:t>حكم طواف المُحدِث بالحَدَث الأكبر</w:t>
      </w:r>
      <w:bookmarkEnd w:id="16"/>
    </w:p>
    <w:p>
      <w:pPr>
        <w:pStyle w:val="BookText"/>
        <w:rPr/>
      </w:pPr>
      <w:r>
        <w:rPr>
          <w:rFonts w:ascii="Amiri" w:hAnsi="Amiri" w:eastAsia="Amiri" w:cs="Amiri"/>
          <w:color w:val="111111"/>
          <w:sz w:val="28"/>
          <w:sz w:val="28"/>
          <w:szCs w:val="28"/>
          <w:rtl w:val="true"/>
          <w:lang w:bidi="ar-SA"/>
        </w:rPr>
        <w:t>وتمام البحث في هذه المسألة يتحقّق بالبحث في 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لو كان الطوافُ جزء الحَجّ المندوب أو العُمرة المندوبة، اعتبار الطهارة فيه، لأنّ ظاهر النصوص أنّ الميزان هو كون الطواف واجباً أو مندوباً لنفسه، والطواف في الموردين واجبٌ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الطائف مُحدِثاً بالحَدَث الأكبر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عالماً، بطل طوافه المندوب، لا لاشتراطه بالطهارة، بل لأنّ الكون في المسجد حرامٌ عليه، فيتّحد المنهيّ عنه مع جزءٍ من المأمور به، إذ الطواف مركّبٌ من الكون في المسجد، والدوران حول البيت، فلا مناص عن القول بالامتناع، فيقدّم جانب النهي وهو واضح، فيكون الطواف منهيّاً عنه وخارجاً عن المأمور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اجتماع الأمر والنهي إذا كان المأمور به والمنهيّ عنه عنوانين منطبقين على شيء واحد ووجود فارد، وكان التركيب بينهما اتّحاديّاً، فلا مناص عن القول بامتناع اجتماع الأمر والنهي، كما حقّقناه في الاُصول</w:t>
      </w:r>
      <w:r>
        <w:rPr>
          <w:rStyle w:val="FootnoteAnchor"/>
          <w:rtl w:val="true"/>
        </w:rPr>
        <w:footnoteReference w:id="17"/>
      </w:r>
      <w:r>
        <w:rPr>
          <w:rFonts w:ascii="Amiri" w:hAnsi="Amiri" w:eastAsia="Amiri" w:cs="Amiri"/>
          <w:color w:val="111111"/>
          <w:sz w:val="28"/>
          <w:sz w:val="28"/>
          <w:szCs w:val="28"/>
          <w:rtl w:val="true"/>
          <w:lang w:bidi="ar-SA"/>
        </w:rPr>
        <w:t>، فحينئذٍ يقع التعارض بين إطلاقي دليلي الأمر والنهي، ولابدّ من تقديم أحدهما، فلو قُدِّم الإطلاق في طرف النهي، خرج المجمع عن حيّز الأمر واقعاً، ويكون متمحّضاً في الحرمة، فلا يقع صحيحاً، وبما أنّ الإطلاق في جانب النهي شمولي فيقدّم هو دائماً، وتمام الكلام في ذلك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فنقول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 الجُنُب، فبما أنّ الطواف عنوانٌ منطبق على الكون في المسجد، والمرور فيه بنحوٍ خاص، ونفس هذين العنوانين محرّمان على الحائض، فيتّحد المأمور به والمنهيّ عنه وجوداً، فيقدّم النهي، فطواف الجُنُب لا تنطبق عليه الطبيعة المأمور بها فيقع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الطواف بالبيت حقيقته الحركة القائمة بالطائف، وليس الكون في المسجد عينها ولا جزءً منها، وإنْ كان ملازماً معها، فلا مانع من كونه مأموراً به مع النهي عن الكون في المسجد، وحيث إنّهما متلازمان، فيقع التزاحم بين الأمر والنهي، فيقدّم جانب النهي ويسقط الأمر، ولكن بما أنّ المختار صحّة الترتّب فيمكن القول بالصحّة حينئذٍ للترتّب، وعليه فلو كان جاهلاً بالجنابة فطاف بالبيت ندباً، صحَّ طوافه، ولا شيء عليه حتّى الإثم، لفرض الجهل بالموضوع</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ظهر تماميّة ما أفاده سيّد مشايخنا رحمه الله</w:t>
      </w:r>
      <w:r>
        <w:rPr>
          <w:rStyle w:val="FootnoteAnchor"/>
          <w:rtl w:val="true"/>
        </w:rPr>
        <w:footnoteReference w:id="18"/>
      </w:r>
      <w:r>
        <w:rPr>
          <w:rFonts w:ascii="IRNazanin" w:hAnsi="IRNazanin" w:eastAsia="IRNazanin"/>
          <w:color w:val="111111"/>
          <w:sz w:val="28"/>
          <w:sz w:val="28"/>
          <w:szCs w:val="28"/>
          <w:rtl w:val="true"/>
          <w:lang w:bidi="fa-IR"/>
        </w:rPr>
        <w:t>من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طاف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ندباً فتبيّن كونه جُنُباً، ففي صحّته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أنّه لكونه عين الدخول في المسجد، يكون منهيّاً عنه فى الواقع فلايصحّ‌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أنّ مفهوم الطواف أعمٌّ من الكون في المسجد من وجه، وإنْ كان أخصّ من الصلاة بحسب الخارج، فالنهيّ عنه مع الكون في المسجد، والفرض أنّه لأجل الجهل بالحيض مرتفعٌ فيصحّ‌، وهو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ممّا ذكرناه حكم ما لو نسي الجنابة فطاف، فإنّه لا إشكال في صحّة طوافه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الطواف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الطواف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فسادة مع العلم والعمد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الجهل والنيسان فقد يتوهّم البناء على الصحّة، لحديث رفع القلم، ولكن قد حُقّق في محلّه أنّ حديث الرفع رافعٌ للتكليف لا مثبتٌ له، فلا يصلح لإثبات صحّة المأتي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كلّه ظهر تماميّة ما أفاده الشيخ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طاف على غير وضوء أو طاف جُنُباً، فإنْ كان طوافه طواف الفريضه، فليعد، وإنْ كان طواف السُنّة توضّأ أو اغتسل فصلّى ركعتين، وليس عليه إعادة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جُنُباً أو على غير وضوء، ولم يجد الماء في الوقت المضروب للطواف، تيمّم وطاف وصحَّ طوافه، لعموم دليل إباحة الترابيّة ما تبيحه المائيّة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نُسب إلى فخر المحقّقين</w:t>
      </w:r>
      <w:r>
        <w:rPr>
          <w:rStyle w:val="FootnoteAnchor"/>
          <w:rtl w:val="true"/>
        </w:rPr>
        <w:footnoteReference w:id="20"/>
      </w:r>
      <w:r>
        <w:rPr>
          <w:rFonts w:ascii="Amiri" w:hAnsi="Amiri" w:eastAsia="Amiri" w:cs="Amiri"/>
          <w:color w:val="111111"/>
          <w:sz w:val="28"/>
          <w:sz w:val="28"/>
          <w:szCs w:val="28"/>
          <w:rtl w:val="true"/>
          <w:lang w:bidi="ar-SA"/>
        </w:rPr>
        <w:t xml:space="preserve">ابن المصنّف رحمه الله أنّه منع من استباحة اللّبث في المساجد، ودخول المسجدين بها، وأفاد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مقتضاه عدم استباحه الطواف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الكلام فيما أفاده فخر المحقّقين في الأجزاء الاُولى من كتابنا هذا في مبحث التيمّم</w:t>
      </w:r>
      <w:r>
        <w:rPr>
          <w:rStyle w:val="FootnoteAnchor"/>
          <w:rtl w:val="true"/>
        </w:rPr>
        <w:footnoteReference w:id="23"/>
      </w:r>
      <w:r>
        <w:rPr>
          <w:rFonts w:ascii="Amiri" w:hAnsi="Amiri" w:eastAsia="Amiri" w:cs="Amiri"/>
          <w:color w:val="111111"/>
          <w:sz w:val="28"/>
          <w:sz w:val="28"/>
          <w:szCs w:val="28"/>
          <w:rtl w:val="true"/>
          <w:lang w:bidi="ar-SA"/>
        </w:rPr>
        <w:t>، وبيّنا هناك أنّه لا وجه للمنع منها، وعلى القول بالمنع، ليس مقتضاه عدم استباحه الطواف به، لما مرّ من أنّ الطواف غير الكون في المسجد، وعليه فيقع التزاحم بين الأمر بالطواف والنهي عن الكون في المسجد، وحيثُ لا يكون أهميّة أحدهما مُحرزة فيحكم بالتخيير، فله أنْ يتيمّم ويطوف ويصحّ طوافه حينئذٍ، واللّه العالم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7" w:name="pg11810_104110"/>
    </w:p>
    <w:p>
      <w:pPr>
        <w:pStyle w:val="BookText"/>
        <w:rPr/>
      </w:pPr>
      <w:bookmarkEnd w:id="17"/>
      <w:r>
        <w:rPr>
          <w:rFonts w:ascii="Amiri" w:hAnsi="Amiri" w:eastAsia="Amiri" w:cs="Amiri"/>
          <w:color w:val="111111"/>
          <w:sz w:val="28"/>
          <w:sz w:val="28"/>
          <w:szCs w:val="28"/>
          <w:rtl w:val="true"/>
          <w:lang w:bidi="ar-SA"/>
        </w:rPr>
        <w:t>وإزالة النجاسة عن الثوب والبدن</w:t>
      </w:r>
    </w:p>
    <w:p>
      <w:pPr>
        <w:pStyle w:val="Heading2"/>
        <w:numPr>
          <w:ilvl w:val="1"/>
          <w:numId w:val="1"/>
        </w:numPr>
        <w:rPr/>
      </w:pPr>
      <w:bookmarkStart w:id="18" w:name="__RefHeading___Toc10745770_73709187"/>
      <w:bookmarkStart w:id="19" w:name="_Toc6"/>
      <w:bookmarkEnd w:id="18"/>
      <w:r>
        <w:rPr>
          <w:rtl w:val="true"/>
        </w:rPr>
        <w:t>إزالة النجاسة من شرائط الطواف</w:t>
      </w:r>
      <w:bookmarkEnd w:id="19"/>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البحث فيه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إزالة النجاسة عن الثوب والبدن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وجوبها في الواجب والمندوب، كما عن الأكثر</w:t>
      </w:r>
      <w:r>
        <w:rPr>
          <w:rStyle w:val="FootnoteAnchor"/>
          <w:rtl w:val="true"/>
        </w:rPr>
        <w:footnoteReference w:id="24"/>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الإسكافي</w:t>
      </w:r>
      <w:r>
        <w:rPr>
          <w:rStyle w:val="FootnoteAnchor"/>
          <w:rtl w:val="true"/>
        </w:rPr>
        <w:footnoteReference w:id="26"/>
      </w:r>
      <w:r>
        <w:rPr>
          <w:rFonts w:ascii="Amiri" w:hAnsi="Amiri" w:eastAsia="Amiri" w:cs="Amiri"/>
          <w:color w:val="111111"/>
          <w:sz w:val="28"/>
          <w:sz w:val="28"/>
          <w:szCs w:val="28"/>
          <w:rtl w:val="true"/>
          <w:lang w:bidi="ar-SA"/>
        </w:rPr>
        <w:t>، وابن حمزة</w:t>
      </w:r>
      <w:r>
        <w:rPr>
          <w:rStyle w:val="FootnoteAnchor"/>
          <w:rtl w:val="true"/>
        </w:rPr>
        <w:footnoteReference w:id="2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عدم الوجوب والاشتراط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وقد مرّ ما فيه مراراً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في البيت صلاة</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فإنّ مقتضى عموم التنزيل اعتبار الطهارة من الخَبَث فيه كاعتبارها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بإيرادين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لم نقف عليه في شيء من كتب الأخبار، وإن تناقلوه بهذا اللّفظ في كتب الفروع من غير سند، وما هذا شأنه فلا 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ما أفاده، ولكن ضعفه ينجبر بالعمل، سيّما من نحو ابن زُهرة</w:t>
      </w:r>
      <w:r>
        <w:rPr>
          <w:rStyle w:val="FootnoteAnchor"/>
          <w:rtl w:val="true"/>
        </w:rPr>
        <w:footnoteReference w:id="34"/>
      </w:r>
      <w:r>
        <w:rPr>
          <w:rFonts w:ascii="Amiri" w:hAnsi="Amiri" w:eastAsia="Amiri" w:cs="Amiri"/>
          <w:color w:val="111111"/>
          <w:sz w:val="28"/>
          <w:sz w:val="28"/>
          <w:szCs w:val="28"/>
          <w:rtl w:val="true"/>
          <w:lang w:bidi="ar-SA"/>
        </w:rPr>
        <w:t>والحِلّي</w:t>
      </w:r>
      <w:r>
        <w:rPr>
          <w:rStyle w:val="FootnoteAnchor"/>
          <w:rtl w:val="true"/>
        </w:rPr>
        <w:footnoteReference w:id="35"/>
      </w:r>
      <w:r>
        <w:rPr>
          <w:rFonts w:ascii="Amiri" w:hAnsi="Amiri" w:eastAsia="Amiri" w:cs="Amiri"/>
          <w:color w:val="111111"/>
          <w:sz w:val="28"/>
          <w:sz w:val="28"/>
          <w:szCs w:val="28"/>
          <w:rtl w:val="true"/>
          <w:lang w:bidi="ar-SA"/>
        </w:rPr>
        <w:t xml:space="preserve">الذين لا يعملان بصحيح أخبار الآحاد فضلاً عن ضعيفها، إلّا بعد احتفافها بالقرائن القطعيّة، مع أنّ المصنّف رحمه الله نسب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هذه الجملة إلى المعصوم عليه السلام بنحو الجزم، ولم ينقلها بلفظة رُوي، وقد مرّ غيره مرّة أنّ نحو هذا الإرسال حجّة في نفسه، لأنّ مثل هذا النقل يكشف عن ثبوت صدوره عن المعصوم عنده، وإلّا عُدَّ ذلك كذباً ينافي مع وثاقته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المصنّف رحمه الله أيضاً من جهة استناد الأصحاب إليه اطمئن بصدور ذلك عنه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فالعمدة هو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39"/>
      </w:r>
      <w:r>
        <w:rPr>
          <w:rFonts w:ascii="Amiri" w:hAnsi="Amiri" w:eastAsia="Amiri" w:cs="Amiri"/>
          <w:color w:val="111111"/>
          <w:sz w:val="28"/>
          <w:sz w:val="28"/>
          <w:szCs w:val="28"/>
          <w:rtl w:val="true"/>
          <w:lang w:bidi="ar-SA"/>
        </w:rPr>
        <w:t>، من منع اقتضاء التشبيه المساواة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مقتضي عموم التنزيل ذلك إلّاما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مرسل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في ثوبه دم ممّا لا تجوز الصلاة في مثله، فطاف في ثوبه‌؟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اجزأه الطواف، ثمّ ينزعه ويُصلّي في ثوبٍ طاهر</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أخصّ منه فيقيّد إطلاقه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يونس بن يعقوب،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يرى في ثوبه الدّم وهو في الطواف‌؟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الموضع الذي رأى فيه الدّم فيعرّفه، ثمّ يخرج ويغسله ثمّ يعود فيتمّ طوافه</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بعد كونه موثّقاً ومعمولاً به بين الأصحاب، لا وجه له، كما أنّ الإيراد عليه بأنّ الجملة الخبريّة غير ظاهرة في الوجوب، يندفع بما مرّ من أنّها أظهر في الوجوب من الأمر، مع أنّه رواه الصدوق بصيغة الأمر، فإنّه رواه بإسناده عن يونس،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ثوبي شيئاً من دم وأناأطوف‌؟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فاعرف الموضع ثمّ اخرج فاغسله، ثمّ عُد فابن على طوافك</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 يعارضه مرسل البزنطي المتقدّم، وقد يجمع بينهما بحمل الموثّق على الاستحباب، وآخر بحمل المرسل على صورة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الموثّق مختصٌّ بصورة العلم، بل هو أيضاً يدلّ على أنّه مع الجهل لا يضرّ، والمرسل عامٌّ للصورتين فيخصّص به، فيختصّ المرسل بصورة الجهل، أو بصورتي الجهل والنيسان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ينزعه، ويُصلّي في ثوبٍ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عن حمله على صورة الجهل والنسيان، فإنّه ظاهرٌ في إرادة صورة العلم والتوجّه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فيتعيّن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بحمل الموثّق على الاستحباب، ولكن عدم إفتاء الأصحاب بذلك يوقفنا عن الإفتاء بعدم الاشتراط جزماً، إذ لعلّ ذلك إعراضٌ عن المرسل، فالأحوط لزوماً رعايته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والموثّق وإنْ اختصّ بالدّم، ولكن بالإجماع وعدم القول بالفصل يُتعدّى إلى سائر النجاسات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يقال إنّه إذا سقط المرسل عن الحجيّة بالإعراض، فإطلاق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في البيت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اشتراط الطهارة من الخَبَث مطلقاً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النجاسة المعفو عنها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كالدّم دون الدرهم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مانعة عن صحّة الطواف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والحِلّي</w:t>
      </w:r>
      <w:r>
        <w:rPr>
          <w:rStyle w:val="FootnoteAnchor"/>
        </w:rPr>
        <w:footnoteReference w:id="46"/>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لا؟ كما عن الشهيدين</w:t>
      </w:r>
      <w:r>
        <w:rPr>
          <w:rStyle w:val="FootnoteAnchor"/>
          <w:rtl w:val="true"/>
        </w:rPr>
        <w:footnoteReference w:id="48"/>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عموم الموثّق، ومن عموم التشبيه في النبوي، فإنّ الأوّل يقتضي المنع، والثاني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الثاني فحوى العفو عنه في الصلاة، ولكن بما أنّ النسبة بين الدليلين عمومٌ من وجه، فيقدّم الموثّق لأصحيّة سنده، فعدم العفو لو لم يكن أظهر لا ريب في أنّه أحوط، وعليه فما أفاده المصنّف رحمه الله من بطلانه في الخاتم النجس، متينٌ‌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0" w:name="pg11810_104115"/>
    </w:p>
    <w:p>
      <w:pPr>
        <w:pStyle w:val="Heading2"/>
        <w:numPr>
          <w:ilvl w:val="1"/>
          <w:numId w:val="1"/>
        </w:numPr>
        <w:rPr/>
      </w:pPr>
      <w:bookmarkStart w:id="21" w:name="__RefHeading___Toc10745772_73709187"/>
      <w:bookmarkStart w:id="22" w:name="_Toc7"/>
      <w:bookmarkEnd w:id="20"/>
      <w:bookmarkEnd w:id="21"/>
      <w:r>
        <w:rPr>
          <w:rtl w:val="true"/>
        </w:rPr>
        <w:t>اعتبار سَتر العورة في الطواف</w:t>
      </w:r>
      <w:bookmarkEnd w:id="22"/>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5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w:t>
      </w:r>
      <w:r>
        <w:rPr>
          <w:rStyle w:val="FootnoteAnchor"/>
          <w:rtl w:val="true"/>
        </w:rPr>
        <w:footnoteReference w:id="52"/>
      </w:r>
      <w:r>
        <w:rPr>
          <w:rFonts w:ascii="Amiri" w:hAnsi="Amiri" w:eastAsia="Amiri" w:cs="Amiri"/>
          <w:color w:val="111111"/>
          <w:sz w:val="28"/>
          <w:sz w:val="28"/>
          <w:szCs w:val="28"/>
          <w:rtl w:val="true"/>
          <w:lang w:bidi="ar-SA"/>
        </w:rPr>
        <w:t>وفي جملةٍ من كتب المصنّف</w:t>
      </w:r>
      <w:r>
        <w:rPr>
          <w:rStyle w:val="FootnoteAnchor"/>
          <w:rtl w:val="true"/>
        </w:rPr>
        <w:footnoteReference w:id="53"/>
      </w:r>
      <w:r>
        <w:rPr>
          <w:rFonts w:ascii="Amiri" w:hAnsi="Amiri" w:eastAsia="Amiri" w:cs="Amiri"/>
          <w:color w:val="111111"/>
          <w:sz w:val="28"/>
          <w:sz w:val="28"/>
          <w:szCs w:val="28"/>
          <w:rtl w:val="true"/>
          <w:lang w:bidi="ar-SA"/>
        </w:rPr>
        <w:t>اشتراط ستر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ظاهر الأكثر حيث لم يذكروه، وصريح جمعٍ من المتأخّرين</w:t>
      </w:r>
      <w:r>
        <w:rPr>
          <w:rStyle w:val="FootnoteAnchor"/>
          <w:rtl w:val="true"/>
        </w:rPr>
        <w:footnoteReference w:id="54"/>
      </w:r>
      <w:r>
        <w:rPr>
          <w:rFonts w:ascii="Amiri" w:hAnsi="Amiri" w:eastAsia="Amiri" w:cs="Amiri"/>
          <w:color w:val="111111"/>
          <w:sz w:val="28"/>
          <w:sz w:val="28"/>
          <w:szCs w:val="28"/>
          <w:rtl w:val="true"/>
          <w:lang w:bidi="ar-SA"/>
        </w:rPr>
        <w:t xml:space="preserve">، عدم اعتباره فيه، وقوّاه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للإشتراط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في البيت صلاة</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يحجّ بعد العام مشركٌ ولا عريان</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التوقّف في ذلك، حيث أنّه عَزى الاشتراط إلى الشيخ وابن زُهرة، واحتجّ لهما بالخبر الأوّل،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ولمانعٍ أن يمنع ذلك، وهذه الرواية غير مسندة من طرقنا، فلا حجّة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واستجوده </w:t>
      </w:r>
    </w:p>
    <w:p>
      <w:pPr>
        <w:pStyle w:val="BookText"/>
        <w:rPr/>
      </w:pPr>
      <w:r>
        <w:rPr>
          <w:rFonts w:ascii="Amiri" w:hAnsi="Amiri" w:eastAsia="Amiri" w:cs="Amiri"/>
          <w:color w:val="111111"/>
          <w:sz w:val="28"/>
          <w:sz w:val="28"/>
          <w:szCs w:val="28"/>
          <w:rtl w:val="true"/>
          <w:lang w:bidi="ar-SA"/>
        </w:rPr>
        <w:t xml:space="preserve">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الخبر الأوّل فمنجبرٌ ضعفه بالعمل والإستناد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مروي بعدّة طرق، حتّى قال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الخبر يقرب من التواتر بطريقنا وطريق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 الحكم بن مقسم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بعثَ عليّاً عليه السلام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يحجّ بعد هذا العام مشرك، ولا يطوف بالبيت عريان</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محمّد بن الفضيل، عن الإمام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أمرني عن اللّه تعالى أن لا يطوف بالبيت عريان</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محمّد بن مسلم، عن الإمام الصادق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بعثَ عليّاً بسورة براءة فوافى الموسم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يطوفنّ بالبيت عريان</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ونحوها غيرها، وقد ذكر جملة من تلك النصوص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العراء أعمّ من سَتر العورة، وحيثُ أنّ الإجماع قائمٌ على صحّة طواف الرّجل عارياً مع ستر العورة، فتُحمل النصوص على الندب، ولا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3" w:name="pg11810_104117"/>
    </w:p>
    <w:p>
      <w:pPr>
        <w:pStyle w:val="BookText"/>
        <w:rPr/>
      </w:pPr>
      <w:bookmarkEnd w:id="23"/>
      <w:r>
        <w:rPr>
          <w:rFonts w:ascii="Amiri" w:hAnsi="Amiri" w:eastAsia="Amiri" w:cs="Amiri"/>
          <w:color w:val="111111"/>
          <w:sz w:val="28"/>
          <w:sz w:val="28"/>
          <w:szCs w:val="28"/>
          <w:rtl w:val="true"/>
          <w:lang w:bidi="ar-SA"/>
        </w:rPr>
        <w:t>يصلح الإجماع المذكور قرينةً على إرادة ستر العورة خاصّة من النصوص، كما لا يخفى‌، وعليه فالعمدة هو النبوي</w:t>
      </w:r>
      <w:r>
        <w:rPr>
          <w:rFonts w:eastAsia="Amiri" w:cs="Amiri" w:ascii="Amiri" w:hAnsi="Amiri"/>
          <w:color w:val="111111"/>
          <w:sz w:val="28"/>
          <w:szCs w:val="28"/>
          <w:rtl w:val="true"/>
          <w:lang w:bidi="ar-SA"/>
        </w:rPr>
        <w:t>.</w:t>
      </w:r>
    </w:p>
    <w:p>
      <w:pPr>
        <w:pStyle w:val="Heading2"/>
        <w:numPr>
          <w:ilvl w:val="1"/>
          <w:numId w:val="1"/>
        </w:numPr>
        <w:rPr/>
      </w:pPr>
      <w:bookmarkStart w:id="24" w:name="__RefHeading___Toc10745774_73709187"/>
      <w:bookmarkStart w:id="25" w:name="_Toc8"/>
      <w:bookmarkEnd w:id="24"/>
      <w:r>
        <w:rPr>
          <w:rtl w:val="true"/>
        </w:rPr>
        <w:t>اعتبار إباحة السّاتر في الطواف</w:t>
      </w:r>
      <w:bookmarkEnd w:id="25"/>
    </w:p>
    <w:p>
      <w:pPr>
        <w:pStyle w:val="BookText"/>
        <w:rPr/>
      </w:pPr>
      <w:r>
        <w:rPr>
          <w:rFonts w:ascii="Amiri" w:hAnsi="Amiri" w:eastAsia="Amiri" w:cs="Amiri"/>
          <w:color w:val="111111"/>
          <w:sz w:val="28"/>
          <w:sz w:val="28"/>
          <w:szCs w:val="28"/>
          <w:rtl w:val="true"/>
          <w:lang w:bidi="ar-SA"/>
        </w:rPr>
        <w:t>وإذا كان السّاتر مغصوباً، فهل يبطل الطواف 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هو البطلان، لما مرّ مراراً من أنّ المأمور به والمنهيّ عنه إنْ كانا عنوانين منطبقين على شيءٍ واحد، وكان التركيب اتّحاديّاً، لا مناص عن القول بامتناع اجتماع الأمر والنهي، وأنّه لابدّ من تقديم أحدهما، وقد مرّ أنّه إذا قُدِّم جانب النهي خرج المجمع عن حيّز الأمر واقعاً، ويكون متمحّضاً في الحرمة، فلا يقع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ففي المقام بما أنّ التستّر شرط الطواف، ومعلوم أنّ التستّر بثوب الغير ولبسه تصرّفٌ فيه، فينطبق عليه عنوان الغصبيّة، فيتّحد المأمور به والمنهيّ عنه وجوداً، وحيث أنّ الإطلاق في طرف الأمر بدليٌ‌، وفي طرف النهي شمولي، فيقدّم إطلاق دليل النهي، فالطواف مع السّاتر المغصوب لا تنطبق عليه الطبيعة المأمور بها، فيقع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المأمور به يغاير المنهيّ عنه في المقام، إذ الشرط هو المعنى المعبّر عنه باسم المصدر، والمنهيّ عنه المعنى المعبّر عنه بالمصدر، فيكون حال الطواف مع السّاتر المغصوب حاله مع النظر إلى الأجنبيّة في أثنائه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المعبّر عنه باسم المصدر، إنّما يكون متّحداً مع المعبّر عنه بالمصدر </w:t>
      </w:r>
    </w:p>
    <w:p>
      <w:pPr>
        <w:pStyle w:val="BookText"/>
        <w:rPr/>
      </w:pPr>
      <w:r>
        <w:rPr>
          <w:rFonts w:ascii="Amiri" w:hAnsi="Amiri" w:eastAsia="Amiri" w:cs="Amiri"/>
          <w:color w:val="111111"/>
          <w:sz w:val="28"/>
          <w:sz w:val="28"/>
          <w:szCs w:val="28"/>
          <w:rtl w:val="true"/>
          <w:lang w:bidi="ar-SA"/>
        </w:rPr>
        <w:t>وجوداً وخارجاً، والفرق بينهما إنّما يكون بالاعتبار، فلا يعقل كون أحدهما مأموراً به والآخر منهيّاً عنه، ولا فرق فيما ذكرناه بين كون الستر شرطاً عباديّاً، وكونه غير 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عن بعض المحقّقين</w:t>
      </w:r>
      <w:r>
        <w:rPr>
          <w:rStyle w:val="FootnoteAnchor"/>
          <w:rtl w:val="true"/>
        </w:rPr>
        <w:footnoteReference w:id="66"/>
      </w:r>
      <w:r>
        <w:rPr>
          <w:rFonts w:ascii="Amiri" w:hAnsi="Amiri" w:eastAsia="Amiri" w:cs="Amiri"/>
          <w:color w:val="111111"/>
          <w:sz w:val="28"/>
          <w:sz w:val="28"/>
          <w:szCs w:val="28"/>
          <w:rtl w:val="true"/>
          <w:lang w:bidi="ar-SA"/>
        </w:rPr>
        <w:t>من الحكم بالصحّة في المقام، معلّلاً بأنّ الستر لا يكون معتبراً في الطواف عبادةً‌، فلا ينافي تحقّقه بالفعل المحرّم، وغايته حصول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وقد تقدّم لزوم أن لا يكون ثوبي الإحرام مغصوبين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أنْ يكون كلّ ما يلبسه غير الثوبين والسّاتر أيضاً غير مغصوب أم لا؟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الاعتبار، إذ لو كان غير السّاتر والثوبين مغصوباً لا يلزم اتّحاد المأمور به والمنهيّ عنه، لأنّ ما تعلّق به النهي إنّما هو لبس الثوب، وعدم كونه معتبراً في الطواف لا يحتاج إلى بيان، فلا يعقل أنْ يكون موجباً لبطلانه، لأنّ متعلّقه مغاير له، فيكون حاله حال النظر إلى الأجنبيّة في أثناء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للبطلان في هذا الفرض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الطواف عبارة عن الدوران حول البيت، وهو بنفسه يعدّ تصرّفاً في المغصوب، فيتّحد المأمور به والمنهيّ عنه، فيبطل الطواف من هذه الناحية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مأمورٌ بردّ المغصوب إلى مالكه، وهو مضادٌّ للصلاة، والأمر بالشيء يقتضي النهي عن ضدّه، والنهي موجبٌ للفساد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بدن من يطوف غير الثوب الذي لبسه أو المغصوب الذي حمله، والحركة التي يكون قوام الطواف بها هي القائمة بالبدن، والتي تكون غصباً هي القائمة بالمغصوب، فلا يعقل أنْ تكون إحداهما عين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ولو سُلّم كون الحركة الطوافيّة غير الحركة الغصبيّة، ولكن لا ريب في أنّ الأُولى علّة للثانية، وحيث أنّ علّة الحرام حرامٌ‌، تكون الحركة الطوافيّة حراماً، فيعود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مخالفة التكليف الغيري بما أنّها لا توجب البُعد عن اللّه تعالى‌، فلا مانع من التقرّب بما هو متعلّقٌ له، إلّابناءً على اعتبار الأمر في صحّة العبادة، فتأمّل، فإنّه إذا سُلّم سقوط الأمر، فحيثُ لا كاشف عن الملاك، فلا طريق إلى إحراز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بالشيء لا يقتضي النهي عن ضدّه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أن لا يكون لابساً للمغصوب، أو حاملاً له في الطواف لو لم يكن أظهر، لا ريب في كونه أحوط، واللّه العالم</w:t>
      </w:r>
      <w:r>
        <w:rPr>
          <w:rFonts w:eastAsia="Amiri" w:cs="Amiri" w:ascii="Amiri" w:hAnsi="Amiri"/>
          <w:color w:val="111111"/>
          <w:sz w:val="28"/>
          <w:szCs w:val="28"/>
          <w:rtl w:val="true"/>
          <w:lang w:bidi="ar-SA"/>
        </w:rPr>
        <w:t>.</w:t>
      </w:r>
      <w:bookmarkStart w:id="26" w:name="pg11810_104120"/>
    </w:p>
    <w:p>
      <w:pPr>
        <w:pStyle w:val="BookText"/>
        <w:rPr/>
      </w:pPr>
      <w:bookmarkEnd w:id="26"/>
      <w:r>
        <w:rPr>
          <w:rFonts w:ascii="Amiri" w:hAnsi="Amiri" w:eastAsia="Amiri" w:cs="Amiri"/>
          <w:color w:val="111111"/>
          <w:sz w:val="28"/>
          <w:sz w:val="28"/>
          <w:szCs w:val="28"/>
          <w:rtl w:val="true"/>
          <w:lang w:bidi="ar-SA"/>
        </w:rPr>
        <w:t>والختان في الرَّجل</w:t>
      </w:r>
      <w:r>
        <w:rPr>
          <w:rFonts w:eastAsia="Amiri" w:cs="Amiri" w:ascii="Amiri" w:hAnsi="Amiri"/>
          <w:color w:val="111111"/>
          <w:sz w:val="28"/>
          <w:szCs w:val="28"/>
          <w:rtl w:val="true"/>
          <w:lang w:bidi="ar-SA"/>
        </w:rPr>
        <w:t>.</w:t>
      </w:r>
    </w:p>
    <w:p>
      <w:pPr>
        <w:pStyle w:val="Heading2"/>
        <w:numPr>
          <w:ilvl w:val="1"/>
          <w:numId w:val="1"/>
        </w:numPr>
        <w:rPr/>
      </w:pPr>
      <w:bookmarkStart w:id="27" w:name="__RefHeading___Toc10745776_73709187"/>
      <w:bookmarkStart w:id="28" w:name="_Toc9"/>
      <w:bookmarkEnd w:id="27"/>
      <w:r>
        <w:rPr>
          <w:rtl w:val="true"/>
        </w:rPr>
        <w:t>يعتبر الختان في الطواف للرجل</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الختان في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الأكثر</w:t>
      </w:r>
      <w:r>
        <w:rPr>
          <w:rStyle w:val="FootnoteAnchor"/>
          <w:rtl w:val="true"/>
        </w:rPr>
        <w:footnoteReference w:id="67"/>
      </w:r>
      <w:r>
        <w:rPr>
          <w:rFonts w:ascii="Amiri" w:hAnsi="Amiri" w:eastAsia="Amiri" w:cs="Amiri"/>
          <w:color w:val="111111"/>
          <w:sz w:val="28"/>
          <w:sz w:val="28"/>
          <w:szCs w:val="28"/>
          <w:rtl w:val="true"/>
          <w:lang w:bidi="ar-SA"/>
        </w:rPr>
        <w:t>كما صرّح به جماعة</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بل عن الحلبي أنّ إجماع آل محمّد عليهم السلام عليه</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المقطوع به في كلام الأصحاب، وموضع وفاق كما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حريز،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تطوف المرأة غير المخفوضة، فأمّا الرّجل فلا يطوف إلّاوهو مختتن</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الأغلف لا يطوف بالبيت، ولا بأس أن تطوف المرأة</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إبراهيم بن ميمون،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الرّجل يُسلِم، فيريد أن يحجّ‌، وقد </w:t>
      </w:r>
    </w:p>
    <w:p>
      <w:pPr>
        <w:pStyle w:val="BookText"/>
        <w:rPr/>
      </w:pPr>
      <w:r>
        <w:rPr>
          <w:rFonts w:ascii="Amiri" w:hAnsi="Amiri" w:eastAsia="Amiri" w:cs="Amiri"/>
          <w:color w:val="111111"/>
          <w:sz w:val="28"/>
          <w:sz w:val="28"/>
          <w:szCs w:val="28"/>
          <w:rtl w:val="true"/>
          <w:lang w:bidi="ar-SA"/>
        </w:rPr>
        <w:t>حضر الحَجّ‌، أيحجّ أم يختتن‌؟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يحجّ حتّى يختتن</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حنّان بن سدير،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نصراني أسلم وحضر الحَجّ‌، ولم يكن اختتن، أيحجّ قبل أن يختتن‌؟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يبدأ بالسُنّة</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والإيراد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كلّها بالجملة الخبريّة غير الظاهرة في اللّزوم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ولذا تأمّل فيه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للمحكي عن الحِلّي، وهو في موقعه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 محلّه، لما مرّ أنّ الجملة الخبريّة أظهر في اللّزوم من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يعتبر الختان والخفض فيها بلا خلافٍ‌،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يمكن دعوى تحصيل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صحيحا حريز ومعاوية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إنّها غير الذَّكر والاُنثى‌، فلا يعتبر في طوافها الختان، لإختصاص نصوص الاعتبار بالرّجل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بأنّها من أحد الصنفين، ولم يظهر حالها بالأمارات الشرعيّة، فقد يقال إنّ الأصل يقتضي عدم اعتباره فيه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حيث تعلم إجمالاً بتوجّه تكاليف المرأة إليها كحرمة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التنقّب وما شاكل، أو تكاليف الرّجل ومنها الختان، فهذا العلم الإجمالي يمنع من جريان الأصل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فمقتضى قاعدة الاشتغال اعتبار الختان في طوافها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يصرّح بحكمة الأكثر، والمصرّحون به بين من حكم بعدم اعتبارة في طوافه</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أحرم وطاف وهو أغلف لم تحرم النساء عليه بعد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من حَكَم باعتباره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واستدلّ لعدم الاعتبار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باختصاص النصوص بالرّجل، وهو لا يصدق على غير البالغ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دليل اعتباره إنّما هو بلسان النهي، وهو غير متوجّه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ما يعمّه، فإنّ الرّجل في اللّغة يُطلق على البالغ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Style w:val="FootnoteAnchor"/>
          <w:rtl w:val="true"/>
        </w:rPr>
        <w:footnoteReference w:id="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الذَّكر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w:t>
      </w:r>
      <w:r>
        <w:rPr>
          <w:rFonts w:eastAsia="IRNazanin" w:cs="IRNazanin"/>
          <w:color w:val="111111"/>
          <w:sz w:val="28"/>
          <w:szCs w:val="28"/>
          <w:rtl w:val="true"/>
          <w:lang w:bidi="fa-IR"/>
        </w:rPr>
        <w:t>»</w:t>
      </w:r>
      <w:r>
        <w:rPr>
          <w:rStyle w:val="FootnoteAnchor"/>
          <w:rtl w:val="true"/>
        </w:rPr>
        <w:footnoteReference w:id="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لمن شَبّ واحتلم، أو هو رجلٌ ساعة يولد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كتب كثير من المحقّقين تقيّيده بالبالغ، وهو أقرب ويؤيّده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المراد به في هذه النصوص الأعمّ بقرينة مقابلته بالمرأة، مع أنّ الموضوع في صحيح معاوية هو الأغلف لا الرّجل، وهو يصدق على الصبي قطعاً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في أمثال المقام إرشادٌ إلى المانعيّة، أو إلى شرطيّة الختان، ويجبُ فيه النيّة، وليس حكماً نفسيّاً استقلاليّاً لكي يقال بعدم توجّهه إلى الصبي، فالأظهر اعتباره في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وغيرهما</w:t>
      </w:r>
      <w:r>
        <w:rPr>
          <w:rStyle w:val="FootnoteAnchor"/>
          <w:rtl w:val="true"/>
        </w:rPr>
        <w:footnoteReference w:id="84"/>
      </w:r>
      <w:r>
        <w:rPr>
          <w:rFonts w:ascii="Amiri" w:hAnsi="Amiri" w:eastAsia="Amiri" w:cs="Amiri"/>
          <w:color w:val="111111"/>
          <w:sz w:val="28"/>
          <w:sz w:val="28"/>
          <w:szCs w:val="28"/>
          <w:rtl w:val="true"/>
          <w:lang w:bidi="ar-SA"/>
        </w:rPr>
        <w:t>اعتبار التمكّن، وعليه فلو تعذّر ولو لضيق الوقت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باشتراط التكليف بالتمكّن، مع عموم أدلّة وجوب الحَجّ والعُمرة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كان لأدلّة وجوب الحَجّ والعُمرة إطلاق، إلّاأنّ دليل شرطيّة الختان أيضاً مطلق، وليس معنى إطلاقه لزوم الإتيان به، كي يقال إنّه لا يعقل ذلك مع عدم التمكّن ليقبح تكليف العاجز، بل معناه أنّه يعتبر الختان في صحّة الطواف مطلقاً، حتّى في فرض عدم التمكّن، ولازم ذلك سقوط التكليف بالمشروط مع عدم التمكّن من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قاعدة الميسور، فهي لا تصلح أنْ تكون مثبته للأمر ببقيّة الأجزاء والشرائط، لعدم تماميّتها كما حُقّق في محلّه، ودليل رفع الاضطرار رافعٌ للحكم لا مثبت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فيتعيّن البناء على سقوط الأمر بالحَجّ في تلك السنة، ويشير إلى ذلك بل يدلّ عليه خبرا إبراهيم وحنّان، فإنّ إطلاقهما يشمل ما لو ضاق الوقت عن الختان ثمّ الحَجّ في ذلك العام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9" w:name="pg11810_104124"/>
    </w:p>
    <w:p>
      <w:pPr>
        <w:pStyle w:val="BookText"/>
        <w:rPr/>
      </w:pPr>
      <w:bookmarkEnd w:id="29"/>
      <w:r>
        <w:rPr>
          <w:rFonts w:ascii="Amiri" w:hAnsi="Amiri" w:eastAsia="Amiri" w:cs="Amiri"/>
          <w:color w:val="111111"/>
          <w:sz w:val="28"/>
          <w:sz w:val="28"/>
          <w:szCs w:val="28"/>
          <w:rtl w:val="true"/>
          <w:lang w:bidi="ar-SA"/>
        </w:rPr>
        <w:t>ويجبُ فيه النيّة، والطواف سبعة أشواط، والإبتداء بالحَجَر والختم به</w:t>
      </w:r>
      <w:r>
        <w:rPr>
          <w:rFonts w:eastAsia="Amiri" w:cs="Amiri" w:ascii="Amiri" w:hAnsi="Amiri"/>
          <w:color w:val="111111"/>
          <w:sz w:val="28"/>
          <w:szCs w:val="28"/>
          <w:rtl w:val="true"/>
          <w:lang w:bidi="ar-SA"/>
        </w:rPr>
        <w:t>.</w:t>
      </w:r>
    </w:p>
    <w:p>
      <w:pPr>
        <w:pStyle w:val="Heading2"/>
        <w:numPr>
          <w:ilvl w:val="1"/>
          <w:numId w:val="1"/>
        </w:numPr>
        <w:rPr/>
      </w:pPr>
      <w:bookmarkStart w:id="30" w:name="__RefHeading___Toc10745778_73709187"/>
      <w:bookmarkStart w:id="31" w:name="_Toc10"/>
      <w:bookmarkEnd w:id="30"/>
      <w:r>
        <w:rPr>
          <w:rtl w:val="true"/>
        </w:rPr>
        <w:t>واجبات الطواف</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واستدامتها إلى الفراغ كغيره من العبادات، وقد تقدّم تحقيق ذلك في مبحث الإحرام</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من اعتبار خطور معنى الطواف، وهو الحركة حول الكعبة سبعة أشواط، فمّما لا دليل عليه، والأصل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سبعة أشواط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Style w:val="FootnoteAnchor"/>
          <w:rtl w:val="true"/>
        </w:rPr>
        <w:footnoteReference w:id="87"/>
      </w:r>
      <w:r>
        <w:rPr>
          <w:rFonts w:ascii="Amiri" w:hAnsi="Amiri" w:eastAsia="Amiri" w:cs="Amiri"/>
          <w:color w:val="111111"/>
          <w:sz w:val="28"/>
          <w:sz w:val="28"/>
          <w:szCs w:val="28"/>
          <w:rtl w:val="true"/>
          <w:lang w:bidi="ar-SA"/>
        </w:rPr>
        <w:t>، والنصوص المستفيضة أو المتواترة الآتي طرف منها في طيّ المسائل الآتية شاهدة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 والرابع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الابتداء بالحَجَر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فيه، بل الإجماع بقسميه عليه، بل المحكيّ منه مستفيض،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بالحكمين صحيح معاوية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اختصر في الحِجْر الطواف، فليعد طوافه من الحَجَر الأسود إلى الحَجَر الأسود</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الصدوق</w:t>
      </w:r>
      <w:r>
        <w:rPr>
          <w:rStyle w:val="FootnoteAnchor"/>
          <w:rtl w:val="true"/>
        </w:rPr>
        <w:footnoteReference w:id="90"/>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الحجر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فلا يدلّ على الحكم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المعتمد هو النقل الأوّل الذي رواه الشيخان الكليني</w:t>
      </w:r>
      <w:r>
        <w:rPr>
          <w:rStyle w:val="FootnoteAnchor"/>
          <w:rtl w:val="true"/>
        </w:rPr>
        <w:footnoteReference w:id="91"/>
      </w:r>
      <w:r>
        <w:rPr>
          <w:rFonts w:ascii="Amiri" w:hAnsi="Amiri" w:eastAsia="Amiri" w:cs="Amiri"/>
          <w:color w:val="111111"/>
          <w:sz w:val="28"/>
          <w:sz w:val="28"/>
          <w:szCs w:val="28"/>
          <w:rtl w:val="true"/>
          <w:lang w:bidi="ar-SA"/>
        </w:rPr>
        <w:t>والصدوق، وهو واضحٌ‌، ومعنى الاختصار فيه عدم إدخاله في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للحكم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الطواف السابع فائتِ المتعوّذ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ائت الحَجَر فاختم به</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صحيح معاوية،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نقولُ لابدّ أن نستفتح بالحَجَر ونختم به، فأمّا اليوم فقد كثر النّاس</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فالمراد به الاستلام في المبدأ والمنتهى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فلو ابتدأ بغيره لم يعتدّ بما فعله حتّى ينتهى إلى الحَجَر، فيكون منه ابتداء طوافه، وهذا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أنّه هل يعتبر تجديد النيّة عنده، وأيضاً هل يعتبر أن يقصد البدأة من الحَجَر، فلو أدام بطوافه وأكمل سبعة أشواط لم يصحّ‌، أم لا يعتبر شيء منهما فيصحّ؟</w:t>
      </w:r>
    </w:p>
    <w:p>
      <w:pPr>
        <w:pStyle w:val="BookText"/>
        <w:rPr/>
      </w:pPr>
      <w:r>
        <w:rPr>
          <w:rFonts w:ascii="Amiri" w:hAnsi="Amiri" w:eastAsia="Amiri" w:cs="Amiri"/>
          <w:color w:val="111111"/>
          <w:sz w:val="28"/>
          <w:sz w:val="28"/>
          <w:szCs w:val="28"/>
          <w:rtl w:val="true"/>
          <w:lang w:bidi="ar-SA"/>
        </w:rPr>
        <w:t>الظاهر عدم اعتبار شيء منهما، إذ لم يدلّ دليلٌ على اعتبار قصد البدأة،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أنّ المعتبر فيها هو الدّاعي، والفرض أنّه موجود، فالأظهر هو الصحّة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ذكرناه ظهر وجه احتمال البطلان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حتّى مع تجديد النيّة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المصنّف رحمه الله</w:t>
      </w:r>
      <w:r>
        <w:rPr>
          <w:rStyle w:val="FootnoteAnchor"/>
          <w:rtl w:val="true"/>
        </w:rPr>
        <w:footnoteReference w:id="95"/>
      </w:r>
      <w:r>
        <w:rPr>
          <w:rFonts w:ascii="Amiri" w:hAnsi="Amiri" w:eastAsia="Amiri" w:cs="Amiri"/>
          <w:color w:val="111111"/>
          <w:sz w:val="28"/>
          <w:sz w:val="28"/>
          <w:szCs w:val="28"/>
          <w:rtl w:val="true"/>
          <w:lang w:bidi="ar-SA"/>
        </w:rPr>
        <w:t xml:space="preserve">وجمعٌ ممّن تأخّر عنه إلى أنّه لابدّ من الابتداء بأوّل الحَجَر بحيث يمرّ كلّه على كلّه، قال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والبدأة بالحَجَر بأنْ يكون أوّل جزءٍ منه محاذياً لأوّل جزء من مقاديم بدنه، بحيث يمرّ عليه بعد النيّة بجميع بدنه عِلماً أو ظنّاً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 عن غيرها، ولم ينقل ذلك مِنْ مَن سبق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اختلفوا في تعيّين أوّل جزء البدن، هل هو الأنف أو البطن أو ابهام الرِّجلين، وربما اختلف الأشخاص بالنسبة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للزوم البدأة بأوّل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لازم الجمع بين دليلين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وجوب الابتداء بالحَجَر، وقد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يبطل الطواف بالزيادة على سبعة أشواط والنقصان عنها ولو خطوة أو أقلّ‌، فإنّه إنْ ابتدأ بجزءٍ من وسطه لم يأمن من الزيادة والنقصان، وحينئذٍ فلو حاذى آخر الحَجَر ببعض بدنه في ابتداء الطواف لم يصحّ‌، لعدم ابتدائه فيه بأوّل الحَجَر، بل بما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المقام فروعاً قد اختلطت، فيجب فرز بعضها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يجب أن يبتدأ بأوّل الحَجَر، بأنْ يكون أوّل جزءٍ من مقاديم بدنه محاذياً لأوّل جزء منه، أم لا؟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يجب أنْ يكون عالماً بالمحاذاة من أوّل تحقّقها، بحيث لو نوى الطواف قبل أن يُحاذي الحَجَر من باب المقدّمة، وطاف من دون أن يحرز أنّ المحاذاة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يصحّ‌، أم لا؟</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يعتبر محاذاة الحَجَر في آخر الشوط، كما ابتدأ به أوّلاً، من غير فرقٍ بين الأوّل وغيره، فتضرّ الزيادة ولو كانت قليلة، أم لا؟</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ابتدأ بآخر الحَجَر، فهل له أن يختم بأوّله مثلاً، أم لا بل يعتبر الوصول إلى محلّ الابتداء؟</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اعتبار البدأة بأوّل الجزء، لصدق الطواف من الحجر بالابتداء من وسطه أو آخر جزءٍ منه، وإنْ شئتَ فاختبر ذلك من حال الموالي والعبيد العُرفيّة، فلو أمر المولى عبده بأنْ يكون ابتداء سفره من دار زيد، فهل يتوهّم أنّه لابدّ وأن يبتدأ من أوّل بناء تلك الدار، والمقام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الحَجَر، الطواف بالحَجَر الذي هو اسمٌ للمجموع، كما أنّ المراد من الطواف به الطواف بجميع بدنه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مستلزمٌ للالتزام بخلاف الظاهر في اُمورٍ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اعتبار ذلك، بل لو قصد الطواف من أوّل الحَجَر وهو متأخّر عن الحَجَر قليلاً، بحيث يعلم تأخّر جميع أجزاء البدن عن جميع أجزائه قليلاً، وقصد الطواف المأمور به، وجعل الزيادة من باب المقدّمة، يكون قد تحقّق الامتثال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اعتبرنا البدئة بالحَجَر بالمعنى المذكور، وما دلّ على مبطليّة الزيادة لا يشمل مثل ذلك، فإنّ الزيادة في المركّبات الاعتباريّة تتوقّف على قصد كون </w:t>
      </w:r>
    </w:p>
    <w:p>
      <w:pPr>
        <w:pStyle w:val="BookText"/>
        <w:rPr/>
      </w:pPr>
      <w:r>
        <w:rPr>
          <w:rFonts w:ascii="Amiri" w:hAnsi="Amiri" w:eastAsia="Amiri" w:cs="Amiri"/>
          <w:color w:val="111111"/>
          <w:sz w:val="28"/>
          <w:sz w:val="28"/>
          <w:szCs w:val="28"/>
          <w:rtl w:val="true"/>
          <w:lang w:bidi="ar-SA"/>
        </w:rPr>
        <w:t>المزيد من المزيد فيه كما سيأتي، فلو جعلها من باب المقدّمة، لا يصدق الزيادة في الطواف، فلا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حكمه ممّا ذكرنا، لأنّه في آخر الشوط الآخر إذا طاف إلى ما بعد الحَجَر قليلاً، قاصداً جعل الزيادة من باب المقدّمة، حصل له العلم بالامتثال من دون أن يلزم الزيادة المانعة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يبعد دعوى اعتبار أن يختم بما ابتدأ به، فلو كان الابتداء بآخر الحَجَر يكون اختتامه به لا بأوّله،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لتوقّف صدق الطواف بالبيت الذي منه الحَجَر عليه، ضرورة صدق النقصان مثلاً على بعض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الحَجَر الأسود إلى الحَجَر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ومعلوم أنّ هذا التعبير غير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فإنّ الثاني ظاهرٌ في كفاية الختم بأوّله أو آخره أو وسطه، وأمّا التعبير الأوّل فهو ظاهرٌ في اعتبار أنْ يكون الختم بموضع البدأة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من عدم اعتبار محلّ الابتداء، فلو ابتدأ مثلاً بآخر الحَجَر كان له الختم بأوّله مثلاً، ضعيفٌ‌</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ابتدأ من أيّ جزءٍ من أجزاء الحَجَر صحّ‌، كما أنّه لو اختتم بذلك الجزء مع زيادةٍ يجعلها من باب المقدّمة، لم يكن فيه إشكال، وعليه فلا وجه لتلك التدقيقات التي هي إلى الوسواس أقرب منه إلى الاحتياط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2" w:name="pg11810_104129"/>
    </w:p>
    <w:p>
      <w:pPr>
        <w:pStyle w:val="BookText"/>
        <w:rPr/>
      </w:pPr>
      <w:bookmarkEnd w:id="32"/>
      <w:r>
        <w:rPr>
          <w:rFonts w:ascii="Amiri" w:hAnsi="Amiri" w:eastAsia="Amiri" w:cs="Amiri"/>
          <w:color w:val="111111"/>
          <w:sz w:val="28"/>
          <w:sz w:val="28"/>
          <w:szCs w:val="28"/>
          <w:rtl w:val="true"/>
          <w:lang w:bidi="ar-SA"/>
        </w:rPr>
        <w:t>وجَعلُ البيت على يساره،</w:t>
      </w:r>
    </w:p>
    <w:p>
      <w:pPr>
        <w:pStyle w:val="BookText"/>
        <w:rPr/>
      </w:pPr>
      <w:r>
        <w:rPr>
          <w:rFonts w:ascii="Amiri" w:hAnsi="Amiri" w:eastAsia="Amiri" w:cs="Amiri"/>
          <w:color w:val="111111"/>
          <w:sz w:val="28"/>
          <w:sz w:val="28"/>
          <w:szCs w:val="28"/>
          <w:rtl w:val="true"/>
          <w:lang w:bidi="ar-SA"/>
        </w:rPr>
        <w:t>ويعضد ما ذكرناه من النصوص المتضمّنة أنّ رسول اللّه صلى الله عليه و آله طاف على راحلته واستلم الحَجَر بمحجنة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 w:name="__RefHeading___Toc10745780_73709187"/>
      <w:bookmarkStart w:id="34" w:name="_Toc11"/>
      <w:bookmarkEnd w:id="33"/>
      <w:r>
        <w:rPr>
          <w:rtl w:val="true"/>
        </w:rPr>
        <w:t>اعتبارُ جَعل البيت على اليسار</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البيت على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الطواف، بلا خلافٍ أجده فيه، بل الإجماع بقسميه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ادّعى عليه الإجماع في كلام جماعةٍ‌، بل هو إجماعي</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علمائنا</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له بوجوه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وتبعه غيره</w:t>
      </w:r>
      <w:r>
        <w:rPr>
          <w:rStyle w:val="FootnoteAnchor"/>
          <w:rtl w:val="true"/>
        </w:rPr>
        <w:footnoteReference w:id="104"/>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ترك البيت في طوافه على جانبه اليسار، فيجب اتّباعه بمقتضى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كون ذلك منسكاً منه، فيحتمل أنْ يكون أحد وجوه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ثبت كونه منسكاً، لم يثبت كونه على وجه اللّزوم أو الاستحباب، والحديث يدلّ على أنّ مناسك النّاس يجب أن تكون كمناسك رسول اللّه صلى الله عليه و آله، ولا يدلّ على أنّ كلّ ما فعله رسول اللّه صلى الله عليه و آله ولو كان مستحبّاً وجب على الأُمّة الإتيان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التزامه صلى الله عليه و آله بالطواف كذلك كاشفٌ عن رجحانة وكونه مأموراً به، وكلّ ما أمر به يجبُ الإتيان به بحكم العقل، إلّاإذا ثبت الترخيص في تركه، وحيثُ لم يثبت في المقام فيجب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سنان،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الطواف السابع فائت المتعوّذ، وهو إذا قمت في دَبر الكعبة حذاء الباب،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استلم الرّكن اليماني، ثمّ ائتِ الحَجَر فاختم به</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طوافك وبلغتَ مؤخّر الكعبة، وهو بحذاء المستجار دون الرّكن اليماني بقليل، فابسط يديك على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استلم الرّكن اليماني ثمّ ائتِ الحَجَر الأسود</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تطوف بالبيت سبعة أشواط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انتهيتَ إلى مؤخّر الكعبة، وهو المستجار دون الرّكن اليماني بقليل، في الشوط السابع، فابسط يديك على الأرض، والصق خدّك وبطنك بالبيت،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استقبل الرّكن اليماني والرّكن الذي فيه الحَجَر الأسود واختم به</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 الترتيب المزبور في الشوط السابع، لكون الطواف على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هذه النصوص على ذلك، إنّما هي بالدلالة الالتزاميّة وهي تابعة للمطابقيّة، وحيثُ أنّ الوقوف في هذه الأماكن الثلاثة في الشوط السابع واستلامها على هذا الترتيب مستحبّان، فكذا ما يلزمهما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والاستحباب خارجان عن المستعمل فيه والموضوع له، وهما أمران انتزاعيّان من الترخيص في ترك ما أمر به وعدمه، حيث أنّه إذا أمر المولى بشيء ولم يرخّص في تركه، حكم العقل بلزوم الإتيان به، فيكون واجباً، وإنْ رخّص فيه حكم بعدم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هو مربوطٌ بباب دلالة اللّفظ إنّما هو ثبوت الأمر بذلك، وأمّا تبعيّتها لها في أمرٍ خارجٍ عن باب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كالوجوب والاستحباب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لا وجه له، فإذا ثبت الأمر ولم يرخّص المولى في تركه، حكم العقل باللّزوم، وإنْ كان نفس تلك الأفعال مستحبّة، فتدبّر فإنّه دقيق</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وتسالم الأصحاب عليه، ولا يبعد دعوى كونه تعبّديّاً، لعدم استدلال قدماء الأصحاب بشيء ممّا ذكر</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35" w:name="pg11810_104132"/>
    </w:p>
    <w:p>
      <w:pPr>
        <w:pStyle w:val="BookText"/>
        <w:rPr/>
      </w:pPr>
      <w:bookmarkEnd w:id="35"/>
      <w:r>
        <w:rPr>
          <w:rFonts w:ascii="Amiri" w:hAnsi="Amiri" w:eastAsia="Amiri" w:cs="Amiri"/>
          <w:color w:val="111111"/>
          <w:sz w:val="28"/>
          <w:sz w:val="28"/>
          <w:szCs w:val="28"/>
          <w:rtl w:val="true"/>
          <w:lang w:bidi="ar-SA"/>
        </w:rPr>
        <w:t>وإدخال الحِجْر فيه،</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الأظهر اعتبار ذلك، فلو نكّس في الطواف، بأن جعل البيت على يمينه وطاف عن يساره لم يجزه، ووجبَ عليه الإعادة، سواءٌ أكان عمداً أو جهلاً أو نسياناً على ما صرّح به بعضهم</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يقدح في جعل البيت على اليسار الإنحراف اليسير إلى اليمين، لصدق الطواف على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دليل اعتبار ذلك لا يدلّ على أزيد من اعتبار كون الطواف على نحوٍ يكون البيت على اليسار، وأمّا زائداً على ذلك بحيث يضرّ الإنحراف إلى جهة اليمين، فلم يدلّ عليه دليل، والأصل عدمه، ولذلك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لايقدح في جعله على اليسار الانحراف إلى جهة اليمين قطعاً</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10745782_73709187"/>
      <w:bookmarkStart w:id="37" w:name="_Toc12"/>
      <w:bookmarkEnd w:id="36"/>
      <w:r>
        <w:rPr>
          <w:rtl w:val="true"/>
        </w:rPr>
        <w:t>اعتبار إدخال حِجْر إسماعيل في الطواف</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إدخال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حِجْر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الطواف بالإجماع،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وغيرها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xml:space="preserve">،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 بل المحكيّ منهما مستفيض</w:t>
      </w:r>
      <w:r>
        <w:rPr>
          <w:rFonts w:eastAsia="Amiri" w:cs="Amiri" w:ascii="Amiri" w:hAnsi="Amiri"/>
          <w:color w:val="111111"/>
          <w:sz w:val="28"/>
          <w:szCs w:val="28"/>
          <w:rtl w:val="true"/>
          <w:lang w:bidi="ar-SA"/>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عديدة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المتقدّم في الابتداء بالحَجَر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اختصر في الحِجْر الطواف، فليعد طوافه من الحَجَر الأسود إلى الحَجَر الأسود</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أنّ معنى الاختصار عدم إدخاله في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طاف بالبيت فاختصر شوطاً واحداً في الحِجْر؟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ذلك الشوط</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ابن البُختري،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يطوف بالبيت فيختصر في الحِجْر؟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ما اختصر من طوافه</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إبراهيم بن سفيان،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طافت طواف الحَجّ‌، فلمّا كانت في الشوط السابع اختصرت وطافت في الحِجْر، وصلّت ركعتي الفريضة، وسَعَت وطافت طواف النساء ثمّ أتت منى‌؟ فكتب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تعيد</w:t>
      </w:r>
      <w:r>
        <w:rPr>
          <w:rFonts w:eastAsia="Amiri" w:cs="Amiri" w:ascii="Amiri" w:hAnsi="Amiri"/>
          <w:color w:val="111111"/>
          <w:sz w:val="28"/>
          <w:szCs w:val="28"/>
          <w:rtl w:val="true"/>
          <w:lang w:bidi="ar-SA"/>
        </w:rPr>
        <w:t>»</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ذلك من جهة كون الحِجْر من البيت كما قيل</w:t>
      </w:r>
      <w:r>
        <w:rPr>
          <w:rStyle w:val="FootnoteAnchor"/>
          <w:rtl w:val="true"/>
        </w:rPr>
        <w:footnoteReference w:id="120"/>
      </w:r>
      <w:r>
        <w:rPr>
          <w:rFonts w:ascii="IRNazanin" w:hAnsi="IRNazanin" w:eastAsia="IRNazanin"/>
          <w:color w:val="111111"/>
          <w:sz w:val="28"/>
          <w:sz w:val="28"/>
          <w:szCs w:val="28"/>
          <w:rtl w:val="true"/>
          <w:lang w:bidi="fa-IR"/>
        </w:rPr>
        <w:t>، بل نُسب إلى المشهور</w:t>
      </w:r>
      <w:r>
        <w:rPr>
          <w:rStyle w:val="FootnoteAnchor"/>
          <w:rtl w:val="true"/>
        </w:rPr>
        <w:footnoteReference w:id="121"/>
      </w:r>
      <w:r>
        <w:rPr>
          <w:rFonts w:ascii="Amiri" w:hAnsi="Amiri" w:eastAsia="Amiri" w:cs="Amiri"/>
          <w:color w:val="111111"/>
          <w:sz w:val="28"/>
          <w:sz w:val="28"/>
          <w:szCs w:val="28"/>
          <w:rtl w:val="true"/>
          <w:lang w:bidi="ar-SA"/>
        </w:rPr>
        <w:t>لرواية عاميّة</w:t>
      </w:r>
      <w:r>
        <w:rPr>
          <w:rStyle w:val="FootnoteAnchor"/>
          <w:rtl w:val="true"/>
        </w:rPr>
        <w:footnoteReference w:id="122"/>
      </w:r>
      <w:r>
        <w:rPr>
          <w:rFonts w:ascii="Amiri" w:hAnsi="Amiri" w:eastAsia="Amiri" w:cs="Amiri"/>
          <w:color w:val="111111"/>
          <w:sz w:val="28"/>
          <w:sz w:val="28"/>
          <w:szCs w:val="28"/>
          <w:rtl w:val="true"/>
          <w:lang w:bidi="ar-SA"/>
        </w:rPr>
        <w:t>، فإنّ الأظهر خلافة، وقد دلّت النصوص الكثيرة على عدم كونه منه، كصحيح معاوية، عن الإمام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الحِجْر أمِنَ البيت هو أو فيه شيءٌ من البيت‌؟</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قلامة 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بل للنصوص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اختصر شوطاً، هل يجبُ عليه إعادة ذلك الشوط خاصّة أم الطواف‌؟</w:t>
      </w:r>
    </w:p>
    <w:p>
      <w:pPr>
        <w:pStyle w:val="BookText"/>
        <w:rPr/>
      </w:pPr>
      <w:r>
        <w:rPr>
          <w:rFonts w:ascii="Amiri" w:hAnsi="Amiri" w:eastAsia="Amiri" w:cs="Amiri"/>
          <w:color w:val="111111"/>
          <w:sz w:val="28"/>
          <w:sz w:val="28"/>
          <w:szCs w:val="28"/>
          <w:rtl w:val="true"/>
          <w:lang w:bidi="ar-SA"/>
        </w:rPr>
        <w:t>قولان، أظهرهما الأوّل، لصحيح الحلبي وحسن ابن البُختري المصرّحين بذلك، ولا ينافيهما صحيح معاوية، لأنّ الظاهر ولا أقلّ من المحتمل الإختصار في جمع الأشواط، مع قابليّته للحمل على إرادة الشوط من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إبراهيم، فيجوز أن يكون المراد به إعادة الشوط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من إعادة الشوط، ولا يكفي الإتمام من موضع سلوك الحِجْر، لصحيح معاوية المصرّح بإعادة الطواف من الحَجَر الأسود إلى الحَجَر الأسود، وإلى ذلك يشير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دخل إحدى الفتحتين وخرج من الاُخرى‌، لم يحتسب له، وبه قال الشافعي في أحد قوليه، ولا طوافه بعده حتّى ينتهي إلى الفتحة التي دخل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فإنْ دخلها لم يُحتسب أيضاً، وإنْ تجاوزها وطاف بالحِجْر احتسب مطلقاً أو بعد النصف</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والحِجْر هو الواقع بين الركنين الشاميّين، وهو موضعٌ محاطٌ بجدار قصير، بينه وبين كلّ واحدٍ من الركنين فتحة، والميزاب منصوب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8" w:name="pg11810_104135"/>
    </w:p>
    <w:p>
      <w:pPr>
        <w:pStyle w:val="BookText"/>
        <w:rPr/>
      </w:pPr>
      <w:bookmarkEnd w:id="38"/>
      <w:r>
        <w:rPr>
          <w:rFonts w:ascii="Amiri" w:hAnsi="Amiri" w:eastAsia="Amiri" w:cs="Amiri"/>
          <w:color w:val="111111"/>
          <w:sz w:val="28"/>
          <w:sz w:val="28"/>
          <w:szCs w:val="28"/>
          <w:rtl w:val="true"/>
          <w:lang w:bidi="ar-SA"/>
        </w:rPr>
        <w:t>ويكون بين المقام والبيت</w:t>
      </w:r>
      <w:r>
        <w:rPr>
          <w:rFonts w:eastAsia="Amiri" w:cs="Amiri" w:ascii="Amiri" w:hAnsi="Amiri"/>
          <w:color w:val="111111"/>
          <w:sz w:val="28"/>
          <w:szCs w:val="28"/>
          <w:rtl w:val="true"/>
          <w:lang w:bidi="ar-SA"/>
        </w:rPr>
        <w:t>.</w:t>
      </w:r>
    </w:p>
    <w:p>
      <w:pPr>
        <w:pStyle w:val="Heading2"/>
        <w:numPr>
          <w:ilvl w:val="1"/>
          <w:numId w:val="1"/>
        </w:numPr>
        <w:rPr/>
      </w:pPr>
      <w:bookmarkStart w:id="39" w:name="__RefHeading___Toc10745784_73709187"/>
      <w:bookmarkStart w:id="40" w:name="_Toc13"/>
      <w:bookmarkEnd w:id="39"/>
      <w:r>
        <w:rPr>
          <w:rtl w:val="true"/>
        </w:rPr>
        <w:t>يعتبر أنْ يكون الطواف بين المقام والبيت</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بين المقام والبيت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بل قيل</w:t>
      </w:r>
      <w:r>
        <w:rPr>
          <w:rStyle w:val="FootnoteAnchor"/>
          <w:rtl w:val="true"/>
        </w:rPr>
        <w:footnoteReference w:id="124"/>
      </w:r>
      <w:r>
        <w:rPr>
          <w:rFonts w:ascii="Amiri" w:hAnsi="Amiri" w:eastAsia="Amiri" w:cs="Amiri"/>
          <w:color w:val="111111"/>
          <w:sz w:val="28"/>
          <w:sz w:val="28"/>
          <w:szCs w:val="28"/>
          <w:rtl w:val="true"/>
          <w:lang w:bidi="ar-SA"/>
        </w:rPr>
        <w:t xml:space="preserve">كاد أن يكون إجماعاً،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الإسكافي</w:t>
      </w:r>
      <w:r>
        <w:rPr>
          <w:rStyle w:val="FootnoteAnchor"/>
          <w:rtl w:val="true"/>
        </w:rPr>
        <w:footnoteReference w:id="127"/>
      </w:r>
      <w:r>
        <w:rPr>
          <w:rFonts w:ascii="Amiri" w:hAnsi="Amiri" w:eastAsia="Amiri" w:cs="Amiri"/>
          <w:color w:val="111111"/>
          <w:sz w:val="28"/>
          <w:sz w:val="28"/>
          <w:szCs w:val="28"/>
          <w:rtl w:val="true"/>
          <w:lang w:bidi="ar-SA"/>
        </w:rPr>
        <w:t xml:space="preserve">تجويز الطواف خارج المقام مع الضرورة، ومالَ إليه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ظاهر الصدوق</w:t>
      </w:r>
      <w:r>
        <w:rPr>
          <w:rStyle w:val="FootnoteAnchor"/>
          <w:rtl w:val="true"/>
        </w:rPr>
        <w:footnoteReference w:id="129"/>
      </w:r>
      <w:r>
        <w:rPr>
          <w:rFonts w:ascii="Amiri" w:hAnsi="Amiri" w:eastAsia="Amiri" w:cs="Amiri"/>
          <w:color w:val="111111"/>
          <w:sz w:val="28"/>
          <w:sz w:val="28"/>
          <w:szCs w:val="28"/>
          <w:rtl w:val="true"/>
          <w:lang w:bidi="ar-SA"/>
        </w:rPr>
        <w:t>تجويزه خارج المقام اختياراً على كراهية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طائفتان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ما ذهب إليه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حَدّ الطواف بالبيت الذي مَنْ خرج عنه لم يكن طائفاً بالبيت‌؟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على عهد رسول اللّه صلى الله عليه و آله يطوفون بالبيت والمقام، وأنتم اليوم تطوفون ما بين المقام وبين البيت، فكان الحَدّ موضع المقام اليوم، فمن جازه فليس بطائف، والحَدّ قبل اليوم واليوم واحد قَدرُ ما بين المقام وبين البيت من نواحي البيت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طاف فتباعد من نواحيه أبعد من مقدار ذلك، كان طائفاً </w:t>
      </w:r>
    </w:p>
    <w:p>
      <w:pPr>
        <w:pStyle w:val="BookText"/>
        <w:rPr/>
      </w:pPr>
      <w:r>
        <w:rPr>
          <w:rFonts w:ascii="Amiri" w:hAnsi="Amiri" w:eastAsia="Amiri" w:cs="Amiri"/>
          <w:color w:val="111111"/>
          <w:sz w:val="28"/>
          <w:sz w:val="28"/>
          <w:szCs w:val="28"/>
          <w:rtl w:val="true"/>
          <w:lang w:bidi="ar-SA"/>
        </w:rPr>
        <w:t>بغير البيت بمنزلة من طاف بالمسجد، لأنّه طاف في غير حَدّ ولا طوافَ له</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كلّ من القائلين بالقولين الأخيرين، وهو موثّق محمّد بن علي الحلبي،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الطواف خلف المقام‌؟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ذلك، وما أرى به بأساً، فلا تفعله إلّا أن لا تجد منه بُدّاً</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الطائفتين إنّما هو بما عن ظاهر الصدوق، فإنّ الموثّق صريحٌ في الجواز مع الكراهة في حال الاختيار، وبدونها في حال الاضطرار، وبه يرفع اليد عن ظهور خبر محمّد في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محمّد المعتضد بالشهرة وعمل الأصحاب كالصريح في المنع، ولا يقبل الحمل على الكراهة كما يظهر لمن لاحظ فقرات الخبر، وعليه فيعارض مع الموثّق، والترجيح معه، لأنّه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 الأصحاب عن الموثّق، يسقطه عن الحجيّة، فالمعتمد هو خبر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صدره يَسقط عن الحجيّة للإعراض، أو لأرجحيّة معارضه، وأمّا ذيله فلا وجه لطرحه بعدما لا مانع من التفكيك في الحجيّة بين فقرات حديث واحد، وعليه فيقيّد خبر ابن مسلم بحال الاختيار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الأصحاب أيضاً لم يعملوا بذيله، ولم يفرّقوا بين الحالتين، فما هو المشهور أظهر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يتحقّق بالبحث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 محمّد وإنْ كان ضعيف السند، إلّاأنّه من جهة الشهرة واستناد الأصحاب إليه يكون ضعفه منجبراً، فلا إشكال فيه سنداً، ودلالته ظاهرة، ومرّ سقوط معارضه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وحدة الحَدّ قبل اليوم واليوم، مع أنّه قبل اليوم كانوا يطوفون بالبيت والمقام، واليوم يطوفون ما بين المقام والبيت، إنّما تكون من جهة أنّ المقام كان ملصقاً بالبيت خوفاً عليه من السيول، ثمّ نُقل إلى حيث هو اليوم ثابتاً فيه، وقد اختلفت كلمات القوم في من نقله من موضعه، ولا يهمّنا تحقيق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جمعٌ من الأصحاب</w:t>
      </w:r>
      <w:r>
        <w:rPr>
          <w:rStyle w:val="FootnoteAnchor"/>
          <w:rtl w:val="true"/>
        </w:rPr>
        <w:footnoteReference w:id="132"/>
      </w:r>
      <w:r>
        <w:rPr>
          <w:rFonts w:ascii="Amiri" w:hAnsi="Amiri" w:eastAsia="Amiri" w:cs="Amiri"/>
          <w:color w:val="111111"/>
          <w:sz w:val="28"/>
          <w:sz w:val="28"/>
          <w:szCs w:val="28"/>
          <w:rtl w:val="true"/>
          <w:lang w:bidi="ar-SA"/>
        </w:rPr>
        <w:t>بأنّ المقام حقيقة هو العمود من الصخر، الذي كان إبراهيم عليه السلام يصعد عليه عند بناء البيت وعليه اليوم بناء، ويطلق على جميعه مع ما في داخله المقام عرفاً، وعليه فهل المراد بالمقام هنا هو الصخرة المذكورة، أم المجموع من الحائط وما فيه‌؟</w:t>
      </w:r>
    </w:p>
    <w:p>
      <w:pPr>
        <w:pStyle w:val="BookText"/>
        <w:rPr/>
      </w:pPr>
      <w:r>
        <w:rPr>
          <w:rFonts w:ascii="Amiri" w:hAnsi="Amiri" w:eastAsia="Amiri" w:cs="Amiri"/>
          <w:color w:val="111111"/>
          <w:sz w:val="28"/>
          <w:sz w:val="28"/>
          <w:szCs w:val="28"/>
          <w:rtl w:val="true"/>
          <w:lang w:bidi="ar-SA"/>
        </w:rPr>
        <w:t>الأظهر هو الأوّل، لخبر محمّد المتقدّم، فإنّ العمود قد تغيّر مكانه عمّا كان عليه في زمن رسول اللّه صلى الله عليه و آله، مع أنّ الثاني هو معناه المجازي العرفي، فالمتبادر منه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مدخليّة للمقام نفسه في الطواف، فلو حوّل من مكانه إلى أبعد من موضعه الفعلي، وجب الطواف في المقدار المخصوص، كما دلّ على ذلك خبر محمّد المتقدّم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ملاحظة المقدار المزبور من جميع الجوانب، كما مرّ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تصريح خبر محمّد به،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قطع الأصحاب،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الأزرقي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الشاذروان ست وعشرون ذراعاً ونصف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تُحتسب المسافة من جهة الحِجْر من خارجه، أم يكون الحجر محسوباً من المسافة‌؟</w:t>
      </w:r>
    </w:p>
    <w:p>
      <w:pPr>
        <w:pStyle w:val="BookText"/>
        <w:rPr/>
      </w:pPr>
      <w:r>
        <w:rPr>
          <w:rFonts w:ascii="Amiri" w:hAnsi="Amiri" w:eastAsia="Amiri" w:cs="Amiri"/>
          <w:color w:val="111111"/>
          <w:sz w:val="28"/>
          <w:sz w:val="28"/>
          <w:szCs w:val="28"/>
          <w:rtl w:val="true"/>
          <w:lang w:bidi="ar-SA"/>
        </w:rPr>
        <w:t>ظاهر جمعٍ من الأصحاب وصريح آخرين الأوّل</w:t>
      </w:r>
      <w:r>
        <w:rPr>
          <w:rStyle w:val="FootnoteAnchor"/>
          <w:rtl w:val="true"/>
        </w:rPr>
        <w:footnoteReference w:id="134"/>
      </w:r>
      <w:r>
        <w:rPr>
          <w:rFonts w:ascii="Amiri" w:hAnsi="Amiri" w:eastAsia="Amiri" w:cs="Amiri"/>
          <w:color w:val="111111"/>
          <w:sz w:val="28"/>
          <w:sz w:val="28"/>
          <w:szCs w:val="28"/>
          <w:rtl w:val="true"/>
          <w:lang w:bidi="ar-SA"/>
        </w:rPr>
        <w:t>، وعن ثاني الشهيدين</w:t>
      </w:r>
      <w:r>
        <w:rPr>
          <w:rStyle w:val="FootnoteAnchor"/>
          <w:rtl w:val="true"/>
        </w:rPr>
        <w:footnoteReference w:id="135"/>
      </w:r>
      <w:r>
        <w:rPr>
          <w:rFonts w:ascii="Amiri" w:hAnsi="Amiri" w:eastAsia="Amiri" w:cs="Amiri"/>
          <w:color w:val="111111"/>
          <w:sz w:val="28"/>
          <w:sz w:val="28"/>
          <w:szCs w:val="28"/>
          <w:rtl w:val="true"/>
          <w:lang w:bidi="ar-SA"/>
        </w:rPr>
        <w:t xml:space="preserve">احتمال الثاني، وقوّاه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والفاضل النراقي</w:t>
      </w:r>
      <w:r>
        <w:rPr>
          <w:rStyle w:val="FootnoteAnchor"/>
          <w:rtl w:val="true"/>
        </w:rPr>
        <w:footnoteReference w:id="137"/>
      </w:r>
      <w:r>
        <w:rPr>
          <w:rFonts w:ascii="Amiri" w:hAnsi="Amiri" w:eastAsia="Amiri" w:cs="Amiri"/>
          <w:color w:val="111111"/>
          <w:sz w:val="28"/>
          <w:sz w:val="28"/>
          <w:szCs w:val="28"/>
          <w:rtl w:val="true"/>
          <w:lang w:bidi="ar-SA"/>
        </w:rPr>
        <w:t xml:space="preserve">، ومالَ إليه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بأنّ الحجر من البيت، فلا إشكال في أنّه تحتسب المسافة من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بعدم كونه من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بذلك من جهة وجوب إدخاله في الطواف،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وجوب إدخاله في الطواف، لا يوجبُ رفع اليد عن ظاهر الخبر، بل صريحه، المتضمّن أنّه يحسب ذلك المقدار من جميع نواحي البيت، المستلزم لاحتساب الحِجْر من المسافة، وعليه فالأظهر هو ذلك فضلاً عن أنّه أحوط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41" w:name="pg11810_104139"/>
    </w:p>
    <w:p>
      <w:pPr>
        <w:pStyle w:val="BookText"/>
        <w:rPr/>
      </w:pPr>
      <w:bookmarkEnd w:id="41"/>
      <w:r>
        <w:rPr>
          <w:rFonts w:ascii="Amiri" w:hAnsi="Amiri" w:eastAsia="Amiri" w:cs="Amiri"/>
          <w:color w:val="111111"/>
          <w:sz w:val="28"/>
          <w:sz w:val="28"/>
          <w:szCs w:val="28"/>
          <w:rtl w:val="true"/>
          <w:lang w:bidi="ar-SA"/>
        </w:rPr>
        <w:t>وصلاة ركعتيه في مقام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مشى على أساس البيت، والمسمّى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شاذروان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طوافه، لأنّه من البيت على ما صرّح به المصنّف رحمه الله</w:t>
      </w:r>
      <w:r>
        <w:rPr>
          <w:rStyle w:val="FootnoteAnchor"/>
          <w:rtl w:val="true"/>
        </w:rPr>
        <w:footnoteReference w:id="13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 فالماشي عليه طائفٌ في البيت لا بالبيت، ولا يكون طائفاً ما بين البيت والمقام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يطوف ويمسّ الجدار بيده في موازاة الشاذروان، أو أدخل يده في موازاة ما هو من البيت من الحِجْر، فالأقرب عدم الصحّة، وهو أحد وجهي الشافعيّة، لأنّ بعض بدنه في البيت، ونحن شرطنا خروج بدنه بأسره من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الجزم بالصحّة، ولعلّه الأظهر من جهة أنّه يصدق عرفاً الطواف بالبيت، وما بين المقام والبيت، لكن الاحتياط طريق النجاة</w:t>
      </w:r>
      <w:r>
        <w:rPr>
          <w:rFonts w:eastAsia="Amiri" w:cs="Amiri" w:ascii="Amiri" w:hAnsi="Amiri"/>
          <w:color w:val="111111"/>
          <w:sz w:val="28"/>
          <w:szCs w:val="28"/>
          <w:rtl w:val="true"/>
          <w:lang w:bidi="ar-SA"/>
        </w:rPr>
        <w:t>.</w:t>
      </w:r>
    </w:p>
    <w:p>
      <w:pPr>
        <w:pStyle w:val="Heading2"/>
        <w:numPr>
          <w:ilvl w:val="1"/>
          <w:numId w:val="1"/>
        </w:numPr>
        <w:rPr/>
      </w:pPr>
      <w:bookmarkStart w:id="42" w:name="__RefHeading___Toc10745786_73709187"/>
      <w:bookmarkStart w:id="43" w:name="_Toc14"/>
      <w:bookmarkEnd w:id="42"/>
      <w:r>
        <w:rPr>
          <w:rtl w:val="true"/>
        </w:rPr>
        <w:t>وجوب ركعتي الطواف خلف المقام</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لوازم 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ركعتيه في مقام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إنْ كان واجباً، واستحباباً إن كان مستحبّاً، وهو المعروف من مذهب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عدم الوجوب إلي شاذٍّ من علمائنا، وكذا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استدلّ للزومهما بوجوه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صلّاهما فتجب، للتأسّي، ولقوله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أنّ فعله أعمٌّ من الوجوب والاستحباب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فإنّ الأمر ظاهرٌ في الوجوب، فبضميمة الإجماع على عدم وجوب غيرهما فيه، يثبت لزومهما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الكريمة لا تدلّ على مشروعيّة صلاةٍ خاصّة، بل تدلّ على لزوم جعله مُصلّى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مطلوبيّة إيقاع الصلاة في ذلك المكان مثل ما دلّ على مطلوبيّة الصلاة في المسجد، فهي غير ظاهرة في ما ذكر، هذا مع قطع النظر عن النصوص المفسّرة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لكونه مدركيّاً لا يُستند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الكثيرة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طوافك، فائتِ مقام إبراهيم فصلِّ ركعتين واجعله إماماً، واقرأ في الأُولى منهما سورة التوحيد قل هو اللّه أحد، وفي الثانية قُل يا أيّها الكافرون، ثمّ تشهّد وأحمد اللّه واثنِ عليه، وصلِّ على النبيّ صلى الله عليه و آله، واسأله أن يتقبّل منك، وهاتان الركعتان هما الفريضة، ليس يكره أن تصلّيهما في أيّ الساعات شئت عند طلوع الشمس وعند غروبها، لا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44" w:name="pg11810_104141"/>
    </w:p>
    <w:p>
      <w:pPr>
        <w:pStyle w:val="BookText"/>
        <w:rPr/>
      </w:pPr>
      <w:bookmarkEnd w:id="44"/>
      <w:r>
        <w:rPr>
          <w:rFonts w:ascii="Amiri" w:hAnsi="Amiri" w:eastAsia="Amiri" w:cs="Amiri"/>
          <w:color w:val="111111"/>
          <w:sz w:val="28"/>
          <w:sz w:val="28"/>
          <w:szCs w:val="28"/>
          <w:rtl w:val="true"/>
          <w:lang w:bidi="ar-SA"/>
        </w:rPr>
        <w:t>تؤخّرهما، ساعة تطوف وتفرغ فصلّهما</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طاف طواف الفريضة، وفرغ من طوافه حين غربت الشمس‌؟</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عليه تلك الساعة الركعتان، فليصلّهما قبل المغرب</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من النصوص الكثيرة الآتي طرف منها خلال المسائل الآتية، فلزومهما ممّا لا ينبغي التوقّف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صلى الله عليه و آله للأعرابي الذي قال له هل عَليَّ غيرها أي غير الخمس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تتطوّع</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فغايته كونه مطلقاً يقيّد إطلاقه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قول أبي جعفر عليه السلام لزرارة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الصلاة وسَنَّ رسول اللّه صلى الله عليه و آله عشرة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ولم يعد منها صلاة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يحتمل كون المراد ما شرع من الصلاة بنفسها لا تابعة لطواف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الكلام يتحقّق بالبحث في جهات</w:t>
      </w:r>
      <w:r>
        <w:rPr>
          <w:rFonts w:eastAsia="Amiri" w:cs="Amiri" w:ascii="Amiri" w:hAnsi="Amiri"/>
          <w:color w:val="111111"/>
          <w:sz w:val="28"/>
          <w:szCs w:val="28"/>
          <w:rtl w:val="true"/>
          <w:lang w:bidi="ar-SA"/>
        </w:rPr>
        <w:t>:</w:t>
      </w:r>
    </w:p>
    <w:p>
      <w:pPr>
        <w:pStyle w:val="Heading2"/>
        <w:numPr>
          <w:ilvl w:val="1"/>
          <w:numId w:val="1"/>
        </w:numPr>
        <w:rPr/>
      </w:pPr>
      <w:bookmarkStart w:id="45" w:name="__RefHeading___Toc10745788_73709187"/>
      <w:bookmarkStart w:id="46" w:name="_Toc15"/>
      <w:bookmarkEnd w:id="45"/>
      <w:r>
        <w:rPr>
          <w:rtl w:val="true"/>
        </w:rPr>
        <w:t>محلّ إيقاع الصلاة</w:t>
      </w:r>
      <w:bookmarkEnd w:id="46"/>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محلّ إيقاع الصلاة، وفيه أقوال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 المتن</w:t>
      </w:r>
      <w:r>
        <w:rPr>
          <w:rStyle w:val="FootnoteAnchor"/>
          <w:rtl w:val="true"/>
        </w:rPr>
        <w:footnoteReference w:id="14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الشرايع</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 وعن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15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Style w:val="FootnoteAnchor"/>
          <w:rtl w:val="true"/>
        </w:rPr>
        <w:footnoteReference w:id="1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157"/>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إيقاعها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الصدوقين</w:t>
      </w:r>
      <w:r>
        <w:rPr>
          <w:rStyle w:val="FootnoteAnchor"/>
          <w:rtl w:val="true"/>
        </w:rPr>
        <w:footnoteReference w:id="158"/>
      </w:r>
      <w:r>
        <w:rPr>
          <w:rFonts w:ascii="Amiri" w:hAnsi="Amiri" w:eastAsia="Amiri" w:cs="Amiri"/>
          <w:color w:val="111111"/>
          <w:sz w:val="28"/>
          <w:sz w:val="28"/>
          <w:szCs w:val="28"/>
          <w:rtl w:val="true"/>
          <w:lang w:bidi="ar-SA"/>
        </w:rPr>
        <w:t>والإسكافي</w:t>
      </w:r>
      <w:r>
        <w:rPr>
          <w:rStyle w:val="FootnoteAnchor"/>
          <w:rtl w:val="true"/>
        </w:rPr>
        <w:footnoteReference w:id="15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ومختصره</w:t>
      </w:r>
      <w:r>
        <w:rPr>
          <w:rStyle w:val="FootnoteAnchor"/>
          <w:rtl w:val="true"/>
        </w:rPr>
        <w:footnoteReference w:id="16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w:t>
      </w:r>
      <w:r>
        <w:rPr>
          <w:rStyle w:val="FootnoteAnchor"/>
          <w:rtl w:val="true"/>
        </w:rPr>
        <w:footnoteReference w:id="161"/>
      </w:r>
      <w:r>
        <w:rPr>
          <w:rFonts w:ascii="Amiri" w:hAnsi="Amiri" w:eastAsia="Amiri" w:cs="Amiri"/>
          <w:color w:val="111111"/>
          <w:sz w:val="28"/>
          <w:sz w:val="28"/>
          <w:szCs w:val="28"/>
          <w:rtl w:val="true"/>
          <w:lang w:bidi="ar-SA"/>
        </w:rPr>
        <w:t>، وجماعة من المتأخّرين</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إيقاعها خلف مقام إبراهيم عليه السلام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والعقود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العلم والعمل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وشرحه</w:t>
      </w:r>
      <w:r>
        <w:rPr>
          <w:rStyle w:val="FootnoteAnchor"/>
          <w:rtl w:val="true"/>
        </w:rPr>
        <w:footnoteReference w:id="16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إيقاعها عند المقام الشامل للخلف وأحد الجانبين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يستحبّ إيقاعها خلف المقام، وإنْ لم يفعل وفعل في غيره أجزأه، وادّعى عليه 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الحلبي</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محلّها المسجد، وعن الصدوقين</w:t>
      </w:r>
      <w:r>
        <w:rPr>
          <w:rStyle w:val="FootnoteAnchor"/>
          <w:rtl w:val="true"/>
        </w:rPr>
        <w:footnoteReference w:id="169"/>
      </w:r>
      <w:r>
        <w:rPr>
          <w:rFonts w:ascii="Amiri" w:hAnsi="Amiri" w:eastAsia="Amiri" w:cs="Amiri"/>
          <w:color w:val="111111"/>
          <w:sz w:val="28"/>
          <w:sz w:val="28"/>
          <w:szCs w:val="28"/>
          <w:rtl w:val="true"/>
          <w:lang w:bidi="ar-SA"/>
        </w:rPr>
        <w:t>اختياره في خصوص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ظاهراً في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مسلم، عن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طاف طواف الفريضة ولم يصلِّ الركعتين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ذكر وهو بالأبطح،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المقام فيُصلّى ركعتين</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خبر أحمد بن عمر الحلال</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عمّار المتقدّم، وجمله من النصوص الآتية في نسيان الركعتين الآمرة بإعادتهما خلف المقام، 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ظاهرٌ في القول الثالث</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عبيد بن زرارة،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طاف طواف الفريضة ولم يصلِّ الركعتين حتّى ذكر بالأبطح، يُصلّي أربع ركعات‌؟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فيُصلّي عند المقام أربعاً</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المستفيضة المشتملة على هذا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مطلق أو مجمل، أي لم يبيّن فيه مكان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النصوص يقتضي أن يقال إنّ الطائفة الأخيرة التي هي مدرك الحلبي المجملة تحكم عليها المفصّلة، والثالثة مطلقة شاملة للخلف والجانبين، يقيّد إطلاقها بالثانية الصريحة في لزوم إيقاعها خلف المقام، وأمّا الأُولى فليس فيها الصلاة في المقام، فهي أيضاً إمّا مجملة أو مطلقة، وعلى الأوّل تحكم عليها المفصّلة، وعلى الثاني يقيّد إطلاقها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فالجمع بين النصوص يقتضي البناء على تعيّن إيقاعهما خلف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حسين بن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الحسن موسى عليه السلام يُصلّي ركعتي طواف الفريضة بحيال المقام قريباً من ظلال المسجد</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فلا ينافي ما تقدّم، لإمكان أن يكون خلف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ولثاني الشهيدين رحمه الله</w:t>
      </w:r>
      <w:r>
        <w:rPr>
          <w:rStyle w:val="FootnoteAnchor"/>
          <w:rtl w:val="true"/>
        </w:rPr>
        <w:footnoteReference w:id="174"/>
      </w:r>
      <w:r>
        <w:rPr>
          <w:rFonts w:ascii="Amiri" w:hAnsi="Amiri" w:eastAsia="Amiri" w:cs="Amiri"/>
          <w:color w:val="111111"/>
          <w:sz w:val="28"/>
          <w:sz w:val="28"/>
          <w:szCs w:val="28"/>
          <w:rtl w:val="true"/>
          <w:lang w:bidi="ar-SA"/>
        </w:rPr>
        <w:t>كلام في المقام لا بأس بإيراده ملخّصاً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في المقام أنّه العمود من الصخر الذي كان إبراهيم عليه السلام يقف عليه حين بناء البيت، وأثر قدميه فيه إلى الآن، ثمّ بعد ذلك بنوا حوله بناءً‌، وأطلقوا اسم المقام على ذلك البناء بسبب المجاورة، حتّى صار إطلاقه على ذلك البناء كأنّه حقيقة عرفيّة، وعليه فالمقام بالمعنى الأوّل لا يصلح ظرفاً مكانيّاً للصلاة، لعدم إمكان الصلاة فيه، وإنّما تصلح خلفه أو إلى أحد جانبيه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المقام بالمعنى الثاني فيمكن الصلاة فيه أو في أحد جانبيه وخلفه، فقول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أن يُصلّي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أراد به المعنى الأوّل أشكل من جعله ظرفاً مكانيّاً، ومن جهة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منعه زحامٌ صَلّى ورائه أو إلى أحد جانبيه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الصلاة في هذين جائزة مع الزحام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بالمقام المعنى الثاني، صحّ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يُصلّي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يشكل بالأمرين الأخيرين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إرادة المعنى الثاني أنّه لا دليل على وجوب إيقاعها فيه بالمعنى الثاني، لعدم حمل المقام في كلامهم عليهم السلام عليه، فإنّه محمولٌ على معناه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 ما تقدّم من عدم الدليل على الصلاة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النصوص اعتبار القُرب إلى المقام، للآية الشريفة، ونصوص الصلاة عنده، ولذا قال الشهيد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خلاف في عدم جواز التقدّم على الصخرة، والمنع عن استدبارها، والتعبير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وجوب الاتّصال والقُرب منه، بحيث يتجوّز عنه بالصلاة فيه، لظاهر الآية</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حسن، ومقتضاه وجوب إيقاعهما في البناء الذي فيه الصخرة</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دلالة الآية الكريمة والنصوص على اعتبار القُرب، وأمّا دلالتها على لزوم إيقاعها في البناء فممنوعه، لصدق خلف المقام وعنده على الخارج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البناء، ودعوى الانصراف إلى الداخل فيه،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تحرّي الأقرب ما أمكن أم لا؟ الظاهر العدم، لعدم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منعه الزحام من الصلاة خلف المقام قريباً منه صلّى بعيداً عنه خلفه، لصحيح حسين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إطلاقه جواز الصلاة حينئذٍ إلى أحد جانبيه لصدق الحيال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حكاية فعل مجمل، ومن الممكن أنّه كان عليه السلام يُصلّي خلفه، فهو المتيقّن فلا يتعدّى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حينئذٍ تحرّي القُرب منه ما أمكن‌؟</w:t>
      </w:r>
    </w:p>
    <w:p>
      <w:pPr>
        <w:pStyle w:val="BookText"/>
        <w:rPr/>
      </w:pPr>
      <w:r>
        <w:rPr>
          <w:rFonts w:ascii="Amiri" w:hAnsi="Amiri" w:eastAsia="Amiri" w:cs="Amiri"/>
          <w:color w:val="111111"/>
          <w:sz w:val="28"/>
          <w:sz w:val="28"/>
          <w:szCs w:val="28"/>
          <w:rtl w:val="true"/>
          <w:lang w:bidi="ar-SA"/>
        </w:rPr>
        <w:t xml:space="preserve">الظاهر العدم، فإنّه مع 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لا دليل على رعاية القُرب حينئذٍ ما أمكن،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اشتراط جواز التباعد بضيق الوقت، إذ لا دليل له سوى حكاية فعلٍ مجمل، فينبغي الإقتصار فيه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جواز إيقاعهما في أحد جانبيه، حتّى في حال الضرورة فلا يجوز، كما لا يجوز التقدّم على الصخرة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المقام الذي يجب الصلاة خلفه أو عنده أو فيه، هو حيث الآن، لا ما كان على عهد النبيّ صلى الله عليه و آله وإبراهيم عليه السلام، بلا خلافٍ‌، ويشهد به صحيح إبراهيم بن أبي محمود، قال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اُصلّي ركعتي طواف الفريضة خلف المقام حيث هو الساعة، </w:t>
      </w:r>
    </w:p>
    <w:p>
      <w:pPr>
        <w:pStyle w:val="BookText"/>
        <w:rPr/>
      </w:pPr>
      <w:r>
        <w:rPr>
          <w:rFonts w:ascii="Amiri" w:hAnsi="Amiri" w:eastAsia="Amiri" w:cs="Amiri"/>
          <w:color w:val="111111"/>
          <w:sz w:val="28"/>
          <w:sz w:val="28"/>
          <w:szCs w:val="28"/>
          <w:rtl w:val="true"/>
          <w:lang w:bidi="ar-SA"/>
        </w:rPr>
        <w:t>أو حيث كان على عهد رسول اللّه صلى الله عليه و آله‌؟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هو الساعة</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 كلّه إنّما هو في صلاة طواف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صلاة طواف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يتعيّن لها قُرب المقام بلا خلافٍ‌، وعن غير واحد دعوى الإجماع عليه</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إجماعٌ 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الأصل بعد اختصاص الروايات المعيّنة لمحلّها خلف المقام أو عنده بالفريضة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عن أحدهما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أن تُصلّي ركعتي طواف الفريضة إلّاعند مقام إبراهيم عليه السلام، وأمّا التطوّع فحيثُ شئتَ من المسجد</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وموثّق إسحاق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بهذا البيت اسبوعاً، وصلّى ركعتين في أيّ جوانبِ المسجد شاء، كتب اللّه له ستّة آلاف حسنة</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الأصحاب الاتّفاق على تعيّن المسجد، والخبران غير ظاهرين فيه، بل خبر علي بن جعفر، عن أخيه موسى بن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يطوف بعد الفجر، فيُصلّي الركعتين خارجاً من المسجد؟ قال عليه السلام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يُصلّي بمكّة لا يخرج منها إلّاأن ينسى‌، فيُصلّي إذا رجع في المسجد أيّ ساعةٍ أحبّ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ركعتي ذلك الطواف</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يدلّ على جواز إيقاعهما خارج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خبر علي بن جعفر ضعيف سنداً، ولا يخلو من تشويش، لدلالته على تعيّن المسجد في صورة النسيان، وخبر زرارة لوروده في مقام التحديد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التعيّين، هذا كلّه مضافاً إلى تسالم الأصحاب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تعيّن المسجد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47" w:name="pg11810_104149"/>
    </w:p>
    <w:p>
      <w:pPr>
        <w:pStyle w:val="Heading2"/>
        <w:numPr>
          <w:ilvl w:val="1"/>
          <w:numId w:val="1"/>
        </w:numPr>
        <w:rPr/>
      </w:pPr>
      <w:bookmarkStart w:id="48" w:name="__RefHeading___Toc10745790_73709187"/>
      <w:bookmarkStart w:id="49" w:name="_Toc16"/>
      <w:bookmarkEnd w:id="47"/>
      <w:bookmarkEnd w:id="48"/>
      <w:r>
        <w:rPr>
          <w:rtl w:val="true"/>
        </w:rPr>
        <w:t>حكم نسيان ركعتي الطواف</w:t>
      </w:r>
      <w:bookmarkEnd w:id="49"/>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نسى ركعتي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جماعةٍ‌</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الرجوع إلى المقام مع الإمكان، وعدم المشقّة، وإتيانهما فيه، بل قيل إنّه الأشهر</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بلا خلافٍ أجده فيه، إلّاما يُحكى عن الصدوق من الميل إلى صلاتهما حيث يذكر،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كما هو الظاهر</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إنّهم اختلفوا فيما هو وظيفته إذا تعذّر عليه الرجوع، وأنّها هل هي الصلاة متى تذكّر، أو الاستنابة، أو التخيّير بينهما؟</w:t>
      </w:r>
    </w:p>
    <w:p>
      <w:pPr>
        <w:pStyle w:val="BookText"/>
        <w:rPr/>
      </w:pPr>
      <w:r>
        <w:rPr>
          <w:rFonts w:ascii="Amiri" w:hAnsi="Amiri" w:eastAsia="Amiri" w:cs="Amiri"/>
          <w:color w:val="111111"/>
          <w:sz w:val="28"/>
          <w:sz w:val="28"/>
          <w:szCs w:val="28"/>
          <w:rtl w:val="true"/>
          <w:lang w:bidi="ar-SA"/>
        </w:rPr>
        <w:t>وأمّا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لزوم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طاف طواف الفريضة، ولم يصلِّ الركعتين حتّى طاف بين الصفا والمروة، ثمّ طاف طواف النساء ولم يصلِّ لذلك الطواف حتّى ذكر وهو بالأبطح‌؟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المقام فيُصلّي ركعتين</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رواه الصدوق، ورواه الكليني رحمه الله</w:t>
      </w:r>
      <w:r>
        <w:rPr>
          <w:rStyle w:val="FootnoteAnchor"/>
          <w:rtl w:val="true"/>
        </w:rPr>
        <w:footnoteReference w:id="187"/>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فيُصلّي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أنّه يُصلّي ركعتين لكلّ طوافٍ لما مضى ويأتي</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عبيد بن زرارة،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طاف طواف الفريضة، ولم يُصلِّ الركعتين حتّى ذكر وهو بالأبطح، يُصلّي أربعاً؟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فيُصلّي عند المقام أربعاً</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الحلال،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نسى أن يُصلّي ركعتي طواف الفريضة، فلم يذكر حتّى أتى منى‌؟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مقام إبراهيم عليه السلام فيصلّيهما</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ونحوها غيرها</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أنّه يصلّيهما حيث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نسي الركعتين خلف مقام إبراهيم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فليصلّيهما حيثُ ذكر، وإنْ ذكرهما وهو في البلد فلا يبرح حتّى يقضيهما</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بن المثنّى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نسيتُ أن اُصلّي الركعتين للطواف خلف المقام، حتّى انتهيت إلى منى، فرجعتُ إلى مكّة فصلّيتهما ثمّ عدتُ إلى منى، فذكرنا ذلك لأبي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صلّاهما حيثُ ما ذكر</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عمر بن البراء، عن مولانا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من نسى ركعتي طواف الفريضة حتّى أتى منى، أنّه رخّص أن يصلّيهما بمنى</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جواز الاستنابة في الإيقاع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عمر بن يزيد،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من نسى ركعتي الطواف حتّى ارتحلّ من مكّة‌؟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مضى قليلاً فليرجع فليصلّهما، أو يأمر بعض النّاس فليصلّهما عنه</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نسى أن يُصلّي ركعتي طواف الفريضة حتّى خرج من مكّة، فعليه أن يقضي أو يقضي عنه وليّه أو رجلٌ من المسلمين</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مسكان، حدّثني مَن سأله عن الرّجل ينسى ركعتي طواف الفريضة حتّى يخرج‌؟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يوكل</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ونحوها غيرها</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Style w:val="FootnoteAnchor"/>
          <w:rtl w:val="true"/>
        </w:rPr>
        <w:footnoteReference w:id="199"/>
      </w:r>
      <w:r>
        <w:rPr>
          <w:rFonts w:ascii="Amiri" w:hAnsi="Amiri" w:eastAsia="Amiri" w:cs="Amiri"/>
          <w:color w:val="111111"/>
          <w:sz w:val="28"/>
          <w:sz w:val="28"/>
          <w:szCs w:val="28"/>
          <w:rtl w:val="true"/>
          <w:lang w:bidi="ar-SA"/>
        </w:rPr>
        <w:t>في الجمع بين النصوص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المشهور، وهو حمل الطائفة الأُولى على ما إذا لم يشقّ عليه الرجوع، والثانية على ما إذا شقَّ عليه ذلك، بشهادة صحيح أبي بصير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نسى أن يُصلّي ركعتي طواف الفريضة خلف المقام،ا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حتّى ارتحلّ؟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ارتحلّ فإنّي لا أشقّ عليه ولا آمره أن يرجع، ولكن يُصلّي حيثُ يذكر</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الطائفة الثالثة فقد حَمَلوها على صورة تعذّر الرجوع، أو مشقّته، إمّا مقدّماً على أنْ يُصلّي حيثُ ما ذكر، أو بنحو التخيّير بينهما، وحملها بعضهم على صورة الترك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ذكروه من الجمع بين الطائفتين الأولتين تبرّعيٌ لا شاهد له، وصحيح أبي بصير لا يشهد به، فإنّه يدلّ على أنّ مطلق مشقّة الرجوع التي لا ينفكّ عنها مرتحِلٌ‌، تمنع عن الأمر بالرجوع، فهو أيضاً يدلّ على جواز أن يُصلّي في كلّ مكان مطلقاً، مع أنّ بعض نصوص الصلاة حيث ما ذكر تأبى عن هذا الحمل، راجع صحيح ابن المثنّى، وأمّا ما ذكروه في الطائفة الثالثة فلا ينطبق على شيء من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النصوص الأُول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إباء صحيح ابن المثنّى عن ذلك، إذ لو كان الرجوع مستحبّاً لما كان وجهٌ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صلّاهما حيث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جمعاً عرفيّاً، إذ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ويصلّيهما عند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جُمع مع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فليصلّيهما حيثُ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يرى العرف الثاني قرينةً على حمل الأوّل على الندب</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الجمع بين النصوص يقتضي البناء على التخيّير بين الثلاثة مطلقاً، وهو مضافاً إلى كونه جمعا عرفيّاً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للتخيّير بين الرجوع والاستنابة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صحيح عمر بن يزيد، وللتخيّير بين الرجوع والصلاة حيثُ ما ذَكر صحيح أبي بصير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أنّ الأمر بالصلاة حيثُ ذَكر أمرٌ ترخيصي امتناني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يوقفنا عن الإفتاءبذلك عدم إفتاءالأصحاب به، وعليه فالأحوط مع عدم المشقّة الرجوع والصلاة خلف المقام، وإذا تعذّر عليه ذلك، أو كان فيه مشقّة يتخيّر بين أن يُصلّي في محلّه أو يستنيب مَن يُصلّي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مذهب أكثر القدماء في هذه المسألة غير معلوم</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المسألة قولٌ آخر، وهو ما عن دروس الشهيد رحمه الله</w:t>
      </w:r>
      <w:r>
        <w:rPr>
          <w:rStyle w:val="FootnoteAnchor"/>
          <w:rtl w:val="true"/>
        </w:rPr>
        <w:footnoteReference w:id="203"/>
      </w:r>
      <w:r>
        <w:rPr>
          <w:rFonts w:ascii="Amiri" w:hAnsi="Amiri" w:eastAsia="Amiri" w:cs="Amiri"/>
          <w:color w:val="111111"/>
          <w:sz w:val="28"/>
          <w:sz w:val="28"/>
          <w:szCs w:val="28"/>
          <w:rtl w:val="true"/>
          <w:lang w:bidi="ar-SA"/>
        </w:rPr>
        <w:t>، من أنّه يجبُ الرجوع إلى المقام إلّامع التعذّر خاصّة، ثمّ معه يجب الإيقاع في الحرم إلّامع التعذّر، فحينئذٍ يوقعهما حيثُ أمكن من البقاع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غير واحدٍ من المحقّقين</w:t>
      </w:r>
      <w:r>
        <w:rPr>
          <w:rStyle w:val="FootnoteAnchor"/>
          <w:rtl w:val="true"/>
        </w:rPr>
        <w:footnoteReference w:id="204"/>
      </w:r>
      <w:r>
        <w:rPr>
          <w:rFonts w:ascii="Amiri" w:hAnsi="Amiri" w:eastAsia="Amiri" w:cs="Amiri"/>
          <w:color w:val="111111"/>
          <w:sz w:val="28"/>
          <w:sz w:val="28"/>
          <w:szCs w:val="28"/>
          <w:rtl w:val="true"/>
          <w:lang w:bidi="ar-SA"/>
        </w:rPr>
        <w:t>بعدم العثور على مستند له في ذلك، بل إطلاق النصوص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أحوط، وأحوط منه إيقاعهما في المسجد إذا تعذّر عليه العود إلى المقام، ولو تعذّر ذلك أيضاً صلّاهما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مورد هذه النصوص بأجمعها المرتحل، وأمّا غيره فيجب عليه العود إلى المقام قطعاً، إذ لا معارض لما دلّ على لزوم إيقاعهما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تعذّر عليه ذلك ينفي وجوبه بأدلّة نفي العُسر والحَرَج</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يلحق الجاهل بالنّاسي كما صرّح به جماعةٌ‌</w:t>
      </w:r>
      <w:r>
        <w:rPr>
          <w:rStyle w:val="FootnoteAnchor"/>
          <w:rtl w:val="true"/>
        </w:rPr>
        <w:footnoteReference w:id="205"/>
      </w:r>
      <w:r>
        <w:rPr>
          <w:rFonts w:ascii="IRNazanin" w:hAnsi="IRNazanin" w:eastAsia="IRNazanin"/>
          <w:color w:val="111111"/>
          <w:sz w:val="28"/>
          <w:sz w:val="28"/>
          <w:szCs w:val="28"/>
          <w:rtl w:val="true"/>
          <w:lang w:bidi="fa-IR"/>
        </w:rPr>
        <w:t>أم لا؟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الظاهر ذلك، لصحيح جميل بن درّاج،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الجاهل في ترك الركعتين عند مقام إبراهيم بمنزلة الناسي</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العامد فلا دليل على إلحاقة به، فمقتضى القاعدة وجوب العود إلى مقام إبراهيم مع الإمكان، وإلّا فالبقاء في الذمّة إلى أن يحصل التمكّن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الشهيدالثاني رحمه الله</w:t>
      </w:r>
      <w:r>
        <w:rPr>
          <w:rStyle w:val="FootnoteAnchor"/>
          <w:rtl w:val="true"/>
        </w:rPr>
        <w:footnoteReference w:id="207"/>
      </w:r>
      <w:r>
        <w:rPr>
          <w:rFonts w:ascii="Amiri" w:hAnsi="Amiri" w:eastAsia="Amiri" w:cs="Amiri"/>
          <w:color w:val="111111"/>
          <w:sz w:val="28"/>
          <w:sz w:val="28"/>
          <w:szCs w:val="28"/>
          <w:rtl w:val="true"/>
          <w:lang w:bidi="ar-SA"/>
        </w:rPr>
        <w:t>جعل العامد كالناسي، وأوردوا عليه بأنّه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نظر الشهيد قدس سره إلى أنّ إطلاق قوله في صحيح جميل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في ترك الركعتين عند مقام إبراهيم كالناسي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الجاهل المقصّر، وبضميمة ما ادّعوه من الإجماع على أنّه كالعامد يثبت الحكم في العامد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فيرد عليه أنّ المُجمع عليه هو أنّ الجاهل المقصّر كالعامد، لا كون العامد كالمقصّر،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ولم يُصلّهما، قضاهما الولي أو رجلٌ من المسلمين عنه، بلا خلافٍ‌</w:t>
      </w:r>
      <w:r>
        <w:rPr>
          <w:rStyle w:val="FootnoteAnchor"/>
          <w:rtl w:val="true"/>
        </w:rPr>
        <w:footnoteReference w:id="208"/>
      </w:r>
      <w:r>
        <w:rPr>
          <w:rFonts w:ascii="Amiri" w:hAnsi="Amiri" w:eastAsia="Amiri" w:cs="Amiri"/>
          <w:color w:val="111111"/>
          <w:sz w:val="28"/>
          <w:sz w:val="28"/>
          <w:szCs w:val="28"/>
          <w:rtl w:val="true"/>
          <w:lang w:bidi="ar-SA"/>
        </w:rPr>
        <w:t>، لصحيح عمر بن يزيد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بشموله لحال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غير دالٍّ على الوجوب، لعدم كونه متضمّناً للأمر ولا لغيره ممّا هو ظاهر فيه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شامل لحال الحياة،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عنه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ظاهرٌ في إرادة حال الموت، لعدم الولاية في صورة الحياة، مع أنّه لا يضرّ شموله لها كما مرّ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جهة كونه بالجملة الخبريّة ظاهرٌ في الوجوب، فلا إشكال في الحكم، ويؤيّده ما سيأتي من أنّه لو نسى الطواف حتّى مات قضى عنه وليّه، فإنّه يقضيه مع صلاته</w:t>
      </w:r>
      <w:r>
        <w:rPr>
          <w:rFonts w:eastAsia="Amiri" w:cs="Amiri" w:ascii="Amiri" w:hAnsi="Amiri"/>
          <w:color w:val="111111"/>
          <w:sz w:val="28"/>
          <w:szCs w:val="28"/>
          <w:rtl w:val="true"/>
          <w:lang w:bidi="ar-SA"/>
        </w:rPr>
        <w:t>.</w:t>
      </w:r>
      <w:bookmarkStart w:id="50" w:name="pg11810_104156"/>
    </w:p>
    <w:p>
      <w:pPr>
        <w:pStyle w:val="Heading2"/>
        <w:numPr>
          <w:ilvl w:val="1"/>
          <w:numId w:val="1"/>
        </w:numPr>
        <w:rPr/>
      </w:pPr>
      <w:bookmarkStart w:id="51" w:name="__RefHeading___Toc10745792_73709187"/>
      <w:bookmarkStart w:id="52" w:name="_Toc17"/>
      <w:bookmarkEnd w:id="50"/>
      <w:bookmarkEnd w:id="51"/>
      <w:r>
        <w:rPr>
          <w:rtl w:val="true"/>
        </w:rPr>
        <w:t>حكم ترك صلاة الطواف عمداً</w:t>
      </w:r>
      <w:bookmarkEnd w:id="52"/>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الطائف ركعتي الطواف عمداً، فقد مرَّ أنّه يجب عليه الرجوع إلى المقام والإتيان بهما، وإلّا تبقى ذمّته مشغولة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فيما أفاده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تشكل صحّة الأفعال المتأخّرة عنهما، من صدق الإتيان بهما، ومن عدم وقوعهما على الوجه المأمور به</w:t>
      </w:r>
      <w:r>
        <w:rPr>
          <w:rStyle w:val="FootnoteAnchor"/>
          <w:rtl w:val="true"/>
        </w:rPr>
        <w:footnoteReference w:id="209"/>
      </w:r>
      <w:r>
        <w:rPr>
          <w:rFonts w:ascii="Amiri" w:hAnsi="Amiri" w:eastAsia="Amiri" w:cs="Amiri"/>
          <w:color w:val="111111"/>
          <w:sz w:val="28"/>
          <w:sz w:val="28"/>
          <w:szCs w:val="28"/>
          <w:rtl w:val="true"/>
          <w:lang w:bidi="ar-SA"/>
        </w:rPr>
        <w:t xml:space="preserve">، واستجوده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نفي البُعد عن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المأتي به إن وقع في الخارج مطابقاً للمأمور به، كان صحيحاً، وإلّا فهو باطل، وفي الفرض لم تقع الأفعال المتأخّره مطابقة للمأمور به، إذ المأمور به وقوعها بعد الركعتين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مطابقة المأتي به للمأمور به، إنّما يكون لو كان الترتيب بين الركعتين وسائر الأفعال معتبراً في تلك الأفعال، وإلّا فهي مطابقة للمأمور به، والأصل يقتضي عدم الاعتبار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بالشيء يقتضي النهي عن ضدّه، والنهي في العبادة موجبٌ للفساد، وعليه فالأمر بالركعتين يستلزمُ النهي عن إتيان سائر الأفعال، وهو موجبٌ لفسادها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بالشيء لا يقتضي النهي عن ضدّه، خصوصاً الضدّ الخاص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بطلان الحَجّ والعُمرة بتركهما عمداً، وإنّما عليه الإثم وقضائهما كما هو المشهور بين الأصحاب، بل ادّعى قيام الإجماع عليه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214"/>
      </w:r>
      <w:r>
        <w:rPr>
          <w:rFonts w:ascii="Amiri" w:hAnsi="Amiri" w:eastAsia="Amiri" w:cs="Amiri"/>
          <w:color w:val="111111"/>
          <w:sz w:val="28"/>
          <w:sz w:val="28"/>
          <w:szCs w:val="28"/>
          <w:rtl w:val="true"/>
          <w:lang w:bidi="ar-SA"/>
        </w:rPr>
        <w:t>أنّه يستحبّ أن يَقرأ في الركعة الأولى الحمد والتوحيد، وفي الثانية الحمد والجحد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أنّه يقرأ الجحد في الأولى، والتوحيد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والنصوص وإنْ كان أكثرها مطلقة، فإنّها تضمّنت أنّه يقرأ فيهما الجحد والتوحيد، إلّاأنّ صحيح معاوية المتقدّم مصرّحٌ بما هو المشهور، وبه يقيّد إطلاق سائر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الشهيد</w:t>
      </w:r>
      <w:r>
        <w:rPr>
          <w:rStyle w:val="FootnoteAnchor"/>
          <w:rtl w:val="true"/>
        </w:rPr>
        <w:footnoteReference w:id="216"/>
      </w:r>
      <w:r>
        <w:rPr>
          <w:rFonts w:ascii="Amiri" w:hAnsi="Amiri" w:eastAsia="Amiri" w:cs="Amiri"/>
          <w:color w:val="111111"/>
          <w:sz w:val="28"/>
          <w:sz w:val="28"/>
          <w:szCs w:val="28"/>
          <w:rtl w:val="true"/>
          <w:lang w:bidi="ar-SA"/>
        </w:rPr>
        <w:t xml:space="preserve">أنّ به رواية، لكنّها لم تصل إلينا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218"/>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هو المشهور أظهر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53" w:name="pg11810_104158"/>
    </w:p>
    <w:p>
      <w:pPr>
        <w:pStyle w:val="Heading2"/>
        <w:numPr>
          <w:ilvl w:val="1"/>
          <w:numId w:val="1"/>
        </w:numPr>
        <w:rPr/>
      </w:pPr>
      <w:bookmarkStart w:id="54" w:name="__RefHeading___Toc10745794_73709187"/>
      <w:bookmarkStart w:id="55" w:name="_Toc18"/>
      <w:bookmarkEnd w:id="53"/>
      <w:bookmarkEnd w:id="54"/>
      <w:r>
        <w:rPr>
          <w:rtl w:val="true"/>
        </w:rPr>
        <w:t>وجوب المبادرة إلى الصلاة</w:t>
      </w:r>
      <w:bookmarkEnd w:id="55"/>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جملةٍ من النصوص فوريّة صلاة الطواف، وأنّه يجبُ الإتيان بها بعد الطواف بلا فصل 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طاف طواف الفريضة وفرغ من طوافه حين غربت الشمس‌؟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عليه تلك الساعة الركعتان، فليصلّيهما قبل المغرب</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طوافك فائتِ مقام إبراهيم فصلِّ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وهاتان الركعتان هما الفريضة، ليس يكره لك أن تصلّيهما في أيّ الساعات شئتَ عند طلوع الشمس وعند غروبها، ولا تؤخّرها ساعة تطوف وتفرغ فصلّهما</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مقتضى هذه النصوص أنّه يجوز إيقاعهما ولو في الأوقات الخمسة التي قالوا تكره لابتداء النوافل، ولا يكون مكروهاً، ولكن بإزائها في هذه الجهة نصوصٌ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ركعتى طواف الفريضة‌؟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وقتهما إذا فرغت من طوافك، واكرهه عند اصفرار الشمس وعند طلوعها</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الآخر،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يدخل مكّة بعد الغداة </w:t>
      </w:r>
    </w:p>
    <w:p>
      <w:pPr>
        <w:pStyle w:val="BookText"/>
        <w:rPr/>
      </w:pPr>
      <w:r>
        <w:rPr>
          <w:rFonts w:ascii="Amiri" w:hAnsi="Amiri" w:eastAsia="Amiri" w:cs="Amiri"/>
          <w:color w:val="111111"/>
          <w:sz w:val="28"/>
          <w:sz w:val="28"/>
          <w:szCs w:val="28"/>
          <w:rtl w:val="true"/>
          <w:lang w:bidi="ar-SA"/>
        </w:rPr>
        <w:t>أو بعد العصر؟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ويُصلّي الركعتين ما لم يكن عند طلوع الشمس أو عند إحمرارها</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يقطين،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الذي يطوف بعد الغداة وبعد العصر، وهو في وقت الصلاة، أيُصلّي ركعات الطواف نافلةً كانت أو فريضة‌؟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لأوّلان فقد حملهما شيخ الطائفة</w:t>
      </w:r>
      <w:r>
        <w:rPr>
          <w:rStyle w:val="FootnoteAnchor"/>
          <w:rtl w:val="true"/>
        </w:rPr>
        <w:footnoteReference w:id="224"/>
      </w:r>
      <w:r>
        <w:rPr>
          <w:rFonts w:ascii="Amiri" w:hAnsi="Amiri" w:eastAsia="Amiri" w:cs="Amiri"/>
          <w:color w:val="111111"/>
          <w:sz w:val="28"/>
          <w:sz w:val="28"/>
          <w:szCs w:val="28"/>
          <w:rtl w:val="true"/>
          <w:lang w:bidi="ar-SA"/>
        </w:rPr>
        <w:t>على التقيّة، وتبعه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موثّق إسحاق بن عمّار متضمّنٌ أنّ العامّة لا يمنعون من ذلك، وأنّهم لم يأخذوا من الحسنين عليهما السلام إلّاجواز الصلاة في هذين الوقتين، فكيف يُحمل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سيّدنا الرضا عليه السلام في صحيح ابن بزيع،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 السلام عن صلاة طواف التطوّع بعد العصر؟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فذكرت له قول بعض آبائه أنّ النّاس لم يأخذوا عن الحسن والحسين عليه السلام إلّاالصلاة بعد العصر بمكّة‌؟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إذا رأيتَ النّاس يقبلون على شيء فاجتنبه،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 مثلهم</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الحدائق</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لا يدفع الضرر عنكم، لأنّهم يعلمون أنّ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جواز الصلاة في هذه الأوقات المكروهة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خصائص مذهب الإماميّة، وهم إنّما أخذوا عن الحسن والحسين عليهما السلام الجواز في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صلاة الطواف خاصّة، فهم يؤأخذونكم لأجل ذلك بما لا يؤأخذ به بعضهم بعضاً، وهذا معنى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لستم مثلهم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الأوّل مختصّة بصلاة طواف الفريضة، والأخيرة مطلقة، فيقيّد إطلاقها بها، فلا إشكال في صلاة الفريضة، ثمّ بعد تخصيص الثانية بخصوص النافلة، يكون سبيل هذه النصوص سبيل سائر النصوص المتضمّنة لكراهة الصلاة في الأوقات الخمسة، التي عرفت سابقاً في هذا الشرح</w:t>
      </w:r>
      <w:r>
        <w:rPr>
          <w:rStyle w:val="FootnoteAnchor"/>
          <w:rtl w:val="true"/>
        </w:rPr>
        <w:footnoteReference w:id="227"/>
      </w:r>
      <w:r>
        <w:rPr>
          <w:rFonts w:ascii="Amiri" w:hAnsi="Amiri" w:eastAsia="Amiri" w:cs="Amiri"/>
          <w:color w:val="111111"/>
          <w:sz w:val="28"/>
          <w:sz w:val="28"/>
          <w:szCs w:val="28"/>
          <w:rtl w:val="true"/>
          <w:lang w:bidi="ar-SA"/>
        </w:rPr>
        <w:t>تعيّن حملها على التقيَّة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علي بن يقطين المصرّح بعدم الإتيان بصلاة طواف الفريضة في تلك الأوقات، فعن الشيخ رحمه الله</w:t>
      </w:r>
      <w:r>
        <w:rPr>
          <w:rStyle w:val="FootnoteAnchor"/>
          <w:rtl w:val="true"/>
        </w:rPr>
        <w:footnoteReference w:id="2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يدلّ على عدم جواز أن يُصلّي ركعتي الطواف إلّابعد أن يفرغ من الفريضة الحاضرة، وأنّه يجب تقديم الفريضة الحاضرة عليهما ولو مع اتّساع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يرد عليه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الأصل يقتضي التخيّير بينهما، كما عن الفاضل التصريح به، لأنّهما واجبان موسّعان، إذ الأصل لا يقاوم النص الخاص</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السؤال كما يمكن أن يكون عن جواز الصلاة في ذلك الوقت، يمكن أنْ يكون عن وجوبها، بل الظاهر بقرينة وجوب الفوريّة هو الثاني، فجوابه عليه السلام يدلّ على عدم الوجوب، لا عدم الجواز، فيتّجه التخيّير حينئذٍ كما هو مقتضى الأصل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56" w:name="pg11810_104161"/>
    </w:p>
    <w:p>
      <w:pPr>
        <w:pStyle w:val="BookText"/>
        <w:rPr/>
      </w:pPr>
      <w:bookmarkEnd w:id="56"/>
      <w:r>
        <w:rPr>
          <w:rFonts w:ascii="Amiri" w:hAnsi="Amiri" w:eastAsia="Amiri" w:cs="Amiri"/>
          <w:color w:val="111111"/>
          <w:sz w:val="28"/>
          <w:sz w:val="28"/>
          <w:szCs w:val="28"/>
          <w:rtl w:val="true"/>
          <w:lang w:bidi="ar-SA"/>
        </w:rPr>
        <w:t>ويستحبّ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عند الدخول إلى مكّة، والمسجد، ومَضْغِ الإذخر،</w:t>
      </w:r>
    </w:p>
    <w:p>
      <w:pPr>
        <w:pStyle w:val="Heading2"/>
        <w:numPr>
          <w:ilvl w:val="1"/>
          <w:numId w:val="1"/>
        </w:numPr>
        <w:rPr/>
      </w:pPr>
      <w:bookmarkStart w:id="57" w:name="__RefHeading___Toc10745796_73709187"/>
      <w:bookmarkStart w:id="58" w:name="_Toc19"/>
      <w:bookmarkEnd w:id="57"/>
      <w:r>
        <w:rPr>
          <w:rtl w:val="true"/>
        </w:rPr>
        <w:t>مقدّمات الطواف المستحبّة</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 مقامان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يستحبّ فيه، لا من حيث هو، بل لمقدّماته الّتي هي دخول الحرم والمسجد، وإنّما عدّ من مقدّماته المستحبّة، لأجل أنّ هذه الأفعال لأجل الطواف خاصّة أو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مستحبّاته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 فأُمور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عند الدخول إلى مكّة والمسجد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تضمّنته النصوص</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مَضغُ الإذخر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والعقود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232"/>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وغيرهما، ويشهد به صحيح معاوية،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الحرم، فخُذ من الإذخر فامضغه</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ومثله خبر أبي بصير</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ودخول مكّة من أعلاها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دخول مكّة من أعلاها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23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والعقود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ومختصره</w:t>
      </w:r>
      <w:r>
        <w:rPr>
          <w:rStyle w:val="FootnoteAnchor"/>
          <w:rtl w:val="true"/>
        </w:rPr>
        <w:footnoteReference w:id="24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245"/>
      </w:r>
      <w:r>
        <w:rPr>
          <w:rFonts w:ascii="Amiri" w:hAnsi="Amiri" w:eastAsia="Amiri" w:cs="Amiri"/>
          <w:color w:val="111111"/>
          <w:sz w:val="28"/>
          <w:sz w:val="28"/>
          <w:szCs w:val="28"/>
          <w:rtl w:val="true"/>
          <w:lang w:bidi="ar-SA"/>
        </w:rPr>
        <w:t>، وفي الكتاب</w:t>
      </w:r>
      <w:r>
        <w:rPr>
          <w:rStyle w:val="FootnoteAnchor"/>
          <w:rtl w:val="true"/>
        </w:rPr>
        <w:footnoteReference w:id="24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الشرايع</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w:t>
      </w:r>
      <w:r>
        <w:rPr>
          <w:rFonts w:eastAsia="IRNazanin" w:cs="IRNazanin"/>
          <w:color w:val="111111"/>
          <w:sz w:val="28"/>
          <w:szCs w:val="28"/>
          <w:rtl w:val="true"/>
          <w:lang w:bidi="fa-IR"/>
        </w:rPr>
        <w:t>»</w:t>
      </w:r>
      <w:r>
        <w:rPr>
          <w:rStyle w:val="FootnoteAnchor"/>
          <w:rtl w:val="true"/>
        </w:rPr>
        <w:footnoteReference w:id="25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252"/>
      </w:r>
      <w:r>
        <w:rPr>
          <w:rFonts w:ascii="Amiri" w:hAnsi="Amiri" w:eastAsia="Amiri" w:cs="Amiri"/>
          <w:color w:val="111111"/>
          <w:sz w:val="28"/>
          <w:sz w:val="28"/>
          <w:szCs w:val="28"/>
          <w:rtl w:val="true"/>
          <w:lang w:bidi="ar-SA"/>
        </w:rPr>
        <w:t>التقيّيد بما إذا أتاها من طريق المدينة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يدخل مكّة من أعلاها إذا كان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وحافياً</w:t>
      </w:r>
    </w:p>
    <w:p>
      <w:pPr>
        <w:pStyle w:val="BookText"/>
        <w:rPr/>
      </w:pPr>
      <w:r>
        <w:rPr>
          <w:rFonts w:ascii="Amiri" w:hAnsi="Amiri" w:eastAsia="Amiri" w:cs="Amiri"/>
          <w:color w:val="111111"/>
          <w:sz w:val="28"/>
          <w:sz w:val="28"/>
          <w:szCs w:val="28"/>
          <w:rtl w:val="true"/>
          <w:lang w:bidi="ar-SA"/>
        </w:rPr>
        <w:t>داخلاً من طريق المدينة، ويخرج من أسفلها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يونس 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أدخل مكّة وقد جئتُ من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من أعلى مكّة، وإذا خرجت تريدُ المدينة فاخرج من أسفل مكّة</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الخبر كما ترى مختصٌّ بمن دخل من طريق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لاستحباب ذلك بقول مطلق، بالتأسّي بفعل النبيّ صلى الله عليه و آله الذي تضمّنه صحيح معاوية،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صفة حَجّ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من أعلى مكّة من عقبة المدنيّين، وخَرج من أسفل مكّة من ذي طوى</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يقتضي الأعمّ‌، خصوصاً مع كون الأعلى على غير جادّة طريق المدينة، بل قيل إنّ النبيّ صلى الله عليه و آله عدل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كلٍّ من الحرم ومكّة والمسجد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أبان بن تغلب،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عبد اللّه عليه السلام مزامله فيما بين مكّة والمدينة، فلما انتهى إلى الحرم نزل واغتسل وأخذ نعليه بيديه، ثمّ دخل الحرم حافياً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مثل ما رأيتني صنعتُ تواضعاً للّه، مَحى اللّه عنه مائة ألف سيّئة، الحديث</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59" w:name="pg11810_104164"/>
    </w:p>
    <w:p>
      <w:pPr>
        <w:pStyle w:val="BookText"/>
        <w:rPr/>
      </w:pPr>
      <w:bookmarkEnd w:id="59"/>
      <w:r>
        <w:rPr>
          <w:rFonts w:ascii="Amiri" w:hAnsi="Amiri" w:eastAsia="Amiri" w:cs="Amiri"/>
          <w:color w:val="111111"/>
          <w:sz w:val="28"/>
          <w:sz w:val="28"/>
          <w:szCs w:val="28"/>
          <w:rtl w:val="true"/>
          <w:lang w:bidi="ar-SA"/>
        </w:rPr>
        <w:t>بسكينةٍ ووقار، والغُسل</w:t>
      </w:r>
    </w:p>
    <w:p>
      <w:pPr>
        <w:pStyle w:val="BookText"/>
        <w:rPr/>
      </w:pPr>
      <w:r>
        <w:rPr>
          <w:rFonts w:ascii="Amiri" w:hAnsi="Amiri" w:eastAsia="Amiri" w:cs="Amiri"/>
          <w:color w:val="111111"/>
          <w:sz w:val="28"/>
          <w:sz w:val="28"/>
          <w:szCs w:val="28"/>
          <w:rtl w:val="true"/>
          <w:lang w:bidi="ar-SA"/>
        </w:rPr>
        <w:t>ويشهد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عجلان أبي صالح،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انتهيت إلى بئر ميمون أو بئر عبد الصمد، فاغتسل واخلع نعليك وامش حافياً، وعليك السكينة والوقار</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الإمام الصادق عليه السلام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المسجد الحرام فادخله على السكينة والوقار والخشوع</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كلّ من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بسكينةٍ ووقار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للتصريح به في الروايات المتقدّمة</w:t>
      </w:r>
      <w:r>
        <w:rPr>
          <w:rFonts w:eastAsia="Amiri" w:cs="Amiri" w:ascii="Amiri" w:hAnsi="Amiri"/>
          <w:color w:val="111111"/>
          <w:sz w:val="28"/>
          <w:szCs w:val="28"/>
          <w:rtl w:val="true"/>
          <w:lang w:bidi="ar-SA"/>
        </w:rPr>
        <w:t>.</w:t>
      </w:r>
    </w:p>
    <w:p>
      <w:pPr>
        <w:pStyle w:val="Heading2"/>
        <w:numPr>
          <w:ilvl w:val="1"/>
          <w:numId w:val="1"/>
        </w:numPr>
        <w:rPr/>
      </w:pPr>
      <w:bookmarkStart w:id="60" w:name="__RefHeading___Toc10745798_73709187"/>
      <w:bookmarkStart w:id="61" w:name="_Toc20"/>
      <w:bookmarkEnd w:id="60"/>
      <w:r>
        <w:rPr>
          <w:rtl w:val="true"/>
        </w:rPr>
        <w:t>استحباب الغسل</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المستحبّ غُسلٌ واحد،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النصوص استحباب غُسلٍ واحد قبل دخول الحرم أو بعده، من بئر ميمون أو من فَخّ أو من منزله من مكّة على سبيل 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يستحبّ غُسلان لدخول مكّة ولدخول المسجد، كما عن جماعةٍ‌</w:t>
      </w:r>
      <w:r>
        <w:rPr>
          <w:rStyle w:val="FootnoteAnchor"/>
          <w:rtl w:val="true"/>
        </w:rPr>
        <w:footnoteReference w:id="260"/>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أغسال ثلاثة بزيادة غُسلٍ آخر لدخول الحرم كما عن المصنّف رحمه الله</w:t>
      </w:r>
      <w:r>
        <w:rPr>
          <w:rStyle w:val="FootnoteAnchor"/>
          <w:rtl w:val="true"/>
        </w:rPr>
        <w:footnoteReference w:id="261"/>
      </w:r>
      <w:r>
        <w:rPr>
          <w:rFonts w:ascii="Amiri" w:hAnsi="Amiri" w:eastAsia="Amiri" w:cs="Amiri"/>
          <w:color w:val="111111"/>
          <w:sz w:val="28"/>
          <w:sz w:val="28"/>
          <w:szCs w:val="28"/>
          <w:rtl w:val="true"/>
          <w:lang w:bidi="ar-SA"/>
        </w:rPr>
        <w:t>وجماعةٍ من المتأخّرين</w:t>
      </w:r>
      <w:r>
        <w:rPr>
          <w:rStyle w:val="FootnoteAnchor"/>
          <w:rtl w:val="true"/>
        </w:rPr>
        <w:footnoteReference w:id="262"/>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أغسال أربعة بزيادة غُسلٍ للطواف كما عن جمع</w:t>
      </w:r>
      <w:r>
        <w:rPr>
          <w:rStyle w:val="FootnoteAnchor"/>
          <w:rtl w:val="true"/>
        </w:rPr>
        <w:footnoteReference w:id="26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لاستحباب الغُسل لدخول الحرم خبر أبان بن تغلب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ولاستحباب دخول مكّة 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 أبو عبد اللّه عليه السلام أن نغتسل من فَخّ قبل أن ندخل مكّة</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 وخبر عجلان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ولاستحبابه للطواف صحيح علي بن أبي حمزة، عن أبي الحسن عليه السلام، 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اغتسلت بمكّة ثمّ نمت قبل أن تطوف فأعد غُسلك</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استحباب الغُسل لدخول المسجد، فلم نعثر على ما يدلّ عليه، ولا يبعد استفادته من الخبر الصحيح الذي رواه معاوية،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انتهيت إلى الحرم إنْ شاء اللّه تعالى فاغتسل حين تدخله، وإنْ تقدّمت فاغتسل من بئر ميمون، أو من فَخّ‌، أو من منزلك بمكّة</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xml:space="preserve">بأن يكون الغُسل من منزله بمكّة لدخول المسجد، ولعلّه بضميمة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من الإجماع عليه يكفي في الحكم بالاستحباب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بئر ميمون أو فَخّ‌،</w:t>
      </w:r>
    </w:p>
    <w:p>
      <w:pPr>
        <w:pStyle w:val="BookText"/>
        <w:rPr/>
      </w:pPr>
      <w:r>
        <w:rPr>
          <w:rFonts w:ascii="Amiri" w:hAnsi="Amiri" w:eastAsia="Amiri" w:cs="Amiri"/>
          <w:color w:val="111111"/>
          <w:sz w:val="28"/>
          <w:sz w:val="28"/>
          <w:szCs w:val="28"/>
          <w:rtl w:val="true"/>
          <w:lang w:bidi="ar-SA"/>
        </w:rPr>
        <w:t>وأمّا صحيح ذُريح المحاربي،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الغُسل في الحرم قبل دخوله أو بعد دخوله‌؟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يضرّك أيّ ذلك فعلت، وإنْ اغتسلت بمكّة فلا بأس، وإنْ اغتسلت في بيتك حين تنزل بمكّة فلا بأس</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فلا يدلّ على أنّ المأمور به غسلٌ واحد، بل يدلّ على جواز تأخير الغُسل للحرم، والرّخصة في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الكلام في أنّ الغُسل لدخول الحرم أو لدخول مكّة أو لدخول المسجد أو للطواف، هل ينتقض بالأصغر قبل أن يدخل أو يطوف أم لا ينتقض‌؟</w:t>
      </w:r>
    </w:p>
    <w:p>
      <w:pPr>
        <w:pStyle w:val="BookText"/>
        <w:rPr/>
      </w:pPr>
      <w:r>
        <w:rPr>
          <w:rFonts w:ascii="Amiri" w:hAnsi="Amiri" w:eastAsia="Amiri" w:cs="Amiri"/>
          <w:color w:val="111111"/>
          <w:sz w:val="28"/>
          <w:sz w:val="28"/>
          <w:szCs w:val="28"/>
          <w:rtl w:val="true"/>
          <w:lang w:bidi="ar-SA"/>
        </w:rPr>
        <w:t>قد تقدّم في مبحث الأغسال</w:t>
      </w:r>
      <w:r>
        <w:rPr>
          <w:rStyle w:val="FootnoteAnchor"/>
          <w:rtl w:val="true"/>
        </w:rPr>
        <w:footnoteReference w:id="270"/>
      </w:r>
      <w:r>
        <w:rPr>
          <w:rFonts w:ascii="Amiri" w:hAnsi="Amiri" w:eastAsia="Amiri" w:cs="Amiri"/>
          <w:color w:val="111111"/>
          <w:sz w:val="28"/>
          <w:sz w:val="28"/>
          <w:szCs w:val="28"/>
          <w:rtl w:val="true"/>
          <w:lang w:bidi="ar-SA"/>
        </w:rPr>
        <w:t>تحت عنوان عام، كما أنّ التداخل فيها قد مرّ</w:t>
      </w:r>
      <w:r>
        <w:rPr>
          <w:rStyle w:val="FootnoteAnchor"/>
          <w:rtl w:val="true"/>
        </w:rPr>
        <w:footnoteReference w:id="271"/>
      </w:r>
      <w:r>
        <w:rPr>
          <w:rFonts w:ascii="Amiri" w:hAnsi="Amiri" w:eastAsia="Amiri" w:cs="Amiri"/>
          <w:color w:val="111111"/>
          <w:sz w:val="28"/>
          <w:sz w:val="28"/>
          <w:szCs w:val="28"/>
          <w:rtl w:val="true"/>
          <w:lang w:bidi="ar-SA"/>
        </w:rPr>
        <w:t>الكلام فيه، وعليه فالتعدّد إنّما هو إذا لم يكن على غُسله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اغتسل قبل دخول الحرم، فدخله ودخل مكّة والمسجد وطاف، أجزأه غُسله الأوّل، وإنْ انتقض ذلك بعد دخول الحرم قبل دخول مكّة، اغتسل فدخلها ودخل المسجد وطاف، وإنْ انتقض اغتسل لدخول المسجد وللطواف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بين الأصحاب أنّه يستحبّ أنْ يكون غُسله لدخول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بئر ميمون أو 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بالأبطح من مكّة، والثاني على رأس فرسخٍ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له أن يغتسل لدخول مكّة إمّا من بئر ميمون أو من فَخّ‌، وهو قول العلماء واستدلّوا له بصحيح معاوية المتقدّم وخبر عجلان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62" w:name="pg11810_104167"/>
    </w:p>
    <w:p>
      <w:pPr>
        <w:pStyle w:val="BookText"/>
        <w:rPr/>
      </w:pPr>
      <w:bookmarkEnd w:id="62"/>
      <w:r>
        <w:rPr>
          <w:rFonts w:ascii="Amiri" w:hAnsi="Amiri" w:eastAsia="Amiri" w:cs="Amiri"/>
          <w:color w:val="111111"/>
          <w:sz w:val="28"/>
          <w:sz w:val="28"/>
          <w:szCs w:val="28"/>
          <w:rtl w:val="true"/>
          <w:lang w:bidi="ar-SA"/>
        </w:rPr>
        <w:t>واستلام الحَجَر وتقبيله أو الإيماء إليه</w:t>
      </w:r>
    </w:p>
    <w:p>
      <w:pPr>
        <w:pStyle w:val="Heading2"/>
        <w:numPr>
          <w:ilvl w:val="1"/>
          <w:numId w:val="1"/>
        </w:numPr>
        <w:rPr/>
      </w:pPr>
      <w:bookmarkStart w:id="63" w:name="__RefHeading___Toc10745800_73709187"/>
      <w:bookmarkStart w:id="64" w:name="_Toc21"/>
      <w:bookmarkEnd w:id="63"/>
      <w:r>
        <w:rPr>
          <w:rtl w:val="true"/>
        </w:rPr>
        <w:t>استلام الحَجَر</w:t>
      </w:r>
      <w:bookmarkEnd w:id="64"/>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يستحبّ في الطواف نفسه، وهي كثيرة مستفادة من النصوص التي سوف نتعرّض لها، إلّاأنّ المصنّف رحمه الله ذكر جملة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استلام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الطواف بلا خلافٍ‌</w:t>
      </w:r>
      <w:r>
        <w:rPr>
          <w:rStyle w:val="FootnoteAnchor"/>
          <w:rtl w:val="true"/>
        </w:rPr>
        <w:footnoteReference w:id="273"/>
      </w:r>
      <w:r>
        <w:rPr>
          <w:rFonts w:ascii="Amiri" w:hAnsi="Amiri" w:eastAsia="Amiri" w:cs="Amiri"/>
          <w:color w:val="111111"/>
          <w:sz w:val="28"/>
          <w:sz w:val="28"/>
          <w:szCs w:val="28"/>
          <w:rtl w:val="true"/>
          <w:lang w:bidi="ar-SA"/>
        </w:rPr>
        <w:t>،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معاوية بن عمّار،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دنوت من الحَجَر الأسود، فارفع يديك واحمد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استلم الحَجَر وقبّله، فإنْ لم تستطع أن تُقبّله فاستلمه بيدك، فإنْ لم تستطع أن تستلمه بيدك فأشِر إليه</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عبد الرحمن بن الحجّاج، عنه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يستلم الحَجَر في كلّ طوافٍ فريضةً ونافلة</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من النصوص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أنّ هذا الحكم لزومي أو استحبابي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محلّه، وأنّه في كلّ طوافٍ مرّة أو مرّتان، أو في كلّ شوطٍ مرّة واحدة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أنّ الاستلام هل هو تناوله باليد أو بجميع البدن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فالمعروف استحبابه، وعن سلّار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وجوبه، واستدلّ له بالأمر الوارد به الظاهر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حمله على الندب لو سُلّم ظهوره في الوجوب، مع أنّ للمنع عنه مجالاً واسعاً، لما في النصوص من القرائن، لجملةٍ من النصوص الصريحة في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 لابدّ أن نستفتح بالحَجَر ونختم به، فأمّا اليوم فقد كثر النّاس</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حَجّ ولم يستلم الحَجَر؟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السُنّة، فإنْ لم يقدر فاللّه أولى بالعذر</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يعقوب بن شعيب، قلت لأبي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أخلص إلى الحَجَر الأسود؟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طفت طواف الفريضة فلا يضرّك</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الحجّاح المتضمّن أنّ الإمام الصادق عليه السلام لم يستلم الحَجَر، وعلّله بكراهة الزحام</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 فيه و في التقبيل، الظاهرة بل الصريحة في عدم الوجوب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كلّ شوطٍ</w:t>
      </w:r>
    </w:p>
    <w:p>
      <w:pPr>
        <w:pStyle w:val="BookText"/>
        <w:rPr/>
      </w:pPr>
      <w:r>
        <w:rPr>
          <w:rFonts w:ascii="Amiri" w:hAnsi="Amiri" w:eastAsia="Amiri" w:cs="Amiri"/>
          <w:color w:val="111111"/>
          <w:sz w:val="28"/>
          <w:sz w:val="28"/>
          <w:szCs w:val="28"/>
          <w:rtl w:val="true"/>
          <w:lang w:bidi="ar-SA"/>
        </w:rPr>
        <w:t>وأمّا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والعقود</w:t>
      </w:r>
      <w:r>
        <w:rPr>
          <w:rFonts w:eastAsia="IRNazanin" w:cs="IRNazanin"/>
          <w:color w:val="111111"/>
          <w:sz w:val="28"/>
          <w:szCs w:val="28"/>
          <w:rtl w:val="true"/>
          <w:lang w:bidi="fa-IR"/>
        </w:rPr>
        <w:t>»</w:t>
      </w:r>
      <w:r>
        <w:rPr>
          <w:rStyle w:val="FootnoteAnchor"/>
          <w:rtl w:val="true"/>
        </w:rPr>
        <w:footnoteReference w:id="28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286"/>
      </w:r>
      <w:r>
        <w:rPr>
          <w:rFonts w:ascii="Amiri" w:hAnsi="Amiri" w:eastAsia="Amiri" w:cs="Amiri"/>
          <w:color w:val="111111"/>
          <w:sz w:val="28"/>
          <w:sz w:val="28"/>
          <w:szCs w:val="28"/>
          <w:rtl w:val="true"/>
          <w:lang w:bidi="ar-SA"/>
        </w:rPr>
        <w:t>، وفي الكتاب</w:t>
      </w:r>
      <w:r>
        <w:rPr>
          <w:rStyle w:val="FootnoteAnchor"/>
          <w:rtl w:val="true"/>
        </w:rPr>
        <w:footnoteReference w:id="28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289"/>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يستحبّ الإستلام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شوطٍ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على أنّ رسول اللّه صلى الله عليه و آله كان يستلم الحَجَر في كلّ طواف، وهو متوقّفٌ على إرادة الشوط من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حمّاد بن عيسى‌، عمّن أخبره، عن العبد الصالح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طائفٍ بهذا البيت حين تزول الشمس، حاسراً عن رأسه حافياً، يقارب بين خطاه، ويغضّ بصره، ويستلم الحَجَر في كلّ طوافٍ‌، من غير أن يؤذي أحداً، ولا يقطع ذكر اللّه عن لسانه، إلّاكتبَ اللّه له بكلّ خطوةٍ سبعين ألف حسنة</w:t>
      </w:r>
      <w:r>
        <w:rPr>
          <w:rStyle w:val="FootnoteAnchor"/>
          <w:rtl w:val="true"/>
        </w:rPr>
        <w:footnoteReference w:id="290"/>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زيد الشحّام،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أطوف مع أبي،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إذا انتهى إلى الحَجَر مسحه بيده وقبّله</w:t>
      </w:r>
      <w:r>
        <w:rPr>
          <w:rStyle w:val="FootnoteAnchor"/>
          <w:rtl w:val="true"/>
        </w:rPr>
        <w:footnoteReference w:id="29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Style w:val="FootnoteAnchor"/>
          <w:rtl w:val="true"/>
        </w:rPr>
        <w:footnoteReference w:id="2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لم يقدر افتتح به واختتم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معاوية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نقول لابدّ أن نستفتح بالحَجَر ونختم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سعدان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الحسن موسى عليه السلام استلم الحَجَر، ثمّ طاف حتّى إذا كان اسبوع التزم وسط البيت، وترك الملتزم الذي يلتزم أصحابنا، وبسط يده على الكعبة، ثمّ يمكث ما شاء اللّه تعالى‌، ثمّ مضى إلى الحَجَر فاستلمه وصلّى ركعتين</w:t>
      </w:r>
      <w:r>
        <w:rPr>
          <w:rStyle w:val="FootnoteAnchor"/>
          <w:rtl w:val="true"/>
        </w:rPr>
        <w:footnoteReference w:id="294"/>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جماعةٍ من اللّغويين في عدّة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كالعين والأزهري</w:t>
      </w:r>
      <w:r>
        <w:rPr>
          <w:rStyle w:val="FootnoteAnchor"/>
          <w:rtl w:val="true"/>
        </w:rPr>
        <w:footnoteReference w:id="295"/>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لمسه باليد، ولكن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298"/>
      </w:r>
      <w:r>
        <w:rPr>
          <w:rFonts w:ascii="Amiri" w:hAnsi="Amiri" w:eastAsia="Amiri" w:cs="Amiri"/>
          <w:color w:val="111111"/>
          <w:sz w:val="28"/>
          <w:sz w:val="28"/>
          <w:szCs w:val="28"/>
          <w:rtl w:val="true"/>
          <w:lang w:bidi="ar-SA"/>
        </w:rPr>
        <w:t>أنّه يستحبّ استلامه ببدنه أجمع، والمراد به ما يناسب التعظيم والتبرّك والتحبّب، أو الاعتناق والالتزام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 يعقوب،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استلام الرّكن‌؟ 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وتقبيله</w:t>
      </w:r>
    </w:p>
    <w:p>
      <w:pPr>
        <w:pStyle w:val="BookText"/>
        <w:rPr/>
      </w:pPr>
      <w:r>
        <w:rPr>
          <w:rFonts w:ascii="Amiri" w:hAnsi="Amiri" w:eastAsia="Amiri" w:cs="Amiri"/>
          <w:color w:val="111111"/>
          <w:sz w:val="28"/>
          <w:sz w:val="28"/>
          <w:szCs w:val="28"/>
          <w:rtl w:val="true"/>
          <w:lang w:bidi="ar-SA"/>
        </w:rPr>
        <w:t>استلامه أن تلصق بطنك به، والمسح أن تمسحه بيدك</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سعيد الأعرج،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حيث ما نالت يدك</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وليس فيه ما يخصّه بحال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يستدلّ لكفاية الاستلام باليد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محمّد بن مسلم،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استلموا الرّكن، فإنّه يمين اللّه في خلقه، يصافح بها خلقه مصافحة العبد أو الرّجل</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المصافحة إنّما تكون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زيد الشحّام المتقدّم وغيرهما، وكلٌ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كفاية الاستلام باليد مع الزحام، كما في جملةٍ من النصوص الصحيحة، كصحيح معاوية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استلم الحَجَر وقبّله، فإنْ لم تستطع أن تُقبّله فاستلمه بيدك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مستحبٌّ بخصوصه، وإنْ دخل في الاستلام، للتصريح به في النصوص المتقدّمة، بل قيل ولم يذكر الحلبي</w:t>
      </w:r>
      <w:r>
        <w:rPr>
          <w:rStyle w:val="FootnoteAnchor"/>
          <w:rtl w:val="true"/>
        </w:rPr>
        <w:footnoteReference w:id="302"/>
      </w:r>
      <w:r>
        <w:rPr>
          <w:rFonts w:ascii="IRNazanin" w:hAnsi="IRNazanin" w:eastAsia="IRNazanin"/>
          <w:color w:val="111111"/>
          <w:sz w:val="28"/>
          <w:sz w:val="28"/>
          <w:szCs w:val="28"/>
          <w:rtl w:val="true"/>
          <w:lang w:bidi="fa-IR"/>
        </w:rPr>
        <w:t>سواه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وأوجبه بعضهم</w:t>
      </w:r>
      <w:r>
        <w:rPr>
          <w:rStyle w:val="FootnoteAnchor"/>
          <w:rtl w:val="true"/>
        </w:rPr>
        <w:footnoteReference w:id="303"/>
      </w:r>
      <w:r>
        <w:rPr>
          <w:rFonts w:ascii="Amiri" w:hAnsi="Amiri" w:eastAsia="Amiri" w:cs="Amiri"/>
          <w:color w:val="111111"/>
          <w:sz w:val="28"/>
          <w:sz w:val="28"/>
          <w:szCs w:val="28"/>
          <w:rtl w:val="true"/>
          <w:lang w:bidi="ar-SA"/>
        </w:rPr>
        <w:t>، لأنّ الأخبار بين آمرٍ به وبالاستلام، ومقيّد لتركه بالعُذر،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الإيماء إليه</w:t>
      </w:r>
    </w:p>
    <w:p>
      <w:pPr>
        <w:pStyle w:val="BookText"/>
        <w:rPr/>
      </w:pPr>
      <w:r>
        <w:rPr>
          <w:rFonts w:ascii="Amiri" w:hAnsi="Amiri" w:eastAsia="Amiri" w:cs="Amiri"/>
          <w:color w:val="111111"/>
          <w:sz w:val="28"/>
          <w:sz w:val="28"/>
          <w:szCs w:val="28"/>
          <w:rtl w:val="true"/>
          <w:lang w:bidi="ar-SA"/>
        </w:rPr>
        <w:t>وآمرٍ للمعذور بالاستلام باليد أو بالإشارة أو الإيماء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جملة من النصوص المتقدّمة في الاستلام تدلّ على عدم وجوبه، أضف إليها صحيح معاوية،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مكّة أنكروا عليك أنّك لم تُقبِّل الحَجَر، وقد قبّله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إذا انتهى إلى الحَجَر يفرجون له، وأنا لا يفرجون لي</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 فلا إشكال في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يقدر على التقبيل، استلمه بيده كما مرّ، وإنْ لم يقدر عليه أيضاً أشار بها إليه، وهو المراد من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الإيماء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خلافٍ أجده فيه، بل نُسب إلى نصّ الأصحاب</w:t>
      </w:r>
      <w:r>
        <w:rPr>
          <w:rStyle w:val="FootnoteAnchor"/>
          <w:rtl w:val="true"/>
        </w:rPr>
        <w:footnoteReference w:id="305"/>
      </w:r>
      <w:r>
        <w:rPr>
          <w:rFonts w:ascii="Amiri" w:hAnsi="Amiri" w:eastAsia="Amiri" w:cs="Amiri"/>
          <w:color w:val="111111"/>
          <w:sz w:val="28"/>
          <w:sz w:val="28"/>
          <w:szCs w:val="28"/>
          <w:rtl w:val="true"/>
          <w:lang w:bidi="ar-SA"/>
        </w:rPr>
        <w:t>، 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معاوية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تستطع أن تستلمه بيدك فأشر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محمّد بن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مولانا الرضا عليه السلام عن الحَجَر الأسود، وهل يقاتل عليه النّاس إذا كثروا؟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فأوم إليه إيماء بيدك</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استلم بيده مع عدم إمكان التقبيل، استحبّ له أن يُقبِّل يده، كما عن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الصدوق</w:t>
      </w:r>
      <w:r>
        <w:rPr>
          <w:rStyle w:val="FootnoteAnchor"/>
          <w:rtl w:val="true"/>
        </w:rPr>
        <w:footnoteReference w:id="308"/>
      </w:r>
      <w:r>
        <w:rPr>
          <w:rFonts w:ascii="Amiri" w:hAnsi="Amiri" w:eastAsia="Amiri" w:cs="Amiri"/>
          <w:color w:val="111111"/>
          <w:sz w:val="28"/>
          <w:sz w:val="28"/>
          <w:szCs w:val="28"/>
          <w:rtl w:val="true"/>
          <w:lang w:bidi="ar-SA"/>
        </w:rPr>
        <w:t>والمفيد</w:t>
      </w:r>
      <w:r>
        <w:rPr>
          <w:rStyle w:val="FootnoteAnchor"/>
          <w:rtl w:val="true"/>
        </w:rPr>
        <w:footnoteReference w:id="309"/>
      </w:r>
      <w:r>
        <w:rPr>
          <w:rFonts w:ascii="Amiri" w:hAnsi="Amiri" w:eastAsia="Amiri" w:cs="Amiri"/>
          <w:color w:val="111111"/>
          <w:sz w:val="28"/>
          <w:sz w:val="28"/>
          <w:szCs w:val="28"/>
          <w:rtl w:val="true"/>
          <w:lang w:bidi="ar-SA"/>
        </w:rPr>
        <w:t>والحلبي</w:t>
      </w:r>
      <w:r>
        <w:rPr>
          <w:rStyle w:val="FootnoteAnchor"/>
          <w:rtl w:val="true"/>
        </w:rPr>
        <w:footnoteReference w:id="310"/>
      </w:r>
      <w:r>
        <w:rPr>
          <w:rFonts w:ascii="Amiri" w:hAnsi="Amiri" w:eastAsia="Amiri" w:cs="Amiri"/>
          <w:color w:val="111111"/>
          <w:sz w:val="28"/>
          <w:sz w:val="28"/>
          <w:szCs w:val="28"/>
          <w:rtl w:val="true"/>
          <w:lang w:bidi="ar-SA"/>
        </w:rPr>
        <w:t>ويحيى بن سعيد</w:t>
      </w:r>
      <w:r>
        <w:rPr>
          <w:rStyle w:val="FootnoteAnchor"/>
          <w:rtl w:val="true"/>
        </w:rPr>
        <w:footnoteReference w:id="311"/>
      </w:r>
      <w:r>
        <w:rPr>
          <w:rFonts w:ascii="IRNazanin" w:hAnsi="IRNazanin" w:eastAsia="IRNazanin"/>
          <w:color w:val="111111"/>
          <w:sz w:val="28"/>
          <w:sz w:val="28"/>
          <w:szCs w:val="28"/>
          <w:rtl w:val="true"/>
          <w:lang w:bidi="fa-IR"/>
        </w:rPr>
        <w:t>والمصنّف رحمه الله</w:t>
      </w:r>
      <w:r>
        <w:rPr>
          <w:rStyle w:val="FootnoteAnchor"/>
          <w:rtl w:val="true"/>
        </w:rPr>
        <w:footnoteReference w:id="312"/>
      </w:r>
      <w:r>
        <w:rPr>
          <w:rFonts w:ascii="Amiri" w:hAnsi="Amiri" w:eastAsia="Amiri" w:cs="Amiri"/>
          <w:color w:val="111111"/>
          <w:sz w:val="28"/>
          <w:sz w:val="28"/>
          <w:szCs w:val="28"/>
          <w:rtl w:val="true"/>
          <w:lang w:bidi="ar-SA"/>
        </w:rPr>
        <w:t>والشهيد قدس سره</w:t>
      </w:r>
      <w:r>
        <w:rPr>
          <w:rStyle w:val="FootnoteAnchor"/>
          <w:rtl w:val="true"/>
        </w:rPr>
        <w:footnoteReference w:id="313"/>
      </w:r>
      <w:r>
        <w:rPr>
          <w:rFonts w:ascii="Amiri" w:hAnsi="Amiri" w:eastAsia="Amiri" w:cs="Amiri"/>
          <w:color w:val="111111"/>
          <w:sz w:val="28"/>
          <w:sz w:val="28"/>
          <w:szCs w:val="28"/>
          <w:rtl w:val="true"/>
          <w:lang w:bidi="ar-SA"/>
        </w:rPr>
        <w:t>، ولا بأس به، لأنّه مناسبٌ للتعظيم والتبرّك والتحبّب، بل رُوي أنّ النبيّ صلى الله عليه و آله كان يستلم الحَجَر بمحجنه ثمّ يُقبِّل المِحجن</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عمّار الوارد في زيارة البيت يوم النحر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يأتي الحَجَر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فاستلم بيدك وقبِّل يدك</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أقطع استلم بموضع القطع، للخبر القويّ الذي رواه السكوني عن جعفر عن آبائه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سُئل كيف يستلم الأقطع الحَجَر؟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يستلم الحَجَر من حيث القطع، فإنْ كانت مقطوعة من المِرفق استلم الحَجَر بشماله</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فاقد اليد أشار إليه بالوجه أو بغيره، لصحيح معاوية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تستطع أن تستلمه بيدك فأشر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65" w:name="pg11810_104174"/>
    </w:p>
    <w:p>
      <w:pPr>
        <w:pStyle w:val="BookText"/>
        <w:rPr/>
      </w:pPr>
      <w:bookmarkEnd w:id="65"/>
      <w:r>
        <w:rPr>
          <w:rFonts w:ascii="Amiri" w:hAnsi="Amiri" w:eastAsia="Amiri" w:cs="Amiri"/>
          <w:color w:val="111111"/>
          <w:sz w:val="28"/>
          <w:sz w:val="28"/>
          <w:szCs w:val="28"/>
          <w:rtl w:val="true"/>
          <w:lang w:bidi="ar-SA"/>
        </w:rPr>
        <w:t>والدّعاء عند الإستلام وفي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عند الاستلام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صحيح معاوية بن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دنوت من الحَجَر الأسود، فارفع يديك وأحمد اللّه واثن عليه، وصلِّ على النبيّ صلى الله عليه و آله، واسأل اللّه أن يتقبّل منك، ثمّ استلم الحَجَر وقبّله، فإنْ لم تستطع أن تُقبّله فاستلمه بيدك، فإنْ لم تستطع أن تستلمه بيدك فأشر إليه،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أمانتي أدّيتها، وميثاقي تعاهدته، لتشهد لي بالموافاة، اللّهُمَّ تصديقاً بكتابك، وعلى سُنّة نبيّك، أشهد أنْ لا إله إلّااللّه وحده لا شريك له، وأنّ محمّداً عبده ورسوله، آمنتُ باللّه، وكفرتُ بالجِبت والطاغوت وباللّات والعُزّى وعبادة الشيطان، وعبادة كلّ نِدٍّ يُدعى من دون اللّه، فإنْ لم تستطع أن تقول هذا كلّه فبعضه</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تضمّنت النصوص أدعيةٌ اُخرى‌</w:t>
      </w:r>
      <w:r>
        <w:rPr>
          <w:rFonts w:eastAsia="Amiri" w:cs="Amiri" w:ascii="Amiri" w:hAnsi="Amiri"/>
          <w:color w:val="111111"/>
          <w:sz w:val="28"/>
          <w:szCs w:val="28"/>
          <w:rtl w:val="true"/>
          <w:lang w:bidi="ar-SA"/>
        </w:rPr>
        <w:t>.</w:t>
      </w:r>
    </w:p>
    <w:p>
      <w:pPr>
        <w:pStyle w:val="Heading2"/>
        <w:numPr>
          <w:ilvl w:val="1"/>
          <w:numId w:val="1"/>
        </w:numPr>
        <w:rPr/>
      </w:pPr>
      <w:bookmarkStart w:id="66" w:name="__RefHeading___Toc10745802_73709187"/>
      <w:bookmarkStart w:id="67" w:name="_Toc22"/>
      <w:bookmarkEnd w:id="66"/>
      <w:r>
        <w:rPr>
          <w:rtl w:val="true"/>
        </w:rPr>
        <w:t>استحباب الدّعاء في الطواف</w:t>
      </w:r>
      <w:bookmarkEnd w:id="6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بالمأثور في محالّه وغيره، قال الصادق عليه السلام في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وتقول في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باسمك الذي يمشي به على طُل الماء كما يُمشى به على جُدَد الأرض، وأسألك باسمك الذي يَهتزّ له عرشك، وأسألك باسمك الذي تَهتزُّ له أقدام ملائكتك، وأسألك باسمك الذي دَعاك به موسى من جانب الطور، فاستجبت له، وألقيت عليه محبّةً منك، وأسألك باسمك </w:t>
      </w:r>
      <w:bookmarkStart w:id="68" w:name="pg11810_104175"/>
    </w:p>
    <w:p>
      <w:pPr>
        <w:pStyle w:val="BookText"/>
        <w:rPr/>
      </w:pPr>
      <w:bookmarkEnd w:id="68"/>
      <w:r>
        <w:rPr>
          <w:rFonts w:ascii="Amiri" w:hAnsi="Amiri" w:eastAsia="Amiri" w:cs="Amiri"/>
          <w:color w:val="111111"/>
          <w:sz w:val="28"/>
          <w:sz w:val="28"/>
          <w:szCs w:val="28"/>
          <w:rtl w:val="true"/>
          <w:lang w:bidi="ar-SA"/>
        </w:rPr>
        <w:t>والتزام المُستَجار، ووضع الخَدّ عليه والبطن والدُّعاء</w:t>
      </w:r>
    </w:p>
    <w:p>
      <w:pPr>
        <w:pStyle w:val="BookText"/>
        <w:rPr/>
      </w:pPr>
      <w:r>
        <w:rPr>
          <w:rFonts w:ascii="Amiri" w:hAnsi="Amiri" w:eastAsia="Amiri" w:cs="Amiri"/>
          <w:color w:val="111111"/>
          <w:sz w:val="28"/>
          <w:sz w:val="28"/>
          <w:szCs w:val="28"/>
          <w:rtl w:val="true"/>
          <w:lang w:bidi="ar-SA"/>
        </w:rPr>
        <w:t>الذي غَفَرت به لمحمّد صلى الله عليه و آله ما تقدّم من ذنبه وما تأخّر، وأتممتَ عليه نعمتك، أن تفعل بي كذا وكذا ما أحببت 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انتهيت إلى باب الكعبة فصلِّ على النبيّ صلى الله عليه و آله، وتقول فيما بين الرّكن اليماني والحَجَر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في الدُّنيا حَسَنةً‌، وفي الآخرة حسنةً‌، وقِنا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 في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إليك فقير، وإنّي خائفٌ مستجير، فلا تُغيّر جسمي ولا تُبدّل اسمي</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غيره غير ذلك من الأدعية، وهذا الاختلاف في الأدعية آية عدم تعيّن دعاءٍ خاص</w:t>
      </w:r>
      <w:r>
        <w:rPr>
          <w:rFonts w:eastAsia="Amiri" w:cs="Amiri" w:ascii="Amiri" w:hAnsi="Amiri"/>
          <w:color w:val="111111"/>
          <w:sz w:val="28"/>
          <w:szCs w:val="28"/>
          <w:rtl w:val="true"/>
          <w:lang w:bidi="ar-SA"/>
        </w:rPr>
        <w:t>.</w:t>
      </w:r>
    </w:p>
    <w:p>
      <w:pPr>
        <w:pStyle w:val="Heading2"/>
        <w:numPr>
          <w:ilvl w:val="1"/>
          <w:numId w:val="1"/>
        </w:numPr>
        <w:rPr/>
      </w:pPr>
      <w:bookmarkStart w:id="69" w:name="__RefHeading___Toc10745804_73709187"/>
      <w:bookmarkStart w:id="70" w:name="_Toc23"/>
      <w:bookmarkEnd w:id="69"/>
      <w:r>
        <w:rPr>
          <w:rtl w:val="true"/>
        </w:rPr>
        <w:t>استحباب التزام المُستجار</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التزام المُستَجار، ووضع الخَدّ عليه والبطن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ويدعو بالدّعاء المأثور في الشوط السابع، في هذا المكان الذي يُسمّى بالمُلتزم والمتعوّذ في النصوص، وهو بحذاء الباب من وراء الكعبة دون الرّكن اليماني بقليل، ويشهد لاستحباب ذلك جملة من النصوص</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الطواف السّابع فائتِ المتعوّذ، وهو إذا قمتَ في دَبر حذاء الباب،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البيتُ بيتك، والعبدُ عَبدك، وهذا مقامُ العائذ بك من النار، اللّهُمَّ مِن قِبلك الرّوح والفَرَج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استلم الرّكن اليماني، ثمّ ائتِ الحَجَر فاختم به</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طوافك، وبلغتَ مؤخّر الكعبة وهو بحذاء المُستجار دون الرّكن اليماني بقليل، فابسط يديك على البيت، وألصق بدنك وخدّك بالبيت،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انتهيت إلى مؤخّر الكعبة وهو المُستجار دون الرّكن اليماني بقليل في الشوط السابع، فابسط يديك على الأرض، وألصق خَدّك وبطنك بالبيت،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ّلبيت بيتك</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الالتزام وتجاوز المُستجار، ففيه أقوال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استحباب الرجوع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استحباب الرجوع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استحبابه إذا لم يتجاوز الرّكن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محكيٌ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324"/>
      </w:r>
      <w:r>
        <w:rPr>
          <w:rFonts w:ascii="Amiri" w:hAnsi="Amiri" w:eastAsia="Amiri" w:cs="Amiri"/>
          <w:color w:val="111111"/>
          <w:sz w:val="28"/>
          <w:sz w:val="28"/>
          <w:szCs w:val="28"/>
          <w:rtl w:val="true"/>
          <w:lang w:bidi="ar-SA"/>
        </w:rPr>
        <w:t>وغيرهما</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 منسوبٌ إلى جماعة</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إلى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71" w:name="pg11810_104177"/>
    </w:p>
    <w:p>
      <w:pPr>
        <w:pStyle w:val="BookText"/>
        <w:rPr/>
      </w:pPr>
      <w:bookmarkEnd w:id="71"/>
      <w:r>
        <w:rPr>
          <w:rFonts w:ascii="Amiri" w:hAnsi="Amiri" w:eastAsia="Amiri" w:cs="Amiri"/>
          <w:color w:val="111111"/>
          <w:sz w:val="28"/>
          <w:sz w:val="28"/>
          <w:szCs w:val="28"/>
          <w:rtl w:val="true"/>
          <w:lang w:bidi="ar-SA"/>
        </w:rPr>
        <w:t>واستلام الرّكن اليماني</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بعض النصوص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يلزم من الرجوع الزيادة في الطواف، وهي منهيٌّ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علي بن يقطين، عن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نسي أن يلتزم في آخر طوافه حتّى جاز الرّكن اليماني، أيصلح أن يلتزم بين الرّكن اليماني وبين الحَجَر، أو يدَع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اللّزوم ويمضي</w:t>
      </w:r>
      <w:r>
        <w:rPr>
          <w:rFonts w:eastAsia="Amiri" w:cs="Amiri" w:ascii="Amiri" w:hAnsi="Amiri"/>
          <w:color w:val="111111"/>
          <w:sz w:val="28"/>
          <w:szCs w:val="28"/>
          <w:rtl w:val="true"/>
          <w:lang w:bidi="ar-SA"/>
        </w:rPr>
        <w:t>»</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رجحان ترك اللّزوم المنافي لاستحبابه في صورة التجاوز عن الرّكن، وإستلام الرّكن اليماني، وباقي الأركان، فيخصّص به عموم ماله من النصوص عمومٌ أو إطلاق شاملٌ لصورة تركه في محلّه، وهذا هو الأظهر، فإنّه سيأتي أنّ ما دلَّ على عدم جواز الزيادة في الطواف لا يشمل ما يؤتى به لا بقصد الطواف</w:t>
      </w:r>
      <w:r>
        <w:rPr>
          <w:rFonts w:eastAsia="Amiri" w:cs="Amiri" w:ascii="Amiri" w:hAnsi="Amiri"/>
          <w:color w:val="111111"/>
          <w:sz w:val="28"/>
          <w:szCs w:val="28"/>
          <w:rtl w:val="true"/>
          <w:lang w:bidi="ar-SA"/>
        </w:rPr>
        <w:t>.</w:t>
      </w:r>
    </w:p>
    <w:p>
      <w:pPr>
        <w:pStyle w:val="Heading2"/>
        <w:numPr>
          <w:ilvl w:val="1"/>
          <w:numId w:val="1"/>
        </w:numPr>
        <w:rPr/>
      </w:pPr>
      <w:bookmarkStart w:id="72" w:name="__RefHeading___Toc10745806_73709187"/>
      <w:bookmarkStart w:id="73" w:name="_Toc24"/>
      <w:bookmarkEnd w:id="72"/>
      <w:r>
        <w:rPr>
          <w:rtl w:val="true"/>
        </w:rPr>
        <w:t>استحباب استلام الأركان</w:t>
      </w:r>
      <w:bookmarkEnd w:id="7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استلام الرّكن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والرّكن الذي فيه الحَجَر، بلا خلافٍ‌</w:t>
      </w:r>
      <w:r>
        <w:rPr>
          <w:rStyle w:val="FootnoteAnchor"/>
          <w:rtl w:val="true"/>
        </w:rPr>
        <w:footnoteReference w:id="329"/>
      </w:r>
      <w:r>
        <w:rPr>
          <w:rFonts w:ascii="IRNazanin" w:hAnsi="IRNazanin" w:eastAsia="IRNazanin"/>
          <w:color w:val="111111"/>
          <w:sz w:val="28"/>
          <w:sz w:val="28"/>
          <w:szCs w:val="28"/>
          <w:rtl w:val="true"/>
          <w:lang w:bidi="fa-IR"/>
        </w:rPr>
        <w:t>، بل بالإجماع</w:t>
      </w:r>
      <w:r>
        <w:rPr>
          <w:rStyle w:val="FootnoteAnchor"/>
          <w:rtl w:val="true"/>
        </w:rPr>
        <w:footnoteReference w:id="330"/>
      </w:r>
      <w:r>
        <w:rPr>
          <w:rFonts w:ascii="Amiri" w:hAnsi="Amiri" w:eastAsia="Amiri" w:cs="Amiri"/>
          <w:color w:val="111111"/>
          <w:sz w:val="28"/>
          <w:sz w:val="28"/>
          <w:szCs w:val="28"/>
          <w:rtl w:val="true"/>
          <w:lang w:bidi="ar-SA"/>
        </w:rPr>
        <w:t>، وعن الديلمي</w:t>
      </w:r>
      <w:r>
        <w:rPr>
          <w:rStyle w:val="FootnoteAnchor"/>
          <w:rtl w:val="true"/>
        </w:rPr>
        <w:footnoteReference w:id="331"/>
      </w:r>
      <w:r>
        <w:rPr>
          <w:rFonts w:ascii="Amiri" w:hAnsi="Amiri" w:eastAsia="Amiri" w:cs="Amiri"/>
          <w:color w:val="111111"/>
          <w:sz w:val="28"/>
          <w:sz w:val="28"/>
          <w:szCs w:val="28"/>
          <w:rtl w:val="true"/>
          <w:lang w:bidi="ar-SA"/>
        </w:rPr>
        <w:t>وجوب استلام الرّكن اليماني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لمطلوبيّته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أطوفُ بالبيت فإذا 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هذين الرّكنين يُستلَمان ولا يُستلَم هذان‌؟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استلم هذين ولم يعرض لهذين، فلا تعرض لهما إذ لم يعرض لهما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أبا عبد اللّه عليه السلام يستلم الأركان كلّها</w:t>
      </w:r>
      <w:r>
        <w:rPr>
          <w:rFonts w:eastAsia="Amiri" w:cs="Amiri" w:ascii="Amiri" w:hAnsi="Amiri"/>
          <w:color w:val="111111"/>
          <w:sz w:val="28"/>
          <w:szCs w:val="28"/>
          <w:rtl w:val="true"/>
          <w:lang w:bidi="ar-SA"/>
        </w:rPr>
        <w:t>»</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 من الأخبار الكثيرة</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لما ذهب إليه الدّيلمي من وجوبه، بالأمر به في النصوص الظاهر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النصوص غير متضمّنة إلّالأفعالهم عليهم السلام، وهي تلائم مع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صحيح ابن سنان المتقدّم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استلم الرّكن اليماني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متضمّنٌ للأمر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في الجواب عن الاستدلال أنّ تسالم الأصحاب على عدم الوجوب، وجمعه مع غيره ممّا هو معلومُ الندب، وغير ذلك من القرائن، توجبُ صَرفه عن ظاهره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وباقي الأركان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استلام الأركان كلّها، وآكدها الحَجَر واليماني، وهوآخر الأركان الأربعة قبلة أهل اليمن، وهو يلي الرّكن الذي فيه الحَجَر، ويتلوهما في الفضل الركنان الباقيان الشاميّان، ذهب إليه علمائنا</w:t>
      </w:r>
      <w:r>
        <w:rPr>
          <w:rFonts w:eastAsia="Amiri" w:cs="Amiri" w:ascii="Amiri" w:hAnsi="Amiri"/>
          <w:color w:val="111111"/>
          <w:sz w:val="28"/>
          <w:szCs w:val="28"/>
          <w:rtl w:val="true"/>
          <w:lang w:bidi="ar-SA"/>
        </w:rPr>
        <w:t>)</w:t>
      </w:r>
      <w:r>
        <w:rPr>
          <w:rStyle w:val="FootnoteAnchor"/>
          <w:rtl w:val="true"/>
        </w:rPr>
        <w:footnoteReference w:id="33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وخالف القومَ الإسكافي</w:t>
      </w:r>
      <w:r>
        <w:rPr>
          <w:rStyle w:val="FootnoteAnchor"/>
          <w:rtl w:val="true"/>
        </w:rPr>
        <w:footnoteReference w:id="337"/>
      </w:r>
      <w:r>
        <w:rPr>
          <w:rFonts w:ascii="Amiri" w:hAnsi="Amiri" w:eastAsia="Amiri" w:cs="Amiri"/>
          <w:color w:val="111111"/>
          <w:sz w:val="28"/>
          <w:sz w:val="28"/>
          <w:szCs w:val="28"/>
          <w:rtl w:val="true"/>
          <w:lang w:bidi="ar-SA"/>
        </w:rPr>
        <w:t xml:space="preserve">، فلم يستحبّهما بل منعه، وعليه الفقهاء الأربعة،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وأنكر الفقهاء الأربعة استلام الشاميّين</w:t>
      </w:r>
      <w:r>
        <w:rPr>
          <w:rFonts w:eastAsia="Amiri" w:cs="Amiri" w:ascii="Amiri" w:hAnsi="Amiri"/>
          <w:color w:val="111111"/>
          <w:sz w:val="28"/>
          <w:szCs w:val="28"/>
          <w:rtl w:val="true"/>
          <w:lang w:bidi="ar-SA"/>
        </w:rPr>
        <w:t>)</w:t>
      </w:r>
      <w:r>
        <w:rPr>
          <w:rStyle w:val="FootnoteAnchor"/>
          <w:rtl w:val="true"/>
        </w:rPr>
        <w:footnoteReference w:id="33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النصوص فهي متعارضة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استحبابه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جميل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ورأيتُ أبا عبد اللّه عليه السلام يستلم الأركان كلّها</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إبراهيم بن أبي محمود،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أستلم اليماني والشامي والعراقي والغربي‌؟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وحسن الكاهلي،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طاف رسول اللّه صلى الله عليه و آله على ناقته العضباء، وجعل يستلم الأركان بمحجنة ويُقبِّل المِحجن</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74" w:name="pg11810_104180"/>
    </w:p>
    <w:p>
      <w:pPr>
        <w:pStyle w:val="BookText"/>
        <w:rPr/>
      </w:pPr>
      <w:bookmarkEnd w:id="74"/>
      <w:r>
        <w:rPr>
          <w:rFonts w:ascii="Amiri" w:hAnsi="Amiri" w:eastAsia="Amiri" w:cs="Amiri"/>
          <w:color w:val="111111"/>
          <w:sz w:val="28"/>
          <w:sz w:val="28"/>
          <w:szCs w:val="28"/>
          <w:rtl w:val="true"/>
          <w:lang w:bidi="ar-SA"/>
        </w:rPr>
        <w:t>والطواف ثلثمائة وستّين طوافاً، فإنْ لم يتمكّن فثلاثمائة وستّين شوطاً،</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 صحيح جميل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استلم هذين ولم يعرض لهذين، فلا تعرض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كان يمسح هذين ولم يمسح هذين، فلا تعرض لشيء لم يتعرّض له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غياث بن إبراهيم، عن جعفر عليه السلام، عن أبيه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لا يستلم إلّاالرّكن الأسود واليماني، ثمّ يُقبّلهما ويضع خَدّه عليهما</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ونحوهاغيرها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حكاية فعل رسول اللّه صلى الله عليه و آله، فلعلّه لأقليّة الفضل بالنسبة إلى الرّكنين الأعظمين، ولم يقل إنّ استلامها محظورٌ أو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غياث دالٌّ على عدم استلامه صلى الله عليه و آله الركنين أصلاً، وهذا غير ممكن على فرض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الصحيحين متضمّنان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تعرض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وهويفيد الحظر أو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 النصوص متعارضة، والمرجع إلى أخبار الترجيح، وهي تقتضي تقديم الأولى، لكونها ممّا اشتهر بين الأصحاب، ولموافقة الثانية للعامّة</w:t>
      </w:r>
      <w:r>
        <w:rPr>
          <w:rFonts w:eastAsia="Amiri" w:cs="Amiri" w:ascii="Amiri" w:hAnsi="Amiri"/>
          <w:color w:val="111111"/>
          <w:sz w:val="28"/>
          <w:szCs w:val="28"/>
          <w:rtl w:val="true"/>
          <w:lang w:bidi="ar-SA"/>
        </w:rPr>
        <w:t>.</w:t>
      </w:r>
    </w:p>
    <w:p>
      <w:pPr>
        <w:pStyle w:val="Heading2"/>
        <w:numPr>
          <w:ilvl w:val="1"/>
          <w:numId w:val="1"/>
        </w:numPr>
        <w:rPr/>
      </w:pPr>
      <w:bookmarkStart w:id="75" w:name="__RefHeading___Toc10745808_73709187"/>
      <w:bookmarkStart w:id="76" w:name="_Toc25"/>
      <w:bookmarkEnd w:id="75"/>
      <w:r>
        <w:rPr>
          <w:rtl w:val="true"/>
        </w:rPr>
        <w:t>مقدار الطواف المستحبّ‌</w:t>
      </w:r>
      <w:bookmarkEnd w:id="7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ثلثمائة وستّين طوافاً، فإنْ لم يتمكّن فثلاثمائة وستّين شوطاً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Style w:val="FootnoteAnchor"/>
          <w:rtl w:val="true"/>
        </w:rPr>
        <w:footnoteReference w:id="344"/>
      </w:r>
      <w:r>
        <w:rPr>
          <w:rFonts w:ascii="Amiri" w:hAnsi="Amiri" w:eastAsia="Amiri" w:cs="Amiri"/>
          <w:color w:val="111111"/>
          <w:sz w:val="28"/>
          <w:sz w:val="28"/>
          <w:szCs w:val="28"/>
          <w:rtl w:val="true"/>
          <w:lang w:bidi="ar-SA"/>
        </w:rPr>
        <w:t>فيهما في الجملة، ويشهد 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صحيح معاوية بن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أن تطوف ثلاثمائة وستّين أسبوعاً على عدد أيّام السّنة، فإنْ لم تستطع فثلاثمائة وستّين شوطاً، فإن لم تستطع فما قدرت عليه من الطواف</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من الصحيح استحباب ذلك مدّة الإقامة بمكّة لمن دخلها حاجّاً ويسافر عنها، وأمّا للمُقيم بمكّة فلا يبعد دعوى ظهوره في استحباب ذلك في كلّ عام،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عدد أيّام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مانع من إرادة استحباب ذلك في كلّ يوم، لما يظهر من النصوص من استحباب كثرة الطواف، وأنّه كالصلاة من شاء استقلّ ومن شاء استكثر</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كلام في استحباب الطواف وأنّه كالصلاة، ومن شاء استقلّ منها ومن شاء استكثر، كما يظهر من النصوص، ولا كلام أيضاً في أنّه ليس للصحيح مفهومٌ يقيّد به إطلاق ما دلّ على مطلوبيّة الطواف، إلّاأنّ العدد الذي ورد النص باستحباب الطواف بذلك العدد بالخصوص هو ما عرفت، كما أنّ الصلاة مطلوبة مطلقاً، ومع ذلك في كلّ يوم ركعاتٍ خاصّة من النّوافل تكون مطلوبيّتها آكد، وهي النوافل المرتبة، فكذلك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يستطع، فيطوف بهذا العدد أشواطاً كما دلّ عليه الصحيح، فتكون جميع الأشواط إحدى وخمسين طوافاً وثلاثة أشواط، وعليه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يجعل الثلاثة تتمّة للاسبوع الأخير ليكون الطواف الأخير عشرة كما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هو المنسوب إلى المشهور</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يضمّ إلى الثلاثة الأخيرة أربعة أشواط، ويجعلها طوافاً كما عن ابن زُهرة</w:t>
      </w:r>
      <w:r>
        <w:rPr>
          <w:rStyle w:val="FootnoteAnchor"/>
          <w:rtl w:val="true"/>
        </w:rPr>
        <w:footnoteReference w:id="348"/>
      </w:r>
      <w:r>
        <w:rPr>
          <w:rFonts w:ascii="IRNazanin" w:hAnsi="IRNazanin" w:eastAsia="IRNazanin"/>
          <w:color w:val="111111"/>
          <w:sz w:val="28"/>
          <w:sz w:val="28"/>
          <w:szCs w:val="28"/>
          <w:rtl w:val="true"/>
          <w:lang w:bidi="fa-IR"/>
        </w:rPr>
        <w:t xml:space="preserve">،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349"/>
      </w:r>
      <w:r>
        <w:rPr>
          <w:rFonts w:ascii="Amiri" w:hAnsi="Amiri" w:eastAsia="Amiri" w:cs="Amiri"/>
          <w:color w:val="111111"/>
          <w:sz w:val="28"/>
          <w:sz w:val="28"/>
          <w:szCs w:val="28"/>
          <w:rtl w:val="true"/>
          <w:lang w:bidi="ar-SA"/>
        </w:rPr>
        <w:t>نفي البأس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يجعل الثلاثة الأخيرة طوافاً مستقلّاً؟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الصحيح تضمّن أنّ المستحبّ في فرض عدم الاستطاعة ثلاثمائة وستّين شوطاً، وإذا انضمّ إلى ذلك ما دلّ على أنّ كلّ طوافٍ سبعة أشواط، لزم منه الإلتزام بالتخصيص في خصوص الطواف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 مطلقٌ قابل لذلك ولجعل غيره من الطوافات عشرة أشواط، ولجعل الثلاثة الأخيرة طوافاً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صحيح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أجمعت العصابة على صحّة ما صحّ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أن يطاف بالبيت عدد أيّام السنة كلّ اسبوعٍ لسبعة أيّام، فذلك اثنان وخمسون اُسبوعاً</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يدلّ على ما ذهب إليه ابن زُهرة من ضَمّ أربعة أشواط إلى الثلاثة، وجعل المجموع طوافاً واحداً، وبه يتصرّف في ظاهر خبر معاوية من جهة أنّه لا ينفي الزيادة كي يعارض الخبر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التدافع بين صدر الخبر المتضمّن أنّه يطاف عدد أيّام السنة، وذيله المتضمّن أنّ ذلك اثنان وخمسون اسبوعاً، مع أنّه بمقتضى الصدر أحد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وخمسون وثلاثة أشواط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الشهيد رحمه الله</w:t>
      </w:r>
      <w:r>
        <w:rPr>
          <w:rStyle w:val="FootnoteAnchor"/>
          <w:rtl w:val="true"/>
        </w:rPr>
        <w:footnoteReference w:id="351"/>
      </w:r>
      <w:r>
        <w:rPr>
          <w:rFonts w:ascii="Amiri" w:hAnsi="Amiri" w:eastAsia="Amiri" w:cs="Amiri"/>
          <w:color w:val="111111"/>
          <w:sz w:val="28"/>
          <w:sz w:val="28"/>
          <w:szCs w:val="28"/>
          <w:rtl w:val="true"/>
          <w:lang w:bidi="ar-SA"/>
        </w:rPr>
        <w:t>بأنّ المراد عدد السنة الشمسيّة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من أنّها أيضاً لا تطابق الثلاثمائة والأربعة والستّين في الأكثر، ممنوعٌ لأنّ السنة الشمسيّة دائماً تكون ثلاثمائة وأربعة وستّين يوماً وستّة ساعات، لا تزيد ولا تنقص</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77" w:name="pg11810_104184"/>
    </w:p>
    <w:p>
      <w:pPr>
        <w:pStyle w:val="Heading2"/>
        <w:numPr>
          <w:ilvl w:val="1"/>
          <w:numId w:val="1"/>
        </w:numPr>
        <w:rPr/>
      </w:pPr>
      <w:bookmarkStart w:id="78" w:name="__RefHeading___Toc10745810_73709187"/>
      <w:bookmarkStart w:id="79" w:name="_Toc26"/>
      <w:bookmarkEnd w:id="77"/>
      <w:bookmarkEnd w:id="78"/>
      <w:r>
        <w:rPr>
          <w:rtl w:val="true"/>
        </w:rPr>
        <w:t>كراهة الكلام أثناء الطواف</w:t>
      </w:r>
      <w:bookmarkEnd w:id="79"/>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بين الأصحاب أنّه يكره الكلام في الطواف بغير الذِّكر والدّعاء والقراءة،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 خبر محمّد بن فضيل، عن محمّد بن علي الرضا عليه السلام في حديثٍ‌،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 الفريضة لا ينبغي أن يتكلّم فيه إلّابالدّعاء وذكر اللّه وتلاوة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والنافلة يلقي الرّجل أخاه فيسلِّم عليه ويُحدِّثه بالشيء من أمر الآخرة والدُّنيا لا بأس به</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الكراهة، لو لم يكن بنفسه ظاهراً فيها، لصحيح علي بن يقطين،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الكلام في الطواف، وإنشاد الشعر والضّحك في الفريضة أو غير الفريضة، أيستقيم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والشعر ما كان لا بأس به منه</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الخبر مختصّ بالفريضة، وأمّا النافلة فقد استدلّ لكراهة الكلام فيها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العقل يحكم بالمساواة بين النافلة والفريضة في أصل الكراهة، وإنْ كانت أخفّ‌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إذ كيف يمكن إثبات هذه الأحكام التوقيفيّة بالعقل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دلّ على النهي عن حديث الدُّنيا في المسجد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عن كراهة الكلام في أثناء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النبوي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في البيت صلاة</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التكلّم في أثناء الصلاة ولو كانت نافلة مبطلٌ لها، فهذا قد خُصّص بالكلام في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يحكم بالكراهة، لفتوى الأصحاب بضميمة قاعدة التسامح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القاعدة مختصّة بالمندوبات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إنّما تجري فيما ورد فيه رواية ضعيفة دالّة على الحكم، لا بمجرّد فتوى القوم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الإجماع، وقد مرَّ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أنّه لا دليل على كراهته في أثناء النافلة، بل خبر محمّد يدلّ على عدمها كما لا يخفى‌</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80" w:name="pg11810_104186"/>
    </w:p>
    <w:p>
      <w:pPr>
        <w:pStyle w:val="BookText"/>
        <w:rPr/>
      </w:pPr>
      <w:bookmarkEnd w:id="80"/>
      <w:r>
        <w:rPr>
          <w:rFonts w:ascii="Amiri" w:hAnsi="Amiri" w:eastAsia="Amiri" w:cs="Amiri"/>
          <w:color w:val="111111"/>
          <w:sz w:val="28"/>
          <w:sz w:val="28"/>
          <w:szCs w:val="28"/>
          <w:rtl w:val="true"/>
          <w:lang w:bidi="ar-SA"/>
        </w:rPr>
        <w:t>والطواف ركن من تركه عمداً بطل حجّه،</w:t>
      </w:r>
    </w:p>
    <w:p>
      <w:pPr>
        <w:pStyle w:val="Heading2"/>
        <w:numPr>
          <w:ilvl w:val="1"/>
          <w:numId w:val="1"/>
        </w:numPr>
        <w:rPr/>
      </w:pPr>
      <w:bookmarkStart w:id="81" w:name="__RefHeading___Toc10745812_73709187"/>
      <w:bookmarkStart w:id="82" w:name="_Toc27"/>
      <w:bookmarkEnd w:id="81"/>
      <w:r>
        <w:rPr>
          <w:rtl w:val="true"/>
        </w:rPr>
        <w:t>الطواف ركن يبطل الحَجّ بتركه عمداً</w:t>
      </w:r>
      <w:bookmarkEnd w:id="82"/>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أركان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تركه عمداً بطل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كما صرّح به جماعة</w:t>
      </w:r>
      <w:r>
        <w:rPr>
          <w:rStyle w:val="FootnoteAnchor"/>
          <w:rtl w:val="true"/>
        </w:rPr>
        <w:footnoteReference w:id="357"/>
      </w:r>
      <w:r>
        <w:rPr>
          <w:rFonts w:ascii="Amiri" w:hAnsi="Amiri" w:eastAsia="Amiri" w:cs="Amiri"/>
          <w:color w:val="111111"/>
          <w:sz w:val="28"/>
          <w:sz w:val="28"/>
          <w:szCs w:val="28"/>
          <w:rtl w:val="true"/>
          <w:lang w:bidi="ar-SA"/>
        </w:rPr>
        <w:t>، وعن غير واحدٍ دعوى الإجماع عليه</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ومرادهم بالرّكن في باب الحَجّ غير الرّكن في باب الصلاة، فإنّ المراد به في المقام ما يبطل الحَجّ بتركه عمداً لا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القول في المقام يتحقّق بالبحث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ترك الطواف عالماً عامداً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تركه عن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تركه 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على بطلان ما بيده لزوم إعادة الحجّ بوجوه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هو الإجماع على بطلان الحَجّ به، أو على ركنيّته المفسّرة بذلك، ومثله لا يكون إجماعاً تعبّديّاً بل هو مدركيٌ لا اعتبار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الإتيان بالمأمور به على وجهه، وقاعدة انتفاء المركَّب بانتفاء جزئة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لزوم الإتيان به، إنّما الكلام في أنّه بتركه هل يبطل الأفعال السابقة واللّاحقة بحيث يجبُ عليه إعادة الحَجّ من رأس، أو يجبُ عليه إعادة الطواف نفسه نظير ما ذكروه في صلاته‌؟</w:t>
      </w:r>
    </w:p>
    <w:p>
      <w:pPr>
        <w:pStyle w:val="BookText"/>
        <w:rPr/>
      </w:pPr>
      <w:r>
        <w:rPr>
          <w:rFonts w:ascii="Amiri" w:hAnsi="Amiri" w:eastAsia="Amiri" w:cs="Amiri"/>
          <w:color w:val="111111"/>
          <w:sz w:val="28"/>
          <w:sz w:val="28"/>
          <w:szCs w:val="28"/>
          <w:rtl w:val="true"/>
          <w:lang w:bidi="ar-SA"/>
        </w:rPr>
        <w:t>والأوّل يتوقّف على اعتبار كونه شرطاً في صحّة بقيّة الأفعال، وهو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فحوى ما دلّ على لزوم الإعادة في الجاهل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علي 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رجل جهل أن يطوف بالبيت طواف الفريضة‌؟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على وجهٍ جهالة في الحَجّ أعاد وعليه بدنة</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حمّاد بن عثمان، عن علي بن أبي حمزة،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سهى أن يطوف بالبيت حتّى رجع إلى أهله‌؟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على وجه الجهالة أعاد الحَجّ وعليه بدنة</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وجب إعادة الحَجّ على الجاهل، فعلى العالم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ناقش المحقّق الأردبيلي</w:t>
      </w:r>
      <w:r>
        <w:rPr>
          <w:rStyle w:val="FootnoteAnchor"/>
          <w:rtl w:val="true"/>
        </w:rPr>
        <w:footnoteReference w:id="361"/>
      </w:r>
      <w:r>
        <w:rPr>
          <w:rFonts w:ascii="Amiri" w:hAnsi="Amiri" w:eastAsia="Amiri" w:cs="Amiri"/>
          <w:color w:val="111111"/>
          <w:sz w:val="28"/>
          <w:sz w:val="28"/>
          <w:szCs w:val="28"/>
          <w:rtl w:val="true"/>
          <w:lang w:bidi="ar-SA"/>
        </w:rPr>
        <w:t>في هذا الوجه باُمور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خبر علي بن أبي حمزة ضعيفٌ لاشتراكه، وعدم التصريح بالمسؤول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عنه، كما أنّ صحيح علي بن يقطين ليس ظاهراً في لزوم إعادة الحَجّ‌، بل الظاهر أنّ المراد به إعادة الطواف المتروك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أنّهما في الجاهل، ونمنع الأولويّة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ليس فيهما أنّه طواف الحَجّ أو العُمرة للنساء أو الزيارة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وجوب البدنة غير مذكور في أكثر كتب الأصحاب،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دليل على ركنيّة الطواف إلّاالإجماع إن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صحيح ابن يقطين ظاهرٌ في إرادة الحَجّ‌، فإنّ الطواف لم يؤتِ به على الفرض، فلا يطلق الإعادة على الإتيان به فإنّها الإتيان مرّة ثانية، وإطلاقها على ما لم يؤتِ به في بعض الموارد لا يصلح قرينة لصرف الظهور أو إجمال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المسؤول عنه في خبر علي بن أبي حمزة فقد صرّح به في ما روي بطريق الصدوق، وعلي بن أبي حمزة قويّ على الأظهر يؤخذ بخبره، مع أنّ في الأوّل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إعادة الحَجّ على الجاهل سيَّما القاصر، يستلزم لزوم إعادتها على العامد بالأولويّة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إليه ما أفاده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على ما حُكي أنّه يمكن أن يُدّعى الدلالة على ذلك في العرف، بحيث يصلح لأن تكون حجّة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سيأتي من أنّ مقتضى إطلاقهما إرادة الأعمّ من طواف الحَجّ والعُمرة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الذكر لا يدلّ على الإعراض، مع أنّ غايته سقوطهما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الحجيّة في تلك الفقرة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 عليه إعادة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الأكثر</w:t>
      </w:r>
      <w:r>
        <w:rPr>
          <w:rStyle w:val="FootnoteAnchor"/>
          <w:rtl w:val="true"/>
        </w:rPr>
        <w:footnoteReference w:id="363"/>
      </w:r>
      <w:r>
        <w:rPr>
          <w:rFonts w:ascii="Amiri" w:hAnsi="Amiri" w:eastAsia="Amiri" w:cs="Amiri"/>
          <w:color w:val="111111"/>
          <w:sz w:val="28"/>
          <w:sz w:val="28"/>
          <w:szCs w:val="28"/>
          <w:rtl w:val="true"/>
          <w:lang w:bidi="ar-SA"/>
        </w:rPr>
        <w:t>أنّ عليه إعادة الحَجّ والبدنة، ويشهد بهما الخبران المتقدّمان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المحقّق الأردبيلي</w:t>
      </w:r>
      <w:r>
        <w:rPr>
          <w:rStyle w:val="FootnoteAnchor"/>
          <w:rtl w:val="true"/>
        </w:rPr>
        <w:footnoteReference w:id="364"/>
      </w:r>
      <w:r>
        <w:rPr>
          <w:rFonts w:ascii="Amiri" w:hAnsi="Amiri" w:eastAsia="Amiri" w:cs="Amiri"/>
          <w:color w:val="111111"/>
          <w:sz w:val="28"/>
          <w:sz w:val="28"/>
          <w:szCs w:val="28"/>
          <w:rtl w:val="true"/>
          <w:lang w:bidi="ar-SA"/>
        </w:rPr>
        <w:t>والمُحدِّث البحراني</w:t>
      </w:r>
      <w:r>
        <w:rPr>
          <w:rStyle w:val="FootnoteAnchor"/>
          <w:rtl w:val="true"/>
        </w:rPr>
        <w:footnoteReference w:id="365"/>
      </w:r>
      <w:r>
        <w:rPr>
          <w:rFonts w:ascii="Amiri" w:hAnsi="Amiri" w:eastAsia="Amiri" w:cs="Amiri"/>
          <w:color w:val="111111"/>
          <w:sz w:val="28"/>
          <w:sz w:val="28"/>
          <w:szCs w:val="28"/>
          <w:rtl w:val="true"/>
          <w:lang w:bidi="ar-SA"/>
        </w:rPr>
        <w:t>الميل إلى عدم وجوب إعادة الحَجّ والبدنة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لبعض ما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ولأنّه يعارض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المستفيضة الدالّة عليمعذوريّة الجاهل، لا سيّما في باب الحَجّ‌، والأخبار الصريحة في سقوط الكفّارة، كصحيح معاوية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عليك فداءٌ ما أتيته بجهالة إلّاالصيد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والنصوص المتقدّم بعضها والآتي آخر، المتضمّنة جميعها لصحّة الحَجّ وإنْ أخلّ جهلاً بواجب من واجبات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الأوّل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فنصوص المعذوريّة مطلقة يقيّد إطلاقها بالخبرين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صراحتها في العموم لم يظهر لي وجهها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دلّ على صحّة الحَجّ مع الإخلال بواجب جهلاً، فإنّما هو في الموراد الخاصّة، ولم يدلّ دليل على كبرى كليّة، وهي أنّ الإخلال باجزاء الحَجّ جهلاً لا يوجب البطلان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83" w:name="pg11810_104190"/>
    </w:p>
    <w:p>
      <w:pPr>
        <w:pStyle w:val="BookText"/>
        <w:rPr/>
      </w:pPr>
      <w:bookmarkEnd w:id="83"/>
      <w:r>
        <w:rPr>
          <w:rFonts w:ascii="Amiri" w:hAnsi="Amiri" w:eastAsia="Amiri" w:cs="Amiri"/>
          <w:color w:val="111111"/>
          <w:sz w:val="28"/>
          <w:sz w:val="28"/>
          <w:szCs w:val="28"/>
          <w:rtl w:val="true"/>
          <w:lang w:bidi="ar-SA"/>
        </w:rPr>
        <w:t>وناسياً يأتي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نصوص نفي الكفّارة مختصّة بالكفّارة على الفعل، و لا تشمل الكفّارة على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أنّ عليه الإعادة والبدنة</w:t>
      </w:r>
      <w:r>
        <w:rPr>
          <w:rFonts w:eastAsia="Amiri" w:cs="Amiri" w:ascii="Amiri" w:hAnsi="Amiri"/>
          <w:color w:val="111111"/>
          <w:sz w:val="28"/>
          <w:szCs w:val="28"/>
          <w:rtl w:val="true"/>
          <w:lang w:bidi="ar-SA"/>
        </w:rPr>
        <w:t>.</w:t>
      </w:r>
    </w:p>
    <w:p>
      <w:pPr>
        <w:pStyle w:val="Heading2"/>
        <w:numPr>
          <w:ilvl w:val="1"/>
          <w:numId w:val="1"/>
        </w:numPr>
        <w:rPr/>
      </w:pPr>
      <w:bookmarkStart w:id="84" w:name="__RefHeading___Toc10745814_73709187"/>
      <w:bookmarkStart w:id="85" w:name="_Toc28"/>
      <w:bookmarkEnd w:id="84"/>
      <w:r>
        <w:rPr>
          <w:rtl w:val="true"/>
        </w:rPr>
        <w:t>عدم بطلان الحَجّ بترك الطواف نسياناً</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w:t>
      </w:r>
      <w:r>
        <w:rPr>
          <w:rStyle w:val="FootnoteAnchor"/>
          <w:rtl w:val="true"/>
        </w:rPr>
        <w:footnoteReference w:id="366"/>
      </w:r>
      <w:r>
        <w:rPr>
          <w:rFonts w:ascii="Amiri" w:hAnsi="Amiri" w:eastAsia="Amiri" w:cs="Amiri"/>
          <w:color w:val="111111"/>
          <w:sz w:val="28"/>
          <w:sz w:val="28"/>
          <w:szCs w:val="28"/>
          <w:rtl w:val="true"/>
          <w:lang w:bidi="ar-SA"/>
        </w:rPr>
        <w:t xml:space="preserve">أنّه إنْ ترك 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ناسياً يأتي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ذكره، ولا يبطل المناسك التي أتى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إلّاالسعي فإنّ فيه كلاماً سيمرّ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عدم الخلاف فيهما إلّاعن نادر</w:t>
      </w:r>
      <w:r>
        <w:rPr>
          <w:rStyle w:val="FootnoteAnchor"/>
          <w:rtl w:val="true"/>
        </w:rPr>
        <w:footnoteReference w:id="367"/>
      </w:r>
      <w:r>
        <w:rPr>
          <w:rFonts w:ascii="Amiri" w:hAnsi="Amiri" w:eastAsia="Amiri" w:cs="Amiri"/>
          <w:color w:val="111111"/>
          <w:sz w:val="28"/>
          <w:sz w:val="28"/>
          <w:szCs w:val="28"/>
          <w:rtl w:val="true"/>
          <w:lang w:bidi="ar-SA"/>
        </w:rPr>
        <w:t xml:space="preserve">يأتي، بل عليهما الإجماع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حكمان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بطلان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الإتيان بالطواف إمّا بنفسه أو يأتي به نائبه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يخالف فيه إلّاالشيخ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37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والحلبي</w:t>
      </w:r>
      <w:r>
        <w:rPr>
          <w:rStyle w:val="FootnoteAnchor"/>
          <w:rtl w:val="true"/>
        </w:rPr>
        <w:footnoteReference w:id="372"/>
      </w:r>
      <w:r>
        <w:rPr>
          <w:rFonts w:ascii="Amiri" w:hAnsi="Amiri" w:eastAsia="Amiri" w:cs="Amiri"/>
          <w:color w:val="111111"/>
          <w:sz w:val="28"/>
          <w:sz w:val="28"/>
          <w:szCs w:val="28"/>
          <w:rtl w:val="true"/>
          <w:lang w:bidi="ar-SA"/>
        </w:rPr>
        <w:t xml:space="preserve">، أمّا الشيخ فقد رجع عنه فى كتبه المتأخّره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37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37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فلم يبق مخالفٌ إلّاالحلبي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فضلاً عن أنّه يشهد للصحّة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هشام بن سالم،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نسى زيارة البيت حتّى رجع إلى أهله‌؟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إذا كان قد قضى مناسكه</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الشيخ قدس سره</w:t>
      </w:r>
      <w:r>
        <w:rPr>
          <w:rStyle w:val="FootnoteAnchor"/>
          <w:rtl w:val="true"/>
        </w:rPr>
        <w:footnoteReference w:id="377"/>
      </w:r>
      <w:r>
        <w:rPr>
          <w:rFonts w:ascii="IRNazanin" w:hAnsi="IRNazanin" w:eastAsia="IRNazanin"/>
          <w:color w:val="111111"/>
          <w:sz w:val="28"/>
          <w:sz w:val="28"/>
          <w:szCs w:val="28"/>
          <w:rtl w:val="true"/>
          <w:lang w:bidi="fa-IR"/>
        </w:rPr>
        <w:t>حمله على طواف الوداع، واستدلّ له</w:t>
      </w:r>
      <w:r>
        <w:rPr>
          <w:rStyle w:val="FootnoteAnchor"/>
          <w:rtl w:val="true"/>
        </w:rPr>
        <w:footnoteReference w:id="378"/>
      </w:r>
      <w:r>
        <w:rPr>
          <w:rFonts w:ascii="Amiri" w:hAnsi="Amiri" w:eastAsia="Amiri" w:cs="Amiri"/>
          <w:color w:val="111111"/>
          <w:sz w:val="28"/>
          <w:sz w:val="28"/>
          <w:szCs w:val="28"/>
          <w:rtl w:val="true"/>
          <w:lang w:bidi="ar-SA"/>
        </w:rPr>
        <w:t>بخبر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نسى طواف النساء حتّى دخل أهله‌؟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النساء حتّى يزور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من يقضي عنه، فإنْ توفّي قبل أن يُطاف عنه، فليقض عنه وليّه أو غيره</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عامٌ شاملٌ له ولطواف الحَجّ والعُمرة، والخبر وإن كان سؤالاً وجواباً يدور حول طواف النساء، إلّاأنّه لا يصلح لتقيّيد الإطلاق، لعدم حمل المطلق على المقيّد في المتوافقين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نسى طواف الفريضة حتّى قدم بلاده وواقع النساء، كيف يصنع‌؟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بهَدي، إنْ كان تركه في حَجّ بعث به في حَجّ‌، وإنْ كان تركه في عمرة بعث به في عمرة، ووكّل من يطوف عنه ما تركه من طوافه</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وحمله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 على طواف النساء، وهو كما ترى بلا وجه، وخبر معاوية لا يصلح لذلك كما مرّ 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الشيخ قدس سره للبطلان بالخبرين المتقدّمين في الجاهل، ثمّ ذكر صحيح علي بن جعفر، وحمله على طواف النساء، من جهة أنّ من ترك طواف النساء ناسياً جاز له أن يستنيب غيره مقامه في طوافه، ولا يجوز ذلك في طواف الحَجّ‌، ثمّ استشهد لذلك بخبر معاوية بن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وظاهره أنّ الجمع بين الخبرين وصحيح علي بن جعفر إنّما يكون بذلك، وخبر ابن عمّار يشهد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الخبرين مختصّان بالجاهل، والتعدّي منه إلى الناسي قياسٌ باطل، وما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من شموله للناسي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تنافي بينهما وبين صحيح علي بن جعفر، فإنّ موردهما الجاهل ومورده الناسي، فلا وجه للجمع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خبر معاوية لا يصلح شاهداً لذلك، فإنّ الصحّة مع ترك طواف النساء لا تنافي الصحّة مع ترك طواف الحَجّ‌، وأمّا عدم جواز الإستنابة فيه فسيأتي الكلام فيه، فالأظهر الصحّة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وجوب القضاء إجماعيٌ‌، ويشهد به صحيح علي ابن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86" w:name="pg11810_104193"/>
    </w:p>
    <w:p>
      <w:pPr>
        <w:pStyle w:val="BookText"/>
        <w:rPr/>
      </w:pPr>
      <w:bookmarkEnd w:id="86"/>
      <w:r>
        <w:rPr>
          <w:rFonts w:ascii="Amiri" w:hAnsi="Amiri" w:eastAsia="Amiri" w:cs="Amiri"/>
          <w:color w:val="111111"/>
          <w:sz w:val="28"/>
          <w:sz w:val="28"/>
          <w:szCs w:val="28"/>
          <w:rtl w:val="true"/>
          <w:lang w:bidi="ar-SA"/>
        </w:rPr>
        <w:t>والتشكيك في دلالته على وجوب القضاء من جهة كونه بالجملة الخبريّة، قد مرَّ ما فيه</w:t>
      </w:r>
      <w:r>
        <w:rPr>
          <w:rFonts w:eastAsia="Amiri" w:cs="Amiri" w:ascii="Amiri" w:hAnsi="Amiri"/>
          <w:color w:val="111111"/>
          <w:sz w:val="28"/>
          <w:szCs w:val="28"/>
          <w:rtl w:val="true"/>
          <w:lang w:bidi="ar-SA"/>
        </w:rPr>
        <w:t>.</w:t>
      </w:r>
    </w:p>
    <w:p>
      <w:pPr>
        <w:pStyle w:val="Heading2"/>
        <w:numPr>
          <w:ilvl w:val="1"/>
          <w:numId w:val="1"/>
        </w:numPr>
        <w:rPr/>
      </w:pPr>
      <w:bookmarkStart w:id="87" w:name="__RefHeading___Toc10745816_73709187"/>
      <w:bookmarkStart w:id="88" w:name="_Toc29"/>
      <w:bookmarkEnd w:id="87"/>
      <w:r>
        <w:rPr>
          <w:rtl w:val="true"/>
        </w:rPr>
        <w:t>وجوب الاستنابة في الطواف لو تعذّر العود</w:t>
      </w:r>
      <w:bookmarkEnd w:id="8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المقام إنّما يكون بالتنبيه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382"/>
      </w:r>
      <w:r>
        <w:rPr>
          <w:rFonts w:ascii="Amiri" w:hAnsi="Amiri" w:eastAsia="Amiri" w:cs="Amiri"/>
          <w:color w:val="111111"/>
          <w:sz w:val="28"/>
          <w:sz w:val="28"/>
          <w:szCs w:val="28"/>
          <w:rtl w:val="true"/>
          <w:lang w:bidi="ar-SA"/>
        </w:rPr>
        <w:t>أنّ من تركه نسياناً، وجب عليه أن يأتي به بنفسه، وإذا امتنع أو كان فيه مشقّة، لا تتحمّل عادةً‌</w:t>
      </w:r>
      <w:r>
        <w:rPr>
          <w:rStyle w:val="FootnoteAnchor"/>
          <w:rtl w:val="true"/>
        </w:rPr>
        <w:footnoteReference w:id="383"/>
      </w:r>
      <w:r>
        <w:rPr>
          <w:rFonts w:ascii="Amiri" w:hAnsi="Amiri" w:eastAsia="Amiri" w:cs="Amiri"/>
          <w:color w:val="111111"/>
          <w:sz w:val="28"/>
          <w:sz w:val="28"/>
          <w:szCs w:val="28"/>
          <w:rtl w:val="true"/>
          <w:lang w:bidi="ar-SA"/>
        </w:rPr>
        <w:t>، جاز له أن يستنيب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المباشرة</w:t>
      </w:r>
      <w:r>
        <w:rPr>
          <w:rStyle w:val="FootnoteAnchor"/>
          <w:rtl w:val="true"/>
        </w:rPr>
        <w:footnoteReference w:id="384"/>
      </w:r>
      <w:r>
        <w:rPr>
          <w:rFonts w:ascii="Amiri" w:hAnsi="Amiri" w:eastAsia="Amiri" w:cs="Amiri"/>
          <w:color w:val="111111"/>
          <w:sz w:val="28"/>
          <w:sz w:val="28"/>
          <w:szCs w:val="28"/>
          <w:rtl w:val="true"/>
          <w:lang w:bidi="ar-SA"/>
        </w:rPr>
        <w:t>، إلّامع التعذّر الحاصل بسبب العود إلى البلد، بمعنى كفاية هذا المقدار من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الاستنابة مطلقاً</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الاستنابة مع التعذّر أو التعسّر، فلا خلاف فيه بين القائلين بصحّة الحَجّ‌</w:t>
      </w:r>
      <w:r>
        <w:rPr>
          <w:rStyle w:val="FootnoteAnchor"/>
          <w:rtl w:val="true"/>
        </w:rPr>
        <w:footnoteReference w:id="386"/>
      </w:r>
      <w:r>
        <w:rPr>
          <w:rFonts w:ascii="Amiri" w:hAnsi="Amiri" w:eastAsia="Amiri" w:cs="Amiri"/>
          <w:color w:val="111111"/>
          <w:sz w:val="28"/>
          <w:sz w:val="28"/>
          <w:szCs w:val="28"/>
          <w:rtl w:val="true"/>
          <w:lang w:bidi="ar-SA"/>
        </w:rPr>
        <w:t>، ويشهد به صحيح علي بن جعفر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جواز مباشرته إجماعي، ويشهد به صحيح عليّ‌، من جهة أنّ التوكيل لا يكون إلّافيما يجوز للموكل مباشرته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والعلّة المنصوبة في صحيح معاوية بن عمّار،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ومع التعذّر يستنيب</w:t>
      </w:r>
    </w:p>
    <w:p>
      <w:pPr>
        <w:pStyle w:val="BookText"/>
        <w:rPr/>
      </w:pPr>
      <w:r>
        <w:rPr>
          <w:rFonts w:ascii="Amiri" w:hAnsi="Amiri" w:eastAsia="Amiri" w:cs="Amiri"/>
          <w:color w:val="111111"/>
          <w:sz w:val="28"/>
          <w:sz w:val="28"/>
          <w:szCs w:val="28"/>
          <w:rtl w:val="true"/>
          <w:lang w:bidi="ar-SA"/>
        </w:rPr>
        <w:t>رجل نسى طواف النساء حتّى يرجع إلى أهله‌؟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النساء حتّى يزور البيت، فإنْ هو مات فليقض عنه وليّه أو غيره، فأمّا ما دام حيّاً فلا يصلح أن يقضى عنه، وإنْ نسى الجمار فليسا بسواء، إنّ الرّمي سُنّة والطواف فريضة</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يدلّ على أنّه لا يجوز أن يستنيب في طواف النساء ما دام حيّاً، بل يجب عليه القضاء بنفسه، لأنّه مذكور في القرآن، ويجوز ذلك في الرّمي لعدم ذكره فيه، فبعموم العلّة يدلّ على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في المقام عن وجوب المباشرة في صورة عدم تعذّر القضاء بنفسه لا تعسّره، واستدلّ له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بفحوى ما دلّ على وجوب تلك في طواف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وبفحوى ما دلّ على وجوب المباشرة في قضاء ركعتي الطواف، اللّتين هما من توابع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كما ترى‌، فالحقّ أن يستدلّ له بعموم العلّة في صحيح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لجواز الإستنابة مطلقاً بصحيح علي بن جعفر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إمّا أن يختصّ بصورة التعذّر لو كان الجمع بذلك عرفيّاً، وإلّا فيقدّم صحيح معاوية للشهرة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فالأظهر أنّه تجبُ المباشرة مع التمكّن،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التعذّر يستنيب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89" w:name="pg11810_104195"/>
    </w:p>
    <w:p>
      <w:pPr>
        <w:pStyle w:val="BookText"/>
        <w:rPr/>
      </w:pPr>
      <w:bookmarkEnd w:id="89"/>
      <w:r>
        <w:rPr>
          <w:rFonts w:ascii="Amiri" w:hAnsi="Amiri" w:eastAsia="Amiri" w:cs="Amiri"/>
          <w:color w:val="111111"/>
          <w:sz w:val="28"/>
          <w:sz w:val="28"/>
          <w:szCs w:val="28"/>
          <w:rtl w:val="true"/>
          <w:lang w:bidi="ar-SA"/>
        </w:rPr>
        <w:t xml:space="preserve">مع التعسّر، ولا يكفي في جواز الاستنابة مطلق العذر الحاصل بسبب العود إلى بلده،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عن الشهيد رحمه الله</w:t>
      </w:r>
      <w:r>
        <w:rPr>
          <w:rStyle w:val="FootnoteAnchor"/>
          <w:rtl w:val="true"/>
        </w:rPr>
        <w:footnoteReference w:id="390"/>
      </w:r>
      <w:r>
        <w:rPr>
          <w:rFonts w:ascii="Amiri" w:hAnsi="Amiri" w:eastAsia="Amiri" w:cs="Amiri"/>
          <w:color w:val="111111"/>
          <w:sz w:val="28"/>
          <w:sz w:val="28"/>
          <w:szCs w:val="28"/>
          <w:rtl w:val="true"/>
          <w:lang w:bidi="ar-SA"/>
        </w:rPr>
        <w:t>من احتمال أن يعتبر في العود استطاعة الحَجّ المعهودة، فهو ضعيف غايته، ولا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ولم يقض، قضى عنه وليّه إمّا بنفسه أو بالاستنابة، ويشهد به صحيح ابن عمّار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المحكيّ عن صريح الشيخ</w:t>
      </w:r>
      <w:r>
        <w:rPr>
          <w:rStyle w:val="FootnoteAnchor"/>
          <w:rtl w:val="true"/>
        </w:rPr>
        <w:footnoteReference w:id="391"/>
      </w:r>
      <w:r>
        <w:rPr>
          <w:rFonts w:ascii="Amiri" w:hAnsi="Amiri" w:eastAsia="Amiri" w:cs="Amiri"/>
          <w:color w:val="111111"/>
          <w:sz w:val="28"/>
          <w:sz w:val="28"/>
          <w:szCs w:val="28"/>
          <w:rtl w:val="true"/>
          <w:lang w:bidi="ar-SA"/>
        </w:rPr>
        <w:t>والحِلّي</w:t>
      </w:r>
      <w:r>
        <w:rPr>
          <w:rStyle w:val="FootnoteAnchor"/>
          <w:rtl w:val="true"/>
        </w:rPr>
        <w:footnoteReference w:id="392"/>
      </w:r>
      <w:r>
        <w:rPr>
          <w:rFonts w:ascii="Amiri" w:hAnsi="Amiri" w:eastAsia="Amiri" w:cs="Amiri"/>
          <w:color w:val="111111"/>
          <w:sz w:val="28"/>
          <w:sz w:val="28"/>
          <w:szCs w:val="28"/>
          <w:rtl w:val="true"/>
          <w:lang w:bidi="ar-SA"/>
        </w:rPr>
        <w:t>وابن سعيد</w:t>
      </w:r>
      <w:r>
        <w:rPr>
          <w:rStyle w:val="FootnoteAnchor"/>
          <w:rtl w:val="true"/>
        </w:rPr>
        <w:footnoteReference w:id="393"/>
      </w:r>
      <w:r>
        <w:rPr>
          <w:rFonts w:ascii="Amiri" w:hAnsi="Amiri" w:eastAsia="Amiri" w:cs="Amiri"/>
          <w:color w:val="111111"/>
          <w:sz w:val="28"/>
          <w:sz w:val="28"/>
          <w:szCs w:val="28"/>
          <w:rtl w:val="true"/>
          <w:lang w:bidi="ar-SA"/>
        </w:rPr>
        <w:t>عدم الفرق في ذلك بين طواف الحَجّ والعُمرة، وهو ظاهر المصنّف رحمه الله في الكتاب</w:t>
      </w:r>
      <w:r>
        <w:rPr>
          <w:rStyle w:val="FootnoteAnchor"/>
          <w:rtl w:val="true"/>
        </w:rPr>
        <w:footnoteReference w:id="394"/>
      </w:r>
      <w:r>
        <w:rPr>
          <w:rFonts w:ascii="Amiri" w:hAnsi="Amiri" w:eastAsia="Amiri" w:cs="Amiri"/>
          <w:color w:val="111111"/>
          <w:sz w:val="28"/>
          <w:sz w:val="28"/>
          <w:szCs w:val="28"/>
          <w:rtl w:val="true"/>
          <w:lang w:bidi="ar-SA"/>
        </w:rPr>
        <w:t>وسائر كتبه</w:t>
      </w:r>
      <w:r>
        <w:rPr>
          <w:rStyle w:val="FootnoteAnchor"/>
          <w:rtl w:val="true"/>
        </w:rPr>
        <w:footnoteReference w:id="39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الشرايع</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ويشهد به صحيح علي بن جعفر المتقدّم</w:t>
      </w:r>
      <w:r>
        <w:rPr>
          <w:rFonts w:eastAsia="Amiri" w:cs="Amiri" w:ascii="Amiri" w:hAnsi="Amiri"/>
          <w:color w:val="111111"/>
          <w:sz w:val="28"/>
          <w:szCs w:val="28"/>
          <w:rtl w:val="true"/>
          <w:lang w:bidi="ar-SA"/>
        </w:rPr>
        <w:t>.</w:t>
      </w:r>
    </w:p>
    <w:p>
      <w:pPr>
        <w:pStyle w:val="Heading2"/>
        <w:numPr>
          <w:ilvl w:val="1"/>
          <w:numId w:val="1"/>
        </w:numPr>
        <w:rPr/>
      </w:pPr>
      <w:bookmarkStart w:id="90" w:name="__RefHeading___Toc10745818_73709187"/>
      <w:bookmarkStart w:id="91" w:name="_Toc30"/>
      <w:bookmarkEnd w:id="90"/>
      <w:r>
        <w:rPr>
          <w:rtl w:val="true"/>
        </w:rPr>
        <w:t>ما به يتحقّق الترك</w:t>
      </w:r>
      <w:bookmarkEnd w:id="91"/>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فيما يتحقّق به الترك في صورة العمد</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فعن المحقّق الكركي أنّه يمكن أن يحكم في ذلك العرف، فإذا شرع في نُسُك آخر عازماً على ترك الطواف، بحيث يصدق الترك عرفاً، حكم ببطلان الحَجّ‌، أو </w:t>
      </w:r>
    </w:p>
    <w:p>
      <w:pPr>
        <w:pStyle w:val="BookText"/>
        <w:rPr/>
      </w:pPr>
      <w:r>
        <w:rPr>
          <w:rFonts w:ascii="Amiri" w:hAnsi="Amiri" w:eastAsia="Amiri" w:cs="Amiri"/>
          <w:color w:val="111111"/>
          <w:sz w:val="28"/>
          <w:sz w:val="28"/>
          <w:szCs w:val="28"/>
          <w:rtl w:val="true"/>
          <w:lang w:bidi="ar-SA"/>
        </w:rPr>
        <w:t>يراد به خروجه عن مكّة بنيّة عدم فعله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يقوى توقف البطلان على خروج وقت الحَجّ‌، وهو ذو الحجّة، لأنّه وقت لوقوع الأفعال في الجملة، خصوصاً الطواف والسعي، فإنّه لو أخّرهما عمداً طول ذى الحجّة صَحّ‌، وغاية ما يقال إنّه يأثم، وفي حكم خروج الحَجّ انتقال الحاجّ إلى محلٍّ يتعذّر عليه العود في الشهر، فإنّه يتحقّق البطلان وإنْ لم يخرج، هذا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عمرة التمتّع، كان بطلانها بفواته عمداً متحقّق بحضور الموقفين، بحيث يضيق الوقت إلّاعن التلبّس بالحَجّ‌، ولما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مفردة، فبخروج السنة إنْ كانت المجامعة لحجّ القِران أو الإفراد، ولو كانت مجرّدة عنه فإشكال، إذ يحتمل بطلانها بخروجه عن مكّة ولما يفعله، ويحتمل أن يتحقّق في الجميع بتركه بنيّة الإعراض عنه، وأن يرجع فيه إلى ما يعد تركاً عرفاً، والمسألة محلّ إشكال</w:t>
      </w:r>
      <w:r>
        <w:rPr>
          <w:rFonts w:eastAsia="Amiri" w:cs="Amiri" w:ascii="Amiri" w:hAnsi="Amiri"/>
          <w:color w:val="111111"/>
          <w:sz w:val="28"/>
          <w:szCs w:val="28"/>
          <w:rtl w:val="true"/>
          <w:lang w:bidi="ar-SA"/>
        </w:rPr>
        <w:t>)</w:t>
      </w:r>
      <w:r>
        <w:rPr>
          <w:rStyle w:val="FootnoteAnchor"/>
          <w:rtl w:val="true"/>
        </w:rPr>
        <w:footnoteReference w:id="39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احتمال البطلان بتركه بنيّة الإعراض عنه في الجميع، فضعيفٌ غايته، لما مرّ من أنّه لم يرد نصّ خاص في العامد العالم، وإنّما ألحقناه بالجاهل للأولويّة، ومعلوم أنّه لا يتصوّر ذلك في الجاهل حتّى يثبت فيه، ثمّ يثبت بالأولويّة في العالم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يتحقّق في الحَجّ بتركه طول ذي الحجّة، لجواز تأخيره وسعيه طول ذي الحجّة، وفي عمرة التمتّع بعدم الإتيان به إلى ضيق وقت الوقوف</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بعرفة، وفي العُمرة المفردة المجامعة لحجّ الإفراد أو القران بعدم الإتيان به إلى أن تخرج السنة، بناءً على وجوبها في سنتهما، وفي العُمرة المفردة إلى تمام العُمرة، إذ مع بقاء الوقت يمكن الإتيان بالمأمور به على وجهه فينتفي موضوع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الطواف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يبقى على إحرامه إلى أن يأتي بالفائت ولو في السنة الآتية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وغيرها احتماله‌؟</w:t>
      </w:r>
    </w:p>
    <w:p>
      <w:pPr>
        <w:pStyle w:val="BookText"/>
        <w:rPr/>
      </w:pPr>
      <w:r>
        <w:rPr>
          <w:rFonts w:ascii="Amiri" w:hAnsi="Amiri" w:eastAsia="Amiri" w:cs="Amiri"/>
          <w:color w:val="111111"/>
          <w:sz w:val="28"/>
          <w:sz w:val="28"/>
          <w:szCs w:val="28"/>
          <w:rtl w:val="true"/>
          <w:lang w:bidi="ar-SA"/>
        </w:rPr>
        <w:t>أو يبقى عليه إلى أنْ يأتي بأفعال العُمرة كما جزم به المحقّق الكركي قدس سره</w:t>
      </w:r>
      <w:r>
        <w:rPr>
          <w:rStyle w:val="FootnoteAnchor"/>
          <w:rtl w:val="true"/>
        </w:rPr>
        <w:footnoteReference w:id="40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لا يحتاج إلى المحلّل‌؟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باستصحاب بقاء الإحرام إلى أنْ يحصل المحلّل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الإحرام يبطل النُسُك الذي هو جزء منه، ومع البطلان لا حاجة إلى المُحلّل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بطلان الحَجّ إنّما هو من قبيل الحَجّ الفاسد، بناءً على أنّ الفرض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دلّ على أنّه بأفعال العُمرة يحصل التحلّل من إحرام الحَجّ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مختصّ بصورة فوات الحَجّ بفوات وقته، ولا يشمل ما لو بطل بفوات ركنه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ظاهر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المفروغيّة منه، حيث أنّه بعد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92" w:name="pg11810_104198"/>
    </w:p>
    <w:p>
      <w:pPr>
        <w:pStyle w:val="BookText"/>
        <w:rPr/>
      </w:pPr>
      <w:bookmarkEnd w:id="92"/>
      <w:r>
        <w:rPr>
          <w:rFonts w:ascii="Amiri" w:hAnsi="Amiri" w:eastAsia="Amiri" w:cs="Amiri"/>
          <w:color w:val="111111"/>
          <w:sz w:val="28"/>
          <w:sz w:val="28"/>
          <w:szCs w:val="28"/>
          <w:rtl w:val="true"/>
          <w:lang w:bidi="ar-SA"/>
        </w:rPr>
        <w:t>ما ذكر ما سمعته سابقاً،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قويّة الإشكال، من حيث استصحاب حكم الإحرام إلى أنْ يعلم حصول المحلّل، وإنّما يعلم بالإتيان بأفعال العُمرة، ومن أصالة عدم توقّفه على ذلك، مع خلوّ الأخبار الواردة في مقام البيان منه</w:t>
      </w:r>
      <w:r>
        <w:rPr>
          <w:rFonts w:eastAsia="Amiri" w:cs="Amiri" w:ascii="Amiri" w:hAnsi="Amiri"/>
          <w:color w:val="111111"/>
          <w:sz w:val="28"/>
          <w:szCs w:val="28"/>
          <w:rtl w:val="true"/>
          <w:lang w:bidi="ar-SA"/>
        </w:rPr>
        <w:t>)</w:t>
      </w:r>
      <w:r>
        <w:rPr>
          <w:rStyle w:val="FootnoteAnchor"/>
          <w:rtl w:val="true"/>
        </w:rPr>
        <w:footnoteReference w:id="40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وجهه ممّا ذكرناه، ويعضده خلوّ أخبار البيان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قلنا بكون الإحرام نُسكاً مستقلّاً، يعتبر وقوع الأفعال معه نحو الطهارة للصلاة، أو أنّ فيه جهتين، اتّجه توقف التحليل على الإتيان بالفائت ولو في السنة الآتية، أو الإتيان بأفعال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تركه نسياناً فهل يتوقّف التحليل على الإتيان به، أو يتحلّل بدونة‌؟ مقتضى الاستصحاب بل إطلاق الأخبار هو الأوّل</w:t>
      </w:r>
      <w:r>
        <w:rPr>
          <w:rFonts w:eastAsia="Amiri" w:cs="Amiri" w:ascii="Amiri" w:hAnsi="Amiri"/>
          <w:color w:val="111111"/>
          <w:sz w:val="28"/>
          <w:szCs w:val="28"/>
          <w:rtl w:val="true"/>
          <w:lang w:bidi="ar-SA"/>
        </w:rPr>
        <w:t>.</w:t>
      </w:r>
    </w:p>
    <w:p>
      <w:pPr>
        <w:pStyle w:val="Heading2"/>
        <w:numPr>
          <w:ilvl w:val="1"/>
          <w:numId w:val="1"/>
        </w:numPr>
        <w:rPr/>
      </w:pPr>
      <w:bookmarkStart w:id="93" w:name="__RefHeading___Toc10745820_73709187"/>
      <w:bookmarkStart w:id="94" w:name="_Toc31"/>
      <w:bookmarkEnd w:id="93"/>
      <w:r>
        <w:rPr>
          <w:rtl w:val="true"/>
        </w:rPr>
        <w:t>وجوب إعادة السعي مع قضاء الطواف</w:t>
      </w:r>
      <w:bookmarkEnd w:id="94"/>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الطواف فقد مرّ أنّه يجب قضاؤه، فهل يجب إعادة السعي معه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xml:space="preserve">، والشهيد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403"/>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404"/>
      </w:r>
      <w:r>
        <w:rPr>
          <w:rFonts w:ascii="Amiri" w:hAnsi="Amiri" w:eastAsia="Amiri" w:cs="Amiri"/>
          <w:color w:val="111111"/>
          <w:sz w:val="28"/>
          <w:sz w:val="28"/>
          <w:szCs w:val="28"/>
          <w:rtl w:val="true"/>
          <w:lang w:bidi="ar-SA"/>
        </w:rPr>
        <w:t>وغيرهم</w:t>
      </w:r>
      <w:r>
        <w:rPr>
          <w:rStyle w:val="FootnoteAnchor"/>
          <w:rtl w:val="true"/>
        </w:rPr>
        <w:footnoteReference w:id="405"/>
      </w:r>
      <w:r>
        <w:rPr>
          <w:rFonts w:ascii="Amiri" w:hAnsi="Amiri" w:eastAsia="Amiri" w:cs="Amiri"/>
          <w:color w:val="111111"/>
          <w:sz w:val="28"/>
          <w:sz w:val="28"/>
          <w:szCs w:val="28"/>
          <w:rtl w:val="true"/>
          <w:lang w:bidi="ar-SA"/>
        </w:rPr>
        <w:t>؟ أم لا كما عن الأكثر</w:t>
      </w:r>
      <w:r>
        <w:rPr>
          <w:rStyle w:val="FootnoteAnchor"/>
          <w:rtl w:val="true"/>
        </w:rPr>
        <w:footnoteReference w:id="406"/>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صحيح منصور بن حازم،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طاف بين الصفا والمروة قبل أن يطوف بالبيت‌؟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بالبيت، ثمّ يعود إلى الصفا والمروة </w:t>
      </w:r>
    </w:p>
    <w:p>
      <w:pPr>
        <w:pStyle w:val="BookText"/>
        <w:rPr/>
      </w:pPr>
      <w:r>
        <w:rPr>
          <w:rFonts w:ascii="Amiri" w:hAnsi="Amiri" w:eastAsia="Amiri" w:cs="Amiri"/>
          <w:color w:val="111111"/>
          <w:sz w:val="28"/>
          <w:sz w:val="28"/>
          <w:szCs w:val="28"/>
          <w:rtl w:val="true"/>
          <w:lang w:bidi="ar-SA"/>
        </w:rPr>
        <w:t>فيطوف بينهما</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خبره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بدأ بالسعي بين الصفا والمروة‌؟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فيطوف بالبيت، ثمّ يستأنف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قد فاته‌؟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ألا ترى أنّك إذا غسلت شمالك قبل يمينك كان عليك أن تعيد على شمالك</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اقتصر على وجوب الدّم مع الفوات، فيدلّ على عدم لزوم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الخبر أخصّ من الصحيح، لاختصاصه بصورة الفوات، فيقيّد إطلاقه به، فالأظهر على هذا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صدر الخبر بالإطلاق يدلّ على وجوب الإعادة، وكذا ذيله المذكور نظيراً للمقام، وإيجاب الدّم لا ينافي الإطلاق، بل يدلّ على أنّه في خصوص صورة الفوت يجب شيء آخر وهو الدّم، ويؤيّده ذكر النظير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فالأقوى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عاد لاستداركه بعد الخروج، على وجهٍ يستدعي وجوب الإحرام لدخول مكّة لو لم يكن عليه، فهل يجب عليه الإحرام، ثمّ يقضي الفائت في محلّه قبل الإتيان بأفعال العُمرة أو بعده، أم لا؟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هو الثاني، لصدق الإحرام عليه كما مرّ في من تركه نسياناً، والإحرام لا يقع إلّامن مُحلّ‌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95" w:name="pg11810_104200"/>
    </w:p>
    <w:p>
      <w:pPr>
        <w:pStyle w:val="Heading2"/>
        <w:numPr>
          <w:ilvl w:val="1"/>
          <w:numId w:val="1"/>
        </w:numPr>
        <w:rPr/>
      </w:pPr>
      <w:bookmarkStart w:id="96" w:name="__RefHeading___Toc10745822_73709187"/>
      <w:bookmarkStart w:id="97" w:name="_Toc32"/>
      <w:bookmarkEnd w:id="95"/>
      <w:bookmarkEnd w:id="96"/>
      <w:r>
        <w:rPr>
          <w:rtl w:val="true"/>
        </w:rPr>
        <w:t>وجوب الكفّارة على من واقع أهله قبل قضاء الفائت</w:t>
      </w:r>
      <w:bookmarkEnd w:id="97"/>
    </w:p>
    <w:p>
      <w:pPr>
        <w:pStyle w:val="BookText"/>
        <w:rPr/>
      </w:pPr>
      <w:r>
        <w:rPr>
          <w:rFonts w:ascii="Amiri" w:hAnsi="Amiri" w:eastAsia="Amiri" w:cs="Amiri"/>
          <w:color w:val="111111"/>
          <w:sz w:val="28"/>
          <w:sz w:val="28"/>
          <w:szCs w:val="28"/>
          <w:rtl w:val="true"/>
          <w:lang w:bidi="ar-SA"/>
        </w:rPr>
        <w:t>التنبيه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نسى الطواف حتّى رجع إلى أهله وواقعها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تجب عليه الكفّارة مطلقاً كما عن الشيخ</w:t>
      </w:r>
      <w:r>
        <w:rPr>
          <w:rStyle w:val="FootnoteAnchor"/>
          <w:rtl w:val="true"/>
        </w:rPr>
        <w:footnoteReference w:id="409"/>
      </w:r>
      <w:r>
        <w:rPr>
          <w:rFonts w:ascii="Amiri" w:hAnsi="Amiri" w:eastAsia="Amiri" w:cs="Amiri"/>
          <w:color w:val="111111"/>
          <w:sz w:val="28"/>
          <w:sz w:val="28"/>
          <w:szCs w:val="28"/>
          <w:rtl w:val="true"/>
          <w:lang w:bidi="ar-SA"/>
        </w:rPr>
        <w:t>وابني البرّاج</w:t>
      </w:r>
      <w:r>
        <w:rPr>
          <w:rStyle w:val="FootnoteAnchor"/>
          <w:rtl w:val="true"/>
        </w:rPr>
        <w:footnoteReference w:id="410"/>
      </w:r>
      <w:r>
        <w:rPr>
          <w:rFonts w:ascii="Amiri" w:hAnsi="Amiri" w:eastAsia="Amiri" w:cs="Amiri"/>
          <w:color w:val="111111"/>
          <w:sz w:val="28"/>
          <w:sz w:val="28"/>
          <w:szCs w:val="28"/>
          <w:rtl w:val="true"/>
          <w:lang w:bidi="ar-SA"/>
        </w:rPr>
        <w:t>وسعيد</w:t>
      </w:r>
      <w:r>
        <w:rPr>
          <w:rStyle w:val="FootnoteAnchor"/>
          <w:rtl w:val="true"/>
        </w:rPr>
        <w:footnoteReference w:id="411"/>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لا تجب كذلك كما عن الحِلّي</w:t>
      </w:r>
      <w:r>
        <w:rPr>
          <w:rStyle w:val="FootnoteAnchor"/>
          <w:rtl w:val="true"/>
        </w:rPr>
        <w:footnoteReference w:id="412"/>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لا تجب إلّامع المواقعة بعد الذكر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الشرايع</w:t>
      </w:r>
      <w:r>
        <w:rPr>
          <w:rFonts w:eastAsia="Amiri" w:cs="Amiri" w:ascii="Amiri" w:hAnsi="Amiri"/>
          <w:color w:val="111111"/>
          <w:sz w:val="28"/>
          <w:szCs w:val="28"/>
          <w:rtl w:val="true"/>
          <w:lang w:bidi="ar-SA"/>
        </w:rPr>
        <w:t>»</w:t>
      </w:r>
      <w:r>
        <w:rPr>
          <w:rStyle w:val="FootnoteAnchor"/>
          <w:rtl w:val="true"/>
        </w:rPr>
        <w:footnoteReference w:id="41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4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1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417"/>
      </w:r>
      <w:r>
        <w:rPr>
          <w:rFonts w:ascii="Amiri" w:hAnsi="Amiri" w:eastAsia="Amiri" w:cs="Amiri"/>
          <w:color w:val="111111"/>
          <w:sz w:val="28"/>
          <w:sz w:val="28"/>
          <w:szCs w:val="28"/>
          <w:rtl w:val="true"/>
          <w:lang w:bidi="ar-SA"/>
        </w:rPr>
        <w:t>والشهيدين</w:t>
      </w:r>
      <w:r>
        <w:rPr>
          <w:rStyle w:val="FootnoteAnchor"/>
          <w:rtl w:val="true"/>
        </w:rPr>
        <w:footnoteReference w:id="418"/>
      </w:r>
      <w:r>
        <w:rPr>
          <w:rFonts w:ascii="Amiri" w:hAnsi="Amiri" w:eastAsia="Amiri" w:cs="Amiri"/>
          <w:color w:val="111111"/>
          <w:sz w:val="28"/>
          <w:sz w:val="28"/>
          <w:szCs w:val="28"/>
          <w:rtl w:val="true"/>
          <w:lang w:bidi="ar-SA"/>
        </w:rPr>
        <w:t>وغيرهم، بل الأكثر كما قيل</w:t>
      </w:r>
      <w:r>
        <w:rPr>
          <w:rStyle w:val="FootnoteAnchor"/>
          <w:rtl w:val="true"/>
        </w:rPr>
        <w:footnoteReference w:id="419"/>
      </w:r>
      <w:r>
        <w:rPr>
          <w:rFonts w:ascii="IRNazanin" w:hAnsi="IRNazanin" w:eastAsia="IRNazanin"/>
          <w:color w:val="111111"/>
          <w:sz w:val="28"/>
          <w:sz w:val="28"/>
          <w:szCs w:val="28"/>
          <w:rtl w:val="true"/>
          <w:lang w:bidi="fa-IR"/>
        </w:rPr>
        <w:t>؟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الحسن الذي رواه ابن عمّار،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متمتّعٍ وقع على أهله ولم يزر؟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ينحر جزوراً، وقد خشيت أنْ يكون قد ثَلُم حَجّه إنْ كان عالماً، وإنْ كان جاهلاً فلا شيء عليه</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 عيص بن القاسم،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وقع على أهله حين ضَحّى </w:t>
      </w:r>
    </w:p>
    <w:p>
      <w:pPr>
        <w:pStyle w:val="BookText"/>
        <w:rPr/>
      </w:pPr>
      <w:r>
        <w:rPr>
          <w:rFonts w:ascii="Amiri" w:hAnsi="Amiri" w:eastAsia="Amiri" w:cs="Amiri"/>
          <w:color w:val="111111"/>
          <w:sz w:val="28"/>
          <w:sz w:val="28"/>
          <w:szCs w:val="28"/>
          <w:rtl w:val="true"/>
          <w:lang w:bidi="ar-SA"/>
        </w:rPr>
        <w:t>قبل أن يزور البيت‌؟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يهريق دماً</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الأوّل بعمومه يشمل الناسي، إذ الظاهر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لانثلام الحَجّ‌، وأنّ الشيء المنفيّ هو الإثم والثلم دون النحر، فإيراد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عليه بأنّه في العالم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مطلقٌ شاملٌ لما قبل طواف الفريضة أيضاً، ولا يختصّ بزيارة البيت،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في محلّه من أنّه لا كفّارة على من أتي أهله ناسياً، وقد تقدّم النصوص الدالّة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نصوص نفي الكفّارة مختصّة بمن أتى أهله ناسياً، فلا تشمل الإتيان بعد الذكر، وهو حينئذٍ مشمولٌ لنصوص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الصحيحان فهما مطلقان شاملان للناسي وغيره، فيقيّد إطلاقهما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نصوص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أتى أهله وهو مُحرِم، بما دلّ على عدم الكفّارة على الناسي، فيختصّان بالجماع بعد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في الجمع بين الطائفتين وجوهٌ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الصحيحين أخصّ مطلقاً من تلك النصوص، فيقيّد إطلاقهما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هذا على اختصاصهما بالناسي، وهما كما ترى غير مختصّين به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الصحيحين يُحملان على الاستحباب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لذلك مع إمكان الجمع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 الطائفتين عمومٌ من وجه، فإنّ الأُولى مختصّة بالإتيان قبل الطواف، وأعمّ من الإتيان عالماً وناسياً، والثانية مختصّة بالناسي إلّا أنّها أعمّ من جهة عدم الاختصاص بخصوص ذلك المورد، فتتعارضان في مورد الاجتماع، ويقدّم نصوص نفي الكفّارة للأشهريّة والأصحيّة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كان يوافق ما قلناه، إلّاأنّ الظاهر تقدّم نصوص نفي الكفّارة للحكومة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ودعوى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423"/>
      </w:r>
      <w:r>
        <w:rPr>
          <w:rFonts w:ascii="Amiri" w:hAnsi="Amiri" w:eastAsia="Amiri" w:cs="Amiri"/>
          <w:color w:val="111111"/>
          <w:sz w:val="28"/>
          <w:sz w:val="28"/>
          <w:szCs w:val="28"/>
          <w:rtl w:val="true"/>
          <w:lang w:bidi="ar-SA"/>
        </w:rPr>
        <w:t xml:space="preserve">من أنّ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نصوص نفي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تشملان موضوع المسألة، فإنّه مَن تَرك الطواف نسياناً، وظاهرهما من نسى كونه مُحرِماً، فغير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مطلقان من جهة حذف متعلّق النسيان، 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المُحرِم يأتي أهله ناسياً؟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 إنّما هو بمنزلة من أكل في شهر رمضان وهو ناسٍ‌</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جامعتَ وأنت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ناسياً أو ساهياً أو جاهلاً فلا شيء عليك</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الطواف نسياناً مستلزمٌ لكونه مُحرِم وهو لا يعلم، فيشمله نصوص نفي الكفّارة على الجاهل أيضاً، وعليه فما عن الأكثر هو الأظهر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98" w:name="pg11810_104203"/>
    </w:p>
    <w:p>
      <w:pPr>
        <w:pStyle w:val="Heading2"/>
        <w:numPr>
          <w:ilvl w:val="1"/>
          <w:numId w:val="1"/>
        </w:numPr>
        <w:rPr/>
      </w:pPr>
      <w:bookmarkStart w:id="99" w:name="__RefHeading___Toc10745824_73709187"/>
      <w:bookmarkStart w:id="100" w:name="_Toc33"/>
      <w:bookmarkEnd w:id="98"/>
      <w:bookmarkEnd w:id="99"/>
      <w:r>
        <w:rPr>
          <w:rtl w:val="true"/>
        </w:rPr>
        <w:t>حكم نسيان طواف النساء</w:t>
      </w:r>
      <w:bookmarkEnd w:id="100"/>
    </w:p>
    <w:p>
      <w:pPr>
        <w:pStyle w:val="BookText"/>
        <w:rPr/>
      </w:pPr>
      <w:r>
        <w:rPr>
          <w:rFonts w:ascii="Amiri" w:hAnsi="Amiri" w:eastAsia="Amiri" w:cs="Amiri"/>
          <w:color w:val="111111"/>
          <w:sz w:val="28"/>
          <w:sz w:val="28"/>
          <w:szCs w:val="28"/>
          <w:rtl w:val="true"/>
          <w:lang w:bidi="ar-SA"/>
        </w:rPr>
        <w:t>التنبيه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نسى طواف النساء حتّى رجع إلى أهله، فلا كلام في أنّه لا تحلّ له النساء بدونه، حتّى العقد عليهن، ولا إشكال أيضاً في أنّه إن باشر بنفسه جاز، كما لا كلام في جواز الاستنابة فيه لو تعذّر أن يأتي به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أنّه هل يجوز له الاستنابة اختياراً، كما هو المنسوب إلى المشهور</w:t>
      </w:r>
      <w:r>
        <w:rPr>
          <w:rStyle w:val="FootnoteAnchor"/>
          <w:rtl w:val="true"/>
        </w:rPr>
        <w:footnoteReference w:id="426"/>
      </w:r>
      <w:r>
        <w:rPr>
          <w:rFonts w:ascii="Amiri" w:hAnsi="Amiri" w:eastAsia="Amiri" w:cs="Amiri"/>
          <w:color w:val="111111"/>
          <w:sz w:val="28"/>
          <w:sz w:val="28"/>
          <w:szCs w:val="28"/>
          <w:rtl w:val="true"/>
          <w:lang w:bidi="ar-SA"/>
        </w:rPr>
        <w:t>بل قيل لا خلاف فيه بين القدماء والمتأخّرين</w:t>
      </w:r>
      <w:r>
        <w:rPr>
          <w:rStyle w:val="FootnoteAnchor"/>
          <w:rtl w:val="true"/>
        </w:rPr>
        <w:footnoteReference w:id="427"/>
      </w:r>
      <w:r>
        <w:rPr>
          <w:rFonts w:ascii="Amiri" w:hAnsi="Amiri" w:eastAsia="Amiri" w:cs="Amiri"/>
          <w:color w:val="111111"/>
          <w:sz w:val="28"/>
          <w:sz w:val="28"/>
          <w:szCs w:val="28"/>
          <w:rtl w:val="true"/>
          <w:lang w:bidi="ar-SA"/>
        </w:rPr>
        <w:t xml:space="preserve">، إلّامن الشيخ والمصنّف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42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يشترط في جوازها التعذّر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43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 الخلاف اختلاف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ظاهر جملةٍ من النصوص جواز الاستنابة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نسي طواف النساء حتّى يرجع إلى أهله‌؟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من يقضي عنه إنْ لم يحجّ‌، فإنّه لا تحلّ له النساء حتّى يطوف بالبيت</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نسى طواف النساء حتّى رجع إلى </w:t>
      </w:r>
    </w:p>
    <w:p>
      <w:pPr>
        <w:pStyle w:val="BookText"/>
        <w:rPr/>
      </w:pPr>
      <w:r>
        <w:rPr>
          <w:rFonts w:ascii="Amiri" w:hAnsi="Amiri" w:eastAsia="Amiri" w:cs="Amiri"/>
          <w:color w:val="111111"/>
          <w:sz w:val="28"/>
          <w:sz w:val="28"/>
          <w:szCs w:val="28"/>
          <w:rtl w:val="true"/>
          <w:lang w:bidi="ar-SA"/>
        </w:rPr>
        <w:t>أهله‌؟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فيطاف عنه، وإنْ مات قبل أن يُطاف عنه طاف عنه وليّه</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اُخرى منها تدلّ على لزوم المباشرة مع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نسى طواف النساء حتّى أتى الكوفة‌؟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النساء حتّى يطوف بالبيت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من يطوف عنه</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نسى طواف النساء حتّى يرجع إلى أهله‌؟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النساء حتّى يزور البيت، فإنْ هو مات فليقض عنه وليّه أو غيره، فأمّا ما دام حيّاً فلا يصلح أن يُقضى عنه، وإنْ نسي الجمار فليسا بسواء، إنّ الرّمي سُنّة والطواف فريضة</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الأوّلون بين النصوص بحمل الثانية على الاستحباب، ومن ذهب إلى اشتراط التعذّر في جوازها، جَمَع بينهما بتقيّيد إطلاق الأُولى بالثانية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القيد في الصحيح الأوّل من المجموعة الثانية في كلام السائل لا الإمام، والثاني منها غير ظاهر في اللّزوم، 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فيبقى ظهور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يطوف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يزور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المباشرة، ويرفع اليد عنه لنصوصيّة الطائفة الأولى في جواز الاستنابة، سيّما صحيح معاوية من قوله عليه السلام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له النساء حتّى يزور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 أن يقضى عنه إنْ لم يحجّ‌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كالمفسِّر 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تنزّلنا عمّا ذكرناه، وسَلّمنا ظهور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المنع، يقع التعارض بين ظهوره وظهور نصوص الاستنابة، وهي تقدّم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جوازالاستنابة مطلقاً، إلّا أنّ الأحوط المباشرة إلّامع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النصوص مختصّة بمن رجع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يبقى غيره على أصالة المباشرة، فلو لم يستمرّ النسيان إلى أن يرجع إلى أهله لا يجوز له الاستنابة‌؟</w:t>
      </w:r>
    </w:p>
    <w:p>
      <w:pPr>
        <w:pStyle w:val="BookText"/>
        <w:rPr/>
      </w:pPr>
      <w:r>
        <w:rPr>
          <w:rFonts w:ascii="Amiri" w:hAnsi="Amiri" w:eastAsia="Amiri" w:cs="Amiri"/>
          <w:color w:val="111111"/>
          <w:sz w:val="28"/>
          <w:sz w:val="28"/>
          <w:szCs w:val="28"/>
          <w:rtl w:val="true"/>
          <w:lang w:bidi="ar-SA"/>
        </w:rPr>
        <w:t>أم يتعدّى إلى كلّ من بَعُد من مكّة، فيجوز أن يستنيب وإنْ لم تكن المباشرة متعذّرة ومتعسّرة‌؟</w:t>
      </w:r>
    </w:p>
    <w:p>
      <w:pPr>
        <w:pStyle w:val="BookText"/>
        <w:rPr/>
      </w:pPr>
      <w:r>
        <w:rPr>
          <w:rFonts w:ascii="Amiri" w:hAnsi="Amiri" w:eastAsia="Amiri" w:cs="Amiri"/>
          <w:color w:val="111111"/>
          <w:sz w:val="28"/>
          <w:sz w:val="28"/>
          <w:szCs w:val="28"/>
          <w:rtl w:val="true"/>
          <w:lang w:bidi="ar-SA"/>
        </w:rPr>
        <w:t>الأظهر هو الثاني، إذ من المعلوم عدم دخل الرجوع إلى أهله ووطنه في ذلك، كما أنّ الأصحاب لم يفهموا منها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الناسي طواف النساء طائفاً بالبيت طواف الوداع، فهل يكون ذلك مُجزياً عن المتروك، أم لا؟</w:t>
      </w:r>
    </w:p>
    <w:p>
      <w:pPr>
        <w:pStyle w:val="BookText"/>
        <w:rPr/>
      </w:pPr>
      <w:r>
        <w:rPr>
          <w:rFonts w:ascii="Amiri" w:hAnsi="Amiri" w:eastAsia="Amiri" w:cs="Amiri"/>
          <w:color w:val="111111"/>
          <w:sz w:val="28"/>
          <w:sz w:val="28"/>
          <w:szCs w:val="28"/>
          <w:rtl w:val="true"/>
          <w:lang w:bidi="ar-SA"/>
        </w:rPr>
        <w:t>مقتضى القاعدة عدم الاجزاء، سيّما مع كون طواف الوداع مستحبّاً وطوف النساء واجباً، إلّاأنّ هناك جملةٌ من النصوص قد استدلّ بها للإجزاء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فيمن نسى طواف النساء أنّه إنْ كان طاف طواف الوداع فهو طواف النساء</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إسحاق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ما مَنَّ اللّه به على النّاس من طواف الوداع، لرجعوا إلى منازلهم، ولا ينبغي لهم أن يمسّوا نسائهم</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ابن بابوية</w:t>
      </w:r>
      <w:r>
        <w:rPr>
          <w:rStyle w:val="FootnoteAnchor"/>
          <w:rtl w:val="true"/>
        </w:rPr>
        <w:footnoteReference w:id="438"/>
      </w:r>
      <w:r>
        <w:rPr>
          <w:rFonts w:ascii="Amiri" w:hAnsi="Amiri" w:eastAsia="Amiri" w:cs="Amiri"/>
          <w:color w:val="111111"/>
          <w:sz w:val="28"/>
          <w:sz w:val="28"/>
          <w:szCs w:val="28"/>
          <w:rtl w:val="true"/>
          <w:lang w:bidi="ar-SA"/>
        </w:rPr>
        <w:t>الفتوى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 مرسلٌ لا يستند إليه في الفتوى، والثاني مجملٌ‌، فإنّه يحتمل أنْ يكون المراد أنّ اتّفاق الفريقين على مشروعيّة طواف الوداع سببٌ لتمكّن الشيعة من طواف النساء، ولولاه لزمتهم التقيّة بتركه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مختصّاً بالعامّة الذين لا يرون وجوب طواف النساء، ويراد المنّة على المؤمنين بالنسبة إلى نسائهم غير العارفات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عدم الإجزاء،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الترك عمديّاً، فهل تجوز الإستنابة أم لا؟</w:t>
      </w:r>
    </w:p>
    <w:p>
      <w:pPr>
        <w:pStyle w:val="BookText"/>
        <w:rPr/>
      </w:pPr>
      <w:r>
        <w:rPr>
          <w:rFonts w:ascii="Amiri" w:hAnsi="Amiri" w:eastAsia="Amiri" w:cs="Amiri"/>
          <w:color w:val="111111"/>
          <w:sz w:val="28"/>
          <w:sz w:val="28"/>
          <w:szCs w:val="28"/>
          <w:rtl w:val="true"/>
          <w:lang w:bidi="ar-SA"/>
        </w:rPr>
        <w:t>الظاهر هو الثاني، لاختصاص النصوص بالناسي، فلابدّ له من الرجوع بنفسه كما صرّح به الشهيد رحمه الله</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01" w:name="pg11810_104207"/>
    </w:p>
    <w:p>
      <w:pPr>
        <w:pStyle w:val="BookText"/>
        <w:rPr/>
      </w:pPr>
      <w:bookmarkEnd w:id="101"/>
      <w:r>
        <w:rPr>
          <w:rFonts w:ascii="Amiri" w:hAnsi="Amiri" w:eastAsia="Amiri" w:cs="Amiri"/>
          <w:color w:val="111111"/>
          <w:sz w:val="28"/>
          <w:sz w:val="28"/>
          <w:szCs w:val="28"/>
          <w:rtl w:val="true"/>
          <w:lang w:bidi="ar-SA"/>
        </w:rPr>
        <w:t>ولو شكّ في عدده بعد الإنصراف، لم يلتفت</w:t>
      </w:r>
    </w:p>
    <w:p>
      <w:pPr>
        <w:pStyle w:val="Heading2"/>
        <w:numPr>
          <w:ilvl w:val="1"/>
          <w:numId w:val="1"/>
        </w:numPr>
        <w:rPr/>
      </w:pPr>
      <w:bookmarkStart w:id="102" w:name="__RefHeading___Toc10745826_73709187"/>
      <w:bookmarkStart w:id="103" w:name="_Toc34"/>
      <w:bookmarkEnd w:id="102"/>
      <w:r>
        <w:rPr>
          <w:rtl w:val="true"/>
        </w:rPr>
        <w:t>حكم الشكّ في عدد الطواف</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شكّ في 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صحّته وفساده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الانصراف، لم يلتفت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Style w:val="FootnoteAnchor"/>
          <w:rtl w:val="true"/>
        </w:rPr>
        <w:footnoteReference w:id="440"/>
      </w:r>
      <w:r>
        <w:rPr>
          <w:rFonts w:ascii="Amiri" w:hAnsi="Amiri" w:eastAsia="Amiri" w:cs="Amiri"/>
          <w:color w:val="111111"/>
          <w:sz w:val="28"/>
          <w:sz w:val="28"/>
          <w:szCs w:val="28"/>
          <w:rtl w:val="true"/>
          <w:lang w:bidi="ar-SA"/>
        </w:rPr>
        <w:t xml:space="preserve">، لقاعدتي الفراغ والتجاوز، بناءً على عدم اختصاصهما بباب الصلاة، كما حقّقناه في رسالتنا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الثلاث</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الأمر إنْ كان الشكّ في الصحّة والفساد، فإنّه لا يعتبر في جريانها شيء، وإنْ كان في أصل الوجود يعتبر الدخول في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يكفي اعتقاد التمام أو الإتيان بالمنافي أم لا؟</w:t>
      </w:r>
    </w:p>
    <w:p>
      <w:pPr>
        <w:pStyle w:val="BookText"/>
        <w:rPr/>
      </w:pPr>
      <w:r>
        <w:rPr>
          <w:rFonts w:ascii="Amiri" w:hAnsi="Amiri" w:eastAsia="Amiri" w:cs="Amiri"/>
          <w:color w:val="111111"/>
          <w:sz w:val="28"/>
          <w:sz w:val="28"/>
          <w:szCs w:val="28"/>
          <w:rtl w:val="true"/>
          <w:lang w:bidi="ar-SA"/>
        </w:rPr>
        <w:t>فيه كلامٌ أشبعناه في رسالتنا المذكورة، وبيّنا أنّ الأظهر كفاية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منصور بن حازم،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طاف طواف الفريضة، فلم يدر ستّة طاف أم سبعة‌؟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فليعد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عليه شيئاً، والإعادة أحبّ إليَّ وأفضل</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صحاح ابن عمّار، ومحمّد، وأبي بصير</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الأثناء يعيد إنْ كان فيما دون السبعة</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والتقريب فيها عدم إمكان حملها على الشكّ في الأثناء، لوجوب التدارك فيه، إمّا بالاستيناف، أو إتيان شوط آخر على ما سيأتي من الخلاف، ولا قائل بعدم وجوب شيء عليه ولو مع الفوات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به صريحاً في الروايات بعد مراعاة الإجماع أوضح دليل على إرادة خصوص الشكّ بعد الانصراف، ولا ينافيها الحكم بالاستيناف، بناءً على عدم ظهور قائل به أيضاً مطلقاً، وذلك لظهورها في استحبابه، ولا يشترط فيه ظهورٌ قائل به</w:t>
      </w:r>
      <w:r>
        <w:rPr>
          <w:rFonts w:eastAsia="Amiri" w:cs="Amiri" w:ascii="Amiri" w:hAnsi="Amiri"/>
          <w:color w:val="111111"/>
          <w:sz w:val="28"/>
          <w:szCs w:val="28"/>
          <w:rtl w:val="true"/>
          <w:lang w:bidi="ar-SA"/>
        </w:rPr>
        <w:t>)</w:t>
      </w:r>
      <w:r>
        <w:rPr>
          <w:rStyle w:val="FootnoteAnchor"/>
          <w:rtl w:val="true"/>
        </w:rPr>
        <w:footnoteReference w:id="44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وتبعه في ذلك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 الذي أوجب وقوعهما في كلفة الاستدلال والتشبّث بما أفاداه، توهم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فاته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لم يستقبل الطواف، مع أنّ الظاهر أنّ المراد به أنّه شكّ وقد فاته بمفارقة ذلك المكان، ويشهد به ما في صحيح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قد خرج وفاته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فصدرها مختصٌّ بالشكّ في الأثناء، وذيلها بالشكّ بعد الانصراف والفراغ، وقوله عليه السلام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والإعادة أحبّ وأفضل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الشكّ بعد الفراغ، فتأمّل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عدده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الأثناء، يعيدُ إنْ كان فيما دون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شكّ بين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الستّة والسبعة، كما عن الصدوق</w:t>
      </w:r>
      <w:r>
        <w:rPr>
          <w:rStyle w:val="FootnoteAnchor"/>
          <w:rtl w:val="true"/>
        </w:rPr>
        <w:footnoteReference w:id="446"/>
      </w:r>
      <w:r>
        <w:rPr>
          <w:rFonts w:ascii="Amiri" w:hAnsi="Amiri" w:eastAsia="Amiri" w:cs="Amiri"/>
          <w:color w:val="111111"/>
          <w:sz w:val="28"/>
          <w:sz w:val="28"/>
          <w:szCs w:val="28"/>
          <w:rtl w:val="true"/>
          <w:lang w:bidi="ar-SA"/>
        </w:rPr>
        <w:t>والشيخ</w:t>
      </w:r>
      <w:r>
        <w:rPr>
          <w:rStyle w:val="FootnoteAnchor"/>
          <w:rtl w:val="true"/>
        </w:rPr>
        <w:footnoteReference w:id="447"/>
      </w:r>
      <w:r>
        <w:rPr>
          <w:rFonts w:ascii="Amiri" w:hAnsi="Amiri" w:eastAsia="Amiri" w:cs="Amiri"/>
          <w:color w:val="111111"/>
          <w:sz w:val="28"/>
          <w:sz w:val="28"/>
          <w:szCs w:val="28"/>
          <w:rtl w:val="true"/>
          <w:lang w:bidi="ar-SA"/>
        </w:rPr>
        <w:t>والقاضي</w:t>
      </w:r>
      <w:r>
        <w:rPr>
          <w:rStyle w:val="FootnoteAnchor"/>
          <w:rtl w:val="true"/>
        </w:rPr>
        <w:footnoteReference w:id="448"/>
      </w:r>
      <w:r>
        <w:rPr>
          <w:rFonts w:ascii="Amiri" w:hAnsi="Amiri" w:eastAsia="Amiri" w:cs="Amiri"/>
          <w:color w:val="111111"/>
          <w:sz w:val="28"/>
          <w:sz w:val="28"/>
          <w:szCs w:val="28"/>
          <w:rtl w:val="true"/>
          <w:lang w:bidi="ar-SA"/>
        </w:rPr>
        <w:t>والحِلّي</w:t>
      </w:r>
      <w:r>
        <w:rPr>
          <w:rStyle w:val="FootnoteAnchor"/>
          <w:rtl w:val="true"/>
        </w:rPr>
        <w:footnoteReference w:id="449"/>
      </w:r>
      <w:r>
        <w:rPr>
          <w:rFonts w:ascii="Amiri" w:hAnsi="Amiri" w:eastAsia="Amiri" w:cs="Amiri"/>
          <w:color w:val="111111"/>
          <w:sz w:val="28"/>
          <w:sz w:val="28"/>
          <w:szCs w:val="28"/>
          <w:rtl w:val="true"/>
          <w:lang w:bidi="ar-SA"/>
        </w:rPr>
        <w:t>وجمع من المتأخّرين</w:t>
      </w:r>
      <w:r>
        <w:rPr>
          <w:rStyle w:val="FootnoteAnchor"/>
          <w:rtl w:val="true"/>
        </w:rPr>
        <w:footnoteReference w:id="450"/>
      </w:r>
      <w:r>
        <w:rPr>
          <w:rFonts w:ascii="Amiri" w:hAnsi="Amiri" w:eastAsia="Amiri" w:cs="Amiri"/>
          <w:color w:val="111111"/>
          <w:sz w:val="28"/>
          <w:sz w:val="28"/>
          <w:szCs w:val="28"/>
          <w:rtl w:val="true"/>
          <w:lang w:bidi="ar-SA"/>
        </w:rPr>
        <w:t xml:space="preserve">، بل هو المشهور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وشرحه</w:t>
      </w:r>
      <w:r>
        <w:rPr>
          <w:rStyle w:val="FootnoteAnchor"/>
          <w:rtl w:val="true"/>
        </w:rPr>
        <w:footnoteReference w:id="453"/>
      </w:r>
      <w:r>
        <w:rPr>
          <w:rFonts w:ascii="Amiri" w:hAnsi="Amiri" w:eastAsia="Amiri" w:cs="Amiri"/>
          <w:color w:val="111111"/>
          <w:sz w:val="28"/>
          <w:sz w:val="28"/>
          <w:szCs w:val="28"/>
          <w:rtl w:val="true"/>
          <w:lang w:bidi="ar-SA"/>
        </w:rPr>
        <w:t xml:space="preserve">،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بالنصوص المتقدّمة، وتقريب الاستدلال بها إنّما هو بما ذكرناه، وإنْ كان لا يخلو عن تكلّف بل 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رفاعة، عن الإمام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لا يدري ستّة طاف أو سبعة‌؟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على يقينه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 عن رجلٍ لا يدري ثلاثة طاف أو 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نافلة أو فريضة‌؟</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فيهما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طواف نافلةٍ فابن على ما شئت، وإنْ كان طواف فريضة فأعد الطواف</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صدره يدلّ على عدم البطلان، وأنّه يبني على الأقلّ‌، والذيل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رواية اُخرى مرسلة، ولذا جعله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آخر</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المصنّف رحمه الله جعله من تتمّة الخبر الأوّل، وعليه فيقيّد إطلاق صدره بذيله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كونه خبراً آخر ومرسلاً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أنّه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مرسلاً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حيث يكون بلسان استناده إلى المعصوم عليه السلام جزماً فهو حجّة، وبه يقيّد إطلاق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اُخرى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حنّان بن سُدير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طاف فأوهم‌؟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طفتُ أربعة أو طفت ثلاثة‌؟</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الطوافين كان، طوافُ نافلةٍ أم طواف فريضة‌؟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طواف فريضةٍ فليلق ما في يديه وليستأنف، وإنْكان طواف نافلةٍ فاستيقن ثلاثة وهو في شكّ من الرابع أنّه طاف، فليبن على الثلاثة، فإنّه يجوز له</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الثاني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ثلاثة دخلوا في الطواف، فقال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احفظوا الطواف، فلمّا ظنّوا أنّهم قد فرغوا، قال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سبعة أشواط،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ستّة أشواط، وقال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خمسة أشواط؟</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شكّوا كلّهم فليستأنفوا، وإنْ لم يشكّوا وعَلم كلّ واحد منهم ما في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يديه فليبنوا عليه</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حنّان بن سُدير وإنْ كان واقفيّاً إلّاأنّه ثقة، وخبر صفوان حسن كالصحيح بإبراهيم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 من النصوص المتضمّنة للجملة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لم يدر ستّة طاف أو سبعة‌؟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w:t>
      </w:r>
      <w:r>
        <w:rPr>
          <w:rFonts w:eastAsia="Amiri" w:cs="Amiri" w:ascii="Amiri" w:hAnsi="Amiri"/>
          <w:color w:val="111111"/>
          <w:sz w:val="28"/>
          <w:szCs w:val="28"/>
          <w:rtl w:val="true"/>
          <w:lang w:bidi="ar-SA"/>
        </w:rPr>
        <w:t>»</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ظهورها في الوجوب، وقد مرّ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نصوصٌ اُخر دالّة على المقصود، لكن لضعف إسنادها أغمضنا عن ذكرها، ومع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المفيد</w:t>
      </w:r>
      <w:r>
        <w:rPr>
          <w:rStyle w:val="FootnoteAnchor"/>
          <w:rtl w:val="true"/>
        </w:rPr>
        <w:footnoteReference w:id="461"/>
      </w:r>
      <w:r>
        <w:rPr>
          <w:rFonts w:ascii="IRNazanin" w:hAnsi="IRNazanin" w:eastAsia="IRNazanin"/>
          <w:color w:val="111111"/>
          <w:sz w:val="28"/>
          <w:sz w:val="28"/>
          <w:szCs w:val="28"/>
          <w:rtl w:val="true"/>
          <w:lang w:bidi="fa-IR"/>
        </w:rPr>
        <w:t>، ووالد الصدوق</w:t>
      </w:r>
      <w:r>
        <w:rPr>
          <w:rStyle w:val="FootnoteAnchor"/>
          <w:rtl w:val="true"/>
        </w:rPr>
        <w:footnoteReference w:id="46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والإسكافي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يبني على الأقلّ‌، ويستحبّ له الإعادة، واستدلّوا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بالصحاح المتقدّمة في الشكّ بعد الفراغ، بدعوى أنّها في الشكّ قبل الفراغ أو شاملة له، وما فيها من نفي الشيء عليه بعد الفوات يدلّ على استحباب الإعادة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وبصدر صحيح رفاعة المتقدّم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يبني على يقينه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آخر لمنصور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طفتُ فلم أدر ستّة طفت أم سبعة، فطفت طوافاً آخر؟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استأنفت‌؟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طفتُ وذهبت،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الصحاح الأربعة المتقدّمة، فقد عرفت 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على مبطليّة الشكّ في الأثناء بالتقريب المتقدّم، وقابليّتها للحمل على الشكّ بعد الفراغ على ما أفاده المحقّقان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رفاعة، فهو على فرض الدلالة مطلقٌ شاملٌ للفريضة والنافلة، بل وللشكّ بعد الفراغ وفي الأثناء، فيقيّد إطلاقه بما دلّ على مبطليّة الشكّ في الفريضة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إرادة البناء على اليقين، بمعنى أنّه حين انصرف كان أقرب إلى اليقين ممّا بعده، فلا يلتفت إلى الشكّ بعده، وإرادة الإعادة بأن يأتي بطوافٍ متيقّن عداه، فخلافُ الظاهر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 منصور فهو أيضاً مطلق يقيّد إطلاقه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احتمال أنْ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أعدتُ على معنى ففعلت الأمرين الإكمال والإعادة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يدفع ذلك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استأنفت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كان في النقصان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وإلّا قَطَع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وإنْ كان الشكّ في الزيادة على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شيء عليه، بلا خلافٍ محقّق أجده فيه،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ويشهد به صحيح الحلبي،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طاف بالبيت طواف الفريضة، فلم يدر أسبعة طاف، أم ثمانية‌؟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السبعة فقد استيقن، وإنّما وقع وهمه على الثامن فليصلِّ ركعتين</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ونحوه خبره الآخر</w:t>
      </w:r>
      <w:r>
        <w:rPr>
          <w:rStyle w:val="FootnoteAnchor"/>
          <w:rtl w:val="true"/>
        </w:rPr>
        <w:footnoteReference w:id="466"/>
      </w:r>
      <w:r>
        <w:rPr>
          <w:rFonts w:ascii="Amiri" w:hAnsi="Amiri" w:eastAsia="Amiri" w:cs="Amiri"/>
          <w:color w:val="111111"/>
          <w:sz w:val="28"/>
          <w:sz w:val="28"/>
          <w:szCs w:val="28"/>
          <w:rtl w:val="true"/>
          <w:lang w:bidi="ar-SA"/>
        </w:rPr>
        <w:t>وصحيح جميل</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كان على منتهى الشوط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في أثنائه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بطل طوافه، لإستلزامه الشكّ في النقصان المقتضي لتردّده بين 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الإكمال المختمل للزيادة عمداً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والقطع المحتمل للنقيصة 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ذهب إلى أنّه يتمّ ما بيده ويصحّ‌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النصوص فالظاهر عدم شمولها له،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أسبعة طاف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السبعة فقد استيقن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وللأمر بالقطع، ولكن مقتضى استصحاب عدم الزيادة أنّ له أن يتمّ ما بيده باحتمال الأمر، ولا يضرّ زيادته على فرضها للأصل، ولأنّه يأتي بها باحتمال الأمر، ومثل هذه الزيادة لا تضرّ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في المقام خبرين يدلّان بعمومهما على مبطليّة الشكّ في الطواف، نظير ما ورد في الصلاة،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أبي بصير،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شكّ في طواف الفريضة‌؟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كلّما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شكّ في طواف نافلة‌؟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على الأقلّ‌</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المرهبي، عن أبي الحسن الثاني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طوافه، فلم يدر ستّة طاف أم سبعة‌؟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فريضةٍ أعاد كلّما شكّ فيه، وإنْ كان في نافلةٍ بنى على ما هو أقلّ‌</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وكونها في الكتابة عن لفظ كلّ مفصولة، ليصير المعنى إعادة المشكوك فيه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صحيح، لأنّه مستلزمٌ لعدم الفرق بين شقّي الترديد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أنّهما غير ناهضين لإثبات وجوب الإعادة، ولعلّه لاشتمالهما على الجملة الخبريّة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مرّ ما فيه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البطلان ولزوم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في المقام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ذكرناه إنّما هو في طواف الفريضة، وأمّا في النافلة فلو شكّ في النقصان يبني على الأقلّ‌، كما هو المشهور بين الأصحاب</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4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تحصيل الإجماع عليه، والنصوص المتقدّمة جملة منها شاهدة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عن المصنّف رحمه الله وثاني الشهيدين رحمهما الله</w:t>
      </w:r>
      <w:r>
        <w:rPr>
          <w:rStyle w:val="FootnoteAnchor"/>
          <w:rtl w:val="true"/>
        </w:rPr>
        <w:footnoteReference w:id="478"/>
      </w:r>
      <w:r>
        <w:rPr>
          <w:rFonts w:ascii="Amiri" w:hAnsi="Amiri" w:eastAsia="Amiri" w:cs="Amiri"/>
          <w:color w:val="111111"/>
          <w:sz w:val="28"/>
          <w:sz w:val="28"/>
          <w:szCs w:val="28"/>
          <w:rtl w:val="true"/>
          <w:lang w:bidi="ar-SA"/>
        </w:rPr>
        <w:t>جواز البناء على الأكثر، حيث لا يستلزم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لعموم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في البيت صلاة</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وللمرسل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طواف نافلة فابنِ على 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مرّ أنّ المصنّف رحمه الله يراه من تتمّة صحيح رفاعة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ولقوله عليه السلام في موثّق حنّان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يجوز 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والثالث وإنْ كانا قابلين للمناقشة، إلّاأنّ الثاني لا بأس به على</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ذكر في طواف الفريضة عدم الطهارة أعاد</w:t>
      </w:r>
    </w:p>
    <w:p>
      <w:pPr>
        <w:pStyle w:val="BookText"/>
        <w:rPr/>
      </w:pPr>
      <w:r>
        <w:rPr>
          <w:rFonts w:ascii="Amiri" w:hAnsi="Amiri" w:eastAsia="Amiri" w:cs="Amiri"/>
          <w:color w:val="111111"/>
          <w:sz w:val="28"/>
          <w:sz w:val="28"/>
          <w:szCs w:val="28"/>
          <w:rtl w:val="true"/>
          <w:lang w:bidi="ar-SA"/>
        </w:rPr>
        <w:t xml:space="preserve">ما تقدّم من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تتمّة لصحيح رفاعة أم خبراً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ولصراحته في جواز البناء على الأكثر يُحمل الأمر بالبناء على الأقلّ في النصوص على أفضل الفردين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لم يكن الشكّ في النقص خاصّة، ولا في الزيادة كذلك، بل كان الشكّ في الأمرين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 بين الستّة والسبعة والثمانية، أو الستّة والثمانية، وما 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هو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تقدّم من الكبرى الكليّة المستفادة من خبري أبي بصير والمرهبي المانعة عن جريان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ولموثّق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طاف بالبيت طواف الفريضة، فلم يدر ستّة طاف أم سبعة أم ثمانية‌؟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طوافه حتّى يحفظ</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ذكر في طواف الفريضة عدم الطهارة أعاد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 هذه المسألة مفصّلاً في مسألة اشتراط الطهارة في طواف الفريضة، فراجع</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104" w:name="pg11810_104217"/>
    </w:p>
    <w:p>
      <w:pPr>
        <w:pStyle w:val="BookText"/>
        <w:rPr/>
      </w:pPr>
      <w:bookmarkEnd w:id="104"/>
      <w:r>
        <w:rPr>
          <w:rFonts w:ascii="Amiri" w:hAnsi="Amiri" w:eastAsia="Amiri" w:cs="Amiri"/>
          <w:color w:val="111111"/>
          <w:sz w:val="28"/>
          <w:sz w:val="28"/>
          <w:szCs w:val="28"/>
          <w:rtl w:val="true"/>
          <w:lang w:bidi="ar-SA"/>
        </w:rPr>
        <w:t>ولو قَرَن في طواف الفريضة بَطَل</w:t>
      </w:r>
    </w:p>
    <w:p>
      <w:pPr>
        <w:pStyle w:val="Heading2"/>
        <w:numPr>
          <w:ilvl w:val="1"/>
          <w:numId w:val="1"/>
        </w:numPr>
        <w:rPr/>
      </w:pPr>
      <w:bookmarkStart w:id="105" w:name="__RefHeading___Toc10745828_73709187"/>
      <w:bookmarkStart w:id="106" w:name="_Toc35"/>
      <w:bookmarkEnd w:id="105"/>
      <w:r>
        <w:rPr>
          <w:rtl w:val="true"/>
        </w:rPr>
        <w:t>القِران بين الطوافين</w:t>
      </w:r>
      <w:bookmarkEnd w:id="106"/>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قَرَن في طواف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ترك ركعتي الصلاة الطواف وألحقَ بطوافه الأوّل طوافاً آخر ثمّ صلّى صلاتهما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المشهور،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التنقيح</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الحِلّي</w:t>
      </w:r>
      <w:r>
        <w:rPr>
          <w:rStyle w:val="FootnoteAnchor"/>
          <w:rtl w:val="true"/>
        </w:rPr>
        <w:footnoteReference w:id="48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عدم الحرمة والبطلان، بل كراهة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للأوّل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الحسن عليه السلام عن الرّجل يطوف الأسابيع جميعاًفيقرن‌؟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إلّااسبوع وركعتان، وإنّما قَرَن أبو الحسن عليه السلام لأنّه كان يطوف مع محمّد بن إبراهيم لحال التقيّة</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أبي حمزة،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 السلام عن الرّجل يطوف </w:t>
      </w:r>
    </w:p>
    <w:p>
      <w:pPr>
        <w:pStyle w:val="BookText"/>
        <w:rPr/>
      </w:pPr>
      <w:r>
        <w:rPr>
          <w:rFonts w:ascii="Amiri" w:hAnsi="Amiri" w:eastAsia="Amiri" w:cs="Amiri"/>
          <w:color w:val="111111"/>
          <w:sz w:val="28"/>
          <w:sz w:val="28"/>
          <w:szCs w:val="28"/>
          <w:rtl w:val="true"/>
          <w:lang w:bidi="ar-SA"/>
        </w:rPr>
        <w:t>ويقرن بين اسبوعين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إروِ لي ما أدين اللّه عزّ وجلّ به،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تقرن بين اسبوعين، كلّما طفت اسبوعاً فصلِّ ركعتين، وأمّا أنا فربما قرنتُ الثلاثة والأربعة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مع هؤلاء</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صفوان والبزنطي،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سألناه عن قِران الطواف اسبوعين والثلاثة‌؟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هو اسبوع وركعتان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يطوف مع محمّد بن إبراهيم فيقرن، وإنّما كان ذلك منه لحال التقيّة</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أخبار زرارة</w:t>
      </w:r>
      <w:r>
        <w:rPr>
          <w:rStyle w:val="FootnoteAnchor"/>
          <w:rtl w:val="true"/>
        </w:rPr>
        <w:footnoteReference w:id="490"/>
      </w:r>
      <w:r>
        <w:rPr>
          <w:rFonts w:ascii="Amiri" w:hAnsi="Amiri" w:eastAsia="Amiri" w:cs="Amiri"/>
          <w:color w:val="111111"/>
          <w:sz w:val="28"/>
          <w:sz w:val="28"/>
          <w:szCs w:val="28"/>
          <w:rtl w:val="true"/>
          <w:lang w:bidi="ar-SA"/>
        </w:rPr>
        <w:t>وعمر بن يزيد</w:t>
      </w:r>
      <w:r>
        <w:rPr>
          <w:rStyle w:val="FootnoteAnchor"/>
          <w:rtl w:val="true"/>
        </w:rPr>
        <w:footnoteReference w:id="491"/>
      </w:r>
      <w:r>
        <w:rPr>
          <w:rFonts w:ascii="Amiri" w:hAnsi="Amiri" w:eastAsia="Amiri" w:cs="Amiri"/>
          <w:color w:val="111111"/>
          <w:sz w:val="28"/>
          <w:sz w:val="28"/>
          <w:szCs w:val="28"/>
          <w:rtl w:val="true"/>
          <w:lang w:bidi="ar-SA"/>
        </w:rPr>
        <w:t>وحريز</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في سند هذه النصوص ودلالتها في غير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فهل تدلّ على البطلان أم مجرّد الحرمة‌؟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أنّه إن دلّت النصوص على مانعيّة القِران، أو اشتراط الاتّحاد، لزم منه بطلان الطوافين، وإنْ دلّت على الحرمة النفسيّة، لزم منه بطلان الثاني خاصّة، أمّا بطلانه فلتعلّق النهي بنفس العبادة، فإنّ القِران إنّما يكون بالإتيان بالثاني مع عدم فصل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الاستدلال له بأنّه مأمورٌ بالصلاة، وذلك يستلزم النهي عن ضدّه وهو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حُقّق في محلّه من عدم اقتضاء الأمر بالشيء للنهي عن ضدّه، وأمّا عدم بطلان الأوّل فلأنّ المنهيّ عنه القِران، وهو يتحقّق بالفعل الثاني ولا ينطبق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من النصوص أحد الأولين، إذ الظاهر من الأوامر والنواهي المتعلّقة بكيفيّات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كالأمر بقراءة السورة في الصلاة، والنهي عن لبس ما لا يؤكل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إرشاداً إلى الشرطيّة أو الجزئيّة والمانعيّة، فالنهي عن القِران والأمر بالاسبوع وركعتين ظاهران في مانعيّة القران وشرطيّة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دلالة النصوص على بطلان</w:t>
      </w:r>
    </w:p>
    <w:p>
      <w:pPr>
        <w:pStyle w:val="BookText"/>
        <w:rPr/>
      </w:pPr>
      <w:r>
        <w:rPr>
          <w:rFonts w:ascii="Amiri" w:hAnsi="Amiri" w:eastAsia="Amiri" w:cs="Amiri"/>
          <w:color w:val="111111"/>
          <w:sz w:val="28"/>
          <w:sz w:val="28"/>
          <w:szCs w:val="28"/>
          <w:rtl w:val="true"/>
          <w:lang w:bidi="ar-SA"/>
        </w:rPr>
        <w:t>الأوّل، غير تامّ‌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استدلّ للقول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وبالنصوص الكثيرة المتضمّنة أنّهم عليهم السلام قرنوا</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وبصحيح زرارة،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يكره أن يجمع الرّجل بين الاسبوعين والطوافين في الفريضة، وأمّا في النافلة فلا بأس</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ويُكره في النافلة</w:t>
      </w:r>
    </w:p>
    <w:p>
      <w:pPr>
        <w:pStyle w:val="BookText"/>
        <w:rPr/>
      </w:pPr>
      <w:r>
        <w:rPr>
          <w:rFonts w:ascii="Amiri" w:hAnsi="Amiri" w:eastAsia="Amiri" w:cs="Amiri"/>
          <w:color w:val="111111"/>
          <w:sz w:val="28"/>
          <w:sz w:val="28"/>
          <w:szCs w:val="28"/>
          <w:rtl w:val="true"/>
          <w:lang w:bidi="ar-SA"/>
        </w:rPr>
        <w:t>ونحوه غيره، بدعوى ظهور الكراهة في الكراهة المصطلحة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مورد له مع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الاستدلال بنصوص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لعلّه كان في النافلة أو في الفريضة في حال التقيّة، كما نطقت بالأخير جملةٌ من النصوص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الأخير، 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الكراهة لو لم تكن ظاهرة في الحرمة، لا ريب في عدم ظهورها في المصطلحة، ويؤيّد إرادة الحرمة منها في هذه النصوص المقابلة لها بنفي البأس في النافلة، بناءً على الإجماع على الكراهة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هو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w:t>
      </w:r>
      <w:r>
        <w:rPr>
          <w:rStyle w:val="FootnoteAnchor"/>
          <w:rtl w:val="true"/>
        </w:rPr>
        <w:footnoteReference w:id="495"/>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القِران بين الاسبوعين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للنهي عنه في صحيح حريز عن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قِران بين اسبوعين في فريضة ونافلة</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المحمول على الكراهة، للنصوص النافية للبأس عنه فيها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الصحيح أنّه لا يجوز أن يقرن طواف النافلة بطواف الفريضة، بل يجبُ أن يُصلّي ركعتين للفريضة، ثمّ يطوف للنافلة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 هذا الاحتمال كما لا يخفى‌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ودعوى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الاستدلال للمنع بالمطلقات والصحيح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نصوص نفي البأس عنه في النافلة لا تصلح لتقيّيد المطلقات، لقوّة احتمال ورودها للتقيّة، مع أنّ ظاهرها نفي البأس بالكليّة ولا قائل به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عليها بأنّ ظاهر نفي البأس نفي العقاب واللّزوم، ولا يدلّ على نفي الكراهة أيضاً، ومجرّد احتمال ورود الخبر للتقيّة لا يوجبُ رفع اليد عنه، فإنّ مخالفة العامّة من مرجّحات إحدى الحجّتين على الاُخرى بعد فقد جملةٍ من المرجّحات، لا من مميّزات الحجّة عن اللّاحجّة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فنصوص نفي البأس توجبُ تقيّيد المطلقات، وصرف النهي في الصحيح عن ظاهره وحمله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القِران بين النافلة والفريضة ملحقٌ بالقِران بين الفريضتين، أو بالقِران بين النافلتين‌؟</w:t>
      </w:r>
    </w:p>
    <w:p>
      <w:pPr>
        <w:pStyle w:val="BookText"/>
        <w:rPr/>
      </w:pPr>
      <w:r>
        <w:rPr>
          <w:rFonts w:ascii="Amiri" w:hAnsi="Amiri" w:eastAsia="Amiri" w:cs="Amiri"/>
          <w:color w:val="111111"/>
          <w:sz w:val="28"/>
          <w:sz w:val="28"/>
          <w:szCs w:val="28"/>
          <w:rtl w:val="true"/>
          <w:lang w:bidi="ar-SA"/>
        </w:rPr>
        <w:t>الظاهر هو الثاني، لأنّ المطلقات وإنْ دلّت على المنع، ونصوص نفي البأس في النافلة يُشكّ في شمولها له، فالمرجع هو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يدلّ على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طاف طواف الفريضة ثمانية فترك سبعة وبنى على واحدٍ وأضاف إليه ستّاً، ثمّ صلّى ركعتين خلف المقام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السعي بينهما رجع فصلّى الركعتين، الحديث</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والنصوص الآتية في مسألة الزيادة في الطواف المفروض، الآمرة بإتمام الزائد، والموجب لحصول القِران بين المفروض والمندوب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في المقام اشكالاً أُورد على القول بالكراهة في هذا المقام بعدم معقوليّة ذلك، إذ القائل بالكراهة يلتزم بوقوع الطواف الثاني عبادةً‌، والمفروض أنّ تركه أرجح، إذ لا معنى لكراهته في المقام حيث لا بدل له إلّابذلك، فكيف يجتمع ذلك مع العباديّة المتوقّفة على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الأعظم رحمه الله من أنّ النهي التنزيهي في أمثال المقام بعد العبادات التي لا بدل لها، إرشادٌ إلى وجود مصلحةٍ في الترك، أرجح من المصلحة الموجودة في الفعل، لأجل كون الترك سبباً لعنوانٍ راجح في نفسه، فكلّ من الفعل والترك مستحبٌّ في نفسه، لكن مصلحة الترك أرجح، فليس النهي لأجل كون الفعل مرجوحاً لمفسدة فيه، فيتنافى مع عباديّته</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المحقّق النائيني رحمه الله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كلٌّ من الفعل والترك مشتملاً على المصلحة، فلا يعقل تعلّق الأمر بكليهما، لأنّه من طلب النقيضين، ولا بأحدهما على سبيل التخيّير لأنّه طلب الحاصل، بل يكون من باب تزاحم الملاكين، فإنْ كان أحدهما أقوى يكون الحكم الفعلي على طبقه، وإلّا فلا يؤثّر شيء منهما في جعل الحكم</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يتمّ لو كانت المصلحة مترتّبةٌ على مطلق وجود الفعل، وأمّا إذا كانت مترتّبة على حصّة خاصّة منه، كما في موارد العبادات المكروهة، إذ المصلحة</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مترتّبة على الفعل العبادي، فلا محالة يكون من باب تزاحم المستحبّين، لأنّ المكلّف قادرٌ على تركهما والإتيان بالفعل بلا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فلو كان في الترك مصلحة أهمّ من ما يكون في الفعل، فللمولى أن ينهى عن الفعل إرشاداً إلى ما في الترك من مصلحة أهمّ‌، وحيثُ أنّ هذا النهي لم ينشأ عن المنقصة والحزازة في الفعل، فلا يتنافي مع كون الفعل عباديّاً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وتمام الكلام موكولٌ إلى محلّه</w:t>
      </w:r>
      <w:r>
        <w:rPr>
          <w:rFonts w:eastAsia="Amiri" w:cs="Amiri" w:ascii="Amiri" w:hAnsi="Amiri"/>
          <w:color w:val="111111"/>
          <w:sz w:val="28"/>
          <w:szCs w:val="28"/>
          <w:rtl w:val="true"/>
          <w:lang w:bidi="ar-SA"/>
        </w:rPr>
        <w:t>.</w:t>
      </w:r>
      <w:bookmarkStart w:id="107" w:name="pg11810_104224"/>
    </w:p>
    <w:p>
      <w:pPr>
        <w:pStyle w:val="BookText"/>
        <w:rPr/>
      </w:pPr>
      <w:bookmarkEnd w:id="107"/>
      <w:r>
        <w:rPr>
          <w:rFonts w:ascii="IRNazanin" w:hAnsi="IRNazanin" w:eastAsia="IRNazanin"/>
          <w:color w:val="111111"/>
          <w:sz w:val="28"/>
          <w:sz w:val="28"/>
          <w:szCs w:val="28"/>
          <w:rtl w:val="true"/>
          <w:lang w:bidi="fa-IR"/>
        </w:rPr>
        <w:t>ولو زاد</w:t>
      </w:r>
    </w:p>
    <w:p>
      <w:pPr>
        <w:pStyle w:val="Heading2"/>
        <w:numPr>
          <w:ilvl w:val="1"/>
          <w:numId w:val="1"/>
        </w:numPr>
        <w:rPr/>
      </w:pPr>
      <w:bookmarkStart w:id="108" w:name="__RefHeading___Toc10745830_73709187"/>
      <w:bookmarkStart w:id="109" w:name="_Toc36"/>
      <w:bookmarkEnd w:id="108"/>
      <w:r>
        <w:rPr>
          <w:rtl w:val="true"/>
        </w:rPr>
        <w:t>حكم الزيادة على الطواف عمداً</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الطواف شوطاً أو أقلّ أو أكثر، على أنْ يكون المجموع طوافاً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غير القِران المتقدّم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يكون ذلك عمديّاً، أو يكون سهويّاً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كان عمديّاً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بين الأصحاب حرمته</w:t>
      </w:r>
      <w:r>
        <w:rPr>
          <w:rStyle w:val="FootnoteAnchor"/>
          <w:rtl w:val="true"/>
        </w:rPr>
        <w:footnoteReference w:id="501"/>
      </w:r>
      <w:r>
        <w:rPr>
          <w:rFonts w:ascii="Amiri" w:hAnsi="Amiri" w:eastAsia="Amiri" w:cs="Amiri"/>
          <w:color w:val="111111"/>
          <w:sz w:val="28"/>
          <w:sz w:val="28"/>
          <w:szCs w:val="28"/>
          <w:rtl w:val="true"/>
          <w:lang w:bidi="ar-SA"/>
        </w:rPr>
        <w:t>، بل قيل إنّ ظاهرهم الاتّفاق على الحكم المذكور إلّاعن نادر</w:t>
      </w:r>
      <w:r>
        <w:rPr>
          <w:rStyle w:val="FootnoteAnchor"/>
          <w:rtl w:val="true"/>
        </w:rPr>
        <w:footnoteReference w:id="502"/>
      </w:r>
      <w:r>
        <w:rPr>
          <w:rFonts w:ascii="Amiri" w:hAnsi="Amiri" w:eastAsia="Amiri" w:cs="Amiri"/>
          <w:color w:val="111111"/>
          <w:sz w:val="28"/>
          <w:sz w:val="28"/>
          <w:szCs w:val="28"/>
          <w:rtl w:val="true"/>
          <w:lang w:bidi="ar-SA"/>
        </w:rPr>
        <w:t>، وأطلقوا الحكم في ذلك ولم يفصّلوا بين ما إذا نوى الزيادة من أوّل الطواف أو في أثنائه، على أنْ يكون من الطواف، وبين ما إذا تجدّد له ذلك بعد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 بعض المحقّقين بينهما، واختار الحرمة والبطلان في الأوّل دون الثاني</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فيشهد للحكم خبر عبد اللّه بن محمّد، عن أبي الحسن عليه السلام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الطواف المفروض إذا زدت عليه مثل الصلاة المفروضة إذا زدت عليها، فعليك </w:t>
      </w:r>
    </w:p>
    <w:p>
      <w:pPr>
        <w:pStyle w:val="BookText"/>
        <w:rPr/>
      </w:pPr>
      <w:r>
        <w:rPr>
          <w:rFonts w:ascii="Amiri" w:hAnsi="Amiri" w:eastAsia="Amiri" w:cs="Amiri"/>
          <w:color w:val="111111"/>
          <w:sz w:val="28"/>
          <w:sz w:val="28"/>
          <w:szCs w:val="28"/>
          <w:rtl w:val="true"/>
          <w:lang w:bidi="ar-SA"/>
        </w:rPr>
        <w:t>الإعادة، وكذلك السعي</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والمناقشة في سنده من جهة ضعف الرواي لا وجه لها، سيّما بعد كونه ممّن نُقل إجماع العصابة على تصحيح ما يصحّ عنه، مع أنّ الضعف إنّما هو من جهة الاشتراك بين الثقة وغيره، وقيل إنّه الثقة، ولذا وصفه العلماء بالصحّة، أضف إلى ذلك كلّه استناد الأصحاب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الزيادة ما لم يقصد الإتيان من الأوّل أو في الأثناء، بل تجدّد له تعمّد الزيادة بعد الإتمام، وإنّما هو من قبيل الإتيان بركعةٍ بعد الفراغ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العنوان المأخوذ في الخبر، وهو الزيادة على الطواف عليه، وإن لم يصدق الزيادة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الأكثر من التعميم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يستدلّ للحكم بجملة اُخرى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صحيحي ابن عمّار وابن سنان المتقدّمين، المتضمّنين أنّه يجب ختم الطواف بالحَجَر الأسود، إذ لولا مانعيّة الزيادة لما كان وجه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به إرشادٌ إلى ما هو منتهى الطواف المأمور به، ولا شكّ في عدم الأمر بالزيادة، إنّما الكلام في مبطليّتها وحرمتها، وهما لا يدلّان عليهما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كهمس،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نسي فطاف ثمانية أشواط؟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قبل أن يبلغ الرّكن فليقطعه وقد أجزأ عنه، وإنْ لم يذكر حتّى بلغه فليتمّ أربعة عشر شوطاً، وليصلِّ أربع ركعات</w:t>
      </w:r>
      <w:r>
        <w:rPr>
          <w:rFonts w:eastAsia="Amiri" w:cs="Amiri" w:ascii="Amiri" w:hAnsi="Amiri"/>
          <w:color w:val="111111"/>
          <w:sz w:val="28"/>
          <w:szCs w:val="28"/>
          <w:rtl w:val="true"/>
          <w:lang w:bidi="ar-SA"/>
        </w:rPr>
        <w:t>»</w:t>
      </w:r>
      <w:r>
        <w:rPr>
          <w:rStyle w:val="FootnoteAnchor"/>
          <w:rtl w:val="true"/>
        </w:rPr>
        <w:footnoteReference w:id="505"/>
      </w:r>
      <w:r>
        <w:rPr>
          <w:rFonts w:ascii="IRNazanin" w:hAnsi="IRNazanin" w:eastAsia="IRNazanin"/>
          <w:color w:val="111111"/>
          <w:sz w:val="28"/>
          <w:sz w:val="28"/>
          <w:szCs w:val="28"/>
          <w:rtl w:val="true"/>
          <w:lang w:bidi="fa-IR"/>
        </w:rPr>
        <w:t>إذ وجوب القطع لا</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يكون إلّامع تحريم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ما أوردناه على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كونه نهياً عن القِران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عدم الأمر بالزيادة، وكونها محرّمة بالحرمة التشريعيّة، إنّما الكلام في كونها مبطلة للطواف، وهو لا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أخبارٌ اُخرى‌، لكن لوضوح فسادها أغمضنا عن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فالعمدة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الميل إلى عدم التحريم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وللأخبار المصرّحة بأنّ من زاد شوطاً يضيف إليه ستّة، ويجعلهما طوافين من غير تفصيل بين العمد والسهو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مطلقاً كصحيحي محمّد</w:t>
      </w:r>
      <w:r>
        <w:rPr>
          <w:rStyle w:val="FootnoteAnchor"/>
          <w:rtl w:val="true"/>
        </w:rPr>
        <w:footnoteReference w:id="508"/>
      </w:r>
      <w:r>
        <w:rPr>
          <w:rFonts w:ascii="Amiri" w:hAnsi="Amiri" w:eastAsia="Amiri" w:cs="Amiri"/>
          <w:color w:val="111111"/>
          <w:sz w:val="28"/>
          <w:sz w:val="28"/>
          <w:szCs w:val="28"/>
          <w:rtl w:val="true"/>
          <w:lang w:bidi="ar-SA"/>
        </w:rPr>
        <w:t>ورفاعة</w:t>
      </w:r>
      <w:r>
        <w:rPr>
          <w:rStyle w:val="FootnoteAnchor"/>
          <w:rtl w:val="true"/>
        </w:rPr>
        <w:footnoteReference w:id="509"/>
      </w:r>
      <w:r>
        <w:rPr>
          <w:rFonts w:ascii="Amiri" w:hAnsi="Amiri" w:eastAsia="Amiri" w:cs="Amiri"/>
          <w:color w:val="111111"/>
          <w:sz w:val="28"/>
          <w:sz w:val="28"/>
          <w:szCs w:val="28"/>
          <w:rtl w:val="true"/>
          <w:lang w:bidi="ar-SA"/>
        </w:rPr>
        <w:t>، أو في خصوص الفريضة كصحيحي محمّد</w:t>
      </w:r>
      <w:r>
        <w:rPr>
          <w:rStyle w:val="FootnoteAnchor"/>
          <w:rtl w:val="true"/>
        </w:rPr>
        <w:footnoteReference w:id="510"/>
      </w:r>
      <w:r>
        <w:rPr>
          <w:rFonts w:ascii="Amiri" w:hAnsi="Amiri" w:eastAsia="Amiri" w:cs="Amiri"/>
          <w:color w:val="111111"/>
          <w:sz w:val="28"/>
          <w:sz w:val="28"/>
          <w:szCs w:val="28"/>
          <w:rtl w:val="true"/>
          <w:lang w:bidi="ar-SA"/>
        </w:rPr>
        <w:t>والخزّاز</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الزيادة محرّمة لما جاز ذلك، لإقتضاء النهي فساد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دلّ على زيادة عليّ عليه السلام مع كونه معصوماً عن السهو والنسيان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على الوجوه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10" w:name="pg11810_104227"/>
    </w:p>
    <w:p>
      <w:pPr>
        <w:pStyle w:val="BookText"/>
        <w:rPr/>
      </w:pPr>
      <w:bookmarkEnd w:id="110"/>
      <w:r>
        <w:rPr>
          <w:rFonts w:ascii="Amiri" w:hAnsi="Amiri" w:eastAsia="Amiri" w:cs="Amiri"/>
          <w:color w:val="111111"/>
          <w:sz w:val="28"/>
          <w:sz w:val="28"/>
          <w:szCs w:val="28"/>
          <w:rtl w:val="true"/>
          <w:lang w:bidi="ar-SA"/>
        </w:rPr>
        <w:t>سهواً أكمل أسبوعين</w:t>
      </w:r>
    </w:p>
    <w:p>
      <w:pPr>
        <w:pStyle w:val="BookText"/>
        <w:rPr/>
      </w:pPr>
      <w:r>
        <w:rPr>
          <w:rFonts w:ascii="Amiri" w:hAnsi="Amiri" w:eastAsia="Amiri" w:cs="Amiri"/>
          <w:color w:val="111111"/>
          <w:sz w:val="28"/>
          <w:sz w:val="28"/>
          <w:szCs w:val="28"/>
          <w:rtl w:val="true"/>
          <w:lang w:bidi="ar-SA"/>
        </w:rPr>
        <w:t>أمّا الأصل فلا مجرى له مع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زاد شوطاً يضيف إليه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مختصّة بالنّاسي، وعلى فرض الشمول لصورة العمد يقيّد إطلاقها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زيادة عليّ عليه السلام يمكن أنْ تكون من باب القِران بين نافلتين، أو بين فريضة ونافلة، وهما جائزان كما مرّ، فمن أينَ عُلم أنّه قصد الزيادة في الطواف الأوّل حتّى يكون من مفروض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فما هو المشهور أظهر، ومقتضى النص كما عرفت هو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يشترط أن ينوي بالزيادة كونها من الطواف، إذ المركّب الاعتباري لا يصدق الزيادة فيه إلّامع إتيان الزائد بقصد أنّه منه، إذ الفرض أنّ وحدته إنّما هي بالاعتبار واللّحاظ، وإلّا فهي وجودات متغايرة، ولو لم يقصد كونه منه لا يصدق الزيادة، ألا ترى أنّه لو رفع يده في الصلاة، فإنْ قَصَد به كونه منها صَدَق به الزيادة وبطلت وإلّا فلا، وكذلك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إنْ زاد على الطواف عمداً</w:t>
      </w:r>
      <w:r>
        <w:rPr>
          <w:rFonts w:eastAsia="Amiri" w:cs="Amiri" w:ascii="Amiri" w:hAnsi="Amiri"/>
          <w:color w:val="111111"/>
          <w:sz w:val="28"/>
          <w:szCs w:val="28"/>
          <w:rtl w:val="true"/>
          <w:lang w:bidi="ar-SA"/>
        </w:rPr>
        <w:t>.</w:t>
      </w:r>
    </w:p>
    <w:p>
      <w:pPr>
        <w:pStyle w:val="Heading2"/>
        <w:numPr>
          <w:ilvl w:val="1"/>
          <w:numId w:val="1"/>
        </w:numPr>
        <w:rPr/>
      </w:pPr>
      <w:bookmarkStart w:id="111" w:name="__RefHeading___Toc10745832_73709187"/>
      <w:bookmarkStart w:id="112" w:name="_Toc37"/>
      <w:bookmarkEnd w:id="111"/>
      <w:r>
        <w:rPr>
          <w:rtl w:val="true"/>
        </w:rPr>
        <w:t>حكم الزيادة سهواً</w:t>
      </w:r>
      <w:bookmarkEnd w:id="112"/>
    </w:p>
    <w:p>
      <w:pPr>
        <w:pStyle w:val="BookText"/>
        <w:rPr/>
      </w:pPr>
      <w:r>
        <w:rPr>
          <w:rFonts w:ascii="Amiri" w:hAnsi="Amiri" w:eastAsia="Amiri" w:cs="Amiri"/>
          <w:color w:val="111111"/>
          <w:sz w:val="28"/>
          <w:sz w:val="28"/>
          <w:szCs w:val="28"/>
          <w:rtl w:val="true"/>
          <w:lang w:bidi="ar-SA"/>
        </w:rPr>
        <w:t xml:space="preserve">ولو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سهواً أكمل أسبوعين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الأشهر،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المشهور بين الأصحاب أنّه لو ذكر قبل بلوغه الرّكن </w:t>
      </w:r>
    </w:p>
    <w:p>
      <w:pPr>
        <w:pStyle w:val="BookText"/>
        <w:rPr/>
      </w:pPr>
      <w:r>
        <w:rPr>
          <w:rFonts w:ascii="Amiri" w:hAnsi="Amiri" w:eastAsia="Amiri" w:cs="Amiri"/>
          <w:color w:val="111111"/>
          <w:sz w:val="28"/>
          <w:sz w:val="28"/>
          <w:szCs w:val="28"/>
          <w:rtl w:val="true"/>
          <w:lang w:bidi="ar-SA"/>
        </w:rPr>
        <w:t>العراقى قطع ولا شيء عليه، بل لا أجد فيه خلافاً إلّا من بعض متأخّرى المتأخّرين</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كهمس المتقدّم، المنجبر ضعفه بالعمل، ولا يعارضه خبر عبد اللّه بن سنان،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طاف بالبيت، فوهم حتّى يدخل في الثامن، فليتم أربعة عشر شوطاً ثمّ ليصلِّ ركعتين</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مطلقٌ يقيّد إطلاقه بما مرّ، فإنّ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للوهم لا للذِكر، فالأظهر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بلغه، أكمل اسبوعين على المشهور</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الصدوق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طُفتَ بالبيت الطواف المفروض ثمانية أشواط فأعد الطواف</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أيّوب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طاف بالبيت ثمانية أشواط طواف الفريضة‌؟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فليضمّ إليها ستّاً، ثمّ يُصلّي أربع ركعات</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 الرّجل بالبيت ثمانية أشواط الفريضة، فاستيقن ثمانية أضاف إليها ستّاً، وكذلك إذا استيقن أنّه سعى ثمانية، أضاف إليها ستّاً</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بطلان الطواف بالزيادة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اللّه بن محمّد المتقدّم، فإنّه بإطلاقه يدلّ على مبطليّة الزيادة السهويّة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ظاهره البطلان في الزيادة السهويّة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رفاعة،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 ثمانية فليتمّ 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أربع ركعات‌؟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ركعتين</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فإنّ الاكتفاء بركعتين إنّما هو من جهة بطلان أحدهما، وإلّا كان يجب أربع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الطائفة صحيح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طاف بالبيت ثمانية أشواط المفروض‌؟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حتّى يثبته</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الصحيح 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وورد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يستتمه</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 وعليه فظاهره إرادة إتمام طوافٍ آخر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النصوص يقتضي تقيّيد إطلاق الثانية بالاُولى‌، وأمّا الثالثة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13" w:name="pg11810_104230"/>
    </w:p>
    <w:p>
      <w:pPr>
        <w:pStyle w:val="BookText"/>
        <w:rPr/>
      </w:pPr>
      <w:bookmarkEnd w:id="113"/>
      <w:r>
        <w:rPr>
          <w:rFonts w:ascii="Amiri" w:hAnsi="Amiri" w:eastAsia="Amiri" w:cs="Amiri"/>
          <w:color w:val="111111"/>
          <w:sz w:val="28"/>
          <w:sz w:val="28"/>
          <w:szCs w:val="28"/>
          <w:rtl w:val="true"/>
          <w:lang w:bidi="ar-SA"/>
        </w:rPr>
        <w:t>وصلّى ركعتي الواجب قبل السعي، والمندوب بعده</w:t>
      </w:r>
    </w:p>
    <w:p>
      <w:pPr>
        <w:pStyle w:val="BookText"/>
        <w:rPr/>
      </w:pPr>
      <w:r>
        <w:rPr>
          <w:rFonts w:ascii="Amiri" w:hAnsi="Amiri" w:eastAsia="Amiri" w:cs="Amiri"/>
          <w:color w:val="111111"/>
          <w:sz w:val="28"/>
          <w:sz w:val="28"/>
          <w:szCs w:val="28"/>
          <w:rtl w:val="true"/>
          <w:lang w:bidi="ar-SA"/>
        </w:rPr>
        <w:t>فهي معارضة في موردها بطائفة اُخرى من النصوص دالّة على الأمر بأربع ركعات، وبعضها صريحٌ في الفريضة، لاحظ صحيح أبي أيّوب المتقدّم وغيره، وهي توجبُ حملها على إرادة الركعتين قبل السعي، كما حملها الشيخ عليها</w:t>
      </w:r>
      <w:r>
        <w:rPr>
          <w:rStyle w:val="FootnoteAnchor"/>
          <w:rtl w:val="true"/>
        </w:rPr>
        <w:footnoteReference w:id="523"/>
      </w:r>
      <w:r>
        <w:rPr>
          <w:rFonts w:ascii="Amiri" w:hAnsi="Amiri" w:eastAsia="Amiri" w:cs="Amiri"/>
          <w:color w:val="111111"/>
          <w:sz w:val="28"/>
          <w:sz w:val="28"/>
          <w:szCs w:val="28"/>
          <w:rtl w:val="true"/>
          <w:lang w:bidi="ar-SA"/>
        </w:rPr>
        <w:t>، أو طرحها لكونه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في المقام فروعاً ينبغي التعرّض لها</w:t>
      </w:r>
      <w:r>
        <w:rPr>
          <w:rFonts w:eastAsia="Amiri" w:cs="Amiri" w:ascii="Amiri" w:hAnsi="Amiri"/>
          <w:color w:val="111111"/>
          <w:sz w:val="28"/>
          <w:szCs w:val="28"/>
          <w:rtl w:val="true"/>
          <w:lang w:bidi="ar-SA"/>
        </w:rPr>
        <w:t>:</w:t>
      </w:r>
    </w:p>
    <w:p>
      <w:pPr>
        <w:pStyle w:val="Heading2"/>
        <w:numPr>
          <w:ilvl w:val="1"/>
          <w:numId w:val="1"/>
        </w:numPr>
        <w:rPr/>
      </w:pPr>
      <w:bookmarkStart w:id="114" w:name="__RefHeading___Toc10745834_73709187"/>
      <w:bookmarkStart w:id="115" w:name="_Toc38"/>
      <w:bookmarkEnd w:id="114"/>
      <w:r>
        <w:rPr>
          <w:rtl w:val="true"/>
        </w:rPr>
        <w:t>وجوب الإتيان بصلاة الطواف الواجب قبل السعي</w:t>
      </w:r>
      <w:bookmarkEnd w:id="115"/>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أكمل اسبوعين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ركعتي الواجب قبل السعي، والمندوب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الأصحاب</w:t>
      </w:r>
      <w:r>
        <w:rPr>
          <w:rStyle w:val="FootnoteAnchor"/>
          <w:rtl w:val="true"/>
        </w:rPr>
        <w:footnoteReference w:id="524"/>
      </w:r>
      <w:r>
        <w:rPr>
          <w:rFonts w:ascii="Amiri" w:hAnsi="Amiri" w:eastAsia="Amiri" w:cs="Amiri"/>
          <w:color w:val="111111"/>
          <w:sz w:val="28"/>
          <w:sz w:val="28"/>
          <w:szCs w:val="28"/>
          <w:rtl w:val="true"/>
          <w:lang w:bidi="ar-SA"/>
        </w:rPr>
        <w:t>، ويشهد به جملةٌ من النصوص المتقدّم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عمّن طاف ثمانية وهو يرى أنّها سبعة‌؟ قال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عليّ عليه السلام أنّه إذا طاف ثمانية أشواط يضمّ إليها ستّة أشواط، ثمّ يُصلّي الركعات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الركعات كيف يصلّيهنّ أو يجمعهن أو ماذا؟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ركعتين للفريضة، ثمّ يخرج إلى الصفا والمروة، فإذا رجع من </w:t>
      </w:r>
    </w:p>
    <w:p>
      <w:pPr>
        <w:pStyle w:val="BookText"/>
        <w:rPr/>
      </w:pPr>
      <w:r>
        <w:rPr>
          <w:rFonts w:ascii="Amiri" w:hAnsi="Amiri" w:eastAsia="Amiri" w:cs="Amiri"/>
          <w:color w:val="111111"/>
          <w:sz w:val="28"/>
          <w:sz w:val="28"/>
          <w:szCs w:val="28"/>
          <w:rtl w:val="true"/>
          <w:lang w:bidi="ar-SA"/>
        </w:rPr>
        <w:t>طوافه بينهما، رجع يُصلّي ركعتين للاسبوع الآخر</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وبها يقيّد إطلاق ما تضمّن الأمر بأربع ركعات كصحيح أبي أيّوب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 ظاهر الخبر لزوم ذلك كما عن الأكثر</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أفضل، لإطلاق الأمر بالأربع في صحيح أبي أيّوب، ولعدم وجوب المبادرة إلى السعي</w:t>
      </w:r>
      <w:r>
        <w:rPr>
          <w:rStyle w:val="FootnoteAnchor"/>
          <w:rtl w:val="true"/>
        </w:rPr>
        <w:footnoteReference w:id="527"/>
      </w:r>
      <w:r>
        <w:rPr>
          <w:rFonts w:ascii="Amiri" w:hAnsi="Amiri" w:eastAsia="Amiri" w:cs="Amiri"/>
          <w:color w:val="111111"/>
          <w:sz w:val="28"/>
          <w:sz w:val="28"/>
          <w:szCs w:val="28"/>
          <w:rtl w:val="true"/>
          <w:lang w:bidi="ar-SA"/>
        </w:rPr>
        <w:t xml:space="preserve">، واحتمله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إطلاق الأمر بالأربع يقيّد بما تقدّم، وعدم وجوب المبادرة إلى السعي لا ينافي وجوب تأخير الركعتين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المصرّح به في كلام جمع من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المصنّف رحمه الله</w:t>
      </w:r>
      <w:r>
        <w:rPr>
          <w:rStyle w:val="FootnoteAnchor"/>
          <w:rtl w:val="true"/>
        </w:rPr>
        <w:footnoteReference w:id="529"/>
      </w:r>
      <w:r>
        <w:rPr>
          <w:rFonts w:ascii="Amiri" w:hAnsi="Amiri" w:eastAsia="Amiri" w:cs="Amiri"/>
          <w:color w:val="111111"/>
          <w:sz w:val="28"/>
          <w:sz w:val="28"/>
          <w:szCs w:val="28"/>
          <w:rtl w:val="true"/>
          <w:lang w:bidi="ar-SA"/>
        </w:rPr>
        <w:t>والشهيدان</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الإكمال المزبور مستحبٌّ لا واجب، فإنّه وإنْ أمر به في النصوص إلّا أنّه لوروده مورد توهم المنع، لا يكون ظاهراً في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التصريح بأنّ أحد الطوافين فريضة، والآخر نافلة، وعدم وجوب طوافين اتّفاقاً، وحينئذٍ لو أكمل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يكون الأوّل فرض كما عن جماعةٍ منهم المصنّف رحمه الله</w:t>
      </w:r>
      <w:r>
        <w:rPr>
          <w:rStyle w:val="FootnoteAnchor"/>
          <w:rtl w:val="true"/>
        </w:rPr>
        <w:footnoteReference w:id="531"/>
      </w:r>
      <w:r>
        <w:rPr>
          <w:rFonts w:ascii="Amiri" w:hAnsi="Amiri" w:eastAsia="Amiri" w:cs="Amiri"/>
          <w:color w:val="111111"/>
          <w:sz w:val="28"/>
          <w:sz w:val="28"/>
          <w:szCs w:val="28"/>
          <w:rtl w:val="true"/>
          <w:lang w:bidi="ar-SA"/>
        </w:rPr>
        <w:t>لأصالة بقاء الأوّل على وجوبه‌؟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الثاني كما عن الصدوق</w:t>
      </w:r>
      <w:r>
        <w:rPr>
          <w:rStyle w:val="FootnoteAnchor"/>
          <w:rtl w:val="true"/>
        </w:rPr>
        <w:footnoteReference w:id="532"/>
      </w:r>
      <w:r>
        <w:rPr>
          <w:rFonts w:ascii="Amiri" w:hAnsi="Amiri" w:eastAsia="Amiri" w:cs="Amiri"/>
          <w:color w:val="111111"/>
          <w:sz w:val="28"/>
          <w:sz w:val="28"/>
          <w:szCs w:val="28"/>
          <w:rtl w:val="true"/>
          <w:lang w:bidi="ar-SA"/>
        </w:rPr>
        <w:t>وابني الجُنيد</w:t>
      </w:r>
      <w:r>
        <w:rPr>
          <w:rStyle w:val="FootnoteAnchor"/>
          <w:rtl w:val="true"/>
        </w:rPr>
        <w:footnoteReference w:id="533"/>
      </w:r>
      <w:r>
        <w:rPr>
          <w:rFonts w:ascii="Amiri" w:hAnsi="Amiri" w:eastAsia="Amiri" w:cs="Amiri"/>
          <w:color w:val="111111"/>
          <w:sz w:val="28"/>
          <w:sz w:val="28"/>
          <w:szCs w:val="28"/>
          <w:rtl w:val="true"/>
          <w:lang w:bidi="ar-SA"/>
        </w:rPr>
        <w:t>وسعيد</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للأمر بالإكمال الظاهر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خبرٍ آخر أنّ الفريضة هي الطواف الثاني،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والركعتان الأخيرتان والطواف الأوّل تطوّع</w:t>
      </w:r>
      <w:r>
        <w:rPr>
          <w:rFonts w:eastAsia="Amiri" w:cs="Amiri" w:ascii="Amiri" w:hAnsi="Amiri"/>
          <w:color w:val="111111"/>
          <w:sz w:val="28"/>
          <w:szCs w:val="28"/>
          <w:rtl w:val="true"/>
          <w:lang w:bidi="ar-SA"/>
        </w:rPr>
        <w:t>)</w:t>
      </w:r>
      <w:r>
        <w:rPr>
          <w:rStyle w:val="FootnoteAnchor"/>
          <w:rtl w:val="true"/>
        </w:rPr>
        <w:footnoteReference w:id="53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أظهرهما الأوّل، لأنّ الأمر بالإكمال قد عرفت أنّه محمولٌ على الندب، والمرسل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الأكثر</w:t>
      </w:r>
      <w:r>
        <w:rPr>
          <w:rStyle w:val="FootnoteAnchor"/>
          <w:rtl w:val="true"/>
        </w:rPr>
        <w:footnoteReference w:id="536"/>
      </w:r>
      <w:r>
        <w:rPr>
          <w:rFonts w:ascii="Amiri" w:hAnsi="Amiri" w:eastAsia="Amiri" w:cs="Amiri"/>
          <w:color w:val="111111"/>
          <w:sz w:val="28"/>
          <w:sz w:val="28"/>
          <w:szCs w:val="28"/>
          <w:rtl w:val="true"/>
          <w:lang w:bidi="ar-SA"/>
        </w:rPr>
        <w:t xml:space="preserve">اختصاص الزيادة المبطلة بالطواف الواجب، وهو كذلك، لإختصاص دليل المنع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خبر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زاد في المندوب وإنْ حرم للتشريع، إلّاأنّه لا يوجب بطلان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ذلك ينافي توقيفيّة العبادة</w:t>
      </w:r>
      <w:r>
        <w:rPr>
          <w:rStyle w:val="FootnoteAnchor"/>
          <w:rtl w:val="true"/>
        </w:rPr>
        <w:footnoteReference w:id="537"/>
      </w:r>
      <w:r>
        <w:rPr>
          <w:rFonts w:ascii="Amiri" w:hAnsi="Amiri" w:eastAsia="Amiri" w:cs="Amiri"/>
          <w:color w:val="111111"/>
          <w:sz w:val="28"/>
          <w:sz w:val="28"/>
          <w:szCs w:val="28"/>
          <w:rtl w:val="true"/>
          <w:lang w:bidi="ar-SA"/>
        </w:rPr>
        <w:t>، غريبٌ‌، فإنّ القول بمبطليّة الزيادة ينافيها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16" w:name="pg11810_104233"/>
    </w:p>
    <w:p>
      <w:pPr>
        <w:pStyle w:val="BookText"/>
        <w:rPr/>
      </w:pPr>
      <w:bookmarkEnd w:id="116"/>
      <w:r>
        <w:rPr>
          <w:rFonts w:ascii="Amiri" w:hAnsi="Amiri" w:eastAsia="Amiri" w:cs="Amiri"/>
          <w:color w:val="111111"/>
          <w:sz w:val="28"/>
          <w:sz w:val="28"/>
          <w:szCs w:val="28"/>
          <w:rtl w:val="true"/>
          <w:lang w:bidi="ar-SA"/>
        </w:rPr>
        <w:t>ولو نقص مِنْ طوافه وقد تجاوز النصف أتمّ‌، ولو رجع إلى أهله استناب، ولو كان أقلّ استأنَف، وكذا مَنْ قطع الطواف لحاجةٍ أو صلاة نافلة</w:t>
      </w:r>
      <w:r>
        <w:rPr>
          <w:rFonts w:eastAsia="Amiri" w:cs="Amiri" w:ascii="Amiri" w:hAnsi="Amiri"/>
          <w:color w:val="111111"/>
          <w:sz w:val="28"/>
          <w:szCs w:val="28"/>
          <w:rtl w:val="true"/>
          <w:lang w:bidi="ar-SA"/>
        </w:rPr>
        <w:t>.</w:t>
      </w:r>
    </w:p>
    <w:p>
      <w:pPr>
        <w:pStyle w:val="Heading2"/>
        <w:numPr>
          <w:ilvl w:val="1"/>
          <w:numId w:val="1"/>
        </w:numPr>
        <w:rPr/>
      </w:pPr>
      <w:bookmarkStart w:id="117" w:name="__RefHeading___Toc10745836_73709187"/>
      <w:bookmarkStart w:id="118" w:name="_Toc39"/>
      <w:bookmarkEnd w:id="117"/>
      <w:r>
        <w:rPr>
          <w:rtl w:val="true"/>
        </w:rPr>
        <w:t>حكم من نقص من طوافه</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نقصَ من طوافه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شوطاً أو أقلّ أو أزيد، أتمّه إنْ كان في المطاف مطلقاً، ما لم يفعل المنافي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طول الفصل للموالاة إنْ أوجبناها كما هو ظاهر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شكّ في أنّ الطواف ليس بأقلّ من سبعة أشواط، ولم يوظّف من الشرع أنقص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انصرف وكان طوافه طوافُ 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تجاوز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طاف أربعة أشواط، رجع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 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يمكنه 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إلى أهله استناب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استأنف، وكذا من قطع الطواف لحاجةٍ أو صلاة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الأشهر</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قيل</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فيه خلافٌ يظهر إلّامن جمعٍ ممّن تأخّر</w:t>
      </w:r>
      <w:r>
        <w:rPr>
          <w:rStyle w:val="FootnoteAnchor"/>
          <w:rtl w:val="true"/>
        </w:rPr>
        <w:footnoteReference w:id="540"/>
      </w:r>
      <w:r>
        <w:rPr>
          <w:rFonts w:ascii="Amiri" w:hAnsi="Amiri" w:eastAsia="Amiri" w:cs="Amiri"/>
          <w:color w:val="111111"/>
          <w:sz w:val="28"/>
          <w:sz w:val="28"/>
          <w:szCs w:val="28"/>
          <w:rtl w:val="true"/>
          <w:lang w:bidi="ar-SA"/>
        </w:rPr>
        <w:t>، حيث قالوا لم نظفر بمستمسك لهذا التفصيل، وأنّ ما وقفنا عليه من الأخبار لا تساعده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في المقام، هو إنّ من نقص من طوافه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إمّا أنْ يكون عن عمدٍ، أو عن سهو ونسيان، أو عن علّة وعذرٍ كحيض أو مرض أو حَدَث، أو لدخول وقت فريضة، أو لحدوث خبث في الثوب أو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ذلك قبل مجاوزة النصف أو بعدها، فهذه عشرة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انضمّ إلى ذلك أنّه تارةً يكون الطواف فرضاً، واُخرى نفلاً، تصبح الأقسام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الكلام فعلاً في الفرض، وبعد ذلك سنتعرّض لحكم المندوب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كان عن عمدٍ قبل مجاوزة النصف، فالظاهر أنّه لا خلاف في وجوب استيناف الطواف، وعدم الاعتداد بما أتى به، والنصوص في هذا المورد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ذلك وهي كثيرة، جملةٌ منها في الفريضة، وجملة اُخرى مطلقة شاملة للنافلة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أبان بن تغلب،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طاف شوطاً او شوطين، ثمّ خرج مع رجلٍ في حاجة‌؟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طواف نافلة بنى عليه، وإنْ كان طواف فريضة لم يبن</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عمران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طاف بالبيت ثلاثة أشواط من الفريضة، ثمّ وجد خلوة من البيت فدخله‌؟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طوافه وقد خالف السنة، فليُعِد طوافه</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مسكان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طاف بالبيت ثلاثة أشواط، ثمّ وجد من البيت خلوة فدخله، كيف يصنع‌؟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طوافه، وخالف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النصوص وإنْ وردت في من أتى بالشوط أو الشوطين أو الثلاثة، إلّا أنّه يتعدّى عن مواردها إلى ما زاد عن ثلاثة أشواط، لعدم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النصوص المختلفة ما يدلّ على جواز القطع والبناء مطلقاً في الفريضة، كالخبر القويّ الذي رواه أبان،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عبد اللّه عليه السلام في الطواف، فجاء رجلٌ من إخواني فسألني أن أمشي معه في حاجةٍ‌، ففطن بي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اقطع طوافك وانطلق معه في حاجته فاقضها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أتمّ طوافي‌؟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إحصِ ما طُفتَ وانطلق معه في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طواف فريضة‌؟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كان طواف فريضة</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الحديث، ونحوه غيره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تلك النصوص ما يدلّ على جواز القطع والبناء مطلقاً في الفريضة والنافلة، وإنْ كان أقلّ من النصف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ابن أبي عُمير،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يطوف ثمّ تعرض له الحاجة‌؟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يذهب في حاجته أو حاجة غيره، ويقطع الطواف، وإنْ أراد أن يستريح ويقعد فلا بأس بذلك، فإذا رجع بنى على طوافه وإنْ كان أقلّ من النصف</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الجمّال،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يأتي أخاه وهو في الطواف‌؟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معه في حاجته، ثمّ يرجع ويبني على طوافه</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النصوص يقتضي تقيّيد الطائفتين الأخيرتين بالاُولى‌، لكونها أخصّ مطلقاً منهما، فتخصّص الثانية بما إذا كان بعد تجاوز النصف، بل هي في مورد خاص، ولعلّه كان بعد الأربعة، ويخصّص الثالثة بالنافلة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كان عن عمدٍ بعد تجاوز النصف، فالأظهر الأشهر أنّ عليه أن يبني على ما سبق ويتمّ طوافه، لجملةٍ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سعيد الأعرج،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امرأةٍ طافت بالبيت أربعة أشواط وهي مُعتمرة ثمّ طمثت‌؟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طوافها، فليس عليها غيره، ومتعتها تامّة، فلها أن تطوف بين الصفا والمروة، وذلك لأنّها زادت على النصف، وقد مضت متعتها، ولتستأنف بعد الحَجّ‌</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فإنّه صريح في أنّ علّة الحكم بالإتمام في الفرض، إنّما هو التجاوز، وأنّ من تجاوزه فقد تمَّ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خبر آخر في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عزّة،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بي أبو عبد اللّه عليه السلام وأنا في الشوط الخامس من الطواف،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حتّى نعود هاهنا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في خمسة أشواط من اسبوعي، فأتمّ اسبوعي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اقطعه واحفظه من حيث تقطعه، حتّى تعود إلى الموضع الذي قطعت منه فتبني عليه</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الحسن بن عطية،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سليمان بن خالد وأنا معه عن رجلٍ طاف بالبيت ستّة أشواط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شوطاً،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فاته ذلك حتّى أتى أهله‌؟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من يطوف عنه</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وإنْ كان في نقص شوطٍ واحد، إلّاأنّه يدلّ على الحكم في الجملة، وإطلاقه شامل للعامد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طاف بالبيت فاختصر شوطاً واحداً في الحِجْر؟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ذلك الشوط</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البُختري،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يطوف بالبيت فيختصر في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الحِجْر؟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ما اختصر من طوافه</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النصوص الواردة في الحائض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مرّ يقيّد إطلاق ما دلّ على لزوم الاستيناف، كصحيح حفص بن البختري،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كان يطوف بالبيت، فيعرض له دخول الكعبة فدخلها؟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طوافه</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ويخصّص بما قبل تجاوز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كلّه، فعن جماعةٍ‌</w:t>
      </w:r>
      <w:r>
        <w:rPr>
          <w:rStyle w:val="FootnoteAnchor"/>
          <w:rtl w:val="true"/>
        </w:rPr>
        <w:footnoteReference w:id="552"/>
      </w:r>
      <w:r>
        <w:rPr>
          <w:rFonts w:ascii="Amiri" w:hAnsi="Amiri" w:eastAsia="Amiri" w:cs="Amiri"/>
          <w:color w:val="111111"/>
          <w:sz w:val="28"/>
          <w:sz w:val="28"/>
          <w:szCs w:val="28"/>
          <w:rtl w:val="true"/>
          <w:lang w:bidi="ar-SA"/>
        </w:rPr>
        <w:t>لزوم الاستيناف مع العمد، واستدلّوا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بأصالة وجوب الموالاة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وباستصحاب الاشتغال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وبإطلاق ما دلّ على لزوم الاستيناف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مورد للأصلين مع الدليل، والإطلاق يقيّد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الثالث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ما لو نقص الطواف، وتذكّر قبل تجاوز النصف أو بعده، مع كون الترك عن سهو ونسيان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فالأظهر أنّه إن تذكّر بعد الدخول في السعي، يبني على ما أتى به في القسمين، وإنْ تذكّر قبله فإنْ كان ذلك قبل تجاوز النصف استأنف، وإنْ كان بعده أتمّ ما أتى به، فها هنا أحكام ثلاثة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له موثّق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طافم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بالكعبة ثمّ خرج فطاف بين الصفا والمروة، فبينما هو يطوف إذ ذكر أنّه كان ترك من طوافه بالبيت‌؟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البيت يتمّ طوافه، ثمّ يرجع إلى الصفاوالمروة فيتمّ ما بقى</w:t>
      </w:r>
      <w:r>
        <w:rPr>
          <w:rFonts w:eastAsia="Amiri" w:cs="Amiri" w:ascii="Amiri" w:hAnsi="Amiri"/>
          <w:color w:val="111111"/>
          <w:sz w:val="28"/>
          <w:szCs w:val="28"/>
          <w:rtl w:val="true"/>
          <w:lang w:bidi="ar-SA"/>
        </w:rPr>
        <w:t>»</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555"/>
      </w:r>
      <w:r>
        <w:rPr>
          <w:rFonts w:ascii="Amiri" w:hAnsi="Amiri" w:eastAsia="Amiri" w:cs="Amiri"/>
          <w:color w:val="111111"/>
          <w:sz w:val="28"/>
          <w:sz w:val="28"/>
          <w:szCs w:val="28"/>
          <w:rtl w:val="true"/>
          <w:lang w:bidi="ar-SA"/>
        </w:rPr>
        <w:t>واللّمعة وشرحها</w:t>
      </w:r>
      <w:r>
        <w:rPr>
          <w:rStyle w:val="FootnoteAnchor"/>
          <w:rtl w:val="true"/>
        </w:rPr>
        <w:footnoteReference w:id="55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تقيّيده بصورة التجاوز عن النصف، ولا مستند لهم في مقابل دليل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إلّاإطلاق ما يجب تقيّيده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قيل إنّه إجماعي، فيشهد به إطلاق صحيح حفص، وصحيح أبان المتقدّمين، ولا معارض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صحيح ابن البُختري المتقدّم، الموارد في إدخال الحِجْر، والعلّة المنصوصة في خبر الأعرج المتقدّم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وصحيحي الحلبي والحسين بن عطيّة المتقدّمين، في خصوص نقص شوطٍ واحد</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Pr>
        <w:footnoteReference w:id="561"/>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الاقتصار في البناء على ما إذا كان الباقي شوطاً واحداً، وحكموا بالاستيناف في غيره، واستندوا في الأوّل إلى صحيحي الحلبي وابن عطيّة، وفي الحكم الثاني إلى الأصل والإطلاق، الذين يخرج عنهما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الخامس 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الأوّلان، إلّاأنّه يكون عن عذر كحَدَثٍ أو مرضٍ‌، فالمشهور بين الأصحاب شهرة عظيمة</w:t>
      </w:r>
      <w:r>
        <w:rPr>
          <w:rStyle w:val="FootnoteAnchor"/>
          <w:rtl w:val="true"/>
        </w:rPr>
        <w:footnoteReference w:id="564"/>
      </w:r>
      <w:r>
        <w:rPr>
          <w:rFonts w:ascii="Amiri" w:hAnsi="Amiri" w:eastAsia="Amiri" w:cs="Amiri"/>
          <w:color w:val="111111"/>
          <w:sz w:val="28"/>
          <w:sz w:val="28"/>
          <w:szCs w:val="28"/>
          <w:rtl w:val="true"/>
          <w:lang w:bidi="ar-SA"/>
        </w:rPr>
        <w:t xml:space="preserve">كادت أنْ تكون إجماعاً، أنّ الحكم فيهما كالأولين،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في الحدث</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 في مطلق العذر خبر الأعرج، وموثّق إسحاق المتقدّمان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خصوص المُحدِث مرسل ابن أبي عمير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خصوص الحائض خبر أبي بصير،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حاضت المرأة وهي في الطواف بالبيت وبين الصفا والمروة، فجاوزت النصف، فعلمت ذلك الموضع، فإذا طَهُرت رجعتْ فأتمّت بقيّة طوافها من الموضع الذي علمته، فإنْ هي قطعت طوافها في أقلّ من النصف، فعليها أن تستأنف الطواف من أوّله</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غيره من النصوص الكثيرة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الاستيناف مطلقاً</w:t>
      </w:r>
      <w:r>
        <w:rPr>
          <w:rStyle w:val="FootnoteAnchor"/>
          <w:rtl w:val="true"/>
        </w:rPr>
        <w:footnoteReference w:id="567"/>
      </w:r>
      <w:r>
        <w:rPr>
          <w:rFonts w:ascii="Amiri" w:hAnsi="Amiri" w:eastAsia="Amiri" w:cs="Amiri"/>
          <w:color w:val="111111"/>
          <w:sz w:val="28"/>
          <w:sz w:val="28"/>
          <w:szCs w:val="28"/>
          <w:rtl w:val="true"/>
          <w:lang w:bidi="ar-SA"/>
        </w:rPr>
        <w:t>، واستدلّ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بإطلاق صحيح الحلبي المتقدّم، بعد كون نصوص الباب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ضعفها لو كان ينجبرُ بالشهرة، ويقيّد إطلاق الصحيح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جواز البناء في القسمين، واستدلّ له بإطلاق ما دلّ على ذلك، الذي يجب تقيّيده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السابع والثامن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الأوّلان إلّاأنّه يكون لدخول وقت الفريضة وإنْ لم يتضيّق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الإصباح</w:t>
      </w:r>
      <w:r>
        <w:rPr>
          <w:rFonts w:eastAsia="IRNazanin" w:cs="IRNazanin"/>
          <w:color w:val="111111"/>
          <w:sz w:val="28"/>
          <w:szCs w:val="28"/>
          <w:rtl w:val="true"/>
          <w:lang w:bidi="fa-IR"/>
        </w:rPr>
        <w:t>»</w:t>
      </w:r>
      <w:r>
        <w:rPr>
          <w:rStyle w:val="FootnoteAnchor"/>
          <w:rtl w:val="true"/>
        </w:rPr>
        <w:footnoteReference w:id="56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57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Style w:val="FootnoteAnchor"/>
          <w:rtl w:val="true"/>
        </w:rPr>
        <w:footnoteReference w:id="57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57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57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577"/>
      </w:r>
      <w:r>
        <w:rPr>
          <w:rFonts w:ascii="Amiri" w:hAnsi="Amiri" w:eastAsia="Amiri" w:cs="Amiri"/>
          <w:color w:val="111111"/>
          <w:sz w:val="28"/>
          <w:sz w:val="28"/>
          <w:szCs w:val="28"/>
          <w:rtl w:val="true"/>
          <w:lang w:bidi="ar-SA"/>
        </w:rPr>
        <w:t>وغيرها</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يبني مطلقاً، سواء تجاوز النصف أم لا، وعن الأخيرين دعوى الإجماع عليه</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 xml:space="preserve">ينكر نسبة ذلك إلى المشهور، ويدّعي أنّ 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على عدم لزوم الإستيناف مطلقاً، لا على البناء كذلك،ا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إطلاق كلام من أطلق منزّلٌ على ما ذكروه في غير المقام من التفصيل بين تجاوز النصف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فيشهد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كان في طواف النساء فاُقيمت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معهم الفريضة، فإذا فرغ بنى من حيث قطع</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وكذلك صلاة الوتر إذا خيف طلوع الفجر، لصحيح ابن الحجّاج، عن أبي إبراهيم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في الطواف قد طاف بعضه وبقى عليه بعضه، فطلع الفجر، فيخرج من الطواف إلى الحِجْر أو إلى بعض المسجد، إذا كان لم يوتر فيوتر، ثمّ يرجع فيتمّ طوافه، أفترى أنّ ذلك أفضل، أم يتمّ الطواف ثمّ يُوتر، وإن أسفر بعض الأسفار؟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بالوِتر واقطع الطواف إذا خفت ذلك، ثمّ أتمّ الطواف بعدُ</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يعارضها مفهوم التعليل في خبر الأعرج المتقدّم، والنسبة عموم من وجه، والمختار فيه الرجوع إلى المرجّحات، فإنْ تمّ ما أفاده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 xml:space="preserve">من أنّ المشهور هو البناء مطلقاً، فالشهرة توجب تقديم الصحيحين، وإلّا فالمرجّح هو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صفات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يوجب تقديمهما، وعليه فالأظهر هو البناء</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مطلقاً، وإنْ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تقديم إطلاق البناء على قاعدة النصف بعيدٌ عن مقتضى الفقاهة</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القسم التاسع والعاشر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الأوّلان، إلّاأنّه يكون لمشاهدة خَبَثٍ في الثوب والبدن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فيهما كما في سابقيهما، لأنّ مقتضى إطلاق موثّقي يونس المتقدّمين، في مسألة اشتراط الطهارة هو البناء مطلقاً، ومقتضى مفهوم التعليل التفصيل، والنسبة عمومٌ من وجه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البحث في هذه المسألة يتحقّق بالتعرّض لفروع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الأقسام العشرة المتقدّمة جارية في النافلة أيضاً، إلّا أنّ الظاهر منهم البناء فيها مطلقاً، ولكن في بعض تلك الأقسام تدلّ جملة من النصوص على البناء في الأقلّ من النصف، 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أبان بن تغلب،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طاف شوطاً أو شوطين، ثمّ خرج مع رجل في حاجة‌؟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طواف نافلةٍ بنى عليه، وإنْ كان طواف فريضة لم يبن</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مرسل النخعي وجميل</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ويثبت في غير ذلك بالإجماع المركّب، هذا مع أنّ مقتضى القاعدة فيها ذلك، لعدم وجوب الموالاة فيها قطعاً،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 ونصوص التفصيل مختصّة بالفريضة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المصرّح به في جملةٍ من النصوص، وفي جملةٍ من الكلمات</w:t>
      </w:r>
      <w:r>
        <w:rPr>
          <w:rStyle w:val="FootnoteAnchor"/>
          <w:rtl w:val="true"/>
        </w:rPr>
        <w:footnoteReference w:id="588"/>
      </w:r>
      <w:r>
        <w:rPr>
          <w:rFonts w:ascii="Amiri" w:hAnsi="Amiri" w:eastAsia="Amiri" w:cs="Amiri"/>
          <w:color w:val="111111"/>
          <w:sz w:val="28"/>
          <w:sz w:val="28"/>
          <w:szCs w:val="28"/>
          <w:rtl w:val="true"/>
          <w:lang w:bidi="ar-SA"/>
        </w:rPr>
        <w:t>أنّ المدار في موارد التفصيل بين البناء والاستيناف على تجاوز النصف، وفي جملةٍ من الكلمات أنّ المدار على أربعة أشواط</w:t>
      </w:r>
      <w:r>
        <w:rPr>
          <w:rStyle w:val="FootnoteAnchor"/>
          <w:rtl w:val="true"/>
        </w:rPr>
        <w:footnoteReference w:id="589"/>
      </w:r>
      <w:r>
        <w:rPr>
          <w:rFonts w:ascii="Amiri" w:hAnsi="Amiri" w:eastAsia="Amiri" w:cs="Amiri"/>
          <w:color w:val="111111"/>
          <w:sz w:val="28"/>
          <w:sz w:val="28"/>
          <w:szCs w:val="28"/>
          <w:rtl w:val="true"/>
          <w:lang w:bidi="ar-SA"/>
        </w:rPr>
        <w:t>، وفُسِّر الأوّل بالثاني</w:t>
      </w:r>
      <w:r>
        <w:rPr>
          <w:rStyle w:val="FootnoteAnchor"/>
          <w:rtl w:val="true"/>
        </w:rPr>
        <w:footnoteReference w:id="590"/>
      </w:r>
      <w:r>
        <w:rPr>
          <w:rFonts w:ascii="Amiri" w:hAnsi="Amiri" w:eastAsia="Amiri" w:cs="Amiri"/>
          <w:color w:val="111111"/>
          <w:sz w:val="28"/>
          <w:sz w:val="28"/>
          <w:szCs w:val="28"/>
          <w:rtl w:val="true"/>
          <w:lang w:bidi="ar-SA"/>
        </w:rPr>
        <w:t>، وبعض النصوص الوارد في بعض الأقسام متضمّنٌ له، ولكن ليس ذلك بلسان التفسير كي يوجبُ حمل نصوص التجاوز عن النصف عليه، فالمدار على تجاوز النصف، إلّاأن يثبت</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الإجماع على الثاني، وليس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البناء، هل يجوز الاستيناف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للثاني بالأمر بالبناء الظاهر في الوجوب، ولكن لا يستفاد منه الوجوب لوروده مورد توهم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حبيب بن مظاهر،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ابتدأتُ في طواف الفريضة فطفتُ شوطاً واحداً، فإذا إنسانٌ قد أصاب أنفي فأدماه فخرجتُ فغسلته، ثمّ جئتُ فابتدأت الطواف، فذكرت ذلك لأبي عبد اللّه عليه السلام،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صنعت، كان ينبغي لك أن تبني على ما طفت،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عليك شيء</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ضعيف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الإجزاء لا الجواز، بل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ما صنعت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يدلّ على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مورد جواز البناء لا محالة يكون ما أتى به واقعاً على وفق أمره، فيلزم من الاستيناف الزيادة في الطواف، إلّاإذا قلنا بجواز تبديل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لا نقول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فيلحقه حكم الزيادة المتقدّم، فالأظهر عدم الجواز في الفريضة، وجوازه في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البناء من موضع القطع كما هو مقتضى حسن ابن سنان، وأحمد بن عمر الحلال في الحائض المتقدّمين، وكذا خبر أبي عِزّة الذي تقدّم‌؟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من الرّكن كما هو مقتضى صحيح معاوية المتقدّم فيمن اختصر شوطاً، من الأمر بالإعادة من الحَجَر إلى الحَجَر؟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 يحكم بالتخيّير جمعاً بين النصوص‌؟</w:t>
      </w:r>
    </w:p>
    <w:p>
      <w:pPr>
        <w:pStyle w:val="BookText"/>
        <w:rPr/>
      </w:pPr>
      <w:r>
        <w:rPr>
          <w:rFonts w:ascii="Amiri" w:hAnsi="Amiri" w:eastAsia="Amiri" w:cs="Amiri"/>
          <w:color w:val="111111"/>
          <w:sz w:val="28"/>
          <w:sz w:val="28"/>
          <w:szCs w:val="28"/>
          <w:rtl w:val="true"/>
          <w:lang w:bidi="ar-SA"/>
        </w:rPr>
        <w:t>وجوه وأقوال، أظهرهما الأوّل، لأنّ صحيح معاوية واردٌ في مورد فساد الشوط بالاختصار المزبور، فمورده غير ما نحن فيه، والقاعدة تقتضية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تجبُ الموالاة في طواف الفريضة، كما هو ظاهر الأصحاب</w:t>
      </w:r>
      <w:r>
        <w:rPr>
          <w:rStyle w:val="FootnoteAnchor"/>
          <w:rtl w:val="true"/>
        </w:rPr>
        <w:footnoteReference w:id="592"/>
      </w:r>
      <w:r>
        <w:rPr>
          <w:rFonts w:ascii="Amiri" w:hAnsi="Amiri" w:eastAsia="Amiri" w:cs="Amiri"/>
          <w:color w:val="111111"/>
          <w:sz w:val="28"/>
          <w:sz w:val="28"/>
          <w:szCs w:val="28"/>
          <w:rtl w:val="true"/>
          <w:lang w:bidi="ar-SA"/>
        </w:rPr>
        <w:t xml:space="preserve">؟ أم لا تجب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593"/>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استدلّ للثاني بالنصوص المتقدّمة، وهي كما ترى أخصّ من المُدّعى، بل جملة من تلك النصوص صريحة في بطلان الطواف بعدمها في الأقلّ من النصف، فالأظهر هو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594"/>
      </w:r>
      <w:r>
        <w:rPr>
          <w:rFonts w:ascii="Amiri" w:hAnsi="Amiri" w:eastAsia="Amiri" w:cs="Amiri"/>
          <w:color w:val="111111"/>
          <w:sz w:val="28"/>
          <w:sz w:val="28"/>
          <w:szCs w:val="28"/>
          <w:rtl w:val="true"/>
          <w:lang w:bidi="ar-SA"/>
        </w:rPr>
        <w:t>جعلها الحادي عشر من واجباته،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غير واجبة في طواف النافلة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قطع طواف الفريضة عمداً لا لغرضٍ‌، أم لا؟</w:t>
      </w:r>
    </w:p>
    <w:p>
      <w:pPr>
        <w:pStyle w:val="BookText"/>
        <w:rPr/>
      </w:pPr>
      <w:r>
        <w:rPr>
          <w:rFonts w:ascii="Amiri" w:hAnsi="Amiri" w:eastAsia="Amiri" w:cs="Amiri"/>
          <w:color w:val="111111"/>
          <w:sz w:val="28"/>
          <w:sz w:val="28"/>
          <w:szCs w:val="28"/>
          <w:rtl w:val="true"/>
          <w:lang w:bidi="ar-SA"/>
        </w:rPr>
        <w:t>وجهان مبنيّان على الاعتماد على النبوي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في البيت صلاة</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 وشموله لذلك وعدمه، وعليه فيجوز قطع النافلة بلا إشكال، كما يجوز قطع الفريضة لحاجةٍ في نفسه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 في الثاني نصوص كثيرة، وفي الأوّل مرسل النخعي المتقدّم، ولعلّه كذلك في الصلاة أيضاً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19" w:name="pg11810_104247"/>
    </w:p>
    <w:p>
      <w:pPr>
        <w:pStyle w:val="BookText"/>
        <w:rPr/>
      </w:pPr>
      <w:bookmarkEnd w:id="119"/>
      <w:r>
        <w:rPr>
          <w:rFonts w:ascii="Amiri" w:hAnsi="Amiri" w:eastAsia="Amiri" w:cs="Amiri"/>
          <w:color w:val="111111"/>
          <w:sz w:val="28"/>
          <w:sz w:val="28"/>
          <w:szCs w:val="28"/>
          <w:rtl w:val="true"/>
          <w:lang w:bidi="ar-SA"/>
        </w:rPr>
        <w:t>ولا يجوز تقديمُ طوافِ حَجّ التمتّع وسعيه على الوقوف إلّالخائفة الحيض، ولو حاضت قبله انتظرت الوقوف، فإنْ لم تطهر بطلت متعتها، وصارت حجّتها مفردة، وتقضي العُمرة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حاضت خلاله فإنْ جاوزت النصف تركت بقيّة الطواف، وفعلت بقيّة المناسك، ثمّ قضت الفائت بعد طهرها، وإلّا فحكمها حكم من لم تطف،</w:t>
      </w:r>
    </w:p>
    <w:p>
      <w:pPr>
        <w:pStyle w:val="Heading2"/>
        <w:numPr>
          <w:ilvl w:val="1"/>
          <w:numId w:val="1"/>
        </w:numPr>
        <w:rPr/>
      </w:pPr>
      <w:bookmarkStart w:id="120" w:name="__RefHeading___Toc10745838_73709187"/>
      <w:bookmarkStart w:id="121" w:name="_Toc40"/>
      <w:bookmarkEnd w:id="120"/>
      <w:r>
        <w:rPr>
          <w:rtl w:val="true"/>
        </w:rPr>
        <w:t>عدم جواز تقديم الطواف والسّعي على الوقوف</w:t>
      </w:r>
      <w:bookmarkEnd w:id="121"/>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تقديم طواف حَجّ التمتّع وسعيه على الوقوف إلّا لخائفة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وللمريض وغيرهما من ذوي الأعذار على المشهور</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الكلام في ذلك في مبحث كيفيّة الحَجّ والعُمرة</w:t>
      </w:r>
      <w:r>
        <w:rPr>
          <w:rStyle w:val="FootnoteAnchor"/>
          <w:rtl w:val="true"/>
        </w:rPr>
        <w:footnoteReference w:id="597"/>
      </w:r>
      <w:r>
        <w:rPr>
          <w:rFonts w:ascii="Amiri" w:hAnsi="Amiri" w:eastAsia="Amiri" w:cs="Amiri"/>
          <w:color w:val="111111"/>
          <w:sz w:val="28"/>
          <w:sz w:val="28"/>
          <w:szCs w:val="28"/>
          <w:rtl w:val="true"/>
          <w:lang w:bidi="ar-SA"/>
        </w:rPr>
        <w:t>، وعرفت أنّ الأظهر بحسب النصوص جوازه، ولكن لعدم إفتاء الأصحاب لابدّ من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في مسألة العدول من التمتّع إلى الإفراد أو القِران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حاضت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أثناء عُمرة التمتّع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انتظرت الوقوف، فإنْ لم تطهر بطلت متعتها، وصارت حجّتها مفردة، وتقضي العُمرة بعد ذلك</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قد مرّ في المسألة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حاضت خلاله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خلال 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جاوزت النصف تركت بقيّة الطواف، وفعلت بقيّة المناسك، ثمّ قضت الفائت بعد طُهرها، وإلّا فحكمها حكم من لم تطف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والمستحاضة إذا فعلت ما يجب عليها كانت كالطاهرة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في المقام في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بين الأصحاب أنّها</w:t>
      </w:r>
      <w:r>
        <w:rPr>
          <w:rStyle w:val="FootnoteAnchor"/>
          <w:rtl w:val="true"/>
        </w:rPr>
        <w:footnoteReference w:id="5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فعلت ما يجبُ عليها كانت كالطاهرة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60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وغيرها 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أن تطوف المستحاضة بالبيت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شرطيّة ما يجبُ عليها من الأغسال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أسماء بنت عميس نفست بمحمّد بن أبي بكر، فأمرها رسول اللّه صلى الله عليه و آله حين أرادت الإحرام من ذي الحُليفة أن تحتشي بالكُرسف والخرق وتهلّ بالحَجّ‌، فلمّا قدِموا وقد نسكوا المناسك، وقد أتى لها ثمانية عشر يوماً، فأمرها رسول اللّه صلى الله عليه و آله أن تطوف بالبيت، وتُصلّي ولم ينقطع عنها الدّم</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يونس،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 تطوف بالبيت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وتُصلّي ولا تدخل الكعبة</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عبد الرحمان بن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المستحاضة، أيطأها زوجها وهل تطوف بالبيت‌؟</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فتُصلّي كلّ صلاتين بغُسلٍ واحد، وكلّ شيء استحلّت به الصلاة فليأتها زوجها ولتطف بالبيت</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وجوه وأقوال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يجوز لها الطواف وإنْ لم تغتسل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توقّف جوازه على خصوص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توقّفه على الغسل والوضوء دون سائر أفعالها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توقّفه على الأفعال مطلقاً، قليلةً كانت أو كثيرة، أغسالاً كانت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أشبعنا الكلام في ذلك في الجزء الثالث من هذا الشرح</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وملخّص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يستدلّ لاعتبار جميع الأفعال فيه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بالإجماع المتكرّر</w:t>
      </w:r>
      <w:r>
        <w:rPr>
          <w:rStyle w:val="FootnoteAnchor"/>
          <w:rtl w:val="true"/>
        </w:rPr>
        <w:footnoteReference w:id="606"/>
      </w:r>
      <w:r>
        <w:rPr>
          <w:rFonts w:ascii="Amiri" w:hAnsi="Amiri" w:eastAsia="Amiri" w:cs="Amiri"/>
          <w:color w:val="111111"/>
          <w:sz w:val="28"/>
          <w:sz w:val="28"/>
          <w:szCs w:val="28"/>
          <w:rtl w:val="true"/>
          <w:lang w:bidi="ar-SA"/>
        </w:rPr>
        <w:t>في كلماتهم، على أنّها إذا عملت بوظيفتها كانت بحكم الطاهرة، فإنّ مفهومه أنّها إذا لم تفعل فهي بحكم الحائض</w:t>
      </w:r>
      <w:r>
        <w:rPr>
          <w:rStyle w:val="FootnoteAnchor"/>
          <w:rtl w:val="true"/>
        </w:rPr>
        <w:footnoteReference w:id="607"/>
      </w:r>
      <w:r>
        <w:rPr>
          <w:rFonts w:ascii="Amiri" w:hAnsi="Amiri" w:eastAsia="Amiri" w:cs="Amiri"/>
          <w:color w:val="111111"/>
          <w:sz w:val="28"/>
          <w:sz w:val="28"/>
          <w:szCs w:val="28"/>
          <w:rtl w:val="true"/>
          <w:lang w:bidi="ar-SA"/>
        </w:rPr>
        <w:t xml:space="preserve">، سيّما مع تذييله في كلاملت </w:t>
      </w:r>
    </w:p>
    <w:p>
      <w:pPr>
        <w:pStyle w:val="BookText"/>
        <w:rPr/>
      </w:pPr>
      <w:r>
        <w:rPr>
          <w:rFonts w:ascii="Amiri" w:hAnsi="Amiri" w:eastAsia="Amiri" w:cs="Amiri"/>
          <w:color w:val="111111"/>
          <w:sz w:val="28"/>
          <w:sz w:val="28"/>
          <w:szCs w:val="28"/>
          <w:rtl w:val="true"/>
          <w:lang w:bidi="ar-SA"/>
        </w:rPr>
        <w:t>جماعةٍ‌</w:t>
      </w:r>
      <w:r>
        <w:rPr>
          <w:rStyle w:val="FootnoteAnchor"/>
          <w:rtl w:val="true"/>
        </w:rPr>
        <w:footnoteReference w:id="608"/>
      </w:r>
      <w:r>
        <w:rPr>
          <w:rFonts w:ascii="Amiri" w:hAnsi="Amiri" w:eastAsia="Amiri" w:cs="Amiri"/>
          <w:color w:val="111111"/>
          <w:sz w:val="28"/>
          <w:sz w:val="28"/>
          <w:szCs w:val="28"/>
          <w:rtl w:val="true"/>
          <w:lang w:bidi="ar-SA"/>
        </w:rPr>
        <w:t>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فيجوز لها الدخول في المساجد، وقراءة العزائم والوطء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وبالإجماع المُدّعى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 xml:space="preserve">، وحواشي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 xml:space="preserve">وشرح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النجاة</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الأخبار تفيد أنّها بحكم الحائض كما يفيده لفظ الاستحاضة، فإنّه استفعال من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ظاهر كلمات الأصحاب أنّ حدث الإستحاضة بعينه حَدثُ الحيض، والأفعال تصيّرها بحكم الطاهرة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وبأنّها إذا كانت مسبوقة بالحيض، يكون المنع مقتضى الاستصحاب، فيثبت في غير هذه الصورة بعدم القول بالفصل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وبقوله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استحلّت به الصلاة، فليأتها زوجها، ولتطف بالبيت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ما يحلّ به الصلاة جميع وظائفها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مفهوم معقد الإجماع المذكور أنّها إنْ لم تفعل ما وجبَ‌عليها، فهي ليست بحكم الطاهرة، فلا يجوز لها الإتيان بشيء ممّا يعتبر فيه الطهارة من الاستحاضة، أو يكون حدث الاستحاضة مانعاً عن صحّته، والتذييل المذكور لا يكون دليلاً على إرادتهم من ذلك عدم جواز الاُمور المذكور وغيرها، ممّا يحرم على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الحائض إذا لم تفعل ما وجبَ عليها، كما يشهد له ذكر المصنّف رحمه الله</w:t>
      </w:r>
      <w:r>
        <w:rPr>
          <w:rStyle w:val="FootnoteAnchor"/>
          <w:rtl w:val="true"/>
        </w:rPr>
        <w:footnoteReference w:id="612"/>
      </w:r>
      <w:r>
        <w:rPr>
          <w:rFonts w:ascii="Amiri" w:hAnsi="Amiri" w:eastAsia="Amiri" w:cs="Amiri"/>
          <w:color w:val="111111"/>
          <w:sz w:val="28"/>
          <w:sz w:val="28"/>
          <w:szCs w:val="28"/>
          <w:rtl w:val="true"/>
          <w:lang w:bidi="ar-SA"/>
        </w:rPr>
        <w:t>والمحقّق</w:t>
      </w:r>
      <w:r>
        <w:rPr>
          <w:rStyle w:val="FootnoteAnchor"/>
          <w:rtl w:val="true"/>
        </w:rPr>
        <w:footnoteReference w:id="613"/>
      </w:r>
      <w:r>
        <w:rPr>
          <w:rFonts w:ascii="Amiri" w:hAnsi="Amiri" w:eastAsia="Amiri" w:cs="Amiri"/>
          <w:color w:val="111111"/>
          <w:sz w:val="28"/>
          <w:sz w:val="28"/>
          <w:szCs w:val="28"/>
          <w:rtl w:val="true"/>
          <w:lang w:bidi="ar-SA"/>
        </w:rPr>
        <w:t>الوطء في عِداد تلك الاُمور، مع بنائهما على جوازه بدون الغُسل، مع أنّه لا يعتبر الوضوء في جواز دخول المستحاضة بالإستحاضة القليلة المساجد، بلا خلافٍ‌، فالظاهر أنّ مرادهم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من المحتمل قويّاً كون مأخذ ذلك الإجماع المتقدّم آنفاً 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بعد ملاحظة أنّ الشارع خَصّ موضوع الأحكام المذكورة للحائض بما إذا لم يتجاوز دمها عن العشرة، ولم يكن أقلّ من ثلاثة، وجَعَل غير هذا الدّم قسيماً له،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كون ظاهر كلمات الأصحاب ذلك، ليس له مأخذٌ سوى الإجماع مع التذييل المذكور، وقد عرفت 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 فيرد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تكرّر منّا في هذا الشرح من عدم جريان الاستصحاب في الأحكام، لكونه محكوماً لاستصحاب عدم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إنْ اغتسلت من الحيض، فلا ريب في ارتفاع المنع بناءً على تداخل الأغسال، وإنْ لم تغتسل يكون المنع باقياً قطعاً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الظاهر منه ولا أقلّ من المحتمل وروده في مقام بيان عدم الفرق بين أحكام الحائض، وأنّه عند استمرار الدّم لا تحلّ لها الصلاة في أيّام قُرئها، ولا يحلّ لزوجها أن يأتيها، وبعد تلك الأيّام كما تحلّ لها الصلاة يحلّ لزوجها أن يأتيها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فالظاهر منه إرادة الحليّة الذاتيّة من حِلّ الصلاة في مقابل أيّام أقرائها، لا إباحة الدخول في الصلاة في مقابل المُحدِث الذي لا تستبيح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أنّ السؤال إنّما هو عن أصل جواز الوطء والطواف، لا عن شرطهما، مع أنّه لا يبعد دعوى انصرافه بنفسه عن ما عدا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أن يستدلّ له بالنبوي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في البيت صلاة</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فإنّه يدلّ على اعتبار جميع ما يعتبر في الصلاة في الطواف</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22" w:name="pg11810_104253"/>
    </w:p>
    <w:p>
      <w:pPr>
        <w:pStyle w:val="BookText"/>
        <w:rPr/>
      </w:pPr>
      <w:bookmarkEnd w:id="122"/>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واجبٌ في كلّ إحرامٍ مرّة، وتجبُ فيه النيَّة، والبدأة بالصَّفا والختم بالمروة</w:t>
      </w:r>
      <w:r>
        <w:rPr>
          <w:rFonts w:eastAsia="Amiri" w:cs="Amiri" w:ascii="Amiri" w:hAnsi="Amiri"/>
          <w:color w:val="111111"/>
          <w:sz w:val="28"/>
          <w:szCs w:val="28"/>
          <w:rtl w:val="true"/>
          <w:lang w:bidi="ar-SA"/>
        </w:rPr>
        <w:t>.</w:t>
      </w:r>
    </w:p>
    <w:p>
      <w:pPr>
        <w:pStyle w:val="Heading2"/>
        <w:numPr>
          <w:ilvl w:val="1"/>
          <w:numId w:val="1"/>
        </w:numPr>
        <w:rPr/>
      </w:pPr>
      <w:bookmarkStart w:id="123" w:name="__RefHeading___Toc10745840_73709187"/>
      <w:bookmarkStart w:id="124" w:name="_Toc41"/>
      <w:bookmarkEnd w:id="123"/>
      <w:r>
        <w:rPr>
          <w:rtl w:val="true"/>
        </w:rPr>
        <w:t>السعي</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واجبٌ في كلّ إحرامٍ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Style w:val="FootnoteAnchor"/>
          <w:rtl w:val="true"/>
        </w:rPr>
        <w:footnoteReference w:id="615"/>
      </w:r>
      <w:r>
        <w:rPr>
          <w:rFonts w:ascii="Amiri" w:hAnsi="Amiri" w:eastAsia="Amiri" w:cs="Amiri"/>
          <w:color w:val="111111"/>
          <w:sz w:val="28"/>
          <w:sz w:val="28"/>
          <w:szCs w:val="28"/>
          <w:rtl w:val="true"/>
          <w:lang w:bidi="ar-SA"/>
        </w:rPr>
        <w:t>، والنصوص الكثيرة شاهدة به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المقام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مندوباته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فواجباته أربعة،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616"/>
      </w:r>
      <w:r>
        <w:rPr>
          <w:rFonts w:ascii="Amiri" w:hAnsi="Amiri" w:eastAsia="Amiri" w:cs="Amiri"/>
          <w:color w:val="111111"/>
          <w:sz w:val="28"/>
          <w:sz w:val="28"/>
          <w:szCs w:val="28"/>
          <w:rtl w:val="true"/>
          <w:lang w:bidi="ar-SA"/>
        </w:rPr>
        <w:t>عشرة، ضامّاً إليها بعض ما تسمعه من الأحكام والمقارنة ونحو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الواجب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القصد إلى الفعل المخصوص، متقرّباً إلى اللّه تعالى، مميّزاً لنوعه عن غيره، وقد تقدّم الكلام في ذلك في مبحث النيّة فلا نعيد</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الواجب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البدأة بالصَّفا والخَتم بالمروة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فيه، بل الإجماع بقسميه عليه،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بالإجماع المحقّق والمحكيّ مستفيضاً</w:t>
      </w:r>
      <w:r>
        <w:rPr>
          <w:rFonts w:eastAsia="Amiri" w:cs="Amiri" w:ascii="Amiri" w:hAnsi="Amiri"/>
          <w:color w:val="111111"/>
          <w:sz w:val="28"/>
          <w:szCs w:val="28"/>
          <w:rtl w:val="true"/>
          <w:lang w:bidi="ar-SA"/>
        </w:rPr>
        <w:t>)</w:t>
      </w:r>
      <w:r>
        <w:rPr>
          <w:rStyle w:val="FootnoteAnchor"/>
          <w:rtl w:val="true"/>
        </w:rPr>
        <w:footnoteReference w:id="619"/>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قول العلماء</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عن الحلبي من أنّ السُنّة فيه الابتداء بالصَّفا والختم بالمروة</w:t>
      </w:r>
      <w:r>
        <w:rPr>
          <w:rStyle w:val="FootnoteAnchor"/>
          <w:rtl w:val="true"/>
        </w:rPr>
        <w:footnoteReference w:id="621"/>
      </w:r>
      <w:r>
        <w:rPr>
          <w:rFonts w:ascii="Amiri" w:hAnsi="Amiri" w:eastAsia="Amiri" w:cs="Amiri"/>
          <w:color w:val="111111"/>
          <w:sz w:val="28"/>
          <w:sz w:val="28"/>
          <w:szCs w:val="28"/>
          <w:rtl w:val="true"/>
          <w:lang w:bidi="ar-SA"/>
        </w:rPr>
        <w:t>، ليس خلافاً مع إرادته الوجوب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عكس بأنّ بدأ بالمروة أعاد، لعدم الإتيان بالمأمور به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لهذا الحكم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بدأ بالمروة قبل الصفا، فليطرح ما سعى ويبدأ بالصفا قبل المروة</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أبي حمزة،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بدأ بالمروة قبل الصفا؟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ألا تري أنّه لو بدأ بشماله قبل يمينه فى الوضوء، أراد أن يعيد الوضوء</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صحيح ابن سنان</w:t>
      </w:r>
      <w:r>
        <w:rPr>
          <w:rStyle w:val="FootnoteAnchor"/>
          <w:rtl w:val="true"/>
        </w:rPr>
        <w:footnoteReference w:id="624"/>
      </w:r>
      <w:r>
        <w:rPr>
          <w:rFonts w:ascii="Amiri" w:hAnsi="Amiri" w:eastAsia="Amiri" w:cs="Amiri"/>
          <w:color w:val="111111"/>
          <w:sz w:val="28"/>
          <w:sz w:val="28"/>
          <w:szCs w:val="28"/>
          <w:rtl w:val="true"/>
          <w:lang w:bidi="ar-SA"/>
        </w:rPr>
        <w:t>وخبر علي الصايغ، وقد تضمّنت الأمر بالبدأة بالصفا، وأنّه لو لم يبدأ به بطل</w:t>
      </w:r>
      <w:r>
        <w:rPr>
          <w:rStyle w:val="FootnoteAnchor"/>
          <w:rtl w:val="true"/>
        </w:rPr>
        <w:footnoteReference w:id="625"/>
      </w:r>
      <w:r>
        <w:rPr>
          <w:rFonts w:ascii="Amiri" w:hAnsi="Amiri" w:eastAsia="Amiri" w:cs="Amiri"/>
          <w:color w:val="111111"/>
          <w:sz w:val="28"/>
          <w:sz w:val="28"/>
          <w:szCs w:val="28"/>
          <w:rtl w:val="true"/>
          <w:lang w:bidi="ar-SA"/>
        </w:rPr>
        <w:t>، ولا صراحة لها في لزوم الختم بالمروة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عليه أيضاً، لاستلزام البدأة بالصفا على الطريق المذكور فيها الختم بالمروة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عمّار الوارد في حَجّه صلى الله عليه و آله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أتى الصفا فصعد عليه،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25" w:name="pg11810_104255"/>
    </w:p>
    <w:p>
      <w:pPr>
        <w:pStyle w:val="BookText"/>
        <w:rPr/>
      </w:pPr>
      <w:bookmarkEnd w:id="125"/>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انحدر إلى المروة فوقف عليها كما وقف على الصفا حتّى فرغ من سعيه</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 على البدأة بالصفا ظاهرة، وأمّا دلالته على الختم بالمروة فلقوله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فرغ من سعيه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عمّار، عن 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انحدر ماشياً وعليك السكينة والوقار حتّى تأتي المنارة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المسعى أوسع ممّا هو اليوم، ولكن النّاس ضيّقوه، ثمّ امش وعليك السكينة والوقار، فاصعد عليها حتّى يبدو لك البيت، فاصنع عليها كما صنعت على الصفا، ثمّ طف بينهما سبعة أشواط، تبدأ بالصفا وتختم بالمروة ثمّ قصِّر</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 من النصوص الكثيرة، وعليه فلا إشكال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تمام الكلام في هذه المسألة إنّما هو بالبحث في جهات</w:t>
      </w:r>
      <w:r>
        <w:rPr>
          <w:rFonts w:eastAsia="Amiri" w:cs="Amiri" w:ascii="Amiri" w:hAnsi="Amiri"/>
          <w:color w:val="111111"/>
          <w:sz w:val="28"/>
          <w:szCs w:val="28"/>
          <w:rtl w:val="true"/>
          <w:lang w:bidi="ar-SA"/>
        </w:rPr>
        <w:t>:</w:t>
      </w:r>
    </w:p>
    <w:p>
      <w:pPr>
        <w:pStyle w:val="Heading2"/>
        <w:numPr>
          <w:ilvl w:val="1"/>
          <w:numId w:val="1"/>
        </w:numPr>
        <w:rPr/>
      </w:pPr>
      <w:bookmarkStart w:id="126" w:name="__RefHeading___Toc10745842_73709187"/>
      <w:bookmarkStart w:id="127" w:name="_Toc42"/>
      <w:bookmarkEnd w:id="126"/>
      <w:r>
        <w:rPr>
          <w:rtl w:val="true"/>
        </w:rPr>
        <w:t>بيان المراد من الصَّفا والمروة</w:t>
      </w:r>
      <w:bookmarkEnd w:id="12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الصفا في أصل اللّغة الحَجَر الصَّلب الأملس</w:t>
      </w:r>
      <w:r>
        <w:rPr>
          <w:rStyle w:val="FootnoteAnchor"/>
          <w:rtl w:val="true"/>
        </w:rPr>
        <w:footnoteReference w:id="628"/>
      </w:r>
      <w:r>
        <w:rPr>
          <w:rFonts w:ascii="Amiri" w:hAnsi="Amiri" w:eastAsia="Amiri" w:cs="Amiri"/>
          <w:color w:val="111111"/>
          <w:sz w:val="28"/>
          <w:sz w:val="28"/>
          <w:szCs w:val="28"/>
          <w:rtl w:val="true"/>
          <w:lang w:bidi="ar-SA"/>
        </w:rPr>
        <w:t>، والواحدة صفاة، مثل الحَصا والحَصاة، والمرو حجارة بيض براقة يقدح منها النار، والواحدة مروة</w:t>
      </w:r>
      <w:r>
        <w:rPr>
          <w:rStyle w:val="FootnoteAnchor"/>
          <w:rtl w:val="true"/>
        </w:rPr>
        <w:footnoteReference w:id="629"/>
      </w:r>
      <w:r>
        <w:rPr>
          <w:rFonts w:ascii="Amiri" w:hAnsi="Amiri" w:eastAsia="Amiri" w:cs="Amiri"/>
          <w:color w:val="111111"/>
          <w:sz w:val="28"/>
          <w:sz w:val="28"/>
          <w:szCs w:val="28"/>
          <w:rtl w:val="true"/>
          <w:lang w:bidi="ar-SA"/>
        </w:rPr>
        <w:t>، ثمّ صارا عَلَمين لجبلين في مكّة مشهورين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 من جَبل أبي قُبيس بإزاء الضلع الذي بين الرّكن العراقي واليماني،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النووي أنّ ارتفاعه الآن إحدى عشرة درجة فوقها ازج كايوان، وعرصة فتحة هذا الأزج نحو خمسين قدماً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من ارتفاعه الآن سبع درج، وذلك لجعلهم التراب على أربع منها كما حفروا الأرض فى هذه الأيّام فظهرت الدرجات الأربع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 من جبل قيقعان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النووي، وعن البَكري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في أصل جبل قيقعان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النووّي هي درجتان، وعن الفاسي أنّ فيها الآن درجة واحدة، وعن أبي جبيران فيها خمس درج</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حُكي عن جماعة من المؤرخين حصول التغيّير في المسعى في أيّام المهدي العبّاسي، وأيّام الجراكسة على وجهٍ يقتضي دخول المسعى في المسجد الحرام، وأنّ هذا الموجود الآن مسعى مستجد</w:t>
      </w:r>
      <w:r>
        <w:rPr>
          <w:rStyle w:val="FootnoteAnchor"/>
          <w:rtl w:val="true"/>
        </w:rPr>
        <w:footnoteReference w:id="631"/>
      </w:r>
      <w:r>
        <w:rPr>
          <w:rFonts w:ascii="Amiri" w:hAnsi="Amiri" w:eastAsia="Amiri" w:cs="Amiri"/>
          <w:color w:val="111111"/>
          <w:sz w:val="28"/>
          <w:sz w:val="28"/>
          <w:szCs w:val="28"/>
          <w:rtl w:val="true"/>
          <w:lang w:bidi="ar-SA"/>
        </w:rPr>
        <w:t xml:space="preserve">، ولذا أشكل الأمر على بعضٍ باعتبار أنّ المسعى الآن غير المسعى الذي سعى فيه رسول اللّه صلى الله عليه و آله، ولكن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المسعى كان عريضاً قد أدخلوا بعضه وابقوا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فلا إشكال على أنّ العمل مستمرٌّ من سائر النّاس في جميع هذه الاعصار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أنّ النصوص تدلّ على لزوم السعي بين الصفا والمروة، لا خصوص الموضع الذي سَعى فيه رسول اللّه صلى الله عليه و آله، بل صحيح معاوية المتقدّم عن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الصادق عليه السلام متضمّنٌ لأنّ المسعى كان أوسع فضيّقه النّاس، ومع ذلك لم ينبّه عليه السلام على لزوم السعي في محلّ خاصٍ سعى فيه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هو السعي بين الجبلين، فالسَّعي على العمارة المبنيّة عليهما في زماننا لا يُجزي، لأنّه سعيٌ بين ما فوق الجبلين لا بينهما، وظاهر النصوص اعتبار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جملةٍ من النصوص المتقدّم بعضها، المتضمّنة للأمر بالصعود على الصفا وجوب ذلك، إلّاأنّ ظاهر الأصحاب الاتّفاق على عدم وجوبه</w:t>
      </w:r>
      <w:r>
        <w:rPr>
          <w:rStyle w:val="FootnoteAnchor"/>
          <w:rtl w:val="true"/>
        </w:rPr>
        <w:footnoteReference w:id="633"/>
      </w:r>
      <w:r>
        <w:rPr>
          <w:rFonts w:ascii="Amiri" w:hAnsi="Amiri" w:eastAsia="Amiri" w:cs="Amiri"/>
          <w:color w:val="111111"/>
          <w:sz w:val="28"/>
          <w:sz w:val="28"/>
          <w:szCs w:val="28"/>
          <w:rtl w:val="true"/>
          <w:lang w:bidi="ar-SA"/>
        </w:rPr>
        <w:t xml:space="preserve">، ويشهد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النصوص</w:t>
      </w:r>
      <w:r>
        <w:rPr>
          <w:rStyle w:val="FootnoteAnchor"/>
          <w:rtl w:val="true"/>
        </w:rPr>
        <w:footnoteReference w:id="634"/>
      </w:r>
      <w:r>
        <w:rPr>
          <w:rFonts w:ascii="Amiri" w:hAnsi="Amiri" w:eastAsia="Amiri" w:cs="Amiri"/>
          <w:color w:val="111111"/>
          <w:sz w:val="28"/>
          <w:sz w:val="28"/>
          <w:szCs w:val="28"/>
          <w:rtl w:val="true"/>
          <w:lang w:bidi="ar-SA"/>
        </w:rPr>
        <w:t>المتضمّنة لجواز السعي راكباً، وعلى الإبل، وفي المحمل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البجلي،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النساء يطفن على الإبل والدواب، أيجزيهنّ أن يقفن تحت الصفا والمروة‌؟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بحيث يرين البيت</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بضميمة عدم الفصل بين النساء والرِّجال، والراكب والراجل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في المقام قولاً بوجوب الصعود من باب المقدّمة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وردّه بأنّه يمكن تحصيل العلم بتحقّق الواجب، بأن يجعل عقبه ملاصقاً للصفا، وهو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السّعي بين الصفا والمروة في المسافة الّتي بينهما، فلا يجوز الإخلال بشيءٍ منها، بل يلصق عقبه بالصفا في الابتداء وأصابع رجليه به في العود، وبالعكس في المروة،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وظاهرهم الاتّفاق على ذلك، ولولاه أمكن القول بالاكتفاء بالسعي بينهما، والابتداء بالصفا والختم بالمروة عرفاً الذي هو أوسع من ذلك، سيّما بعد ملاحظة نصوص السعي راكباً الذي لا يقع معه هذه الدقة قطعاً، إلّاأنّه بملاحظته لابدّ من رعاية ذلك، ولا يخفى أنّ ذلك مع عدم صعود الصفا والمروة، وإلّا فلا يجب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يكفي إلصاق عَقب إحدى رجليه وأصابعهما، أم يعتبر إلصاق عقبهما معاً؟</w:t>
      </w:r>
    </w:p>
    <w:p>
      <w:pPr>
        <w:pStyle w:val="BookText"/>
        <w:rPr/>
      </w:pPr>
      <w:r>
        <w:rPr>
          <w:rFonts w:ascii="Amiri" w:hAnsi="Amiri" w:eastAsia="Amiri" w:cs="Amiri"/>
          <w:color w:val="111111"/>
          <w:sz w:val="28"/>
          <w:sz w:val="28"/>
          <w:szCs w:val="28"/>
          <w:rtl w:val="true"/>
          <w:lang w:bidi="ar-SA"/>
        </w:rPr>
        <w:t>وجهان، أظهرهما الأوّل، لصدق الاستيفاء، والبدأة والختم بذلك، وأحوطهما الثاني، لإحتمال شمول معقد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أنْ يكون السعي بالخط المستقيم أم لا؟</w:t>
      </w:r>
    </w:p>
    <w:p>
      <w:pPr>
        <w:pStyle w:val="BookText"/>
        <w:rPr/>
      </w:pPr>
      <w:r>
        <w:rPr>
          <w:rFonts w:ascii="Amiri" w:hAnsi="Amiri" w:eastAsia="Amiri" w:cs="Amiri"/>
          <w:color w:val="111111"/>
          <w:sz w:val="28"/>
          <w:sz w:val="28"/>
          <w:szCs w:val="28"/>
          <w:rtl w:val="true"/>
          <w:lang w:bidi="ar-SA"/>
        </w:rPr>
        <w:t>الظاهر هو الثاني، لصدق السَّعي بينهما بغير ذلك الطريق، وسعيه صلى الله عليه و آله بهذا النحو لا يوجبُ تعيّنه، لأنّه يمكن أنْ يكون من جهة اختيار أحد الأفراد</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يبعدُ دعوى عدم كفاية المشي بغير الطريق المعهود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دخل المسجد ثمّ خرج من بابٍ آخر، أو سلك سوق اللّيل</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لانصراف السعي بين الصفا والمروة عن ذلك، وكذا لو مشى القهقرى وما شاكل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128" w:name="pg11810_104259"/>
    </w:p>
    <w:p>
      <w:pPr>
        <w:pStyle w:val="BookText"/>
        <w:rPr/>
      </w:pPr>
      <w:bookmarkEnd w:id="128"/>
      <w:r>
        <w:rPr>
          <w:rFonts w:ascii="Amiri" w:hAnsi="Amiri" w:eastAsia="Amiri" w:cs="Amiri"/>
          <w:color w:val="111111"/>
          <w:sz w:val="28"/>
          <w:sz w:val="28"/>
          <w:szCs w:val="28"/>
          <w:rtl w:val="true"/>
          <w:lang w:bidi="ar-SA"/>
        </w:rPr>
        <w:t>والسَّعي سبعة أشواط، من الصفا إليه شوطان</w:t>
      </w:r>
    </w:p>
    <w:p>
      <w:pPr>
        <w:pStyle w:val="Heading2"/>
        <w:numPr>
          <w:ilvl w:val="1"/>
          <w:numId w:val="1"/>
        </w:numPr>
        <w:rPr/>
      </w:pPr>
      <w:bookmarkStart w:id="129" w:name="__RefHeading___Toc10745844_73709187"/>
      <w:bookmarkStart w:id="130" w:name="_Toc43"/>
      <w:bookmarkEnd w:id="129"/>
      <w:r>
        <w:rPr>
          <w:rtl w:val="true"/>
        </w:rPr>
        <w:t>كيفيّة السعي</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السعي سبعة أشواط، من الصَّفا إليه شوطان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ذهابه إلى المروة شوطاً، وعودته منها إلى الصفا شوطاً آخر، بلا خلافٍ‌، بل الإجماع بقسميه عليه</w:t>
      </w:r>
      <w:r>
        <w:rPr>
          <w:rStyle w:val="FootnoteAnchor"/>
          <w:rtl w:val="true"/>
        </w:rPr>
        <w:footnoteReference w:id="639"/>
      </w:r>
      <w:r>
        <w:rPr>
          <w:rFonts w:ascii="Amiri" w:hAnsi="Amiri" w:eastAsia="Amiri" w:cs="Amiri"/>
          <w:color w:val="111111"/>
          <w:sz w:val="28"/>
          <w:sz w:val="28"/>
          <w:szCs w:val="28"/>
          <w:rtl w:val="true"/>
          <w:lang w:bidi="ar-SA"/>
        </w:rPr>
        <w:t>، والمحكيّ منه مستفيض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الدالّة عليه مستفيضة بل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طف بينهما سبعة أشواط</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بن سالم،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سعيتُ بين الصفا والمروة أنا وعُبيد اللّه بن راشد،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 عليَّ‌، فجعل يعدّ ذاهباً وجائياً شوطاً واحداً فبلغ مثل ذلك،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ذاهباً وجائياً شوطاً واحداً، فأتممنا أربعة عشر شوطاً، فذكرنا لأبي عبداللّه عليه السلام،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زادوا ما عليهم ليس عليهم شيء</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bookmarkStart w:id="131" w:name="pg11810_104260"/>
    </w:p>
    <w:p>
      <w:pPr>
        <w:pStyle w:val="BookText"/>
        <w:rPr/>
      </w:pPr>
      <w:bookmarkEnd w:id="131"/>
      <w:r>
        <w:rPr>
          <w:rFonts w:ascii="Amiri" w:hAnsi="Amiri" w:eastAsia="Amiri" w:cs="Amiri"/>
          <w:color w:val="111111"/>
          <w:sz w:val="28"/>
          <w:sz w:val="28"/>
          <w:szCs w:val="28"/>
          <w:rtl w:val="true"/>
          <w:lang w:bidi="ar-SA"/>
        </w:rPr>
        <w:t>ويستحبّ فيه الطهارة</w:t>
      </w:r>
    </w:p>
    <w:p>
      <w:pPr>
        <w:pStyle w:val="Heading2"/>
        <w:numPr>
          <w:ilvl w:val="1"/>
          <w:numId w:val="1"/>
        </w:numPr>
        <w:rPr/>
      </w:pPr>
      <w:bookmarkStart w:id="132" w:name="__RefHeading___Toc10745846_73709187"/>
      <w:bookmarkStart w:id="133" w:name="_Toc44"/>
      <w:bookmarkEnd w:id="132"/>
      <w:r>
        <w:rPr>
          <w:rtl w:val="true"/>
        </w:rPr>
        <w:t>مستحبّات السّعي</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المصنّف رحمه الله في هذا المقام ذكر ما يستحبّ فيه، وما هو من مقدّماته، وما يكون من توابع الطواف، والأمر سهلٌ فإنّ كلّاً 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للمشهور شهرة عظيمة، كادت تكون إجماعاً،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إليه علمائنا</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جملة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الحلبي،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المرأة تطوف بين الصفا والمروة وهي حائض‌؟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لاتطوف ولا تسعى إلّابوضوء</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ونحوهماغيرهما، المحمولة على إرادة الاستحباب، لجملةٍ اُخريمن النصوص</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معاوية،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أن تقضي المناسك كلّها </w:t>
      </w:r>
    </w:p>
    <w:p>
      <w:pPr>
        <w:pStyle w:val="BookText"/>
        <w:rPr/>
      </w:pPr>
      <w:r>
        <w:rPr>
          <w:rFonts w:ascii="Amiri" w:hAnsi="Amiri" w:eastAsia="Amiri" w:cs="Amiri"/>
          <w:color w:val="111111"/>
          <w:sz w:val="28"/>
          <w:sz w:val="28"/>
          <w:szCs w:val="28"/>
          <w:rtl w:val="true"/>
          <w:lang w:bidi="ar-SA"/>
        </w:rPr>
        <w:t>واستلام الحَجَر والشُّرب من زمزم، والاغتسال من الدّلو المقابل للحَجَر، والخروج من باب الصّفا والصعود عليه، وإستقبال ركن الحَجَر بالتكبير والتهليل سبعاً، والدّعاء،</w:t>
      </w:r>
    </w:p>
    <w:p>
      <w:pPr>
        <w:pStyle w:val="BookText"/>
        <w:rPr/>
      </w:pPr>
      <w:r>
        <w:rPr>
          <w:rFonts w:ascii="Amiri" w:hAnsi="Amiri" w:eastAsia="Amiri" w:cs="Amiri"/>
          <w:color w:val="111111"/>
          <w:sz w:val="28"/>
          <w:sz w:val="28"/>
          <w:szCs w:val="28"/>
          <w:rtl w:val="true"/>
          <w:lang w:bidi="ar-SA"/>
        </w:rPr>
        <w:t>على غير وضوء إلّاالطواف، فإنّ فيه صلاة والوضوء أفضل</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زيد الشحّام،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يسعى بين الصفا والمروة على غير وضوء؟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بعضٍ استحباب الطهارة من الخَبَث فيه أيضاً،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يحضرني الآن ما يشهد له، سوى مناسبة التعظيم، وكون الحكم ندبيّاً يكتفي في مثله بنحو ذلك</w:t>
      </w:r>
      <w:r>
        <w:rPr>
          <w:rFonts w:eastAsia="Amiri" w:cs="Amiri" w:ascii="Amiri" w:hAnsi="Amiri"/>
          <w:color w:val="111111"/>
          <w:sz w:val="28"/>
          <w:szCs w:val="28"/>
          <w:rtl w:val="true"/>
          <w:lang w:bidi="ar-SA"/>
        </w:rPr>
        <w:t>)</w:t>
      </w:r>
      <w:r>
        <w:rPr>
          <w:rStyle w:val="FootnoteAnchor"/>
          <w:rtl w:val="true"/>
        </w:rPr>
        <w:footnoteReference w:id="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استلام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وتقبيله مع الإمكان، والإشارة إليه مع العدم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والشرب من زمزم، والإغتسال من الدلو المقابل للحَجَر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بالإغتسال الصَّب على الرأس والجسد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الصّفا، والصعود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يرى الكعبة من بابه، وقيل يكفي فيه الصعود على الدرجة الرابعة التى كانت تحت التراب، وظهرت الآن حيث أزالوا التراب، والوقوف عليه بقدر قراءة سورة البقرة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استقبال ركن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الركن العراقي الذي فيه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بالتكبير والتهليل سبعاً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والصلاة على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بالمأثور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ذلك بالإجماع، والصحاح المستفيضة وغيرها من المعتبرة، كما صرّح بها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50"/>
      </w:r>
      <w:r>
        <w:rPr>
          <w:rFonts w:ascii="IRNazanin" w:hAnsi="IRNazanin" w:eastAsia="IRNazanin"/>
          <w:color w:val="111111"/>
          <w:sz w:val="28"/>
          <w:sz w:val="28"/>
          <w:szCs w:val="28"/>
          <w:rtl w:val="true"/>
          <w:lang w:bidi="fa-IR"/>
        </w:rPr>
        <w:t>، لاحظ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معاوية،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 من الركعتين، فائتِ الحَجَر الأسود فقبّله واستلمه وأشر إليه، فإنّه لابدّ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قدرت أن تشرب من ماء زمزم قبل أن تخرج إلى الصفا فافعل</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أن تستقي من ماء زمزم دلواً أو دلوين، فتشربُ منه وتصبّ على رأسك وجَسَدك، وليكن ذلك من الدلو الذي بحذاء الحَجَر</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معاوية،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اخرج إلى الصّفا عن الباب الذي خَرَج منه رسول اللّه صلى الله عليه و آله، وهو الباب الذي يقابل الحَجَر الأسود، حتّى تقطع الوادي وعليك السكينة والوقار</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فاصعد على الصفا حتّى تنظر إلى البيت، وتستقبل الرّكن الذي فيه الحَجَر الأسود، فاحمد اللّه واثنِ عليه، ثمّ اذكر من آلآئه وبلائه وحُسن ما صنع إليك ما قدرت على ذكره، ثمّ كَبِّر اللّه سبعاً وهلّله سبعاً،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يقف على الصفا بقدر ما يقرأ سورة البقرة مترسلاً</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والمشي طرفيه، والهرولة من المنارة إلى زُقاق العطّارين</w:t>
      </w:r>
    </w:p>
    <w:p>
      <w:pPr>
        <w:pStyle w:val="BookText"/>
        <w:rPr/>
      </w:pPr>
      <w:r>
        <w:rPr>
          <w:rFonts w:ascii="Amiri" w:hAnsi="Amiri" w:eastAsia="Amiri" w:cs="Amiri"/>
          <w:color w:val="111111"/>
          <w:sz w:val="28"/>
          <w:sz w:val="28"/>
          <w:szCs w:val="28"/>
          <w:rtl w:val="true"/>
          <w:lang w:bidi="ar-SA"/>
        </w:rPr>
        <w:t>ونحوها غيرها من النصوص الظاهرة في الاستحباب، أو المحمولة عليه، بقرينة غيرها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النصوص المتضمّنة للأدعية المأثورة مختلفة، وقد رُوي أنّه ليس فيه شيءٌ موقّت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Style w:val="FootnoteAnchor"/>
          <w:rtl w:val="true"/>
        </w:rPr>
        <w:footnoteReference w:id="6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باب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الباب الذي يشتهر اليوم بباب الصفا الذي يستقبل الحَجَر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6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الباب داخلٌ الآن في المسجد، إلّاأنّه معلّمٌ باسطوانتين، فليخرج من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6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استحباب الخروج من الباب الموازي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المشي طرفيه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أوّل السعي وآخره، أو طرفي المسعى، أو طرفي المشي من البطؤ والإسراع المعبّر عنه بالاقتصاد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الهرولة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المنارة إلى زقاق العَطّارين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معتدّ به أجده في أصل الحكم، بل الإجماع بقسميه عليه، 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لأصل الحكم جملةٌ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انحدر ماشياً وعليك السكينه والوقار حتّى تأتي المنارة، وهي طرف المسعى، فاسع ملء فروجك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تبلغ المنارة الأُخرى‌</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وحسنه الآخر المتقدّم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السعي بين الصفا والمروة‌؟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انتهيت إلى الدار التي عن يمينك عند أوّل الوادي، فاسع حتّى تنتهي إلى أوّل زقاق عن يمينك بعد ما تجاوز الوادي إلى المروة، فإذا انتهيتَ إليه فكفّ عن السعي وامش مشياً، وإذا جئتَ من عند المروة فابدأ من عند الزقاق الذي وصفتُ لك، فإذا انتهيتَ إلى الباب الذي قبل الصفا، بعدما تجاوز الوادي، فاكفُف عن السعي وامش مشياً، وإنّما السعي على الرجال وليس على النساء سعي</w:t>
      </w:r>
      <w:r>
        <w:rPr>
          <w:rFonts w:eastAsia="Amiri" w:cs="Amiri" w:ascii="Amiri" w:hAnsi="Amiri"/>
          <w:color w:val="111111"/>
          <w:sz w:val="28"/>
          <w:szCs w:val="28"/>
          <w:rtl w:val="true"/>
          <w:lang w:bidi="ar-SA"/>
        </w:rPr>
        <w:t>»</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فيشهد به صحيح سعيد الأعرج،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ترك شيئاً من الرّمل في سعيه بين الصفا والمروة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والمذكور في النصوص وكلمات الرواة والفقهاء 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السعي ملء الفروج، الرَمَل، الهرولة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Style w:val="FootnoteAnchor"/>
          <w:rtl w:val="true"/>
        </w:rPr>
        <w:footnoteReference w:id="6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فيه المشي السريع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العَدْو والإسراع،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الفرسُ مِلء فروجه ومِلء فرجه إذا عدا وأسرع</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الثالث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Style w:val="FootnoteAnchor"/>
          <w:rtl w:val="true"/>
        </w:rPr>
        <w:footnoteReference w:id="6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الهرولة وهو إسراع المشي مع تقارب الخُطا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66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النووي وتهذيبه</w:t>
      </w:r>
      <w:r>
        <w:rPr>
          <w:rFonts w:eastAsia="Amiri" w:cs="Amiri" w:ascii="Amiri" w:hAnsi="Amiri"/>
          <w:color w:val="111111"/>
          <w:sz w:val="28"/>
          <w:szCs w:val="28"/>
          <w:rtl w:val="true"/>
          <w:lang w:bidi="ar-SA"/>
        </w:rPr>
        <w:t>:</w:t>
      </w:r>
      <w:r>
        <w:rPr>
          <w:rStyle w:val="FootnoteAnchor"/>
          <w:rtl w:val="true"/>
        </w:rPr>
        <w:footnoteReference w:id="6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إسراع المشي، مع تقارب الخُطا دون الوثوب والعَدْو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تعارض بين النصوص والكلمات وفتاوى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ويختصّ استحباب ذلك بالرِّجال، ولا يستحبُّ للنساء بلا خلافٍ‌</w:t>
      </w:r>
      <w:r>
        <w:rPr>
          <w:rStyle w:val="FootnoteAnchor"/>
          <w:rtl w:val="true"/>
        </w:rPr>
        <w:footnoteReference w:id="668"/>
      </w:r>
      <w:r>
        <w:rPr>
          <w:rFonts w:ascii="Amiri" w:hAnsi="Amiri" w:eastAsia="Amiri" w:cs="Amiri"/>
          <w:color w:val="111111"/>
          <w:sz w:val="28"/>
          <w:sz w:val="28"/>
          <w:szCs w:val="28"/>
          <w:rtl w:val="true"/>
          <w:lang w:bidi="ar-SA"/>
        </w:rPr>
        <w:t>، ويشهد به جملة من النصوص تقدّم بعضها،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أبي بصير،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النساء سعيٌ بين الصفا والمروة، يعني الهرولة</w:t>
      </w:r>
      <w:r>
        <w:rPr>
          <w:rFonts w:eastAsia="Amiri" w:cs="Amiri" w:ascii="Amiri" w:hAnsi="Amiri"/>
          <w:color w:val="111111"/>
          <w:sz w:val="28"/>
          <w:szCs w:val="28"/>
          <w:rtl w:val="true"/>
          <w:lang w:bidi="ar-SA"/>
        </w:rPr>
        <w:t>»</w:t>
      </w: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الراكب فيسرع دابّته بين حَدّي الهرولة إجماعاً،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670"/>
      </w:r>
      <w:r>
        <w:rPr>
          <w:rFonts w:ascii="Amiri" w:hAnsi="Amiri" w:eastAsia="Amiri" w:cs="Amiri"/>
          <w:color w:val="111111"/>
          <w:sz w:val="28"/>
          <w:sz w:val="28"/>
          <w:szCs w:val="28"/>
          <w:rtl w:val="true"/>
          <w:lang w:bidi="ar-SA"/>
        </w:rPr>
        <w:t>، ويشهد به صحيح ابن عمّار، عن الإمام الصادق عليه السلام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الراكب سعيٌ‌، ولكن ليسرع شيئاً</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محلّ الهرولة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المتن موافقاً للشرائع</w:t>
      </w:r>
      <w:r>
        <w:rPr>
          <w:rStyle w:val="FootnoteAnchor"/>
          <w:rtl w:val="true"/>
        </w:rPr>
        <w:footnoteReference w:id="67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674"/>
      </w:r>
      <w:r>
        <w:rPr>
          <w:rFonts w:ascii="Amiri" w:hAnsi="Amiri" w:eastAsia="Amiri" w:cs="Amiri"/>
          <w:color w:val="111111"/>
          <w:sz w:val="28"/>
          <w:sz w:val="28"/>
          <w:szCs w:val="28"/>
          <w:rtl w:val="true"/>
          <w:lang w:bidi="ar-SA"/>
        </w:rPr>
        <w:t>وجملة من كتب القدماء</w:t>
      </w:r>
      <w:r>
        <w:rPr>
          <w:rStyle w:val="FootnoteAnchor"/>
          <w:rtl w:val="true"/>
        </w:rPr>
        <w:footnoteReference w:id="675"/>
      </w:r>
      <w:r>
        <w:rPr>
          <w:rFonts w:ascii="Amiri" w:hAnsi="Amiri" w:eastAsia="Amiri" w:cs="Amiri"/>
          <w:color w:val="111111"/>
          <w:sz w:val="28"/>
          <w:sz w:val="28"/>
          <w:szCs w:val="28"/>
          <w:rtl w:val="true"/>
          <w:lang w:bidi="ar-SA"/>
        </w:rPr>
        <w:t>، لصحيح ابن عمّار المتقدّم، وربما علّل بأنّه شُعبة من وادي مُحسّر الذي يستحبّ فيه الهرولة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Style w:val="FootnoteAnchor"/>
          <w:rtl w:val="true"/>
        </w:rPr>
        <w:footnoteReference w:id="67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العلم والعمل</w:t>
      </w:r>
      <w:r>
        <w:rPr>
          <w:rFonts w:eastAsia="IRNazanin" w:cs="IRNazanin"/>
          <w:color w:val="111111"/>
          <w:sz w:val="28"/>
          <w:szCs w:val="28"/>
          <w:rtl w:val="true"/>
          <w:lang w:bidi="fa-IR"/>
        </w:rPr>
        <w:t>»</w:t>
      </w:r>
      <w:r>
        <w:rPr>
          <w:rStyle w:val="FootnoteAnchor"/>
          <w:rtl w:val="true"/>
        </w:rPr>
        <w:footnoteReference w:id="67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يجاوز زقاق العَطّارين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يبلغ المنارة الاُخرى‌، ويتجاوز سوق العَطّارين</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على شيء منهما، فالمتّجه هو استحباب الهرولة في المسافة بين المنارتين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المشي في طرفي المسعى على سكينةٍ ووقار، كما صرّح به غير واحدٍ</w:t>
      </w:r>
      <w:r>
        <w:rPr>
          <w:rStyle w:val="FootnoteAnchor"/>
          <w:rtl w:val="true"/>
        </w:rPr>
        <w:footnoteReference w:id="681"/>
      </w:r>
      <w:r>
        <w:rPr>
          <w:rFonts w:ascii="Amiri" w:hAnsi="Amiri" w:eastAsia="Amiri" w:cs="Amiri"/>
          <w:color w:val="111111"/>
          <w:sz w:val="28"/>
          <w:sz w:val="28"/>
          <w:szCs w:val="28"/>
          <w:rtl w:val="true"/>
          <w:lang w:bidi="ar-SA"/>
        </w:rPr>
        <w:t>، للأمر بالمشي كذلك في غير ذلك المكان المخصوص</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نسى الهرولة، رجع القهقري إلى الخلف من غير التفاتٍ بالوجه، كما عن غير واحدٍ</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والدّعاء، والسَّعي ماشياً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الأصحاب</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بمرسلين أرسلهما الصدوق والشيخ عن الإمامين الصادق والكاظم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سهى عن السعي حتّى يصير من المسعى على بعضه أو كلّه، ثمّ ذكر، فلا يصرف وجهه منصرفاً، ولكن يرجع القهقري إلى المكان الذي يجب فيه السعي</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أنّ الصدوق ينسب ذلك إليهما على سبيل الجزم، فهو حجّة، كما سبق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المتّجه الإقتصار عليها تبعاً للنص والفتوى، فما عن القاضي</w:t>
      </w:r>
      <w:r>
        <w:rPr>
          <w:rStyle w:val="FootnoteAnchor"/>
          <w:rtl w:val="true"/>
        </w:rPr>
        <w:footnoteReference w:id="685"/>
      </w:r>
      <w:r>
        <w:rPr>
          <w:rFonts w:ascii="Amiri" w:hAnsi="Amiri" w:eastAsia="Amiri" w:cs="Amiri"/>
          <w:color w:val="111111"/>
          <w:sz w:val="28"/>
          <w:sz w:val="28"/>
          <w:szCs w:val="28"/>
          <w:rtl w:val="true"/>
          <w:lang w:bidi="ar-SA"/>
        </w:rPr>
        <w:t xml:space="preserve">من إطلاق العود،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احتمال إرادة الأصحاب الندب كالأصل،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لو عاد بوجهه أجزأ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الأوجه الاقتصار على ما إذا ذكرها في الشوط الذي نسيها فيه، لأنّه المتبادر إلى الذهن من النص، فلا يرجع بعد الانتقال إلى شوطٍ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الهرولة، بما تضمّنه صحيح معاوية المتقدّم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السَّعي ماشياً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لصحيح ابن عمّار،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يسعى بين الصّفا والمروة راكباً؟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والمشي أفضل</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34" w:name="pg11810_104268"/>
    </w:p>
    <w:p>
      <w:pPr>
        <w:pStyle w:val="BookText"/>
        <w:rPr/>
      </w:pPr>
      <w:bookmarkEnd w:id="134"/>
      <w:r>
        <w:rPr>
          <w:rFonts w:ascii="Amiri" w:hAnsi="Amiri" w:eastAsia="Amiri" w:cs="Amiri"/>
          <w:color w:val="111111"/>
          <w:sz w:val="28"/>
          <w:sz w:val="28"/>
          <w:szCs w:val="28"/>
          <w:rtl w:val="true"/>
          <w:lang w:bidi="ar-SA"/>
        </w:rPr>
        <w:t>وهو ركنٌ يبطل الحَجّ بتركه عمداً</w:t>
      </w:r>
    </w:p>
    <w:p>
      <w:pPr>
        <w:pStyle w:val="Heading2"/>
        <w:numPr>
          <w:ilvl w:val="1"/>
          <w:numId w:val="1"/>
        </w:numPr>
        <w:rPr/>
      </w:pPr>
      <w:bookmarkStart w:id="135" w:name="__RefHeading___Toc10745848_73709187"/>
      <w:bookmarkStart w:id="136" w:name="_Toc45"/>
      <w:bookmarkEnd w:id="135"/>
      <w:r>
        <w:rPr>
          <w:rtl w:val="true"/>
        </w:rPr>
        <w:t>السعي ركنٌ للحَجّ‌</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فيه في طيّ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يبطل الحَجّ بتركه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بإجماعنا الظاهر المصرّح به في جملةٍ من العبائر المسفيضة،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الإجماع بقسميه عليه، بل المحكيّ منهما صريحاً وظاهراً مستفيض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إليه علمائنا أجمع</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علمائنا أجمع</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معاوية،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فيمن ترك السعي متعمّداً؟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الحَجّ من قابل</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وصحيحه الآخر، عنه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رجلٍ ترك السعي متعمّداً؟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 له</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ويعضد ذلك أنّه ممّا تقضية القاعدة، لعدم الإتيان بالمأمور به على وجهه، بعد ثبوت كونه من الواجبات بالنصوص المستفيضة المصرّحة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فلا يصحّ الاستدلال بها على عدم الوجوب، بدعوى استفادته من نفي الجناح، لما رواه الصير في عن بعض أصحابنا،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السَّعي بين الصفا والمروة، فريضة أم سُنّة‌؟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عَلَيْهِ أَنْ يَطَّوَّفَ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في عُمرة القضاء، إنّ رسول اللّه صلى الله عليه و آله شرط عليهم أن يرفعوا الأصنام من الصفا والمروة، فتشاغل رجلٌ ترك السعي حتّى انتقضت الأيّام واُعيدت الأصنام، فجاؤوا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فلاناً لم يسع بين الصفا والمروة وقد اُعيدت الأصنام، فأنزل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عَلَيْهِ أَنْ يَطَّوَّفَ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عليهما الأصنام</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العرفان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المسلمين كانوا في بدأ الإسلام يرون أنّ فيه جُناحاً، بسبب ما حكي أنّ أسافاً ونائلة زنيا في الكعبة، فمُسِخا حَجَرين ووضعا على الصفا والمروة للاعتبار، فلمّا طال الزمان توهّم أنّ الطواف كان تعظيماً للصَّنمين، فلمّا جاء الإسلام وكُسرت الأصنام، تحرّج المسلمون من السعي بينهما، فرفع اللّه ذلك الحرج</w:t>
      </w:r>
      <w:r>
        <w:rPr>
          <w:rFonts w:eastAsia="Amiri" w:cs="Amiri" w:ascii="Amiri" w:hAnsi="Amiri"/>
          <w:color w:val="111111"/>
          <w:sz w:val="28"/>
          <w:szCs w:val="28"/>
          <w:rtl w:val="true"/>
          <w:lang w:bidi="ar-SA"/>
        </w:rPr>
        <w:t>)</w:t>
      </w:r>
      <w:r>
        <w:rPr>
          <w:rStyle w:val="FootnoteAnchor"/>
          <w:rtl w:val="true"/>
        </w:rPr>
        <w:footnoteReference w:id="69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سهواً ويعود لأجله، فإنْ تعذّر إستناب،</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وقت الترك والفوات كما تقدّم في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الحَجّ بتركه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 لأجله، فإنْ تعذّر استناب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شقّ عليه، بلا خلافٍ‌</w:t>
      </w:r>
      <w:r>
        <w:rPr>
          <w:rStyle w:val="FootnoteAnchor"/>
          <w:rtl w:val="true"/>
        </w:rPr>
        <w:footnoteReference w:id="697"/>
      </w:r>
      <w:r>
        <w:rPr>
          <w:rFonts w:ascii="Amiri" w:hAnsi="Amiri" w:eastAsia="Amiri" w:cs="Amiri"/>
          <w:color w:val="111111"/>
          <w:sz w:val="28"/>
          <w:sz w:val="28"/>
          <w:szCs w:val="28"/>
          <w:rtl w:val="true"/>
          <w:lang w:bidi="ar-SA"/>
        </w:rPr>
        <w:t>في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فالنصوص متّفقة عليه، وكذا لزوم القضاء، وأيضاً لا كلام في أنّه في صورة التعذّر والتعسّر يستنيب، إنّما الكلام في أنّه مع عدم التعذّر هل تجبُ المباشرة، أم يجوز الاستنابة‌؟</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في المقام طائفتان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وجوب المباشرة وإنْ رجع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نسي السعي بين الصفا والمروة‌؟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خرج‌؟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فيعيد السعي، إنّ هذا ليس كرمي الجمار، إنّ الرّمي سنة، والسعي بين الصفا والمروة فريضة</w:t>
      </w:r>
      <w:r>
        <w:rPr>
          <w:rFonts w:eastAsia="Amiri" w:cs="Amiri" w:ascii="Amiri" w:hAnsi="Amiri"/>
          <w:color w:val="111111"/>
          <w:sz w:val="28"/>
          <w:szCs w:val="28"/>
          <w:rtl w:val="true"/>
          <w:lang w:bidi="ar-SA"/>
        </w:rPr>
        <w:t>»</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جواز الاستنابة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نسي أن يطوف بين الصفا والمروة‌؟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يطاف عنه</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ونحوه خبر زيد الشحّام</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في الجمع بين الطائفتين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المشهور، وهو حمل الأولى على صورة عدم التعذّر والتعسّر، والثانية على صورة التعذّر أو المشقّة، واستشهد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بالفتاوى، والإجماع المحكيّ‌، وقاعدة المباشرة في بعض الأفراد، ونفي الحرج، وقبوله للنيابة في آخر بما عرفت</w:t>
      </w:r>
      <w:r>
        <w:rPr>
          <w:rFonts w:eastAsia="Amiri" w:cs="Amiri" w:ascii="Amiri" w:hAnsi="Amiri"/>
          <w:color w:val="111111"/>
          <w:sz w:val="28"/>
          <w:szCs w:val="28"/>
          <w:rtl w:val="true"/>
          <w:lang w:bidi="ar-SA"/>
        </w:rPr>
        <w:t>)</w:t>
      </w:r>
      <w:r>
        <w:rPr>
          <w:rStyle w:val="FootnoteAnchor"/>
          <w:rtl w:val="true"/>
        </w:rPr>
        <w:footnoteReference w:id="70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كما ترى جمعٌ تبرّعي لا شاهد له في بادي النظر، وما أفاده رحمه الله لا يصلح شاهداً للجمع بين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بينهما بالبناء على التخيّير، وهذا جمعٌ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الطائفة الثانية مختصّة بصورة التعذّر أو التعسّر، فإنّ المفروض فيها التذكّر بعد الرجوع إلى أهله، وهذا يلازم غالباً التعذّر أو المشقّة، فيقيّد بها إطلاق 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فالنتيجة ما أفاده المشهور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عموم العلّة في صحيح معاوية المتقدّم، في نسيان الطواف، المتضمّن أنّه لا يجوز الاستنابة فيه ما دام حيّاً لكونه فريضة، الموجب لعدم جوازها في المقام أيضاً، لأنّ السعي أيضاً فريضة كما نصّ عليه صحيح معاوية المتقدّم آنفاً، فيقيّد إطلاقه بنصوص الاستنابة في صورة التعذّر أو المشقّة، واللّه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الجاهل ملحقٌ بالعامد كما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70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703"/>
      </w:r>
      <w:r>
        <w:rPr>
          <w:rFonts w:ascii="Amiri" w:hAnsi="Amiri" w:eastAsia="Amiri" w:cs="Amiri"/>
          <w:color w:val="111111"/>
          <w:sz w:val="28"/>
          <w:sz w:val="28"/>
          <w:szCs w:val="28"/>
          <w:rtl w:val="true"/>
          <w:lang w:bidi="ar-SA"/>
        </w:rPr>
        <w:t>وغيرهما، أم ملحقٌ بالناسي‌؟</w:t>
      </w:r>
    </w:p>
    <w:p>
      <w:pPr>
        <w:pStyle w:val="BookText"/>
        <w:rPr/>
      </w:pPr>
      <w:r>
        <w:rPr>
          <w:rFonts w:ascii="Amiri" w:hAnsi="Amiri" w:eastAsia="Amiri" w:cs="Amiri"/>
          <w:color w:val="111111"/>
          <w:sz w:val="28"/>
          <w:sz w:val="28"/>
          <w:szCs w:val="28"/>
          <w:rtl w:val="true"/>
          <w:lang w:bidi="ar-SA"/>
        </w:rPr>
        <w:t>وجهان؛ أقواهما الأوّل، كما هو مقتضى القاعدة المشار إليها، بل لا يبعدُ دعوى شمول نصوص الترك متعمّداً له، سيّما بملاحظة أنّ العالم لا يتركُ متعمّداً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37" w:name="pg11810_104273"/>
    </w:p>
    <w:p>
      <w:pPr>
        <w:pStyle w:val="BookText"/>
        <w:rPr/>
      </w:pPr>
      <w:bookmarkEnd w:id="137"/>
      <w:r>
        <w:rPr>
          <w:rFonts w:ascii="Amiri" w:hAnsi="Amiri" w:eastAsia="Amiri" w:cs="Amiri"/>
          <w:color w:val="111111"/>
          <w:sz w:val="28"/>
          <w:sz w:val="28"/>
          <w:szCs w:val="28"/>
          <w:rtl w:val="true"/>
          <w:lang w:bidi="ar-SA"/>
        </w:rPr>
        <w:t>ولو زاد على السَّبع عَمداً بطل</w:t>
      </w:r>
    </w:p>
    <w:p>
      <w:pPr>
        <w:pStyle w:val="Heading2"/>
        <w:numPr>
          <w:ilvl w:val="1"/>
          <w:numId w:val="1"/>
        </w:numPr>
        <w:rPr/>
      </w:pPr>
      <w:bookmarkStart w:id="138" w:name="__RefHeading___Toc10745850_73709187"/>
      <w:bookmarkStart w:id="139" w:name="_Toc46"/>
      <w:bookmarkEnd w:id="138"/>
      <w:r>
        <w:rPr>
          <w:rtl w:val="true"/>
        </w:rPr>
        <w:t>حكم الزّيادة على السّبع متعمّداً</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زاد على السَّبع عمداً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فيه</w:t>
      </w:r>
      <w:r>
        <w:rPr>
          <w:rStyle w:val="FootnoteAnchor"/>
          <w:rtl w:val="true"/>
        </w:rPr>
        <w:footnoteReference w:id="704"/>
      </w:r>
      <w:r>
        <w:rPr>
          <w:rFonts w:ascii="Amiri" w:hAnsi="Amiri" w:eastAsia="Amiri" w:cs="Amiri"/>
          <w:color w:val="111111"/>
          <w:sz w:val="28"/>
          <w:sz w:val="28"/>
          <w:szCs w:val="28"/>
          <w:rtl w:val="true"/>
          <w:lang w:bidi="ar-SA"/>
        </w:rPr>
        <w:t>، ويشهد به خبر عبد اللّه بن محمّد، عن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المفروض إذا زِدْتَ عليه مثل الصلاة المفروضة، فإذا زدت عليها فعليك الإعادة، وكذا السعي</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ومناقشة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سنداً</w:t>
      </w:r>
      <w:r>
        <w:rPr>
          <w:rStyle w:val="FootnoteAnchor"/>
          <w:rtl w:val="true"/>
        </w:rPr>
        <w:footnoteReference w:id="706"/>
      </w:r>
      <w:r>
        <w:rPr>
          <w:rFonts w:ascii="Amiri" w:hAnsi="Amiri" w:eastAsia="Amiri" w:cs="Amiri"/>
          <w:color w:val="111111"/>
          <w:sz w:val="28"/>
          <w:sz w:val="28"/>
          <w:szCs w:val="28"/>
          <w:rtl w:val="true"/>
          <w:lang w:bidi="ar-SA"/>
        </w:rPr>
        <w:t>، بعد كون الراوي عن من توهم كونه ضعيفاً من نقل إجماع العصابة على تصحيح ما يصحّ عنه، واستناد الأصحاب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غير محلّها، مع أنّ الضعف إنّما هو من جهة الاشتراك بين الثقة وغيره، وقيل إنّه الثقة، ولذا وصفه العلماء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إطلاقه مبطليّة الزيادة، سواءٌ قصد الإتيان بالزائد من الأوّل أو في الأثناء، أو تجدّد له تعمّد الزيادة بعد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عدم شموله للأخير، مرَّ اندفاعها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يعتبر في صدق الزيادة الإتيان بالزائد بقصد أنّه من السعي، وإلّا فلا تصدق كما مرَّ في الطواف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ويشهد لأصل الحكم أيضاً صحيح معاوية،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طاف الرّجل بين الصفا والمروة تسعة أشواط، فليسع على واحدٍ وليطرح ثمانية، وإنْ طاف بين الصفا والمروة ثمانية أشواط فليطرحها وليستأنف السعي</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وغيره</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العامد، ويدلّ على مبطليّة الزيادة، فالشوط الثامن يُبطل الاسبوع الأوّل، وحيثُ أنّ مبدأه المروة يكون باطلاً بنفسه أيضاً، ولذا أمر بطرح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الشوط التاسع فمبدأه المروة فيصحّ‌، ويكون ابتداء السعي والاسبوع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العامد إنْ أتى بهما بقصد الزيادة، فكيف يجعل الشوط التاسع صحيحاً ومبدأ للاسبوع الثاني، مع أنّه تشريع وباطلٌ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أتى بهما بعنوان السعي الثاني مشروعاً كان أم لا لم يصدق الزيادة ولم يوجب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أو لغيره حمله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الصدوق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النسيان، وأورد عليه بأنّه منافٍ للنص والفتوى</w:t>
      </w:r>
      <w:r>
        <w:rPr>
          <w:rStyle w:val="FootnoteAnchor"/>
          <w:rtl w:val="true"/>
        </w:rPr>
        <w:footnoteReference w:id="710"/>
      </w:r>
      <w:r>
        <w:rPr>
          <w:rFonts w:ascii="Amiri" w:hAnsi="Amiri" w:eastAsia="Amiri" w:cs="Amiri"/>
          <w:color w:val="111111"/>
          <w:sz w:val="28"/>
          <w:sz w:val="28"/>
          <w:szCs w:val="28"/>
          <w:rtl w:val="true"/>
          <w:lang w:bidi="ar-SA"/>
        </w:rPr>
        <w:t>على عدم مبطليّة الزيادة السهويّة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فالصحيح المزبور غير ظاهر الوجه، فالمتّجه الإعراض عنه والتعويل على غيره</w:t>
      </w:r>
      <w:r>
        <w:rPr>
          <w:rFonts w:eastAsia="Amiri" w:cs="Amiri" w:ascii="Amiri" w:hAnsi="Amiri"/>
          <w:color w:val="111111"/>
          <w:sz w:val="28"/>
          <w:szCs w:val="28"/>
          <w:rtl w:val="true"/>
          <w:lang w:bidi="ar-SA"/>
        </w:rPr>
        <w:t>)</w:t>
      </w:r>
      <w:r>
        <w:rPr>
          <w:rStyle w:val="FootnoteAnchor"/>
          <w:rtl w:val="true"/>
        </w:rPr>
        <w:footnoteReference w:id="71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من الحديث هو العموم للصورتين، غاية الأمر يُخصّص بالعامد، لما سيأتي من النصوص في 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 عن الإشكال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الشوطين الزائدين إذا أتى بهما بما أنّهما من السعي الأوّل يصدق الزيادة، ويوجب بطلان الاسبوع الأوّل، والشوط الأوّل منهما أيضاً باطل للابتداء من المروة، وأمّا الثاني منهما فلا وجه لبطلانه، إذ المفروض أنّ السعي واجب عليه لفرض بطلان الأوّل، وما أتى به واجدٌ لجميع القيود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وجه لبطلانه سوى توهم أنّ الإتيان به من الأوّل تشريعٌ محرّم، أو أنّه بهذا العنوان غير مأمورٍ به قطعاً، فلو وقع جزءٌ من السعي الثاني لزم وقوع ما لم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قصد كونه من الأوّل لم يظهر من دليل كونه من الموانع، فالمأتيّ به ينطبق عليه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قصد كونه من الأوّل أو الثاني ليس من الاُمور الدخيلة في المأمور به، فلا يلزم وقوع ما لم يقصد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البطلان مع الزيادة العمديّة خالٍ عن الإشكال، فإشكال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فيه مستنداً إلى أنّه لا مدرك له سوى خبر عبد اللّه بن محمّد وهو ضعيفٌ‌، في غير محلّه، لما عرفت من دلالة صحيح معاوية أيضاً عليه، وأنّ خبر عبداللّه بن محمّد صحيحٌ أو بحكمه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40" w:name="pg11810_104276"/>
    </w:p>
    <w:p>
      <w:pPr>
        <w:pStyle w:val="BookText"/>
        <w:rPr/>
      </w:pPr>
      <w:bookmarkEnd w:id="140"/>
      <w:r>
        <w:rPr>
          <w:rFonts w:ascii="Amiri" w:hAnsi="Amiri" w:eastAsia="Amiri" w:cs="Amiri"/>
          <w:color w:val="111111"/>
          <w:sz w:val="28"/>
          <w:sz w:val="28"/>
          <w:szCs w:val="28"/>
          <w:rtl w:val="true"/>
          <w:lang w:bidi="ar-SA"/>
        </w:rPr>
        <w:t>لا سهواً</w:t>
      </w:r>
    </w:p>
    <w:p>
      <w:pPr>
        <w:pStyle w:val="Heading2"/>
        <w:numPr>
          <w:ilvl w:val="1"/>
          <w:numId w:val="1"/>
        </w:numPr>
        <w:rPr/>
      </w:pPr>
      <w:bookmarkStart w:id="141" w:name="__RefHeading___Toc10745852_73709187"/>
      <w:bookmarkStart w:id="142" w:name="_Toc47"/>
      <w:bookmarkEnd w:id="141"/>
      <w:r>
        <w:rPr>
          <w:rtl w:val="true"/>
        </w:rPr>
        <w:t>حكم الزيادة في السعي سهواً</w:t>
      </w:r>
      <w:bookmarkEnd w:id="142"/>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السعي بالزيادة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Style w:val="FootnoteAnchor"/>
          <w:rtl w:val="true"/>
        </w:rPr>
        <w:footnoteReference w:id="713"/>
      </w:r>
      <w:r>
        <w:rPr>
          <w:rFonts w:ascii="Amiri" w:hAnsi="Amiri" w:eastAsia="Amiri" w:cs="Amiri"/>
          <w:color w:val="111111"/>
          <w:sz w:val="28"/>
          <w:sz w:val="28"/>
          <w:szCs w:val="28"/>
          <w:rtl w:val="true"/>
          <w:lang w:bidi="ar-SA"/>
        </w:rPr>
        <w:t>، والنصوص الآتي طرفٌ منها شاهدة به، إنّما الكلام في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يتخيّر بين إهدار الشوط الزائد فما زاد والبناء على السبعة، وبين إكمال اسبوعين كما في الطواف، وهو المشهور بين الأصحاب</w:t>
      </w:r>
      <w:r>
        <w:rPr>
          <w:rStyle w:val="FootnoteAnchor"/>
          <w:rtl w:val="true"/>
        </w:rPr>
        <w:footnoteReference w:id="71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يتعيّن الثاني كما عن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71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يتعيّن الأوّل كما عن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 xml:space="preserve">؟ وجعله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أحوط</w:t>
      </w:r>
      <w:r>
        <w:rPr>
          <w:rStyle w:val="FootnoteAnchor"/>
          <w:rtl w:val="true"/>
        </w:rPr>
        <w:footnoteReference w:id="71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للمشهور أنّه مقتضى الجمع بين طائفتين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الأوّل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الحجّاج، عن أبي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سعى بين الصفا والمروة ثمانية أشواط، ما عليه‌؟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خطأ اطرح واحداً واعتدّ بسبعة</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طاف بين الصّفا والمروة خمسة عشر شوطاً، طرح ثمانية واعتدّ بسبعة</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ونحوهما غيرهما، وهي مستندة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الإكمال، وهي صحيحة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طاف بالبيت فاستيقن أنّه طاف ثمانية أشواط؟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يضيف إليها ستّة، وكذلك إذا استيقن أنّه طاف بين الصفا والمروة ثمانية، فليضف إليها ستّة</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Style w:val="FootnoteAnchor"/>
          <w:rtl w:val="true"/>
        </w:rPr>
        <w:footnoteReference w:id="722"/>
      </w:r>
      <w:r>
        <w:rPr>
          <w:rFonts w:ascii="Amiri" w:hAnsi="Amiri" w:eastAsia="Amiri" w:cs="Amiri"/>
          <w:color w:val="111111"/>
          <w:sz w:val="28"/>
          <w:sz w:val="28"/>
          <w:szCs w:val="28"/>
          <w:rtl w:val="true"/>
          <w:lang w:bidi="ar-SA"/>
        </w:rPr>
        <w:t>على الطائفة الثانية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السعي ليس كالطواف والصلاة يقع واجباً تارةً ومستحبّاً اُخرى، ولم نقف في غير هذا الخبر على ما يدلّ على استحباب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 الطواف ثمانية كون الابتداء في الاسبوع الثاني بالمروة، فكيف يجوزُ أن يعتدّ به ويبني عليه سعياً مستأنفاً، مع اتّفاق الأصحاب على أنّه لا يعتدّ بالسعي الذي بدأ فيه من المروة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ذلك أظهر تعجبه من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لم يتنبّه لذلك، وجَمَد على موافقة الأصحاب في هذا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منه قدس سره كيف يطرح الخبر الصحيح المعمول به بين الأصحاب، بمثل هذه الوجوه التي هي اجتهادات في مقابل النص، إذ أي مانعٍ من كون السعي في خصوص المقام مستحبّاً، وفي أنّه يجوز أن يبدأ بالمروة في الاسبوع الثاني، ويخصّص العمومات بالصحيح، فالأظهر هو ما عن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النصوص يقيّد إطلاق ما دلّ على مبطليّة الزيادة في السعي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ومورد هذه النصوص الآمرة بالطرح والإكمال، ما إذا أكمل الشوط الثامن، وعليه فالإكمال المتوقّف على ثبوت استحبابه، يتوقّف عليه، فإذا كان في أثناء الشوط الثامن، فإنّه لا دليل على جواز إكماله، والأصل عدمه، كما صرّح به ابن زُهرة</w:t>
      </w:r>
      <w:r>
        <w:rPr>
          <w:rStyle w:val="FootnoteAnchor"/>
          <w:rtl w:val="true"/>
        </w:rPr>
        <w:footnoteReference w:id="723"/>
      </w:r>
      <w:r>
        <w:rPr>
          <w:rFonts w:ascii="Amiri" w:hAnsi="Amiri" w:eastAsia="Amiri" w:cs="Amiri"/>
          <w:color w:val="111111"/>
          <w:sz w:val="28"/>
          <w:sz w:val="28"/>
          <w:szCs w:val="28"/>
          <w:rtl w:val="true"/>
          <w:lang w:bidi="ar-SA"/>
        </w:rPr>
        <w:t>والشهيد الثاني</w:t>
      </w:r>
      <w:r>
        <w:rPr>
          <w:rStyle w:val="FootnoteAnchor"/>
          <w:rtl w:val="true"/>
        </w:rPr>
        <w:footnoteReference w:id="724"/>
      </w:r>
      <w:r>
        <w:rPr>
          <w:rFonts w:ascii="Amiri" w:hAnsi="Amiri" w:eastAsia="Amiri" w:cs="Amiri"/>
          <w:color w:val="111111"/>
          <w:sz w:val="28"/>
          <w:sz w:val="28"/>
          <w:szCs w:val="28"/>
          <w:rtl w:val="true"/>
          <w:lang w:bidi="ar-SA"/>
        </w:rPr>
        <w:t xml:space="preserve">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25"/>
      </w:r>
      <w:r>
        <w:rPr>
          <w:rFonts w:ascii="Amiri" w:hAnsi="Amiri" w:eastAsia="Amiri" w:cs="Amiri"/>
          <w:color w:val="111111"/>
          <w:sz w:val="28"/>
          <w:sz w:val="28"/>
          <w:szCs w:val="28"/>
          <w:rtl w:val="true"/>
          <w:lang w:bidi="ar-SA"/>
        </w:rPr>
        <w:t>وغيرهم، ونصوص الإطراح أيضاً مختصّة به، إلّاأنّه إذا لم يبطل بزيادة شوطٍ سهواً، فلئلّا يبطل بزيادة بعض شوطٍ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في الفرض طرح الزائد، والإعتداد بسبعة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43" w:name="pg11810_104279"/>
    </w:p>
    <w:p>
      <w:pPr>
        <w:pStyle w:val="BookText"/>
        <w:rPr/>
      </w:pPr>
      <w:bookmarkEnd w:id="143"/>
      <w:r>
        <w:rPr>
          <w:rFonts w:ascii="Amiri" w:hAnsi="Amiri" w:eastAsia="Amiri" w:cs="Amiri"/>
          <w:color w:val="111111"/>
          <w:sz w:val="28"/>
          <w:sz w:val="28"/>
          <w:szCs w:val="28"/>
          <w:rtl w:val="true"/>
          <w:lang w:bidi="ar-SA"/>
        </w:rPr>
        <w:t>ويعيده لو لم يَحصل عدد أشواطه</w:t>
      </w:r>
    </w:p>
    <w:p>
      <w:pPr>
        <w:pStyle w:val="Heading2"/>
        <w:numPr>
          <w:ilvl w:val="1"/>
          <w:numId w:val="1"/>
        </w:numPr>
        <w:rPr/>
      </w:pPr>
      <w:bookmarkStart w:id="144" w:name="__RefHeading___Toc10745854_73709187"/>
      <w:bookmarkStart w:id="145" w:name="_Toc48"/>
      <w:bookmarkEnd w:id="144"/>
      <w:r>
        <w:rPr>
          <w:rtl w:val="true"/>
        </w:rPr>
        <w:t>الشكّ في عدد الأسواط</w:t>
      </w:r>
      <w:bookmarkEnd w:id="145"/>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يحصل عدد أشواطه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لو شكّ فيه فيما دون السبعة عليه الإعادة، كما صرّح به غير واحد</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ونخبة القول في هذه المسألة،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الزائد على عدد الأشواط، كما لو علم السبعة وشكّ في الزائد، فلا إشكال ولا كلام في أنّه يصحّ سعيه، ولا شيء عليه؛ لتحقّق الواجب، وعدم منافاة الزيادة السهويّة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 على وجه ينافي البدأة بالصَّفا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على الصفا وشكّ بين السبعة والتسعة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حينئذٍ يعلم أنّه بدأ بالمروة، فيبطل سعيه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فيما دون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 بين الستّة والسبعة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القاعدة أنّه إنْ لم يتجاوز محلّه بالدخول في الغير المترتّب الشرعي، وجب عليه الإتيان بالزائد، ويصحّ سعيه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يبطل سعيه لتردّده بين محذوري الزيادة والنقيصة اللّتين كلّ منهما مبطلة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احتمال الزيادة يُنفى بالأصل، فيأتي بما يحتمل النقص ولا شيء عليه، مع أنّ الإتيان بالشوط لا بداعي الزيادة في السعي، بل باحتمال كونه من عدد الاسبوع وباحتمال الأمر، لا يشمله دليل مبطليّة الزيادة كما تقدّم، وإنْ مضى محلّه لا يعتني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المقام روايتين تقتضيان خلاف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متمتّع سعى بين الصفا والمروة ستّة أشواط، ثمّ رجع إلى منزله وهو يرى أنّه قد فرغ منه، وقلّم أظافيره، وأحلّ‌، ثمّ ذكر أنّه سعى ستّة أشواط؟</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 أنّه قد سعى ستّة أشواط، فإنْ كان يحفظ أنّه قد سعى ستّة أشواط، فليعد وليتم شوطاً وليرق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ماذا؟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حفظ أنّه قد سعى ستّة، فليعد فليبتدأ السّعي حتّى يكمل سبعة أشواط ثمّ ليرق دم بقرة</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صحيح ابن عمّار المتقدّم في بعض المسائل المتقدّمة، والوارد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لم يعلم ما نقص فعليه أن يسعى سعياً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يدلّان على أنّ الشكّ في النقيصة موجبٌ لبطلان السعي، ولو كان بعد الفراغ من العمل، كما هو فتوى الأصحاب، وبهما يرفع اليد عن ما تقتضية القواعد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46" w:name="pg11810_104281"/>
    </w:p>
    <w:p>
      <w:pPr>
        <w:pStyle w:val="BookText"/>
        <w:rPr/>
      </w:pPr>
      <w:bookmarkEnd w:id="146"/>
      <w:r>
        <w:rPr>
          <w:rFonts w:ascii="Amiri" w:hAnsi="Amiri" w:eastAsia="Amiri" w:cs="Amiri"/>
          <w:color w:val="111111"/>
          <w:sz w:val="28"/>
          <w:sz w:val="28"/>
          <w:szCs w:val="28"/>
          <w:rtl w:val="true"/>
          <w:lang w:bidi="ar-SA"/>
        </w:rPr>
        <w:t>ولو قطع سعيه لقضاء حاجةٍ أو لصلاة فريضةٍ تمَّمه،</w:t>
      </w:r>
    </w:p>
    <w:p>
      <w:pPr>
        <w:pStyle w:val="Heading2"/>
        <w:numPr>
          <w:ilvl w:val="1"/>
          <w:numId w:val="1"/>
        </w:numPr>
        <w:rPr/>
      </w:pPr>
      <w:bookmarkStart w:id="147" w:name="__RefHeading___Toc10745856_73709187"/>
      <w:bookmarkStart w:id="148" w:name="_Toc49"/>
      <w:bookmarkEnd w:id="147"/>
      <w:r>
        <w:rPr>
          <w:rtl w:val="true"/>
        </w:rPr>
        <w:t>حكم قطع السعي في وقت الفريضة</w:t>
      </w:r>
      <w:bookmarkEnd w:id="148"/>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قطع سعيه لقضاء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استحباباً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لصلاة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حاضرة وجوباً إذا ضاق وقتها، واستحباباً إذا لم يضق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مطلقاً، ولو كان ما سعى شوطاً واحداً، على الأشهر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29"/>
      </w:r>
      <w:r>
        <w:rPr>
          <w:rFonts w:ascii="Amiri" w:hAnsi="Amiri" w:eastAsia="Amiri" w:cs="Amiri"/>
          <w:color w:val="111111"/>
          <w:sz w:val="28"/>
          <w:sz w:val="28"/>
          <w:szCs w:val="28"/>
          <w:rtl w:val="true"/>
          <w:lang w:bidi="ar-SA"/>
        </w:rPr>
        <w:t xml:space="preserve">، وفاقاً للمشهور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نعلم فيه خلافاً</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 xml:space="preserve">، ولكن ذكر ذلك في المورد الثاني،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يدخل في السعي بين الصفا والمروة فيدخل وقت الصلاة، أيخفّف أو يقطع ويُصلّي ثمّ يعود، أو يثبت كما هو على حاله حتّى يفرغ‌؟</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يُصلّي ثمّ يعود، أو ليس عليهما مسجد</w:t>
      </w:r>
      <w:r>
        <w:rPr>
          <w:rFonts w:eastAsia="Amiri" w:cs="Amiri" w:ascii="Amiri" w:hAnsi="Amiri"/>
          <w:color w:val="111111"/>
          <w:sz w:val="28"/>
          <w:szCs w:val="28"/>
          <w:rtl w:val="true"/>
          <w:lang w:bidi="ar-SA"/>
        </w:rPr>
        <w:t>»</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موضع صلاة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الصحيح صريح في دلالته على جواز القطع بل وأفضليّته، ولا يدلّ على </w:t>
      </w:r>
    </w:p>
    <w:p>
      <w:pPr>
        <w:pStyle w:val="BookText"/>
        <w:rPr/>
      </w:pPr>
      <w:r>
        <w:rPr>
          <w:rFonts w:ascii="Amiri" w:hAnsi="Amiri" w:eastAsia="Amiri" w:cs="Amiri"/>
          <w:color w:val="111111"/>
          <w:sz w:val="28"/>
          <w:sz w:val="28"/>
          <w:szCs w:val="28"/>
          <w:rtl w:val="true"/>
          <w:lang w:bidi="ar-SA"/>
        </w:rPr>
        <w:t>البناء على ما أتى به، بل وغير متعرّض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علي بن فضال،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محمّد بن علي أبا الحسن عليه السلام،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سعيتُ شوطاً واحداً ثمّ طلع الفجر؟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ثمّ عُد فأتمّ سعيك</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موثّق محمّد بن الفضيل</w:t>
      </w:r>
      <w:r>
        <w:rPr>
          <w:rStyle w:val="FootnoteAnchor"/>
          <w:rtl w:val="true"/>
        </w:rPr>
        <w:footnoteReference w:id="735"/>
      </w:r>
      <w:r>
        <w:rPr>
          <w:rFonts w:ascii="Amiri" w:hAnsi="Amiri" w:eastAsia="Amiri" w:cs="Amiri"/>
          <w:color w:val="111111"/>
          <w:sz w:val="28"/>
          <w:sz w:val="28"/>
          <w:szCs w:val="28"/>
          <w:rtl w:val="true"/>
          <w:lang w:bidi="ar-SA"/>
        </w:rPr>
        <w:t>، ودلالتهما على المطلوب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صفوان، عن يحيى بن عبد الرحمن الأزرق،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الرّجل يدخل في السعي بين الصفا والمروة، فيسعى ثلاثة أشواط أو أربعة ثمّ يلقاه الصديق له فيدعوه إلى الحاجة أو إلى الطعام‌؟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أجابه فلا بأس</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الخبر أيضاً أجنبيٌ عن المدّعى، بل يدلّ على جواز القطع خاصّة، وعلى ذلك فلا دليل على المطلوب في القطع لقضاء حاجة، ولذلك حكي عن المفيد</w:t>
      </w:r>
      <w:r>
        <w:rPr>
          <w:rStyle w:val="FootnoteAnchor"/>
          <w:rtl w:val="true"/>
        </w:rPr>
        <w:footnoteReference w:id="737"/>
      </w:r>
      <w:r>
        <w:rPr>
          <w:rFonts w:ascii="Amiri" w:hAnsi="Amiri" w:eastAsia="Amiri" w:cs="Amiri"/>
          <w:color w:val="111111"/>
          <w:sz w:val="28"/>
          <w:sz w:val="28"/>
          <w:szCs w:val="28"/>
          <w:rtl w:val="true"/>
          <w:lang w:bidi="ar-SA"/>
        </w:rPr>
        <w:t>وسلّار</w:t>
      </w:r>
      <w:r>
        <w:rPr>
          <w:rStyle w:val="FootnoteAnchor"/>
          <w:rtl w:val="true"/>
        </w:rPr>
        <w:footnoteReference w:id="738"/>
      </w:r>
      <w:r>
        <w:rPr>
          <w:rFonts w:ascii="Amiri" w:hAnsi="Amiri" w:eastAsia="Amiri" w:cs="Amiri"/>
          <w:color w:val="111111"/>
          <w:sz w:val="28"/>
          <w:sz w:val="28"/>
          <w:szCs w:val="28"/>
          <w:rtl w:val="true"/>
          <w:lang w:bidi="ar-SA"/>
        </w:rPr>
        <w:t xml:space="preserve">أنّهما جعلاه في القطع لحاجة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كالطواف في افتراق مجاوزة النصف عن 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واستدلاله بخبرين آتيين لا بقياس السعي على الطواف، كي يرد عليهما ما عن المصنّف</w:t>
      </w:r>
      <w:r>
        <w:rPr>
          <w:rStyle w:val="FootnoteAnchor"/>
          <w:rtl w:val="true"/>
        </w:rPr>
        <w:footnoteReference w:id="739"/>
      </w:r>
      <w:r>
        <w:rPr>
          <w:rFonts w:ascii="Amiri" w:hAnsi="Amiri" w:eastAsia="Amiri" w:cs="Amiri"/>
          <w:color w:val="111111"/>
          <w:sz w:val="28"/>
          <w:sz w:val="28"/>
          <w:szCs w:val="28"/>
          <w:rtl w:val="true"/>
          <w:lang w:bidi="ar-SA"/>
        </w:rPr>
        <w:t>بأنّه قياسٌ مع الفارق، لأنّ حرمة الطواف أكثر من حرمة السعي، فالقطع لقضاء الحاجة، حكمه حكم القطع لغيره في ذلك، فالأولى البحث في العنوان العام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جواز البناء على ما أتى به ولو كان شوطاً واحداً ممّا يقتضيه القاعدة، فإنّه لا يعتبر الموالاة بين أشواط السعي،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 وظاهرهما كون الحكم متّفقاً عليه للأصل بعد عدم الدليل على اعتبارها، وعليه فيجوز القطع لغير داعٍ حيث لا يخاف الفوت، فلو أتى بشوط وقطعه ثمّ عاد، له البناء على ما أتى به، ويؤيّده ما ورد في الاستراحة ولقضاء حاجة وللدّعاء إلى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لاعتبار الموالاة بالتأسّي، وبأنّه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إتيانهم عليهم السلام بالأشواط متوالية لم يظهر كونه منسكاً كي يكون مورداً للتأسّي، ولعلّه من باب أحد الأفراد، سيّما بعد ورود النصوص بجواز القطع لصلاة الفريضة ولقضاء الحاجة ولتلبية الدعوة إلى الطعام، مع أنّ غاية ما يمكن أن يستفاد من التأسّي عدم جواز القطع لا وجوب الموالاة، كما هو واضح، والثاني يندفع بأنّه لا ملزم للاقتصار على المتيقّن بعد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عدم جريان البراءة عند الشكّ في شرطيّة شيء أو جزئيّته للمأمور به، يتمّ ما أفاده، ولكن المبنى فاسدٌ كما حُقّق في الاُصول</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لما ذهب إليه المفيد وسلّار</w:t>
      </w:r>
      <w:r>
        <w:rPr>
          <w:rFonts w:eastAsia="Amiri" w:cs="Amiri" w:ascii="Amiri" w:hAnsi="Amiri"/>
          <w:color w:val="111111"/>
          <w:sz w:val="28"/>
          <w:szCs w:val="28"/>
          <w:rtl w:val="true"/>
          <w:lang w:bidi="ar-SA"/>
        </w:rPr>
        <w:t>:</w:t>
      </w:r>
      <w:r>
        <w:rPr>
          <w:rStyle w:val="FootnoteAnchor"/>
          <w:rtl w:val="true"/>
        </w:rPr>
        <w:footnoteReference w:id="743"/>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بخبر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حاضت المرأة وهي في الطواف بالبيت، وبين الصفا والمروة، فجاوزت النصف، فعلمت ذلك الموضع، فإذا طهرت رجعت فأتمّت بقيّة طوافها من الموضع الذي علمته، فإنْ هي قطعت طوافها في أقلّ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النصف فعليها أن تستأنف الطواف من أوّله</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ونحوه خبر أحمد بن عمر الحلال، عن أبي الحسن عليه السلام</w:t>
      </w:r>
      <w:r>
        <w:rPr>
          <w:rStyle w:val="FootnoteAnchor"/>
          <w:rtl w:val="true"/>
        </w:rPr>
        <w:footnoteReference w:id="745"/>
      </w:r>
      <w:r>
        <w:rPr>
          <w:rFonts w:ascii="Amiri" w:hAnsi="Amiri" w:eastAsia="Amiri" w:cs="Amiri"/>
          <w:color w:val="111111"/>
          <w:sz w:val="28"/>
          <w:sz w:val="28"/>
          <w:szCs w:val="28"/>
          <w:rtl w:val="true"/>
          <w:lang w:bidi="ar-SA"/>
        </w:rPr>
        <w:t>، بدعوى أنّ الطواف عامٌ شاملٌ للسعي بقرينة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الخبرين ضعيفان، أمّا الأوّل فلمقام سلمة بن الخطّاب، وأمّا الثاني فللإرسال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الأصحاب أعرضوا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الجواب ظاهرٌ في خصوص الطواف، والسؤال لا يصلح قرينة على إرادة العموم منه، ولعلّه لم يجب عن حدوث الحيض في أثناءالسعي، سيّما وأنّ حدوث الحيض في أثنائه لا يمنعُ من إتمامه كما دلّت عليه النصوص، وهو مورد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تجب الموالاة فيه، وأنّه لو قطعه لغرضٍ أو لا لغرضٍ يبني على ما 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مبحث الطواف، حكم ما لو قطعه لتدارك الطواف أو بعضه أو ركعتيه، فراجع</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149" w:name="pg11810_104285"/>
    </w:p>
    <w:p>
      <w:pPr>
        <w:pStyle w:val="BookText"/>
        <w:rPr/>
      </w:pPr>
      <w:bookmarkEnd w:id="149"/>
      <w:r>
        <w:rPr>
          <w:rFonts w:ascii="Amiri" w:hAnsi="Amiri" w:eastAsia="Amiri" w:cs="Amiri"/>
          <w:color w:val="111111"/>
          <w:sz w:val="28"/>
          <w:sz w:val="28"/>
          <w:szCs w:val="28"/>
          <w:rtl w:val="true"/>
          <w:lang w:bidi="ar-SA"/>
        </w:rPr>
        <w:t>ولو ظنَّ الإتمام فأحلّ‌، وواقع أهله، وقلّم الأظفار، ثمّ ذكر نسيان شوطٍ، أتمّ ويكفِّر ببقرة،</w:t>
      </w:r>
    </w:p>
    <w:p>
      <w:pPr>
        <w:pStyle w:val="Heading2"/>
        <w:numPr>
          <w:ilvl w:val="1"/>
          <w:numId w:val="1"/>
        </w:numPr>
        <w:rPr/>
      </w:pPr>
      <w:bookmarkStart w:id="150" w:name="__RefHeading___Toc10745858_73709187"/>
      <w:bookmarkStart w:id="151" w:name="_Toc50"/>
      <w:bookmarkEnd w:id="150"/>
      <w:r>
        <w:rPr>
          <w:rtl w:val="true"/>
        </w:rPr>
        <w:t>حكم الإحلال بظنّ الإتمام</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ظَنّ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إتمام السعي، أو علم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فأحَلّ‌، وواقع أهله، وقلّم الأظفار، ثمّ ذكر نسيان شوطٍ، أتمّ ويكفّر ببقرة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المفيد</w:t>
      </w:r>
      <w:r>
        <w:rPr>
          <w:rStyle w:val="FootnoteAnchor"/>
          <w:rtl w:val="true"/>
        </w:rPr>
        <w:footnoteReference w:id="747"/>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748"/>
      </w:r>
      <w:r>
        <w:rPr>
          <w:rFonts w:ascii="Amiri" w:hAnsi="Amiri" w:eastAsia="Amiri" w:cs="Amiri"/>
          <w:color w:val="111111"/>
          <w:sz w:val="28"/>
          <w:sz w:val="28"/>
          <w:szCs w:val="28"/>
          <w:rtl w:val="true"/>
          <w:lang w:bidi="ar-SA"/>
        </w:rPr>
        <w:t>، والمصنّف في جملةٍ من كتبه</w:t>
      </w:r>
      <w:r>
        <w:rPr>
          <w:rStyle w:val="FootnoteAnchor"/>
          <w:rtl w:val="true"/>
        </w:rPr>
        <w:footnoteReference w:id="749"/>
      </w:r>
      <w:r>
        <w:rPr>
          <w:rFonts w:ascii="Amiri" w:hAnsi="Amiri" w:eastAsia="Amiri" w:cs="Amiri"/>
          <w:color w:val="111111"/>
          <w:sz w:val="28"/>
          <w:sz w:val="28"/>
          <w:szCs w:val="28"/>
          <w:rtl w:val="true"/>
          <w:lang w:bidi="ar-SA"/>
        </w:rPr>
        <w:t>، وغيرهم في غيرها</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يسار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متمتّع سعى بين الصفا والمروة ستّة أشواط، ثمّ رجع إلى منزله وهو يرى أنّه قد فرغ منه وقلّم أظافيره وأحلّ‌، ثمّ ذكر أنّه سعى ستّة أشواط،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 أنّه قد سعى ستّة أشواط، فإنْ كان يحفظ أنّه قد سعى ستّة أشواط، فليعد وليتمّ شوطاً وليرق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بقرة</w:t>
      </w:r>
      <w:r>
        <w:rPr>
          <w:rStyle w:val="FootnoteAnchor"/>
          <w:rtl w:val="true"/>
        </w:rPr>
        <w:footnoteReference w:id="751"/>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ابن مسكان،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طاف بين الصفا والمروة ستّة </w:t>
      </w:r>
    </w:p>
    <w:p>
      <w:pPr>
        <w:pStyle w:val="BookText"/>
        <w:rPr/>
      </w:pPr>
      <w:r>
        <w:rPr>
          <w:rFonts w:ascii="Amiri" w:hAnsi="Amiri" w:eastAsia="Amiri" w:cs="Amiri"/>
          <w:color w:val="111111"/>
          <w:sz w:val="28"/>
          <w:sz w:val="28"/>
          <w:szCs w:val="28"/>
          <w:rtl w:val="true"/>
          <w:lang w:bidi="ar-SA"/>
        </w:rPr>
        <w:t>أشواط وهو يظنّ أنّها سبعة، فذكر بعدما أحلّ وواقع النساء أنّه إنّما طاف ستّة أشواط؟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بقرة يذبحها ويطوف شوطاً</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 سند الثاني منجبرٌ بعمل من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ظهورهما في الوجوب كما ترى‌، فإنّ الجملة الخبريّة ظاهرة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 منه الإيراد على الثاني بمخالفته للعمومات الدالّة على وجوب البدنة على من جامع قبل طواف النساء، وعلى الأوّل بأنّه مخالفٌ لما دلّ على وجوب الشاة في تقليم الأظافير</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أنّه لا كفّارة على 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يخصّص العمومات بالخبر، وبه يظهر اندفاع إيراد آخر عليه، وهو أنّه لا كفّارة على الناسي فى غير الصيد، ولأجله حمل بعضهم الخبرين على الاستحباب</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لتخصيص الحكم بالمتمتّع، لإطلاق الخبر، كما لا وجه لتخصيصة بظان الفراغ، فإنّ الصحيح شاملٌ للعالم بل ظاهرٌ فيه، والخبر مطلق لإستعمال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في الأعمّ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الأظهر هو الاقتصار على ستّة أشواط لكونها مورد الخبرين، وصرّح جماعة من الأصحاب بالإختصاص</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52" w:name="pg11810_104287"/>
    </w:p>
    <w:p>
      <w:pPr>
        <w:pStyle w:val="BookText"/>
        <w:rPr/>
      </w:pPr>
      <w:bookmarkEnd w:id="152"/>
      <w:r>
        <w:rPr>
          <w:rFonts w:ascii="Amiri" w:hAnsi="Amiri" w:eastAsia="Amiri" w:cs="Amiri"/>
          <w:color w:val="111111"/>
          <w:sz w:val="28"/>
          <w:sz w:val="28"/>
          <w:szCs w:val="28"/>
          <w:rtl w:val="true"/>
          <w:lang w:bidi="ar-SA"/>
        </w:rPr>
        <w:t>وإذا فرغ من سعي العُمرة قصَّر، وأدناه أن يقصّ أظفاره، أو شيئاً من شعره</w:t>
      </w:r>
      <w:r>
        <w:rPr>
          <w:rFonts w:eastAsia="Amiri" w:cs="Amiri" w:ascii="Amiri" w:hAnsi="Amiri"/>
          <w:color w:val="111111"/>
          <w:sz w:val="28"/>
          <w:szCs w:val="28"/>
          <w:rtl w:val="true"/>
          <w:lang w:bidi="ar-SA"/>
        </w:rPr>
        <w:t>.</w:t>
      </w:r>
    </w:p>
    <w:p>
      <w:pPr>
        <w:pStyle w:val="Heading2"/>
        <w:numPr>
          <w:ilvl w:val="1"/>
          <w:numId w:val="1"/>
        </w:numPr>
        <w:rPr/>
      </w:pPr>
      <w:bookmarkStart w:id="153" w:name="__RefHeading___Toc10745860_73709187"/>
      <w:bookmarkStart w:id="154" w:name="_Toc51"/>
      <w:bookmarkEnd w:id="153"/>
      <w:r>
        <w:rPr>
          <w:rtl w:val="true"/>
        </w:rPr>
        <w:t>التقصير</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فرغ مِنْ سعي العُمرة قصّر، وأدناه أن يقصّ أظفاره أو شيئاً من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Style w:val="FootnoteAnchor"/>
          <w:rtl w:val="true"/>
        </w:rPr>
        <w:footnoteReference w:id="756"/>
      </w:r>
      <w:r>
        <w:rPr>
          <w:rFonts w:ascii="Amiri" w:hAnsi="Amiri" w:eastAsia="Amiri" w:cs="Amiri"/>
          <w:color w:val="111111"/>
          <w:sz w:val="28"/>
          <w:sz w:val="28"/>
          <w:szCs w:val="28"/>
          <w:rtl w:val="true"/>
          <w:lang w:bidi="ar-SA"/>
        </w:rPr>
        <w:t>في رجحان ذلك، بل عليه الإجماع</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معاوية،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قصّر من رأسك من جوانبه ولحيتك، وخُذ من شاربك، وقلّم أظفارك، وابق منها لحجّك، فإذا فعلت ذلك فقد أحللتَ من كلّ شيء يحلّ منه المُحرِم وأحرمت منه</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عبد اللّه بن سنان،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طواف المتمتّع أن يطوف بالكعبة، ويسعى بين الصفا والمروة، ويقصّر من شعره، فإذا فعل ذلك فقد أحَلّ‌</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عمر بن يزيد،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ائتِ منزلك فقصّر من شعرك، وحلَّ لك كلّ شيء</w:t>
      </w:r>
      <w:r>
        <w:rPr>
          <w:rFonts w:eastAsia="Amiri" w:cs="Amiri" w:ascii="Amiri" w:hAnsi="Amiri"/>
          <w:color w:val="111111"/>
          <w:sz w:val="28"/>
          <w:szCs w:val="28"/>
          <w:rtl w:val="true"/>
          <w:lang w:bidi="ar-SA"/>
        </w:rPr>
        <w:t>»</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في هذه المسألة يتحقّق بالبحث في جهات</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التقصير من أفعال العُمرة الواجبة، للأمر به في النصوص، </w:t>
      </w:r>
    </w:p>
    <w:p>
      <w:pPr>
        <w:pStyle w:val="BookText"/>
        <w:rPr/>
      </w:pPr>
      <w:r>
        <w:rPr>
          <w:rFonts w:ascii="Amiri" w:hAnsi="Amiri" w:eastAsia="Amiri" w:cs="Amiri"/>
          <w:color w:val="111111"/>
          <w:sz w:val="28"/>
          <w:sz w:val="28"/>
          <w:szCs w:val="28"/>
          <w:rtl w:val="true"/>
          <w:lang w:bidi="ar-SA"/>
        </w:rPr>
        <w:t>ويجزي مُسمّى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وأدنى في التقصير أن يقصّر من شعرٍ ولو كان يسيراً، وأقلّه ثلاث شعرات، لأنّ الامتثال يحصل به فيكون مُجزياً، ولما رواه الشيخ قدس سره في الحسن عن معاوية بن عمّار، عن أبي عبد اللّه عليه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متمتّعٍ قرض أظفاره، وأخذ من شعره بمشقصٍ؟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761"/>
      </w:r>
      <w:r>
        <w:rPr>
          <w:rFonts w:ascii="Amiri" w:hAnsi="Amiri" w:eastAsia="Amiri" w:cs="Amiri"/>
          <w:color w:val="111111"/>
          <w:sz w:val="28"/>
          <w:sz w:val="28"/>
          <w:szCs w:val="28"/>
          <w:rtl w:val="true"/>
          <w:lang w:bidi="ar-SA"/>
        </w:rPr>
        <w:t>، هذا اختيار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يستدلّ له، ولما ذكره بعد ذلك بقوله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قصّ الشعر بأيّ شيءٍ كان أجزاه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قضيتُ نُسُكي للعمرة أتيتُ أهلي ولم اُقصّر؟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أردتُ ذلك منها ولم تكن قصّرت امتنعت، فلمّا غلبتها قرضت بعض شعرها بأسنانها؟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 اللّه كانت أفقه منك، عليك بدنة، وليس عليها شيء</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ابن أبي عُمير،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تقصّر المرأة من شعرها لعمرتها مقدار الأنملة</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الحلبي،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امرأةٍ متمتّعةٍ عاجلها زوجها قبل أن تقصّر، فلمّا تخوّفت أن يغلبها أهوت إلى قرونها فقرضت منها بأسنانها وقرضت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يحلق رأسه</w:t>
      </w:r>
    </w:p>
    <w:p>
      <w:pPr>
        <w:pStyle w:val="BookText"/>
        <w:rPr/>
      </w:pPr>
      <w:r>
        <w:rPr>
          <w:rFonts w:ascii="Amiri" w:hAnsi="Amiri" w:eastAsia="Amiri" w:cs="Amiri"/>
          <w:color w:val="111111"/>
          <w:sz w:val="28"/>
          <w:sz w:val="28"/>
          <w:szCs w:val="28"/>
          <w:rtl w:val="true"/>
          <w:lang w:bidi="ar-SA"/>
        </w:rPr>
        <w:t>بأظافيرها، هل عليها شيء؟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كلّ أحدٍ يجد المقاريض</w:t>
      </w:r>
      <w:r>
        <w:rPr>
          <w:rFonts w:eastAsia="Amiri" w:cs="Amiri" w:ascii="Amiri" w:hAnsi="Amiri"/>
          <w:color w:val="111111"/>
          <w:sz w:val="28"/>
          <w:szCs w:val="28"/>
          <w:rtl w:val="true"/>
          <w:lang w:bidi="ar-SA"/>
        </w:rPr>
        <w:t>»</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وبها يُحمل الأمر في صحيح معاوية وغيره بأخذ الشعر من المواضع الخاصّة، على الفضل والاستحباب، كما صرّح به الأصحاب</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بين الأصحاب لزوم التقصير في العُمرة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يحلق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الحلق، والتقصير أفضل</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يذهب إليه والدي</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اصحّ‌، للأمر به في النصوص المتقدّمة، ولصحيح ابن عمّار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في المتعة إلّاالتقصير</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يُستشهد له بطوائف اُخر من النصوص</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المتضمّنة لبطلان العُمرة إذا أهلَّ بالحَجّ قبل التقصير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 صفة الحَجّ المقتصرة على التقصير في عُمرة التمتّع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المثبته للدّم على الحالق رأسه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الحلق فمّما لا وجه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المصنّف رحمه الله</w:t>
      </w:r>
      <w:r>
        <w:rPr>
          <w:rStyle w:val="FootnoteAnchor"/>
          <w:rtl w:val="true"/>
        </w:rPr>
        <w:footnoteReference w:id="770"/>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برغم بنائه على حرمة الحلق ووجوب التقصير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حلق رأسه أجزأه وسقط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يُجزيه ما لم يقم عليه دليل</w:t>
      </w:r>
      <w:r>
        <w:rPr>
          <w:rStyle w:val="FootnoteAnchor"/>
          <w:rtl w:val="true"/>
        </w:rPr>
        <w:footnoteReference w:id="77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الوجه في الإجزاء ما أفاده الشهيد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حلق بعض رأسه أجزأ عن التقصير، ولا تحريم فيه، ولو حَلَق الجميع احتمل الإجزاء لحصوله بالشروع، وعند التقصير يحلّ له جميع ما يحلّ للمُحِلّ حتّى الوقاع، للنصّ على جوازه قولاً وفعلاً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الغريب أنّه قدس سره بعد الاعتراض على ما أفاده المصنّف رحمه الله، نقل كلام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الاحتمال المذكور ليس ببعيدٍ، لكن ينبغي تقيّيده بما إذا نوى من أوّل الأمر بالتقصير خاصّة، ثمّ بعد حصول التقصير وحصول الإحلال به حَلق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الأظهر عدم الإجتزاء بحلق البعض أيضاً، فإنّ التقصير مفهومٌ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فعل كان عليه دم،</w:t>
      </w:r>
    </w:p>
    <w:p>
      <w:pPr>
        <w:pStyle w:val="BookText"/>
        <w:rPr/>
      </w:pPr>
      <w:r>
        <w:rPr>
          <w:rFonts w:ascii="Amiri" w:hAnsi="Amiri" w:eastAsia="Amiri" w:cs="Amiri"/>
          <w:color w:val="111111"/>
          <w:sz w:val="28"/>
          <w:sz w:val="28"/>
          <w:szCs w:val="28"/>
          <w:rtl w:val="true"/>
          <w:lang w:bidi="ar-SA"/>
        </w:rPr>
        <w:t>مغايرٌ لمفهوم الحلق، فإنّه يعني جَعل الشعر أو غيره قصيراً، وأمّا الحلق فهو أمرٌ آخر، فلا يُجزي حلق البعض ولا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عرفت من وجوب 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يجوز معه الحلق مطلقاً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 xml:space="preserve">ومالَ إليه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يحرم كذلك، كما عن القاضي</w:t>
      </w:r>
      <w:r>
        <w:rPr>
          <w:rStyle w:val="FootnoteAnchor"/>
          <w:rtl w:val="true"/>
        </w:rPr>
        <w:footnoteReference w:id="776"/>
      </w:r>
      <w:r>
        <w:rPr>
          <w:rFonts w:ascii="Amiri" w:hAnsi="Amiri" w:eastAsia="Amiri" w:cs="Amiri"/>
          <w:color w:val="111111"/>
          <w:sz w:val="28"/>
          <w:sz w:val="28"/>
          <w:szCs w:val="28"/>
          <w:rtl w:val="true"/>
          <w:lang w:bidi="ar-SA"/>
        </w:rPr>
        <w:t>، وابن حمزة</w:t>
      </w:r>
      <w:r>
        <w:rPr>
          <w:rStyle w:val="FootnoteAnchor"/>
          <w:rtl w:val="true"/>
        </w:rPr>
        <w:footnoteReference w:id="777"/>
      </w:r>
      <w:r>
        <w:rPr>
          <w:rFonts w:ascii="Amiri" w:hAnsi="Amiri" w:eastAsia="Amiri" w:cs="Amiri"/>
          <w:color w:val="111111"/>
          <w:sz w:val="28"/>
          <w:sz w:val="28"/>
          <w:szCs w:val="28"/>
          <w:rtl w:val="true"/>
          <w:lang w:bidi="ar-SA"/>
        </w:rPr>
        <w:t>، والشهيد</w:t>
      </w:r>
      <w:r>
        <w:rPr>
          <w:rStyle w:val="FootnoteAnchor"/>
          <w:rtl w:val="true"/>
        </w:rPr>
        <w:footnoteReference w:id="778"/>
      </w:r>
      <w:r>
        <w:rPr>
          <w:rFonts w:ascii="Amiri" w:hAnsi="Amiri" w:eastAsia="Amiri" w:cs="Amiri"/>
          <w:color w:val="111111"/>
          <w:sz w:val="28"/>
          <w:sz w:val="28"/>
          <w:szCs w:val="28"/>
          <w:rtl w:val="true"/>
          <w:lang w:bidi="ar-SA"/>
        </w:rPr>
        <w:t>وغيرهم، وهو الظاهر من الكتاب حيث 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فعل كان عليه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يحرم قبل التقصير خاصّة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Style w:val="FootnoteAnchor"/>
          <w:rtl w:val="true"/>
        </w:rPr>
        <w:footnoteReference w:id="77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للقول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بالأصل</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بالأخبار الدالّة على أنّ المتمتّع إذا حلق رأسه بمكّة كان عليه دم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متمتّع حَلَق رأسه بمكّة‌؟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جاهلاً فليس عليه شيء، وإنْ تعمّد ذلك في أوّل شهور الحَجّ بثلاثين يوماً، فليس عليه شيء، وإن تعمّد بعد الثلاثين يوماً التي يوفّر فيها الشعر للحَجّ‌، فإنّ عليه دماً يُهريقه</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المتمتّع أراد أن يقصّر فَحَلَق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دمٌ يُهريقه</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بالخبرين، بدعوى اختصاصهما بما قبل التقصير، وهو تامّ بالنسبة إلى الثاني، ولكن الخبر الأوّل ليس فيه أنّ الدّم لأجل التقصير، بل التفصيل بين ما بعد الثلاثين وما قبلها، وهو قرينة على عدم كونه له، بل يمكن أنْ يكون من جهة الإخلال بتوفير الشعر المستحبّ عند الأكثر، والواجب عند البعض</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ومورد الثاني هو النّاسي، وقد اتّفقت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إلّاعن 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وجوب الدّم عليه</w:t>
      </w:r>
      <w:r>
        <w:rPr>
          <w:rStyle w:val="FootnoteAnchor"/>
          <w:rtl w:val="true"/>
        </w:rPr>
        <w:footnoteReference w:id="784"/>
      </w:r>
      <w:r>
        <w:rPr>
          <w:rFonts w:ascii="Amiri" w:hAnsi="Amiri" w:eastAsia="Amiri" w:cs="Amiri"/>
          <w:color w:val="111111"/>
          <w:sz w:val="28"/>
          <w:sz w:val="28"/>
          <w:szCs w:val="28"/>
          <w:rtl w:val="true"/>
          <w:lang w:bidi="ar-SA"/>
        </w:rPr>
        <w:t>، فلابدَّ من طرحه للإعراض، فلا مورد لدعوى الأولويّة في العامد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دليل على حرمة الحلق إلّاالإجماع إنْ ثبت</w:t>
      </w:r>
      <w:r>
        <w:rPr>
          <w:rStyle w:val="FootnoteAnchor"/>
          <w:rtl w:val="true"/>
        </w:rPr>
        <w:footnoteReference w:id="785"/>
      </w:r>
      <w:r>
        <w:rPr>
          <w:rFonts w:ascii="Amiri" w:hAnsi="Amiri" w:eastAsia="Amiri" w:cs="Amiri"/>
          <w:color w:val="111111"/>
          <w:sz w:val="28"/>
          <w:sz w:val="28"/>
          <w:szCs w:val="28"/>
          <w:rtl w:val="true"/>
          <w:lang w:bidi="ar-SA"/>
        </w:rPr>
        <w:t>، والمتيقّن منه ما قبل التقصير، فعلى فرض ثبوته، الأظهر هو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أنّه يكفي المسمّى في التقصير، وأيضاً يكفي بأيّ آلةٍ أمكن، ولا يلزم المقراض،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يلزم كونه في الشعر</w:t>
      </w:r>
      <w:r>
        <w:rPr>
          <w:rStyle w:val="FootnoteAnchor"/>
          <w:rtl w:val="true"/>
        </w:rPr>
        <w:footnoteReference w:id="78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أم يكفي كونه في الأظافير؟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قولان، الظاهر هو الأوّل، إذ النصوص المتضمّنة لقرض الأظفار ليس في شيء منها هو وحده بل ذُكر مع الأخذ من الشَّعر، وهذا بخلاف العكس، فراجع</w:t>
      </w:r>
      <w:r>
        <w:rPr>
          <w:rStyle w:val="FootnoteAnchor"/>
          <w:rtl w:val="true"/>
        </w:rPr>
        <w:footnoteReference w:id="7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وكذا لو نسيه حتّى أحرم بالحَجّ‌، ومع التقصير يحلّ من كلّ شيء أحرم منه إلّا الصيد ما دام في الحَرم، ويستحبّ له أن يتشبّه بالمُحرِمين في ترك لبس المخيط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التقصير عمداً حتّى أحرم بالحَجّ‌، فهل تبطل متعته وتصبح حجّة مفردة</w:t>
      </w:r>
      <w:r>
        <w:rPr>
          <w:rStyle w:val="FootnoteAnchor"/>
          <w:rtl w:val="true"/>
        </w:rPr>
        <w:footnoteReference w:id="788"/>
      </w:r>
      <w:r>
        <w:rPr>
          <w:rFonts w:ascii="Amiri" w:hAnsi="Amiri" w:eastAsia="Amiri" w:cs="Amiri"/>
          <w:color w:val="111111"/>
          <w:sz w:val="28"/>
          <w:sz w:val="28"/>
          <w:szCs w:val="28"/>
          <w:rtl w:val="true"/>
          <w:lang w:bidi="ar-SA"/>
        </w:rPr>
        <w:t>، أم يبطل إحرامه</w:t>
      </w:r>
      <w:r>
        <w:rPr>
          <w:rStyle w:val="FootnoteAnchor"/>
          <w:rtl w:val="true"/>
        </w:rPr>
        <w:footnoteReference w:id="789"/>
      </w:r>
      <w:r>
        <w:rPr>
          <w:rFonts w:ascii="IRNazanin" w:hAnsi="IRNazanin" w:eastAsia="IRNazanin"/>
          <w:color w:val="111111"/>
          <w:sz w:val="28"/>
          <w:sz w:val="28"/>
          <w:szCs w:val="28"/>
          <w:rtl w:val="true"/>
          <w:lang w:bidi="fa-IR"/>
        </w:rPr>
        <w:t>؟ 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كان ذلك نسياناً، صحّ تمتعه بلا خلافٍ‌</w:t>
      </w:r>
      <w:r>
        <w:rPr>
          <w:rStyle w:val="FootnoteAnchor"/>
          <w:rtl w:val="true"/>
        </w:rPr>
        <w:footnoteReference w:id="790"/>
      </w:r>
      <w:r>
        <w:rPr>
          <w:rFonts w:ascii="Amiri" w:hAnsi="Amiri" w:eastAsia="Amiri" w:cs="Amiri"/>
          <w:color w:val="111111"/>
          <w:sz w:val="28"/>
          <w:sz w:val="28"/>
          <w:szCs w:val="28"/>
          <w:rtl w:val="true"/>
          <w:lang w:bidi="ar-SA"/>
        </w:rPr>
        <w:t>، وحينئذٍ فهل عليه دمٌ كما أفاده المصنّف رحمه الله</w:t>
      </w:r>
      <w:r>
        <w:rPr>
          <w:rStyle w:val="FootnoteAnchor"/>
          <w:rtl w:val="true"/>
        </w:rPr>
        <w:footnoteReference w:id="791"/>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نسيه حتّى أحرم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Style w:val="FootnoteAnchor"/>
          <w:rtl w:val="true"/>
        </w:rPr>
        <w:footnoteReference w:id="792"/>
      </w:r>
      <w:r>
        <w:rPr>
          <w:rFonts w:ascii="Amiri" w:hAnsi="Amiri" w:eastAsia="Amiri" w:cs="Amiri"/>
          <w:color w:val="111111"/>
          <w:sz w:val="28"/>
          <w:sz w:val="28"/>
          <w:szCs w:val="28"/>
          <w:rtl w:val="true"/>
          <w:lang w:bidi="ar-SA"/>
        </w:rPr>
        <w:t>؟ قولان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وقدتقدّم الكلام مفصّلاً في هذه المسألة في بحث أحكام الإحرام، فراجع</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التقصير يحلّ من كلّ شيءٍ أحرم منه إلّاالصيد ما دام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Style w:val="FootnoteAnchor"/>
          <w:rtl w:val="true"/>
        </w:rPr>
        <w:footnoteReference w:id="794"/>
      </w:r>
      <w:r>
        <w:rPr>
          <w:rFonts w:ascii="Amiri" w:hAnsi="Amiri" w:eastAsia="Amiri" w:cs="Amiri"/>
          <w:color w:val="111111"/>
          <w:sz w:val="28"/>
          <w:sz w:val="28"/>
          <w:szCs w:val="28"/>
          <w:rtl w:val="true"/>
          <w:lang w:bidi="ar-SA"/>
        </w:rPr>
        <w:t>، ويدلّ على المستثنى منه النصوص المتقدّمة، وعلى المستثنى ان حرمة الصيد إنّما هي للحرم لا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السابعة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له أن يتشبّه بالمُحرِمين في ترك لبس المخيط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لصحيح حفص بن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واحدٍ، عن أبي عبد اللّه عليه السلام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للمتمتّع بالعُمرة إلى الحَجّ إذا أحلّ أنْ لا يلبس قميصاً، وليتشبّه بالمُحرِمين</w:t>
      </w:r>
      <w:r>
        <w:rPr>
          <w:rFonts w:eastAsia="Amiri" w:cs="Amiri" w:ascii="Amiri" w:hAnsi="Amiri"/>
          <w:color w:val="111111"/>
          <w:sz w:val="28"/>
          <w:szCs w:val="28"/>
          <w:rtl w:val="true"/>
          <w:lang w:bidi="ar-SA"/>
        </w:rPr>
        <w:t>»</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55" w:name="pg11810_104294"/>
    </w:p>
    <w:p>
      <w:pPr>
        <w:pStyle w:val="BookText"/>
        <w:rPr/>
      </w:pPr>
      <w:bookmarkEnd w:id="155"/>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أفعال الحَجّ‌، وفيه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إحرام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فرغ من العُمرة، وجب عليه الإحرام بالحَجّ من مكّة، ويستحبّ أنْ يكون يوم التروية عند الزوال من تحت الميزاب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وكيفيّته كما تقدّم إلّاأنّه ينوي إحرام الحَجّ‌، ويقطع التلبية يوم عرفة عند الزوال، ولو نسيه حتّى يحصل بعرفات أحرم بها إنْ لم يتمكّن من الرجوع، ولو لم يتذكّر حتّى يقضي مناسكه لم يكن عليه شيء</w:t>
      </w:r>
      <w:r>
        <w:rPr>
          <w:rFonts w:eastAsia="Amiri" w:cs="Amiri" w:ascii="Amiri" w:hAnsi="Amiri"/>
          <w:color w:val="111111"/>
          <w:sz w:val="28"/>
          <w:szCs w:val="28"/>
          <w:rtl w:val="true"/>
          <w:lang w:bidi="ar-SA"/>
        </w:rPr>
        <w:t>.</w:t>
      </w:r>
    </w:p>
    <w:p>
      <w:pPr>
        <w:pStyle w:val="Heading2"/>
        <w:numPr>
          <w:ilvl w:val="1"/>
          <w:numId w:val="1"/>
        </w:numPr>
        <w:rPr/>
      </w:pPr>
      <w:bookmarkStart w:id="156" w:name="__RefHeading___Toc10745862_73709187"/>
      <w:bookmarkStart w:id="157" w:name="_Toc52"/>
      <w:bookmarkEnd w:id="156"/>
      <w:r>
        <w:rPr>
          <w:rtl w:val="true"/>
        </w:rPr>
        <w:t>أفعال الحَجّ‌</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أفعال الحَجّ‌، وفيه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إحرام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عليه الإحرام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Style w:val="FootnoteAnchor"/>
          <w:rtl w:val="true"/>
        </w:rPr>
        <w:footnoteReference w:id="796"/>
      </w:r>
      <w:r>
        <w:rPr>
          <w:rFonts w:ascii="Amiri" w:hAnsi="Amiri" w:eastAsia="Amiri" w:cs="Amiri"/>
          <w:color w:val="111111"/>
          <w:sz w:val="28"/>
          <w:sz w:val="28"/>
          <w:szCs w:val="28"/>
          <w:rtl w:val="true"/>
          <w:lang w:bidi="ar-SA"/>
        </w:rPr>
        <w:t>، والنصوص الدالّة عليه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أنْ يكون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مرّ في مبحث المواقيت</w:t>
      </w:r>
      <w:r>
        <w:rPr>
          <w:rStyle w:val="FootnoteAnchor"/>
          <w:rtl w:val="true"/>
        </w:rPr>
        <w:footnoteReference w:id="797"/>
      </w:r>
      <w:r>
        <w:rPr>
          <w:rFonts w:ascii="Amiri" w:hAnsi="Amiri" w:eastAsia="Amiri" w:cs="Amiri"/>
          <w:color w:val="111111"/>
          <w:sz w:val="28"/>
          <w:sz w:val="28"/>
          <w:szCs w:val="28"/>
          <w:rtl w:val="true"/>
          <w:lang w:bidi="ar-SA"/>
        </w:rPr>
        <w:t>، كما مرّ البحث عن أفضل مواضعها، وموضع التلبية، ومحلّ قطعها فى بحث تلبية إحرام المتعة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مرّ البحث عن كيفيّة الإحرام وواجباته ومستحبّاته في مبحث الإحرام</w:t>
      </w:r>
      <w:r>
        <w:rPr>
          <w:rStyle w:val="FootnoteAnchor"/>
          <w:rtl w:val="true"/>
        </w:rPr>
        <w:footnoteReference w:id="798"/>
      </w:r>
      <w:r>
        <w:rPr>
          <w:rFonts w:ascii="Amiri" w:hAnsi="Amiri" w:eastAsia="Amiri" w:cs="Amiri"/>
          <w:color w:val="111111"/>
          <w:sz w:val="28"/>
          <w:sz w:val="28"/>
          <w:szCs w:val="28"/>
          <w:rtl w:val="true"/>
          <w:lang w:bidi="ar-SA"/>
        </w:rPr>
        <w:t xml:space="preserve">، فما 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أنْ يكون يوم التروية عند الزوال من تحت الميزاب، وكيفيّته كما تقدّم، إلّاأنّه ينوي إحرام الحَجّ ويقطع التلبية يوم عرفة عند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الزوال، ولو نسيه حتّى يحصل بعرفات أحرم بها إنْ لم يتمكّن من الرجوع، ولو لم يتذكّر حتّى يقضي مناسكه، لم يكن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الكلام في جميعها، وعرفت ما هو المختار في كلّ مسألة منها فلا وجه للإعادة</w:t>
      </w:r>
      <w:r>
        <w:rPr>
          <w:rFonts w:eastAsia="Amiri" w:cs="Amiri" w:ascii="Amiri" w:hAnsi="Amiri"/>
          <w:color w:val="111111"/>
          <w:sz w:val="28"/>
          <w:szCs w:val="28"/>
          <w:rtl w:val="true"/>
          <w:lang w:bidi="ar-SA"/>
        </w:rPr>
        <w:t>.</w:t>
      </w:r>
      <w:bookmarkStart w:id="158" w:name="pg11810_104296"/>
    </w:p>
    <w:p>
      <w:pPr>
        <w:pStyle w:val="BookText"/>
        <w:rPr/>
      </w:pPr>
      <w:bookmarkEnd w:id="158"/>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الوقوف بعرفات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ركنٌ في الحَجّ يبطل بالإخلال به عمداً</w:t>
      </w:r>
    </w:p>
    <w:p>
      <w:pPr>
        <w:pStyle w:val="Heading2"/>
        <w:numPr>
          <w:ilvl w:val="1"/>
          <w:numId w:val="1"/>
        </w:numPr>
        <w:rPr/>
      </w:pPr>
      <w:bookmarkStart w:id="159" w:name="__RefHeading___Toc10745864_73709187"/>
      <w:bookmarkStart w:id="160" w:name="_Toc53"/>
      <w:bookmarkEnd w:id="159"/>
      <w:r>
        <w:rPr>
          <w:rtl w:val="true"/>
        </w:rPr>
        <w:t>الوقوف بعرفات ركن</w:t>
      </w:r>
      <w:bookmarkEnd w:id="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الوقوف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الكون بها، ولكن تعارف التعبير عنه بذلك لأنّه أفضل أفراده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في الحَجّ إجماعاً</w:t>
      </w:r>
      <w:r>
        <w:rPr>
          <w:rStyle w:val="FootnoteAnchor"/>
          <w:rtl w:val="true"/>
        </w:rPr>
        <w:footnoteReference w:id="799"/>
      </w:r>
      <w:r>
        <w:rPr>
          <w:rFonts w:ascii="Amiri" w:hAnsi="Amiri" w:eastAsia="Amiri" w:cs="Amiri"/>
          <w:color w:val="111111"/>
          <w:sz w:val="28"/>
          <w:sz w:val="28"/>
          <w:szCs w:val="28"/>
          <w:rtl w:val="true"/>
          <w:lang w:bidi="ar-SA"/>
        </w:rPr>
        <w:t>بل ضرورة من الدِّين</w:t>
      </w:r>
      <w:r>
        <w:rPr>
          <w:rStyle w:val="FootnoteAnchor"/>
          <w:rtl w:val="true"/>
        </w:rPr>
        <w:footnoteReference w:id="800"/>
      </w:r>
      <w:r>
        <w:rPr>
          <w:rFonts w:ascii="Amiri" w:hAnsi="Amiri" w:eastAsia="Amiri" w:cs="Amiri"/>
          <w:color w:val="111111"/>
          <w:sz w:val="28"/>
          <w:sz w:val="28"/>
          <w:szCs w:val="28"/>
          <w:rtl w:val="true"/>
          <w:lang w:bidi="ar-SA"/>
        </w:rPr>
        <w:t>، والنصوص شاهدة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في الحَجّ يبطل بالإخلال به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علماء الإسلام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خلاف أجده في ذلك بيننا، بل الإجماع بقسميه عليه، بل نسبه غير واحدٍ إلى علماء الإسلام</w:t>
      </w:r>
      <w:r>
        <w:rPr>
          <w:rFonts w:eastAsia="Amiri" w:cs="Amiri" w:ascii="Amiri" w:hAnsi="Amiri"/>
          <w:color w:val="111111"/>
          <w:sz w:val="28"/>
          <w:szCs w:val="28"/>
          <w:rtl w:val="true"/>
          <w:lang w:bidi="ar-SA"/>
        </w:rPr>
        <w:t>)</w:t>
      </w:r>
      <w:r>
        <w:rPr>
          <w:rStyle w:val="FootnoteAnchor"/>
          <w:rtl w:val="true"/>
        </w:rPr>
        <w:footnoteReference w:id="80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الإجماع المحقَّق</w:t>
      </w:r>
      <w:r>
        <w:rPr>
          <w:rStyle w:val="FootnoteAnchor"/>
          <w:rtl w:val="true"/>
        </w:rPr>
        <w:footnoteReference w:id="803"/>
      </w:r>
      <w:r>
        <w:rPr>
          <w:rFonts w:ascii="Amiri" w:hAnsi="Amiri" w:eastAsia="Amiri" w:cs="Amiri"/>
          <w:color w:val="111111"/>
          <w:sz w:val="28"/>
          <w:sz w:val="28"/>
          <w:szCs w:val="28"/>
          <w:rtl w:val="true"/>
          <w:lang w:bidi="ar-SA"/>
        </w:rPr>
        <w:t xml:space="preserve">والمحكيّ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ظاهر الأمر به كونه من أجزاء الحَجّ‌، لأنّ الظاهر من الأمر بشيء في مركّبٍ اعتباري كونه جزءاً له أو شرطاً، والمركّب ينتفي بانتفاء أحد أجزائه، وهذا </w:t>
      </w:r>
    </w:p>
    <w:p>
      <w:pPr>
        <w:pStyle w:val="BookText"/>
        <w:rPr/>
      </w:pPr>
      <w:r>
        <w:rPr>
          <w:rFonts w:ascii="Amiri" w:hAnsi="Amiri" w:eastAsia="Amiri" w:cs="Amiri"/>
          <w:color w:val="111111"/>
          <w:sz w:val="28"/>
          <w:sz w:val="28"/>
          <w:szCs w:val="28"/>
          <w:rtl w:val="true"/>
          <w:lang w:bidi="ar-SA"/>
        </w:rPr>
        <w:t>هو مراد الفقهاء من الاستدلال له بقاعدة عدم الإتيان بالمأمور به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فالإيراد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به لا يقتضي دخوله في ماهيّة الحَجّ‌، فإنّما يصحّ لو علمنا ووقفنا على ماهيّة الحَجّ أو قدراً مشتركاً على أقلّ تقدير، ولكنّهاغير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يرد عليه ما ذكره بعض المحقّقين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الدخل يجري في كلّ فعلٍ‌، وجعل بعض الأفعال جزءاً بالإجماع يجري في ذلك أيضاً</w:t>
      </w:r>
      <w:r>
        <w:rPr>
          <w:rFonts w:eastAsia="Amiri" w:cs="Amiri" w:ascii="Amiri" w:hAnsi="Amiri"/>
          <w:color w:val="111111"/>
          <w:sz w:val="28"/>
          <w:szCs w:val="28"/>
          <w:rtl w:val="true"/>
          <w:lang w:bidi="ar-SA"/>
        </w:rPr>
        <w:t>)</w:t>
      </w:r>
      <w:r>
        <w:rPr>
          <w:rStyle w:val="FootnoteAnchor"/>
          <w:rtl w:val="true"/>
        </w:rPr>
        <w:footnoteReference w:id="80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والنبويّ المنقول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80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w:t>
      </w:r>
      <w:r>
        <w:rPr>
          <w:rStyle w:val="FootnoteAnchor"/>
          <w:rtl w:val="true"/>
        </w:rPr>
        <w:footnoteReference w:id="806"/>
      </w:r>
      <w:r>
        <w:rPr>
          <w:rFonts w:ascii="Amiri" w:hAnsi="Amiri" w:eastAsia="Amiri" w:cs="Amiri"/>
          <w:color w:val="111111"/>
          <w:sz w:val="28"/>
          <w:sz w:val="28"/>
          <w:szCs w:val="28"/>
          <w:rtl w:val="true"/>
          <w:lang w:bidi="ar-SA"/>
        </w:rPr>
        <w:t>وغيرهما</w:t>
      </w:r>
      <w:r>
        <w:rPr>
          <w:rStyle w:val="FootnoteAnchor"/>
          <w:rtl w:val="true"/>
        </w:rPr>
        <w:footnoteReference w:id="807"/>
      </w:r>
      <w:r>
        <w:rPr>
          <w:rFonts w:ascii="Amiri" w:hAnsi="Amiri" w:eastAsia="Amiri" w:cs="Amiri"/>
          <w:color w:val="111111"/>
          <w:sz w:val="28"/>
          <w:sz w:val="28"/>
          <w:szCs w:val="28"/>
          <w:rtl w:val="true"/>
          <w:lang w:bidi="ar-SA"/>
        </w:rPr>
        <w:t>بعدّة طرق من أنّه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عرفات</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والنصوص المتضمّنة من أنّ الذين يقفون تحت الأراك لا حَجّ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الموقف ارتفعوا عن بطن عُرنة،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الأراك لا حَجّ لهم</w:t>
      </w:r>
      <w:r>
        <w:rPr>
          <w:rFonts w:eastAsia="Amiri" w:cs="Amiri" w:ascii="Amiri" w:hAnsi="Amiri"/>
          <w:color w:val="111111"/>
          <w:sz w:val="28"/>
          <w:szCs w:val="28"/>
          <w:rtl w:val="true"/>
          <w:lang w:bidi="ar-SA"/>
        </w:rPr>
        <w:t>»</w:t>
      </w:r>
      <w:r>
        <w:rPr>
          <w:rStyle w:val="FootnoteAnchor"/>
          <w:rtl w:val="true"/>
        </w:rPr>
        <w:footnoteReference w:id="809"/>
      </w:r>
      <w:r>
        <w:rPr>
          <w:rFonts w:ascii="Amiri" w:hAnsi="Amiri" w:eastAsia="Amiri" w:cs="Amiri"/>
          <w:color w:val="111111"/>
          <w:sz w:val="28"/>
          <w:sz w:val="28"/>
          <w:szCs w:val="28"/>
          <w:rtl w:val="true"/>
          <w:lang w:bidi="ar-SA"/>
        </w:rPr>
        <w:t xml:space="preserve">ونحوه غيره من الأخبار المتعدّدة، الدالّة على أنّ من لم يقف بعرفة وإنْ وقف بحدودها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كالأراك ونحوه فضلاً عن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 له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النصوص لم يصرّح فيها بمن وقف في الأراك في الوقت الاختياري، فيمكن تنزيلها على الوقتين، فلا يتمّ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الرّكن هو الوقوف الاختياري بعرفة، ومقتضاه عدم الإجتزاء بالاضطراري منه لو ترك الاختياري عمداً</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إطلاق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 الحلبي صريحٌ في ذلك، فإنّ موقفه صلى الله عليه و آله كان في الوقت الاختياري قطعاً، فالأمر بالارتفاع حينئذٍ ونفي الحَجّ عن أصحاب الأراك فيه، ظاهرٌ فيما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ينافيها مرسل ابن فضّال،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بالمشعر فريضة، والوقوف بعرفة سُنّة</w:t>
      </w:r>
      <w:r>
        <w:rPr>
          <w:rFonts w:eastAsia="Amiri" w:cs="Amiri" w:ascii="Amiri" w:hAnsi="Amiri"/>
          <w:color w:val="111111"/>
          <w:sz w:val="28"/>
          <w:szCs w:val="28"/>
          <w:rtl w:val="true"/>
          <w:lang w:bidi="ar-SA"/>
        </w:rPr>
        <w:t>»</w:t>
      </w:r>
      <w:r>
        <w:rPr>
          <w:rStyle w:val="FootnoteAnchor"/>
          <w:rtl w:val="true"/>
        </w:rPr>
        <w:footnoteReference w:id="812"/>
      </w:r>
      <w:r>
        <w:rPr>
          <w:rFonts w:ascii="IRNazanin" w:hAnsi="IRNazanin" w:eastAsia="IRNazanin"/>
          <w:color w:val="111111"/>
          <w:sz w:val="28"/>
          <w:sz w:val="28"/>
          <w:szCs w:val="28"/>
          <w:rtl w:val="true"/>
          <w:lang w:bidi="fa-IR"/>
        </w:rPr>
        <w:t>، ونحوه مرسل الصدوق</w:t>
      </w:r>
      <w:r>
        <w:rPr>
          <w:rStyle w:val="FootnoteAnchor"/>
          <w:rtl w:val="true"/>
        </w:rPr>
        <w:footnoteReference w:id="813"/>
      </w:r>
      <w:r>
        <w:rPr>
          <w:rFonts w:ascii="Amiri" w:hAnsi="Amiri" w:eastAsia="Amiri" w:cs="Amiri"/>
          <w:color w:val="111111"/>
          <w:sz w:val="28"/>
          <w:sz w:val="28"/>
          <w:szCs w:val="28"/>
          <w:rtl w:val="true"/>
          <w:lang w:bidi="ar-SA"/>
        </w:rPr>
        <w:t>، لإحتمال إرادة ما ثبت وجوبه من السُنّة منها، بخلاف الوقوف بالمشعر المستفاد وجوبه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أَفَضْتُمْ مِنْ عَرَفاتٍ فَاذْكُرُوا اَللّهَ عِنْدَ اَلْمَشْعَرِ اَلْحَرامِ‌</w:t>
      </w:r>
      <w:r>
        <w:rPr>
          <w:rFonts w:eastAsia="Amiri" w:cs="Amiri" w:ascii="Amiri" w:hAnsi="Amiri"/>
          <w:color w:val="111111"/>
          <w:sz w:val="28"/>
          <w:szCs w:val="28"/>
          <w:rtl w:val="true"/>
          <w:lang w:bidi="ar-SA"/>
        </w:rPr>
        <w:t>»</w:t>
      </w:r>
      <w:r>
        <w:rPr>
          <w:rStyle w:val="FootnoteAnchor"/>
          <w:rtl w:val="true"/>
        </w:rPr>
        <w:footnoteReference w:id="814"/>
      </w:r>
      <w:r>
        <w:rPr>
          <w:rFonts w:ascii="Amiri" w:hAnsi="Amiri" w:eastAsia="Amiri" w:cs="Amiri"/>
          <w:color w:val="111111"/>
          <w:sz w:val="28"/>
          <w:sz w:val="28"/>
          <w:szCs w:val="28"/>
          <w:rtl w:val="true"/>
          <w:lang w:bidi="ar-SA"/>
        </w:rPr>
        <w:t>، هذا فضلاً عن أنّه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إشكال في الحكم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أجمعوا على أنّ الرّكن هو المُسمّى منه</w:t>
      </w:r>
      <w:r>
        <w:rPr>
          <w:rStyle w:val="FootnoteAnchor"/>
          <w:rtl w:val="true"/>
        </w:rPr>
        <w:footnoteReference w:id="815"/>
      </w:r>
      <w:r>
        <w:rPr>
          <w:rFonts w:ascii="Amiri" w:hAnsi="Amiri" w:eastAsia="Amiri" w:cs="Amiri"/>
          <w:color w:val="111111"/>
          <w:sz w:val="28"/>
          <w:sz w:val="28"/>
          <w:szCs w:val="28"/>
          <w:rtl w:val="true"/>
          <w:lang w:bidi="ar-SA"/>
        </w:rPr>
        <w:t>، وإنْ كان الواجب الوقوف</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تركه ناسياً حتّى فات وقته، ولم يصل بالمشعر، بطل حَجّه</w:t>
      </w:r>
    </w:p>
    <w:p>
      <w:pPr>
        <w:pStyle w:val="BookText"/>
        <w:rPr/>
      </w:pPr>
      <w:r>
        <w:rPr>
          <w:rFonts w:ascii="Amiri" w:hAnsi="Amiri" w:eastAsia="Amiri" w:cs="Amiri"/>
          <w:color w:val="111111"/>
          <w:sz w:val="28"/>
          <w:sz w:val="28"/>
          <w:szCs w:val="28"/>
          <w:rtl w:val="true"/>
          <w:lang w:bidi="ar-SA"/>
        </w:rPr>
        <w:t xml:space="preserve">من الزوال إلى الغروب، ويشهد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المتضمّنة للكفّارة على من أفاض من عرفات قبل الغروب فتأمّل، وسيأتي لذلك زيادة توضيح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تركه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تداركه ما دام بقاء وقته الإختياري أو الاضطراري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يأت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فات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بقسميه، اجتزأ بالوقوف بالمشعر، كما يأتي عند تعرّض المصنّف رحمه الله له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يصل بالمشعر بطل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الآتية</w:t>
      </w:r>
      <w:r>
        <w:rPr>
          <w:rFonts w:eastAsia="Amiri" w:cs="Amiri" w:ascii="Amiri" w:hAnsi="Amiri"/>
          <w:color w:val="111111"/>
          <w:sz w:val="28"/>
          <w:szCs w:val="28"/>
          <w:rtl w:val="true"/>
          <w:lang w:bidi="ar-SA"/>
        </w:rPr>
        <w:t>.</w:t>
      </w:r>
      <w:bookmarkStart w:id="161" w:name="pg11810_104300"/>
    </w:p>
    <w:p>
      <w:pPr>
        <w:pStyle w:val="BookText"/>
        <w:rPr/>
      </w:pPr>
      <w:bookmarkEnd w:id="161"/>
      <w:r>
        <w:rPr>
          <w:rFonts w:ascii="Amiri" w:hAnsi="Amiri" w:eastAsia="Amiri" w:cs="Amiri"/>
          <w:color w:val="111111"/>
          <w:sz w:val="28"/>
          <w:sz w:val="28"/>
          <w:szCs w:val="28"/>
          <w:rtl w:val="true"/>
          <w:lang w:bidi="ar-SA"/>
        </w:rPr>
        <w:t>ويجبُ فيه النيّة، والكون بعرفات</w:t>
      </w:r>
    </w:p>
    <w:p>
      <w:pPr>
        <w:pStyle w:val="Heading2"/>
        <w:numPr>
          <w:ilvl w:val="1"/>
          <w:numId w:val="1"/>
        </w:numPr>
        <w:rPr/>
      </w:pPr>
      <w:bookmarkStart w:id="162" w:name="__RefHeading___Toc10745866_73709187"/>
      <w:bookmarkStart w:id="163" w:name="_Toc54"/>
      <w:bookmarkEnd w:id="162"/>
      <w:r>
        <w:rPr>
          <w:rtl w:val="true"/>
        </w:rPr>
        <w:t>كيفيّة الوقوف بعرفات</w:t>
      </w:r>
      <w:bookmarkEnd w:id="16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يقع الكلام في كيفيّته،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مشتملٌ على واجبٍ ومندوب، وعليه فهاهنا مقامان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في وجوبها</w:t>
      </w:r>
      <w:r>
        <w:rPr>
          <w:rStyle w:val="FootnoteAnchor"/>
          <w:rtl w:val="true"/>
        </w:rPr>
        <w:footnoteReference w:id="816"/>
      </w:r>
      <w:r>
        <w:rPr>
          <w:rFonts w:ascii="Amiri" w:hAnsi="Amiri" w:eastAsia="Amiri" w:cs="Amiri"/>
          <w:color w:val="111111"/>
          <w:sz w:val="28"/>
          <w:sz w:val="28"/>
          <w:szCs w:val="28"/>
          <w:rtl w:val="true"/>
          <w:lang w:bidi="ar-SA"/>
        </w:rPr>
        <w:t>، بل عليه الإجماع بقسميه</w:t>
      </w:r>
      <w:r>
        <w:rPr>
          <w:rStyle w:val="FootnoteAnchor"/>
          <w:rtl w:val="true"/>
        </w:rPr>
        <w:footnoteReference w:id="817"/>
      </w:r>
      <w:r>
        <w:rPr>
          <w:rFonts w:ascii="Amiri" w:hAnsi="Amiri" w:eastAsia="Amiri" w:cs="Amiri"/>
          <w:color w:val="111111"/>
          <w:sz w:val="28"/>
          <w:sz w:val="28"/>
          <w:szCs w:val="28"/>
          <w:rtl w:val="true"/>
          <w:lang w:bidi="ar-SA"/>
        </w:rPr>
        <w:t>، وقد مرَّ غير مرّة بيان حقيقتها، ووجه وجوبها في العبادات التي منها الوقوف بعرفات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ووقتها أوّل وقت الكون بلا كلام، وما في بعض الكلمات من أنّه هل يجبُ النيّة من أوّل وقت الكون، أو يجوز التأخير عنه، ليس خلافاً في المسألة، كما يشهد له استدلاله للثاني بالنصوص الآتية الدالّة على أنّ أوّل الزوال ليس أوّل وقت الكون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الكون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w:t>
      </w:r>
      <w:r>
        <w:rPr>
          <w:rStyle w:val="FootnoteAnchor"/>
          <w:rtl w:val="true"/>
        </w:rPr>
        <w:footnoteReference w:id="818"/>
      </w:r>
      <w:r>
        <w:rPr>
          <w:rFonts w:ascii="Amiri" w:hAnsi="Amiri" w:eastAsia="Amiri" w:cs="Amiri"/>
          <w:color w:val="111111"/>
          <w:sz w:val="28"/>
          <w:sz w:val="28"/>
          <w:szCs w:val="28"/>
          <w:rtl w:val="true"/>
          <w:lang w:bidi="ar-SA"/>
        </w:rPr>
        <w:t>، بل ضرورة من الدين</w:t>
      </w:r>
      <w:r>
        <w:rPr>
          <w:rStyle w:val="FootnoteAnchor"/>
          <w:rtl w:val="true"/>
        </w:rPr>
        <w:footnoteReference w:id="819"/>
      </w:r>
      <w:r>
        <w:rPr>
          <w:rFonts w:ascii="Amiri" w:hAnsi="Amiri" w:eastAsia="Amiri" w:cs="Amiri"/>
          <w:color w:val="111111"/>
          <w:sz w:val="28"/>
          <w:sz w:val="28"/>
          <w:szCs w:val="28"/>
          <w:rtl w:val="true"/>
          <w:lang w:bidi="ar-SA"/>
        </w:rPr>
        <w:t>، ولا كلام في أنّ وقت الكون من أوّل زوال الشمس إلى الغروب</w:t>
      </w:r>
      <w:r>
        <w:rPr>
          <w:rFonts w:eastAsia="Amiri" w:cs="Amiri" w:ascii="Amiri" w:hAnsi="Amiri"/>
          <w:color w:val="111111"/>
          <w:sz w:val="28"/>
          <w:szCs w:val="28"/>
          <w:rtl w:val="true"/>
          <w:lang w:bidi="ar-SA"/>
        </w:rPr>
        <w:t>.</w:t>
      </w:r>
    </w:p>
    <w:p>
      <w:pPr>
        <w:pStyle w:val="Heading2"/>
        <w:numPr>
          <w:ilvl w:val="1"/>
          <w:numId w:val="1"/>
        </w:numPr>
        <w:rPr/>
      </w:pPr>
      <w:bookmarkStart w:id="164" w:name="__RefHeading___Toc10745868_73709187"/>
      <w:bookmarkStart w:id="165" w:name="_Toc55"/>
      <w:bookmarkEnd w:id="164"/>
      <w:r>
        <w:rPr>
          <w:rtl w:val="true"/>
        </w:rPr>
        <w:t>وجوب الوقوف من أوّل الزوال</w:t>
      </w:r>
      <w:bookmarkEnd w:id="165"/>
    </w:p>
    <w:p>
      <w:pPr>
        <w:pStyle w:val="BookText"/>
        <w:rPr/>
      </w:pPr>
      <w:r>
        <w:rPr>
          <w:rFonts w:ascii="Amiri" w:hAnsi="Amiri" w:eastAsia="Amiri" w:cs="Amiri"/>
          <w:color w:val="111111"/>
          <w:sz w:val="28"/>
          <w:sz w:val="28"/>
          <w:szCs w:val="28"/>
          <w:rtl w:val="true"/>
          <w:lang w:bidi="ar-SA"/>
        </w:rPr>
        <w:t>إنّما الكلام في أنّه هل يجب الاستيعاب أم لا؟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أقوال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أنْ يكون ابتداء الوقوف بعرفات أوّل الزوال، بمعنى أنّه لا يجوز التأخير عنه اختياراً، ويجبُ استيعاب جميع الوقت المحدود من حيث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سيأتي في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فلا يجوز الإخلال بجزءٍ منه كما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صرّح به الشهيدان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w:t>
      </w:r>
      <w:r>
        <w:rPr>
          <w:rFonts w:eastAsia="Amiri" w:cs="Amiri" w:ascii="Amiri" w:hAnsi="Amiri"/>
          <w:color w:val="111111"/>
          <w:sz w:val="28"/>
          <w:szCs w:val="28"/>
          <w:rtl w:val="true"/>
          <w:lang w:bidi="ar-SA"/>
        </w:rPr>
        <w:t>»</w:t>
      </w:r>
      <w:r>
        <w:rPr>
          <w:rStyle w:val="FootnoteAnchor"/>
          <w:rtl w:val="true"/>
        </w:rPr>
        <w:footnoteReference w:id="822"/>
      </w:r>
      <w:r>
        <w:rPr>
          <w:rFonts w:ascii="Amiri" w:hAnsi="Amiri" w:eastAsia="Amiri" w:cs="Amiri"/>
          <w:color w:val="111111"/>
          <w:sz w:val="28"/>
          <w:sz w:val="28"/>
          <w:szCs w:val="28"/>
          <w:rtl w:val="true"/>
          <w:lang w:bidi="ar-SA"/>
        </w:rPr>
        <w:t>، والمقداد والكركي</w:t>
      </w:r>
      <w:r>
        <w:rPr>
          <w:rStyle w:val="FootnoteAnchor"/>
          <w:rtl w:val="true"/>
        </w:rPr>
        <w:footnoteReference w:id="823"/>
      </w:r>
      <w:r>
        <w:rPr>
          <w:rFonts w:ascii="Amiri" w:hAnsi="Amiri" w:eastAsia="Amiri" w:cs="Amiri"/>
          <w:color w:val="111111"/>
          <w:sz w:val="28"/>
          <w:sz w:val="28"/>
          <w:szCs w:val="28"/>
          <w:rtl w:val="true"/>
          <w:lang w:bidi="ar-SA"/>
        </w:rPr>
        <w:t xml:space="preserve">وغيرهم، من غير إشارة واحدٍ منهم إلى خلاف في المسألة، بل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824"/>
      </w:r>
      <w:r>
        <w:rPr>
          <w:rFonts w:ascii="Amiri" w:hAnsi="Amiri" w:eastAsia="Amiri" w:cs="Amiri"/>
          <w:color w:val="111111"/>
          <w:sz w:val="28"/>
          <w:sz w:val="28"/>
          <w:szCs w:val="28"/>
          <w:rtl w:val="true"/>
          <w:lang w:bidi="ar-SA"/>
        </w:rPr>
        <w:t>نسبته إلى الأصحاب مُشعراً بالإجماع عليه، بل لم أجد الثاني قولاً محرّراً بين الأصحاب</w:t>
      </w:r>
      <w:r>
        <w:rPr>
          <w:rFonts w:eastAsia="Amiri" w:cs="Amiri" w:ascii="Amiri" w:hAnsi="Amiri"/>
          <w:color w:val="111111"/>
          <w:sz w:val="28"/>
          <w:szCs w:val="28"/>
          <w:rtl w:val="true"/>
          <w:lang w:bidi="ar-SA"/>
        </w:rPr>
        <w:t>)</w:t>
      </w:r>
      <w:r>
        <w:rPr>
          <w:rStyle w:val="FootnoteAnchor"/>
          <w:rtl w:val="true"/>
        </w:rPr>
        <w:footnoteReference w:id="82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ذكر قدس سره جملة من كلمات القدماء والمتأخّرين، الظاهرة في خلاف ذلك، ثمّ أتعب نفسه الزكيّة في توجيهها، وحمل كلماتهم على ما ينطبق على هذا القول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الإجتزاء بمسمّى الوقوف،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826"/>
      </w:r>
      <w:r>
        <w:rPr>
          <w:rFonts w:ascii="Amiri" w:hAnsi="Amiri" w:eastAsia="Amiri" w:cs="Amiri"/>
          <w:color w:val="111111"/>
          <w:sz w:val="28"/>
          <w:sz w:val="28"/>
          <w:szCs w:val="28"/>
          <w:rtl w:val="true"/>
          <w:lang w:bidi="ar-SA"/>
        </w:rPr>
        <w:t xml:space="preserve">، ونُسب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2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828"/>
      </w:r>
      <w:r>
        <w:rPr>
          <w:rFonts w:ascii="Amiri" w:hAnsi="Amiri" w:eastAsia="Amiri" w:cs="Amiri"/>
          <w:color w:val="111111"/>
          <w:sz w:val="28"/>
          <w:sz w:val="28"/>
          <w:szCs w:val="28"/>
          <w:rtl w:val="true"/>
          <w:lang w:bidi="ar-SA"/>
        </w:rPr>
        <w:t xml:space="preserve">، إلّاأنّ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ذلك،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التدبّر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إرادة بيان الرّكن من الوقوف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قرائن لذلك، 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في الدلالة على خلاف ذلك أظهر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 خصوصاً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والأمر للوجوب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ومثله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رحمه الله بهذه الطريقة وجّه كلام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ذلك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القول بكفاية مسمّى الوقوف لا يخلو عن قُربٍ‌</w:t>
      </w:r>
      <w:r>
        <w:rPr>
          <w:rFonts w:eastAsia="Amiri" w:cs="Amiri" w:ascii="Amiri" w:hAnsi="Amiri"/>
          <w:color w:val="111111"/>
          <w:sz w:val="28"/>
          <w:szCs w:val="28"/>
          <w:rtl w:val="true"/>
          <w:lang w:bidi="ar-SA"/>
        </w:rPr>
        <w:t>)</w:t>
      </w:r>
      <w:r>
        <w:rPr>
          <w:rStyle w:val="FootnoteAnchor"/>
          <w:rtl w:val="true"/>
        </w:rPr>
        <w:footnoteReference w:id="83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ظاهر كلمات أكثر القدماء</w:t>
      </w:r>
      <w:r>
        <w:rPr>
          <w:rStyle w:val="FootnoteAnchor"/>
          <w:rtl w:val="true"/>
        </w:rPr>
        <w:footnoteReference w:id="831"/>
      </w:r>
      <w:r>
        <w:rPr>
          <w:rFonts w:ascii="Amiri" w:hAnsi="Amiri" w:eastAsia="Amiri" w:cs="Amiri"/>
          <w:color w:val="111111"/>
          <w:sz w:val="28"/>
          <w:sz w:val="28"/>
          <w:szCs w:val="28"/>
          <w:rtl w:val="true"/>
          <w:lang w:bidi="ar-SA"/>
        </w:rPr>
        <w:t xml:space="preserve">، وصريح جمعٍ من المتأخّرين كصاحب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83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834"/>
      </w:r>
      <w:r>
        <w:rPr>
          <w:rFonts w:ascii="Amiri" w:hAnsi="Amiri" w:eastAsia="Amiri" w:cs="Amiri"/>
          <w:color w:val="111111"/>
          <w:sz w:val="28"/>
          <w:sz w:val="28"/>
          <w:szCs w:val="28"/>
          <w:rtl w:val="true"/>
          <w:lang w:bidi="ar-SA"/>
        </w:rPr>
        <w:t>وغيره، وهو أنّه يجبُ استيعاب ما بين الزوال إلى الغروب عرفاً، الحاصل بالاشتغال بمقدّمات الوقوف المستحبّة في حدود عرفة، ثمّ الوقوف بحيث يكون الوقتُ مستوعباً بهذه الاُمور، وإنْ كان قليلٌ من أوّل الوقت مصروفاً في الحدود بالمقدّمات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هذا الحكم، النصوص المتضمّنة لأفعال المعصومين عليهم السلام وأقوالهم، وإليك تلك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المتضمّنة لصفة حَجّ النبيّ صلى الله عليه و آله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غدا والنّاس معه،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انتهوا إلى نَمِرة وهي بطن عُرنة بحيال الأراك، فضُربت قبّته، وضَرَب النّاس أخبيتهم عندها، فلمّا زالت الشمس خَرَج رسول اللّه صلى الله عليه و آله ومعه قريش، وقد اغتسل وقطع التلبية، حتّى وقف بالمسجد، فوعظ</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النّاس وأمرهم ونهاهم، ثمّ صَلّى الظهر والعصر بأذانٍ واحد وإقامتين، ثمّ مضى إلى الموقف فوقف به</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أبي عُمير، عن معاوية بن عمّار، عن أبي عبد اللّه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انتهيتَ إلى عرفات، فاضرب خِباك بنَمِرة، ونمرة هي بطن عُرنة دون الموقف ودون عَرفة، فإذا زالت الشمس يوم عرفة فاغتسل وصَلِّ الظهر والعصر بأذان واحد وإقامتين، فإنّما تُعجّل العصر وتجمع بينهما لتفرغ نفسك للدّعاء، فإنّه يوم دعاءٍ ومسألة</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تُعجّل الصلاة وتُجمع بينهما لتفرغ نفسك للدّعاء، فإنّه يوم دعاءٍ ومسألة، ثمّ تأتي الموقف</w:t>
      </w:r>
      <w:r>
        <w:rPr>
          <w:rFonts w:eastAsia="Amiri" w:cs="Amiri" w:ascii="Amiri" w:hAnsi="Amiri"/>
          <w:color w:val="111111"/>
          <w:sz w:val="28"/>
          <w:szCs w:val="28"/>
          <w:rtl w:val="true"/>
          <w:lang w:bidi="ar-SA"/>
        </w:rPr>
        <w:t>...</w:t>
      </w:r>
      <w:r>
        <w:rPr>
          <w:rStyle w:val="FootnoteAnchor"/>
          <w:rtl w:val="true"/>
        </w:rPr>
        <w:footnoteReference w:id="837"/>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الوقوف تحت الأراك، فاما النزول تحته حتّى تزول الشمس وينهض إلى الموقف فلا بأس</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فضالة بن أيّوب، عن معاوية بن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إبراهيم أتاه جبرئيل عند زوال الشمس من يوم التروية،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بزغت الشمس، خرج إلى عرفات، فنزل بنمرة وهي بُطن عرنة، فلمّا زالت الشمس خَرَج وقد اغتسل فَصلّى الظهر والعصر بأذانٍ واحد وإقامتين، وصلّى في موضع المسجد الذي بعرفات،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به إلى الموقف</w:t>
      </w:r>
      <w:r>
        <w:rPr>
          <w:rStyle w:val="FootnoteAnchor"/>
          <w:rtl w:val="true"/>
        </w:rPr>
        <w:footnoteReference w:id="8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أبي بصير، عن الإمامين الصادقين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لمّا كان يوم التروية، قال جبرئيل لإبراهيم عليه السلام تروّ من الماء،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غدا به إلى عرفات، فضرب خِباه بنمرة دون عُرنة، فبنى مسجداً بأحجار بيض، وكان يُعرف أثر مسجد إبراهيم عليهم السلام حتّى أدخل في هذا المسجد الذي بنمرة حيثُ يُصلّي الإمام يوم عرفة، فصلّى بها الظهر والعصر، ثمّ عمد به إلى عرفات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عرفات فاعرف بها مناسكك، واعترف بذنبك، فسُمّي عرفات</w:t>
      </w:r>
      <w:r>
        <w:rPr>
          <w:rStyle w:val="FootnoteAnchor"/>
          <w:rtl w:val="true"/>
        </w:rPr>
        <w:footnoteReference w:id="8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واستفادة الحكم منها، تتوقّف على البحث في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هل تدلّ على الوجوب أم لا؟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تدلّ عليه‌؟</w:t>
      </w:r>
    </w:p>
    <w:p>
      <w:p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تقريب دلالتها عليه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جملة منها متضمّنة لوقوفه صلى الله عليه و آله في ذلك الوقت من أوّل الزوال عرفاً أو حقيقة، وقد أمرنا بأخذ المناسك عنه صلى الله عليه و آله، فقد نُسب إليه أنّه 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كان ضعيفاً، إلّاأنّه منجبر بالعمل والاستناد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بذلك بلسانه أو بالجملة الخبريّة الّتي هي أصرح في الوجوب، فدلالتها على اللّزوم واضحة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ظهر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ودلالتها على الوجوب غير واضحة، أمّا ما تضمّن منها الأمر بإتيان الموقف بعد الصلاتين، فلا يفيد الفوريّة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 ذلك منساق في سياق الأوامر المستحبّة، وأمّا ما تضمّن فعله صلى الله عليه و آله فكذلك، بناءً على عدم وجوب التأسّي، وعلى تقدير وجوبه في العبادة فإنّما غايته الوجوب الشرطي لا الشرعي، وكلامنا فيه لا في سابقه، للاتّفاق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عدمه</w:t>
      </w:r>
      <w:r>
        <w:rPr>
          <w:rFonts w:eastAsia="Amiri" w:cs="Amiri" w:ascii="Amiri" w:hAnsi="Amiri"/>
          <w:color w:val="111111"/>
          <w:sz w:val="28"/>
          <w:szCs w:val="28"/>
          <w:rtl w:val="true"/>
          <w:lang w:bidi="ar-SA"/>
        </w:rPr>
        <w:t>)</w:t>
      </w:r>
      <w:r>
        <w:rPr>
          <w:rStyle w:val="FootnoteAnchor"/>
          <w:rtl w:val="true"/>
        </w:rPr>
        <w:footnoteReference w:id="842"/>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يرد على ما أفاده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بالكون بعرفة بعد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في المتضمّن، لأنّه إنّما يعجّل الصلاتين لدرك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إرادة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ظاهرٌفي أنّ مبدأ الوقوف الواجب هو مابعد الصلاتين بلا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ما أفاده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منّا مراراً من أنّ كون الأمر في سياق الأوامر المستحبّة، لا يصلح قرينةً لحمله 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ثالثاً 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فعله دالّ على مطلوبيّته، وحيث لم يرد دليلٌ مرخّص في تركه فيبني على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رابعاً 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هو الوجوب الشرطي، أي كونه من واجبات الوقوف بعرفة، وبالتبع من واجبات الحَجّ‌، وأمّا كون تركه مبطلاً أم لا، فهو كلامٌ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ينبغي التوقّف في دلالة النصوص على الوجوب</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في جملة منها التهيّؤ له عند الزوال، وإتيان مقدّماته والصلاة دون الموقف، كما في بعضها، ودون عرفة كما في آخر، ثمّ الذهاب إلى الموقف وإلى عرفة، وعليه فالنصوص تدلّ على القول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غروب الشمس من يوم عرفة</w:t>
      </w:r>
    </w:p>
    <w:p>
      <w:pPr>
        <w:pStyle w:val="BookText"/>
        <w:rPr/>
      </w:pPr>
      <w:r>
        <w:rPr>
          <w:rFonts w:ascii="Amiri" w:hAnsi="Amiri" w:eastAsia="Amiri" w:cs="Amiri"/>
          <w:color w:val="111111"/>
          <w:sz w:val="28"/>
          <w:sz w:val="28"/>
          <w:szCs w:val="28"/>
          <w:rtl w:val="true"/>
          <w:lang w:bidi="ar-SA"/>
        </w:rPr>
        <w:t>وأمّا منتهى 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خلاف بينهم في أنّه يجب الوقوف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غروب الشمس من يوم 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ادّعى عليه الإجماع</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المشركين كانوا يفيضون قبل أن تغيب الشمس، فخالفهم رسول اللّه صلى الله عليه و آله فأفاض بعد غروب الشمس</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يونس بن يعقوب،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تفيض من عرفات‌؟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ذهبتِ الحُمرة من هاهنا، وأشار بيده إلى المشرق وإلى مطلع الشمس</w:t>
      </w:r>
      <w:r>
        <w:rPr>
          <w:rFonts w:eastAsia="Amiri" w:cs="Amiri" w:ascii="Amiri" w:hAnsi="Amiri"/>
          <w:color w:val="111111"/>
          <w:sz w:val="28"/>
          <w:szCs w:val="28"/>
          <w:rtl w:val="true"/>
          <w:lang w:bidi="ar-SA"/>
        </w:rPr>
        <w:t>»</w:t>
      </w:r>
      <w:r>
        <w:rPr>
          <w:rStyle w:val="FootnoteAnchor"/>
          <w:rtl w:val="true"/>
        </w:rPr>
        <w:footnoteReference w:id="845"/>
      </w:r>
      <w:r>
        <w:rPr>
          <w:rFonts w:ascii="IRNazanin" w:hAnsi="IRNazanin" w:eastAsia="IRNazanin"/>
          <w:color w:val="111111"/>
          <w:sz w:val="28"/>
          <w:sz w:val="28"/>
          <w:szCs w:val="28"/>
          <w:rtl w:val="true"/>
          <w:lang w:bidi="fa-IR"/>
        </w:rPr>
        <w:t>، ونحوه خبره الآخر</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الآتية المُثبتة للكفّارة على من أفاض قبله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قاله الشيخ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والأولى أن يقف إلى غروب الشمس ويدفع عن الموقف بعد غروبها</w:t>
      </w:r>
      <w:r>
        <w:rPr>
          <w:rFonts w:eastAsia="Amiri" w:cs="Amiri" w:ascii="Amiri" w:hAnsi="Amiri"/>
          <w:color w:val="111111"/>
          <w:sz w:val="28"/>
          <w:szCs w:val="28"/>
          <w:rtl w:val="true"/>
          <w:lang w:bidi="ar-SA"/>
        </w:rPr>
        <w:t>)</w:t>
      </w:r>
      <w:r>
        <w:rPr>
          <w:rStyle w:val="FootnoteAnchor"/>
          <w:rtl w:val="true"/>
        </w:rPr>
        <w:footnoteReference w:id="847"/>
      </w:r>
      <w:r>
        <w:rPr>
          <w:rFonts w:ascii="Amiri" w:hAnsi="Amiri" w:eastAsia="Amiri" w:cs="Amiri"/>
          <w:color w:val="111111"/>
          <w:sz w:val="28"/>
          <w:sz w:val="28"/>
          <w:szCs w:val="28"/>
          <w:rtl w:val="true"/>
          <w:lang w:bidi="ar-SA"/>
        </w:rPr>
        <w:t xml:space="preserve">، فمراده ما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من أنّ الأولى انتهاء الوقوف بالغروب، وعدم الوقوف بعده، وأنّ الأولى استمرار الوقوف متّصلاً إلى الغروب، وإنْ أجزأ لو خرج في الأثناء ثمّ عاد قبل الغروب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66" w:name="pg11810_104307"/>
    </w:p>
    <w:p>
      <w:pPr>
        <w:pStyle w:val="Heading2"/>
        <w:numPr>
          <w:ilvl w:val="1"/>
          <w:numId w:val="1"/>
        </w:numPr>
        <w:rPr/>
      </w:pPr>
      <w:bookmarkStart w:id="167" w:name="__RefHeading___Toc10745870_73709187"/>
      <w:bookmarkStart w:id="168" w:name="_Toc56"/>
      <w:bookmarkEnd w:id="166"/>
      <w:bookmarkEnd w:id="167"/>
      <w:r>
        <w:rPr>
          <w:rtl w:val="true"/>
        </w:rPr>
        <w:t>فروع الوقوف بعرفات</w:t>
      </w:r>
      <w:bookmarkEnd w:id="16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يتحقّق بالتعرّض 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بالغروب هنا هو الذي بيّن في أوقات الصلاة، وهو استتار القرص على الأظهر، وذهاب الحُمرة المشرقيّة على الأحوط، كما ذكرناه في مقامه في بحث الوقت في هذا الشرح</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بالوقوف هو الكون فيها، سواءٌ أكان نائماً أو مستيقظاً، أو قاعداً أو قائماً، أو راكباً أو ماشياً، لصدقه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من الإشكال في الركوب ونحوه باعتبار أنّ المأمور به في بعض النصوص هو الوقوف، وهو لا يصدق على الركوب لغةً وعرفاً، ونصوص الكون والإتيان لا تصلح لصرفه إلى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لصدقه عليه أوّلاً، ونصوص الكون لا تنافيه ثانياً، لكونه أحد أفراد الكون بها، وفرده الآخر الركوب، أضف إلى ذلك كلّه، خبر حمّاد بن عيسى،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عبد اللّه جعفر بن محمّد صلى الله عليه و آله بالموقف على بغلة رافعاً يده إلى السماء عن يسار وإلى الموسم حتّى انصرف، وكان في موقف النبيّ صلى الله عليه و آله</w:t>
      </w:r>
      <w:r>
        <w:rPr>
          <w:rStyle w:val="FootnoteAnchor"/>
          <w:rtl w:val="true"/>
        </w:rPr>
        <w:footnoteReference w:id="8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هو الوقوف بعرفة، ولا يجزي حدودها الآتية، لما مرّ، والمرجع في معرفة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تظهر حدودها من النصوص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العُرف، ومع الشكّ لا بدَّ من الاقتصار على المتيقّن</w:t>
      </w:r>
      <w:r>
        <w:rPr>
          <w:rFonts w:eastAsia="Amiri" w:cs="Amiri" w:ascii="Amiri" w:hAnsi="Amiri"/>
          <w:color w:val="111111"/>
          <w:sz w:val="28"/>
          <w:szCs w:val="28"/>
          <w:rtl w:val="true"/>
          <w:lang w:bidi="ar-SA"/>
        </w:rPr>
        <w:t>.</w:t>
      </w:r>
      <w:bookmarkStart w:id="169" w:name="pg11810_104308"/>
    </w:p>
    <w:p>
      <w:pPr>
        <w:pStyle w:val="BookText"/>
        <w:rPr/>
      </w:pPr>
      <w:bookmarkEnd w:id="169"/>
      <w:r>
        <w:rPr>
          <w:rFonts w:ascii="Amiri" w:hAnsi="Amiri" w:eastAsia="Amiri" w:cs="Amiri"/>
          <w:color w:val="111111"/>
          <w:sz w:val="28"/>
          <w:sz w:val="28"/>
          <w:szCs w:val="28"/>
          <w:rtl w:val="true"/>
          <w:lang w:bidi="ar-SA"/>
        </w:rPr>
        <w:t>ولو لم يتمكّن من الوقوف نهاراً وقف ليلاً ولو قبل الفجر</w:t>
      </w:r>
    </w:p>
    <w:p>
      <w:pPr>
        <w:pStyle w:val="Heading2"/>
        <w:numPr>
          <w:ilvl w:val="1"/>
          <w:numId w:val="1"/>
        </w:numPr>
        <w:rPr/>
      </w:pPr>
      <w:bookmarkStart w:id="170" w:name="__RefHeading___Toc10745872_73709187"/>
      <w:bookmarkStart w:id="171" w:name="_Toc57"/>
      <w:bookmarkEnd w:id="170"/>
      <w:r>
        <w:rPr>
          <w:rtl w:val="true"/>
        </w:rPr>
        <w:t>وقت الوقوف الإضطراري</w:t>
      </w:r>
      <w:bookmarkEnd w:id="171"/>
    </w:p>
    <w:p>
      <w:pPr>
        <w:pStyle w:val="BookText"/>
        <w:rPr/>
      </w:pPr>
      <w:r>
        <w:rPr>
          <w:rFonts w:ascii="Amiri" w:hAnsi="Amiri" w:eastAsia="Amiri" w:cs="Amiri"/>
          <w:color w:val="111111"/>
          <w:sz w:val="28"/>
          <w:sz w:val="28"/>
          <w:szCs w:val="28"/>
          <w:rtl w:val="true"/>
          <w:lang w:bidi="ar-SA"/>
        </w:rPr>
        <w:t>ظهر ممّا ذكرنا أنّ الوقت الاختياري بعرفة هي من زوال الشمس إلى غروبها، كما ظهر أنّ من ترك مسمّاه بطل حَجّه، وإنْ كان الواجب هو جميع ما بين الحَدّين بالمعنى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يتمكّن من الوقوف نهاراً وقف ليلاً ولو قبل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فوقت الاضطرار من غروب الشمس إلى طلوع الفجر من يوم النحر، بلا خلافٍ أجده فيه،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الإجماع عليه</w:t>
      </w:r>
      <w:r>
        <w:rPr>
          <w:rStyle w:val="FootnoteAnchor"/>
          <w:rtl w:val="true"/>
        </w:rPr>
        <w:footnoteReference w:id="852"/>
      </w:r>
      <w:r>
        <w:rPr>
          <w:rFonts w:ascii="Amiri" w:hAnsi="Amiri" w:eastAsia="Amiri" w:cs="Amiri"/>
          <w:color w:val="111111"/>
          <w:sz w:val="28"/>
          <w:sz w:val="28"/>
          <w:szCs w:val="28"/>
          <w:rtl w:val="true"/>
          <w:lang w:bidi="ar-SA"/>
        </w:rPr>
        <w:t xml:space="preserve">، كما صرّح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53"/>
      </w:r>
      <w:r>
        <w:rPr>
          <w:rFonts w:ascii="Amiri" w:hAnsi="Amiri" w:eastAsia="Amiri" w:cs="Amiri"/>
          <w:color w:val="111111"/>
          <w:sz w:val="28"/>
          <w:sz w:val="28"/>
          <w:szCs w:val="28"/>
          <w:rtl w:val="true"/>
          <w:lang w:bidi="ar-SA"/>
        </w:rPr>
        <w:t>، ويشهد به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الحلبي،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يأتي بعدما يفيض النّاس من عرفات‌؟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مهل حتّى يأتي عرفات من ليلته فيقف بها، ثمّ يفيض فيدرك النّاس في المشعر قبل أن يفيضوا، فلا يتمّ حَجّه حتّى يأتي عرفات، وإنْ قَدِمَ رجلٌ وقد فاتته عرفات، فليقف بالمشعر الحرام، فإنّ اللّه تعالى أعذر لعبده، فقد تمّ حَجّه إذا أدرك المشعر الحرام قبل طلوع الشمس، وقبل أن يفيض النّاس، فإنْ لم يدرك المشعر الحرام، فقد فاته الحَجّ‌، فليجعلها عُمرة مفردة، وعليه الحَجّ من قابل</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معاوية بن عمّار،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أدرك الإمام وهو بِجُمَع‌؟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يأتي عرفات فيقف بها قليلاً ثمّ يدرك جُمعاً قبل طلوع الشمس فلياتها، وإنْ ظنّ أنّه لا يأتيها حتّى يفيضوا فلا يأتها وليقم بجمع فقد تمّ حجّه</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في سفر، فإذا شيخٌ 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تقول في رجل أدرك الإمام بجُمَع‌؟</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ظنّ أنّه يأتي عرفات فيقف قليلاً ثمّ يدرك جمعاً قبل طلوع الشمس فليأتها، وإنْ ظنّ أنّه لا يأتيها حتّى يفيض النّاس من جمع، فلا يأتها، وقد تمَّ حَجّه</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إدريس بن عبداللّه،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أدرك النّاس بجمع، وخشي إنْ مضي إلى عرفات أن يفيض النّاس من جمع قبل أنْ يدركها؟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ظنّ أن يدرك النّاس بجمع قبل طلوع الشمس، فليأت عرفات، فإنْ خشي أنْ لا يدرك جمعاً فليقف بجمع ثمّ ليفض مع النّاس فقد تمّ حَجّه</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ونخبة القول فيما يستفاد من هذه النصوص في ضمن فروع</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هذه النصوص وإنْ كان غير المتمكّن من إدراك الاختياري، إلّاأنّ الظاهر ثبوت هذا الحكم في الناسي، كما هو ظاهر الأصحاب، بل صريحهم، لعموم العلّة المصرّح بها في صحيح الحلبي، بل الظاهر ثبوته في حقّ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الجاهل غير المقصّر،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8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w:t>
      </w:r>
      <w:r>
        <w:rPr>
          <w:rStyle w:val="FootnoteAnchor"/>
          <w:rtl w:val="true"/>
        </w:rPr>
        <w:footnoteReference w:id="859"/>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ثبوت الحكم لهما، الأخبار الآتية الدالّة على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جمعاً فقد أدرك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النصوص، أنّ وقت الإضطرار للوقوف بعرفة هو ما لا يفوت معه وقوف المشعر الاختياري، فلو تمكّن منهما معاً قبل طلوع الشمس كفى، ولكن لابدّ من تقيّيد ذلك بما في بعض النصوص من التقيّيد باللّيل، المعتضد بفتوى الأصحاب على وجهٍ قيل لا يعرف فيه الخلاف، ولكن مع ذلك الأحوط لمن يرى أنّ اللّيل إلى طلوع الشمس الجمع بين الوقوفين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من الوقوف الاضطراري مسمّى الكون لا استيعاب اللّيل، بلا خلافٍ‌، وعليه الإجماع، كما صرّح به غير واحدٍ</w:t>
      </w:r>
      <w:r>
        <w:rPr>
          <w:rStyle w:val="FootnoteAnchor"/>
          <w:rtl w:val="true"/>
        </w:rPr>
        <w:footnoteReference w:id="861"/>
      </w:r>
      <w:r>
        <w:rPr>
          <w:rFonts w:ascii="Amiri" w:hAnsi="Amiri" w:eastAsia="Amiri" w:cs="Amiri"/>
          <w:color w:val="111111"/>
          <w:sz w:val="28"/>
          <w:sz w:val="28"/>
          <w:szCs w:val="28"/>
          <w:rtl w:val="true"/>
          <w:lang w:bidi="ar-SA"/>
        </w:rPr>
        <w:t>، لإطلاق الأخبار، ولقوله عليه السلام في صحيح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فيقف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الوقوف الاضطراري إنّما هو مع علمه أو ظنّه بأنّه إذا أتى به يدرك اختياري المشعر، أمّا لو علم بأنّه إن أتى به لا يدركه، أو ظنّ بذلك، بل حتّى لو احتمل ذلك، فلا يجبُ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العلم أو الظنّ فللتصريح بذلك في النصوص</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مع الاحتمال، فلما ورد في خبر إدريس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تتحقّق الخشية مع احتمال الفوت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بأنّه إنْ أتى به يُدرك اختياري المشعر، ومع ذلك ترك الوقوف بها عالماً عامداً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يبطل حَجّه من جهة أنّ وقت الاضطراري من الوقوف كوقت الاختياري منه في فوات الحَجّ بفوات المُسمّى‌، مع العلم والعمد، كما هو مقتضى كلام الفقهاء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الرّكن مسمّاه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شاملٌ للاضطراري أيضاً، كما صرّح به غير واحد من متأخّري المتأخّرين</w:t>
      </w:r>
      <w:r>
        <w:rPr>
          <w:rStyle w:val="FootnoteAnchor"/>
          <w:rtl w:val="true"/>
        </w:rPr>
        <w:footnoteReference w:id="86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لا كما يشعر به كلام المصنّف رحمه الله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الاختياري بعرفة ركنٌ من تركه عامداً بطل حَجّه</w:t>
      </w:r>
      <w:r>
        <w:rPr>
          <w:rFonts w:eastAsia="Amiri" w:cs="Amiri" w:ascii="Amiri" w:hAnsi="Amiri"/>
          <w:color w:val="111111"/>
          <w:sz w:val="28"/>
          <w:szCs w:val="28"/>
          <w:rtl w:val="true"/>
          <w:lang w:bidi="ar-SA"/>
        </w:rPr>
        <w:t>)</w:t>
      </w:r>
      <w:r>
        <w:rPr>
          <w:rStyle w:val="FootnoteAnchor"/>
          <w:rtl w:val="true"/>
        </w:rPr>
        <w:footnoteReference w:id="86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وجهان، أظهرهما الأوّل، لصحيح الحلبي المتقدّم الوارد فيه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مهل حتّى يأتي عرفات من ليلته فيقف بها، ثمّ يفيض فيدرك النّاس في المشعر، قبل أنْ يفيضوا، فلا يتمّ حَجّه حتّى يأتي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يقيّد إطلاق ما 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جمعاً أدرك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كلام المصنّف رحمه الله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يكون الوجه في اقتصاره بيان أنّه لا يجزي الاقتصار على الاضطراري عمداً، بل من ترك الاختياري عمداً بطل حَجّه وإنْ أتى بالاضطراري</w:t>
      </w:r>
      <w:r>
        <w:rPr>
          <w:rFonts w:eastAsia="Amiri" w:cs="Amiri" w:ascii="Amiri" w:hAnsi="Amiri"/>
          <w:color w:val="111111"/>
          <w:sz w:val="28"/>
          <w:szCs w:val="28"/>
          <w:rtl w:val="true"/>
          <w:lang w:bidi="ar-SA"/>
        </w:rPr>
        <w:t>)</w:t>
      </w:r>
      <w:r>
        <w:rPr>
          <w:rStyle w:val="FootnoteAnchor"/>
          <w:rtl w:val="true"/>
        </w:rPr>
        <w:footnoteReference w:id="864"/>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865"/>
      </w:r>
      <w:r>
        <w:rPr>
          <w:rFonts w:ascii="IRNazanin" w:hAnsi="IRNazanin" w:eastAsia="IRNazanin"/>
          <w:color w:val="111111"/>
          <w:sz w:val="28"/>
          <w:sz w:val="28"/>
          <w:szCs w:val="28"/>
          <w:rtl w:val="true"/>
          <w:lang w:bidi="fa-IR"/>
        </w:rPr>
        <w:t>من</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ولو لم يتمكّن أو نسى حتّى طلع الفجر، وقف بالمشعر وأجزأه</w:t>
      </w:r>
    </w:p>
    <w:p>
      <w:pPr>
        <w:pStyle w:val="BookText"/>
        <w:rPr/>
      </w:pPr>
      <w:r>
        <w:rPr>
          <w:rFonts w:ascii="Amiri" w:hAnsi="Amiri" w:eastAsia="Amiri" w:cs="Amiri"/>
          <w:color w:val="111111"/>
          <w:sz w:val="28"/>
          <w:sz w:val="28"/>
          <w:szCs w:val="28"/>
          <w:rtl w:val="true"/>
          <w:lang w:bidi="ar-SA"/>
        </w:rPr>
        <w:t>إطلاق أنّ وقت الوقوف قبل الغروب وجب عليه بدنة، ولو عجز صام ثمانية عشر يوماً إنْ كان عالماً بعرفة من زوال يوم عرفة إلى طلوع الفجر من يوم العيد، منزّلٌ على ما عرفت من التفصيل الذي ذكره في باقي كتبه، فما عن ابن إدريس</w:t>
      </w:r>
      <w:r>
        <w:rPr>
          <w:rStyle w:val="FootnoteAnchor"/>
          <w:rtl w:val="true"/>
        </w:rPr>
        <w:footnoteReference w:id="866"/>
      </w:r>
      <w:r>
        <w:rPr>
          <w:rFonts w:ascii="Amiri" w:hAnsi="Amiri" w:eastAsia="Amiri" w:cs="Amiri"/>
          <w:color w:val="111111"/>
          <w:sz w:val="28"/>
          <w:sz w:val="28"/>
          <w:szCs w:val="28"/>
          <w:rtl w:val="true"/>
          <w:lang w:bidi="ar-SA"/>
        </w:rPr>
        <w:t>من أنّ هذا القول مخالفٌ لأقوال علمائنا، وإنّما هو قولٌ لبعض المخالفين أورده الشيخ في كتابه إيراداً لا اعتقاداً، في غير محلّه</w:t>
      </w:r>
      <w:r>
        <w:rPr>
          <w:rFonts w:eastAsia="Amiri" w:cs="Amiri" w:ascii="Amiri" w:hAnsi="Amiri"/>
          <w:color w:val="111111"/>
          <w:sz w:val="28"/>
          <w:szCs w:val="28"/>
          <w:rtl w:val="true"/>
          <w:lang w:bidi="ar-SA"/>
        </w:rPr>
        <w:t>)</w:t>
      </w:r>
      <w:r>
        <w:rPr>
          <w:rStyle w:val="FootnoteAnchor"/>
          <w:rtl w:val="true"/>
        </w:rPr>
        <w:footnoteReference w:id="86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الوقوف الاضطراري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نسى حتّى طلع الفجر، وقف بالمشعر وأجزأه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موضع وفاق</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Style w:val="FootnoteAnchor"/>
          <w:rtl w:val="true"/>
        </w:rPr>
        <w:footnoteReference w:id="87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87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87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النصوص المتقدّمة فى الوقوف الاضطرارى المصرّحة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72" w:name="pg11810_104313"/>
    </w:p>
    <w:p>
      <w:pPr>
        <w:pStyle w:val="BookText"/>
        <w:rPr/>
      </w:pPr>
      <w:bookmarkEnd w:id="172"/>
      <w:r>
        <w:rPr>
          <w:rFonts w:ascii="Amiri" w:hAnsi="Amiri" w:eastAsia="Amiri" w:cs="Amiri"/>
          <w:color w:val="111111"/>
          <w:sz w:val="28"/>
          <w:sz w:val="28"/>
          <w:szCs w:val="28"/>
          <w:rtl w:val="true"/>
          <w:lang w:bidi="ar-SA"/>
        </w:rPr>
        <w:t>ولو أفاض منها قبل الغروب، وجب عليه بدنة، ولو عَجَز صام ثمانية عشر يوماً إنْ كان عالماً</w:t>
      </w:r>
    </w:p>
    <w:p>
      <w:pPr>
        <w:pStyle w:val="Heading2"/>
        <w:numPr>
          <w:ilvl w:val="1"/>
          <w:numId w:val="1"/>
        </w:numPr>
        <w:rPr/>
      </w:pPr>
      <w:bookmarkStart w:id="173" w:name="__RefHeading___Toc10745874_73709187"/>
      <w:bookmarkStart w:id="174" w:name="_Toc58"/>
      <w:bookmarkEnd w:id="173"/>
      <w:r>
        <w:rPr>
          <w:rtl w:val="true"/>
        </w:rPr>
        <w:t>حكم من أفاض من عرفات قبل الغروب</w:t>
      </w:r>
      <w:bookmarkEnd w:id="174"/>
    </w:p>
    <w:p>
      <w:pPr>
        <w:pStyle w:val="BookText"/>
        <w:rPr/>
      </w:pPr>
      <w:r>
        <w:rPr>
          <w:rFonts w:ascii="Amiri" w:hAnsi="Amiri" w:eastAsia="Amiri" w:cs="Amiri"/>
          <w:color w:val="111111"/>
          <w:sz w:val="28"/>
          <w:sz w:val="28"/>
          <w:szCs w:val="28"/>
          <w:rtl w:val="true"/>
          <w:lang w:bidi="ar-SA"/>
        </w:rPr>
        <w:t>الفرع 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أفاض منها قبل الغروب وجب عليه بدنة، ولو عَجَز صام ثمانية عشر يوماً إن كان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بين الأصحاب شهرة عظيمة</w:t>
      </w:r>
      <w:r>
        <w:rPr>
          <w:rStyle w:val="FootnoteAnchor"/>
          <w:rtl w:val="true"/>
        </w:rPr>
        <w:footnoteReference w:id="874"/>
      </w:r>
      <w:r>
        <w:rPr>
          <w:rFonts w:ascii="IRNazanin" w:hAnsi="IRNazanin" w:eastAsia="IRNazanin"/>
          <w:color w:val="111111"/>
          <w:sz w:val="28"/>
          <w:sz w:val="28"/>
          <w:szCs w:val="28"/>
          <w:rtl w:val="true"/>
          <w:lang w:bidi="fa-IR"/>
        </w:rPr>
        <w:t>، بل بلا خلافٍ‌</w:t>
      </w:r>
      <w:r>
        <w:rPr>
          <w:rStyle w:val="FootnoteAnchor"/>
          <w:rtl w:val="true"/>
        </w:rPr>
        <w:footnoteReference w:id="875"/>
      </w:r>
      <w:r>
        <w:rPr>
          <w:rFonts w:ascii="Amiri" w:hAnsi="Amiri" w:eastAsia="Amiri" w:cs="Amiri"/>
          <w:color w:val="111111"/>
          <w:sz w:val="28"/>
          <w:sz w:val="28"/>
          <w:szCs w:val="28"/>
          <w:rtl w:val="true"/>
          <w:lang w:bidi="ar-SA"/>
        </w:rPr>
        <w:t>في أصل الجبر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قول عامّة أهل العلم إلّامن مالك</w:t>
      </w:r>
      <w:r>
        <w:rPr>
          <w:rFonts w:eastAsia="Amiri" w:cs="Amiri" w:ascii="Amiri" w:hAnsi="Amiri"/>
          <w:color w:val="111111"/>
          <w:sz w:val="28"/>
          <w:szCs w:val="28"/>
          <w:rtl w:val="true"/>
          <w:lang w:bidi="ar-SA"/>
        </w:rPr>
        <w:t>)</w:t>
      </w:r>
      <w:r>
        <w:rPr>
          <w:rStyle w:val="FootnoteAnchor"/>
          <w:rtl w:val="true"/>
        </w:rPr>
        <w:footnoteReference w:id="87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الصدوقين</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الكفّارة هي الشاة لا البدنة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أنّ عليه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ضريس، عن أبي جعفر عليه السلام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أفاض من عرفات قبل أنْ تغيب الشمس‌؟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بدنة ينحرها يوم النحر، فإنْ لم يقدر صام ثمانية عشر يوماً بمكّة، أو في الطريق، أو </w:t>
      </w:r>
    </w:p>
    <w:p>
      <w:pPr>
        <w:pStyle w:val="BookText"/>
        <w:rPr/>
      </w:pPr>
      <w:r>
        <w:rPr>
          <w:rFonts w:ascii="Amiri" w:hAnsi="Amiri" w:eastAsia="Amiri" w:cs="Amiri"/>
          <w:color w:val="111111"/>
          <w:sz w:val="28"/>
          <w:sz w:val="28"/>
          <w:szCs w:val="28"/>
          <w:rtl w:val="true"/>
          <w:lang w:bidi="ar-SA"/>
        </w:rPr>
        <w:t>في أهله</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مسمع،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أفاض من عرفات قبل غروب الشمس‌؟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جاهلاً فلا شيء عليه، وإنْ كان متعمّداً فعليه بدنة</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ومرسل ابن محبوب،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أفاض من عرفات قبل أنْ تغرب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بدنة، فإنْ لم يقدر على بدنة صام ثمانية عشر يوماً</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النصوص، ثبوت الكفّارة لمن أفاض بعد الزوال بقليلٍ أو كثير، لصدق الإفاضة قبل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إلى صورة ما إذا أفاض قبيل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بمنعه أوّلاً، وكونه بدويّاً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مقتضى صريحها ثبوت البدنة، فما عن الصدوقين غير ظاهر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به رواية</w:t>
      </w:r>
      <w:r>
        <w:rPr>
          <w:rStyle w:val="FootnoteAnchor"/>
          <w:rtl w:val="true"/>
        </w:rPr>
        <w:footnoteReference w:id="882"/>
      </w:r>
      <w:r>
        <w:rPr>
          <w:rFonts w:ascii="Amiri" w:hAnsi="Amiri" w:eastAsia="Amiri" w:cs="Amiri"/>
          <w:color w:val="111111"/>
          <w:sz w:val="28"/>
          <w:sz w:val="28"/>
          <w:szCs w:val="28"/>
          <w:rtl w:val="true"/>
          <w:lang w:bidi="ar-SA"/>
        </w:rPr>
        <w:t>، لكنّها لم تصل إلينا، فلا يُعتمد عليها، مضافاً إلى إعراض الأصحاب عنها على فرض وجودها، كما أنّ ما 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نُسُكاً فعليه دم</w:t>
      </w:r>
      <w:r>
        <w:rPr>
          <w:rFonts w:eastAsia="Amiri" w:cs="Amiri" w:ascii="Amiri" w:hAnsi="Amiri"/>
          <w:color w:val="111111"/>
          <w:sz w:val="28"/>
          <w:szCs w:val="28"/>
          <w:rtl w:val="true"/>
          <w:lang w:bidi="ar-SA"/>
        </w:rPr>
        <w:t>»</w:t>
      </w:r>
      <w:r>
        <w:rPr>
          <w:rStyle w:val="FootnoteAnchor"/>
          <w:rtl w:val="true"/>
        </w:rPr>
        <w:footnoteReference w:id="883"/>
      </w:r>
      <w:r>
        <w:rPr>
          <w:rFonts w:ascii="Amiri" w:hAnsi="Amiri" w:eastAsia="Amiri" w:cs="Amiri"/>
          <w:color w:val="111111"/>
          <w:sz w:val="28"/>
          <w:sz w:val="28"/>
          <w:szCs w:val="28"/>
          <w:rtl w:val="true"/>
          <w:lang w:bidi="ar-SA"/>
        </w:rPr>
        <w:t>، على فرض حجيّته يقيّد إطلاقه بما تقدّم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الجاهل المقصّر ملحقٌ بالعالم‌؟</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وجهان، أظهرهما الأوّل، لاتّفاقهم على أنّه بحكم العالم، ولكن مقتضى إطلاق صحيح مسمع عدم وجوب الكفّارة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أفاض قبل الغروب وجب عليه العود، بناءً على وجوب الاستيعاب كما اخترناه ووجهه واضح، وأمّا على القول الآخر ففيه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على وجوب العود، بأنّه حينئذٍ مقدّمة لامتثال حرمة الإفاضة قبل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بقائه خارج الموقف لا يصدق عليه عنوان الإفاضة من عرفات، وعليه فلا دليل على وجوبه على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عاد، فهل يسقط عنه الكفّارة، كما عن الشيخ</w:t>
      </w:r>
      <w:r>
        <w:rPr>
          <w:rStyle w:val="FootnoteAnchor"/>
          <w:rtl w:val="true"/>
        </w:rPr>
        <w:footnoteReference w:id="885"/>
      </w:r>
      <w:r>
        <w:rPr>
          <w:rFonts w:ascii="Amiri" w:hAnsi="Amiri" w:eastAsia="Amiri" w:cs="Amiri"/>
          <w:color w:val="111111"/>
          <w:sz w:val="28"/>
          <w:sz w:val="28"/>
          <w:szCs w:val="28"/>
          <w:rtl w:val="true"/>
          <w:lang w:bidi="ar-SA"/>
        </w:rPr>
        <w:t>وابني حمزة</w:t>
      </w:r>
      <w:r>
        <w:rPr>
          <w:rStyle w:val="FootnoteAnchor"/>
          <w:rtl w:val="true"/>
        </w:rPr>
        <w:footnoteReference w:id="886"/>
      </w:r>
      <w:r>
        <w:rPr>
          <w:rFonts w:ascii="Amiri" w:hAnsi="Amiri" w:eastAsia="Amiri" w:cs="Amiri"/>
          <w:color w:val="111111"/>
          <w:sz w:val="28"/>
          <w:sz w:val="28"/>
          <w:szCs w:val="28"/>
          <w:rtl w:val="true"/>
          <w:lang w:bidi="ar-SA"/>
        </w:rPr>
        <w:t>وإدريس</w:t>
      </w:r>
      <w:r>
        <w:rPr>
          <w:rStyle w:val="FootnoteAnchor"/>
          <w:rtl w:val="true"/>
        </w:rPr>
        <w:footnoteReference w:id="887"/>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888"/>
      </w:r>
      <w:r>
        <w:rPr>
          <w:rFonts w:ascii="Amiri" w:hAnsi="Amiri" w:eastAsia="Amiri" w:cs="Amiri"/>
          <w:color w:val="111111"/>
          <w:sz w:val="28"/>
          <w:sz w:val="28"/>
          <w:szCs w:val="28"/>
          <w:rtl w:val="true"/>
          <w:lang w:bidi="ar-SA"/>
        </w:rPr>
        <w:t>وغيرها</w:t>
      </w:r>
      <w:r>
        <w:rPr>
          <w:rStyle w:val="FootnoteAnchor"/>
          <w:rtl w:val="true"/>
        </w:rPr>
        <w:footnoteReference w:id="889"/>
      </w:r>
      <w:r>
        <w:rPr>
          <w:rFonts w:ascii="Amiri" w:hAnsi="Amiri" w:eastAsia="Amiri" w:cs="Amiri"/>
          <w:color w:val="111111"/>
          <w:sz w:val="28"/>
          <w:sz w:val="28"/>
          <w:szCs w:val="28"/>
          <w:rtl w:val="true"/>
          <w:lang w:bidi="ar-SA"/>
        </w:rPr>
        <w:t xml:space="preserve">؟ أم لا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w:t>
      </w:r>
      <w:r>
        <w:rPr>
          <w:rStyle w:val="FootnoteAnchor"/>
          <w:rtl w:val="true"/>
        </w:rPr>
        <w:footnoteReference w:id="890"/>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 للأوّل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بالأصل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لو لم يقف إلّاهذا الزمان، لم يكن عليه شيء، فهو حينئذٍ كمن تجاوز الميقات غير مُحرِمٍ ثمّ عاد إليه فأحرم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جاهلاً أو ناسياً فلا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وبظهور النصوص في غير العائد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لا يرجع إليه مع إطلاق الدليل، وعدم الوقوف إلّافي غير هذا الزمان غير الإفاضة التي هي الموجبة للكفّارة، وظهور النصوص في غيرالعائد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عالماً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جاهلاً أو ناسياً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أجده فيه، بل الإجماع بقسميه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مسمع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والأصل، بعد اختصاص نصوص الكفّارة بالمتعمّد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والنص، وإنْ اختصّ صدره بالجاهل، إلّا أنّه يلحق به الناسي بالإجماع</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وبمفهوم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متعمّداً فعليه بدنة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يمكن إدخاله في الجاهل المنصوص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أو ذكر قبل الغروب، وجبَ عليه العود مع الإمكان، على القول بوجوب الاستيعاب كما مرّ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عليه حينئذٍ الكفّارة لو لم يعد، كما عن ثاني الشهيدين</w:t>
      </w:r>
      <w:r>
        <w:rPr>
          <w:rStyle w:val="FootnoteAnchor"/>
          <w:rtl w:val="true"/>
        </w:rPr>
        <w:footnoteReference w:id="893"/>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الظاهر العدم، لعدم صدق الإفاضة من عرفات عامداً على البقاء في خارجه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نائماً في الموقف، فهل يحتزأ بوقوفه كما عن الشيخ قدس سره</w:t>
      </w:r>
      <w:r>
        <w:rPr>
          <w:rStyle w:val="FootnoteAnchor"/>
          <w:rtl w:val="true"/>
        </w:rPr>
        <w:footnoteReference w:id="894"/>
      </w:r>
      <w:r>
        <w:rPr>
          <w:rFonts w:ascii="Amiri" w:hAnsi="Amiri" w:eastAsia="Amiri" w:cs="Amiri"/>
          <w:color w:val="111111"/>
          <w:sz w:val="28"/>
          <w:sz w:val="28"/>
          <w:szCs w:val="28"/>
          <w:rtl w:val="true"/>
          <w:lang w:bidi="ar-SA"/>
        </w:rPr>
        <w:t xml:space="preserve">؟، أم لا إنْ كان مستوعباً كما 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89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يقال في الصوم لو نوى الإمساك قبل طلوع الفجر، ثمّ نام واستيقظ بعد غروب الشمس، صحّ صومه من جهة أنّه صام عن نيّةٍ‌، ولا ينافي النوم الصوم، وإنْ نام من دون أن ينوي بطل، كذلك في المقام فإنّه لو نوى الوقوف بعرفة ثمّ نام يجتزي به، وإلّا فلا، وقد تقدّم الكلام في ذلك في كتاب الصوم في مبحث النيّة مفصّلاً فراجع</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ذكرناه صرّح المصنّف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897"/>
      </w:r>
      <w:r>
        <w:rPr>
          <w:rFonts w:ascii="Amiri" w:hAnsi="Amiri" w:eastAsia="Amiri" w:cs="Amiri"/>
          <w:color w:val="111111"/>
          <w:sz w:val="28"/>
          <w:sz w:val="28"/>
          <w:szCs w:val="28"/>
          <w:rtl w:val="true"/>
          <w:lang w:bidi="ar-SA"/>
        </w:rPr>
        <w:t>، وظاهره كونه متّفقاً عليه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75" w:name="pg11810_104318"/>
    </w:p>
    <w:p>
      <w:pPr>
        <w:pStyle w:val="BookText"/>
        <w:rPr/>
      </w:pPr>
      <w:bookmarkEnd w:id="175"/>
      <w:r>
        <w:rPr>
          <w:rFonts w:ascii="Amiri" w:hAnsi="Amiri" w:eastAsia="Amiri" w:cs="Amiri"/>
          <w:color w:val="111111"/>
          <w:sz w:val="28"/>
          <w:sz w:val="28"/>
          <w:szCs w:val="28"/>
          <w:rtl w:val="true"/>
          <w:lang w:bidi="ar-SA"/>
        </w:rPr>
        <w:t>ونَمرة، وثويّة، وذو المجاز، وعُرنة، والأراك حدودٌ لا يُجزي الوقوف بها</w:t>
      </w:r>
      <w:r>
        <w:rPr>
          <w:rFonts w:eastAsia="Amiri" w:cs="Amiri" w:ascii="Amiri" w:hAnsi="Amiri"/>
          <w:color w:val="111111"/>
          <w:sz w:val="28"/>
          <w:szCs w:val="28"/>
          <w:rtl w:val="true"/>
          <w:lang w:bidi="ar-SA"/>
        </w:rPr>
        <w:t>.</w:t>
      </w:r>
    </w:p>
    <w:p>
      <w:pPr>
        <w:pStyle w:val="Heading2"/>
        <w:numPr>
          <w:ilvl w:val="1"/>
          <w:numId w:val="1"/>
        </w:numPr>
        <w:rPr/>
      </w:pPr>
      <w:bookmarkStart w:id="176" w:name="__RefHeading___Toc10745876_73709187"/>
      <w:bookmarkStart w:id="177" w:name="_Toc59"/>
      <w:bookmarkEnd w:id="176"/>
      <w:r>
        <w:rPr>
          <w:rtl w:val="true"/>
        </w:rPr>
        <w:t>لا يُجزي الوقوف بحدود عَرفة</w:t>
      </w:r>
      <w:bookmarkEnd w:id="177"/>
    </w:p>
    <w:p>
      <w:pPr>
        <w:pStyle w:val="BookText"/>
        <w:rPr/>
      </w:pPr>
      <w:r>
        <w:rPr>
          <w:rFonts w:ascii="Amiri" w:hAnsi="Amiri" w:eastAsia="Amiri" w:cs="Amiri"/>
          <w:color w:val="111111"/>
          <w:sz w:val="28"/>
          <w:sz w:val="28"/>
          <w:szCs w:val="28"/>
          <w:rtl w:val="true"/>
          <w:lang w:bidi="ar-SA"/>
        </w:rPr>
        <w:t xml:space="preserve">قد عرفت أنّه يجب الوقوف بعرفة، وقد دلّت النصوص على أنّ عرفة كلّها موقف،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قول علماء الإسلام</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نَمرة</w:t>
      </w:r>
      <w:r>
        <w:rPr>
          <w:rStyle w:val="FootnoteAnchor"/>
          <w:rtl w:val="true"/>
        </w:rPr>
        <w:footnoteReference w:id="899"/>
      </w:r>
      <w:r>
        <w:rPr>
          <w:rFonts w:ascii="Amiri" w:hAnsi="Amiri" w:eastAsia="Amiri" w:cs="Amiri"/>
          <w:color w:val="111111"/>
          <w:sz w:val="28"/>
          <w:sz w:val="28"/>
          <w:szCs w:val="28"/>
          <w:rtl w:val="true"/>
          <w:lang w:bidi="ar-SA"/>
        </w:rPr>
        <w:t>، وثويّة</w:t>
      </w:r>
      <w:r>
        <w:rPr>
          <w:rStyle w:val="FootnoteAnchor"/>
          <w:rtl w:val="true"/>
        </w:rPr>
        <w:footnoteReference w:id="900"/>
      </w:r>
      <w:r>
        <w:rPr>
          <w:rFonts w:ascii="IRNazanin" w:hAnsi="IRNazanin" w:eastAsia="IRNazanin"/>
          <w:color w:val="111111"/>
          <w:sz w:val="28"/>
          <w:sz w:val="28"/>
          <w:szCs w:val="28"/>
          <w:rtl w:val="true"/>
          <w:lang w:bidi="fa-IR"/>
        </w:rPr>
        <w:t>، وذو المجاز</w:t>
      </w:r>
      <w:r>
        <w:rPr>
          <w:rStyle w:val="FootnoteAnchor"/>
          <w:rtl w:val="true"/>
        </w:rPr>
        <w:footnoteReference w:id="901"/>
      </w:r>
      <w:r>
        <w:rPr>
          <w:rFonts w:ascii="Amiri" w:hAnsi="Amiri" w:eastAsia="Amiri" w:cs="Amiri"/>
          <w:color w:val="111111"/>
          <w:sz w:val="28"/>
          <w:sz w:val="28"/>
          <w:szCs w:val="28"/>
          <w:rtl w:val="true"/>
          <w:lang w:bidi="ar-SA"/>
        </w:rPr>
        <w:t>، وعُرنة</w:t>
      </w:r>
      <w:r>
        <w:rPr>
          <w:rStyle w:val="FootnoteAnchor"/>
          <w:rtl w:val="true"/>
        </w:rPr>
        <w:footnoteReference w:id="902"/>
      </w:r>
      <w:r>
        <w:rPr>
          <w:rFonts w:ascii="Amiri" w:hAnsi="Amiri" w:eastAsia="Amiri" w:cs="Amiri"/>
          <w:color w:val="111111"/>
          <w:sz w:val="28"/>
          <w:sz w:val="28"/>
          <w:szCs w:val="28"/>
          <w:rtl w:val="true"/>
          <w:lang w:bidi="ar-SA"/>
        </w:rPr>
        <w:t>، والأراك</w:t>
      </w:r>
      <w:r>
        <w:rPr>
          <w:rFonts w:eastAsia="Amiri" w:cs="Amiri" w:ascii="Amiri" w:hAnsi="Amiri"/>
          <w:color w:val="111111"/>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يجزي الوقوف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بل عليه الإجماع</w:t>
      </w:r>
      <w:r>
        <w:rPr>
          <w:rStyle w:val="FootnoteAnchor"/>
          <w:rtl w:val="true"/>
        </w:rPr>
        <w:footnoteReference w:id="904"/>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الجمهور أيضاً إلّاما حُكي عن مالك</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بذلك نصوص</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بن عمّار، عن مولانا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 عرفة من بطن عُرنة وثويّة ونمرة إلى ذي المجاز، وخلف الجبل موقف</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سماعة،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واتّق الأراك ونمرة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بطن عُرنة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وثوية وذي المجاز، فإنّه ليس من عرفة فلا تقف فيه</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ومعاوية جميعاً،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 عرفات من المأزمين إلى الموقف</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الصدوق،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عرفة من بطن عرنة وثويّة ونَمرة وذي المجاز، وخلف الجبل موقف إلى وراء الجبل</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تقدّمت النصوص الدالّة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الأراك لا حَجّ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ولعلّه لا تنافي بين الجميع في كونها حدود عرفة باعتبار الجهات،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78" w:name="pg11810_104320"/>
    </w:p>
    <w:p>
      <w:pPr>
        <w:pStyle w:val="BookText"/>
        <w:rPr/>
      </w:pPr>
      <w:bookmarkEnd w:id="178"/>
      <w:r>
        <w:rPr>
          <w:rFonts w:ascii="Amiri" w:hAnsi="Amiri" w:eastAsia="Amiri" w:cs="Amiri"/>
          <w:color w:val="111111"/>
          <w:sz w:val="28"/>
          <w:sz w:val="28"/>
          <w:szCs w:val="28"/>
          <w:rtl w:val="true"/>
          <w:lang w:bidi="ar-SA"/>
        </w:rPr>
        <w:t>ويستحبّ أن يخرج إلى منى يوم التروية بعد الزوال</w:t>
      </w:r>
    </w:p>
    <w:p>
      <w:pPr>
        <w:pStyle w:val="Heading2"/>
        <w:numPr>
          <w:ilvl w:val="1"/>
          <w:numId w:val="1"/>
        </w:numPr>
        <w:rPr/>
      </w:pPr>
      <w:bookmarkStart w:id="179" w:name="__RefHeading___Toc10745878_73709187"/>
      <w:bookmarkStart w:id="180" w:name="_Toc60"/>
      <w:bookmarkEnd w:id="179"/>
      <w:r>
        <w:rPr>
          <w:rtl w:val="true"/>
        </w:rPr>
        <w:t>وقت الخروج من مكّة</w:t>
      </w:r>
      <w:bookmarkEnd w:id="18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شرائط حَجّ‌التمتّع أنّه لا كلام في أنّه لابدّ وأنْيكون إحرام حَجّ التمتّع من مكّة كما مرّ، فيجبُ الخروج منها إلى جهة عرفات، لأنّه مقدّمة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وقت الخروج، فالمشهور بين الأصحاب شهرة عظيمة</w:t>
      </w:r>
      <w:r>
        <w:rPr>
          <w:rStyle w:val="FootnoteAnchor"/>
          <w:rtl w:val="true"/>
        </w:rPr>
        <w:footnoteReference w:id="911"/>
      </w:r>
      <w:r>
        <w:rPr>
          <w:rFonts w:ascii="Amiri" w:hAnsi="Amiri" w:eastAsia="Amiri" w:cs="Amiri"/>
          <w:color w:val="111111"/>
          <w:sz w:val="28"/>
          <w:sz w:val="28"/>
          <w:szCs w:val="28"/>
          <w:rtl w:val="true"/>
          <w:lang w:bidi="ar-SA"/>
        </w:rPr>
        <w:t>كادت تكون إجماعاً، بل عليه الإجماع في غير واحدٍ من الكلمات</w:t>
      </w:r>
      <w:r>
        <w:rPr>
          <w:rStyle w:val="FootnoteAnchor"/>
          <w:rtl w:val="true"/>
        </w:rPr>
        <w:footnoteReference w:id="912"/>
      </w:r>
      <w:r>
        <w:rPr>
          <w:rFonts w:ascii="Amiri" w:hAnsi="Amiri" w:eastAsia="Amiri" w:cs="Amiri"/>
          <w:color w:val="111111"/>
          <w:sz w:val="28"/>
          <w:sz w:val="28"/>
          <w:szCs w:val="28"/>
          <w:rtl w:val="true"/>
          <w:lang w:bidi="ar-SA"/>
        </w:rPr>
        <w:t xml:space="preserve">،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أن يخرج إلى منى يوم التروية بعد 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ويجوز قبله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الإسكافي</w:t>
      </w:r>
      <w:r>
        <w:rPr>
          <w:rStyle w:val="FootnoteAnchor"/>
          <w:rtl w:val="true"/>
        </w:rPr>
        <w:footnoteReference w:id="913"/>
      </w:r>
      <w:r>
        <w:rPr>
          <w:rFonts w:ascii="Amiri" w:hAnsi="Amiri" w:eastAsia="Amiri" w:cs="Amiri"/>
          <w:color w:val="111111"/>
          <w:sz w:val="28"/>
          <w:sz w:val="28"/>
          <w:szCs w:val="28"/>
          <w:rtl w:val="true"/>
          <w:lang w:bidi="ar-SA"/>
        </w:rPr>
        <w:t>والشيخ</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تقديمه على يوم التروية لغير ذوي الأعذار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 عدم جواز تأخيره عن يوم التروية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النصوص</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التروية إنْ شاء اللّه تعالى، فاغتسل ثمّ البس ثوبك، وادخل المسجد حافياً وعليك السكينة والوقار، ثمّ صلِّ ركعتين عند مقام إبراهيم عليه السلام أو في الحجر، ثمّ اقعد حتّى تزول الشمس فصلِّ‌ </w:t>
      </w:r>
    </w:p>
    <w:p>
      <w:pPr>
        <w:pStyle w:val="BookText"/>
        <w:rPr/>
      </w:pPr>
      <w:r>
        <w:rPr>
          <w:rFonts w:ascii="Amiri" w:hAnsi="Amiri" w:eastAsia="Amiri" w:cs="Amiri"/>
          <w:color w:val="111111"/>
          <w:sz w:val="28"/>
          <w:sz w:val="28"/>
          <w:szCs w:val="28"/>
          <w:rtl w:val="true"/>
          <w:lang w:bidi="ar-SA"/>
        </w:rPr>
        <w:t>المكتوبة، ثمّ قُل في دَبر صلاتك كما قلت حين أحرمت من الشجرة، وأحرم بالحَجّ وعليك السكينة والوقار، فإذا انتهيت إلى فضا دون الرّدم فلبّ‌، فإنْ انتهيت إلى الرَّدم وأشرفت على الأبطح فارفع صوتك بالتلبية حتّى تأتي منى</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خبر عمر بن يزيد</w:t>
      </w:r>
      <w:r>
        <w:rPr>
          <w:rStyle w:val="FootnoteAnchor"/>
          <w:rtl w:val="true"/>
        </w:rPr>
        <w:footnoteReference w:id="916"/>
      </w:r>
      <w:r>
        <w:rPr>
          <w:rFonts w:ascii="Amiri" w:hAnsi="Amiri" w:eastAsia="Amiri" w:cs="Amiri"/>
          <w:color w:val="111111"/>
          <w:sz w:val="28"/>
          <w:sz w:val="28"/>
          <w:szCs w:val="28"/>
          <w:rtl w:val="true"/>
          <w:lang w:bidi="ar-SA"/>
        </w:rPr>
        <w:t>، وموثّق أبي بصير</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جواز التقديم على يوم التروية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بظهور الأمر فيها في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وبموثّق إسحاق بن عمّار،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يكون شيخاً كبيراً أو مريضاً يخاف ضغاط النّاس وزحامهم، يحرم بالحَجّ ويخرج إلى منى قبل يوم التروية‌؟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الرّجل الصحيح يلتمس مكاناً أو يتروّح بذلك المكان‌؟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يعجّل بيوم‌؟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واُجيب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Style w:val="FootnoteAnchor"/>
          <w:rtl w:val="true"/>
        </w:rPr>
        <w:footnoteReference w:id="919"/>
      </w:r>
      <w:r>
        <w:rPr>
          <w:rFonts w:ascii="Amiri" w:hAnsi="Amiri" w:eastAsia="Amiri" w:cs="Amiri"/>
          <w:color w:val="111111"/>
          <w:sz w:val="28"/>
          <w:sz w:val="28"/>
          <w:szCs w:val="28"/>
          <w:rtl w:val="true"/>
          <w:lang w:bidi="ar-SA"/>
        </w:rPr>
        <w:t>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النصوص المتقدّمة وإنْ تضمّنت الأمر، إلّا أنّها في الخروج بعد الزوال الذي هو ليس بواجب قطعاً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لتضمّنه الجملة الخبريّة لا يدلّ على اللّزوم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يندفع الثاني بما تكرّر منّا من أنّ الجملة الخبريّة ظاهرة في اللّزوم،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ويندفع الأوّل بأنّ الوارد في خبر عمر بن يزيد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التروية فأهلّ بالحَجّ‌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موثّق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قدرت أنْ يكون رواحك إلى منى زوال الشمس، وإلّا فمتى ما تيسّر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النصوص عدم جواز التقديم على يوم التروية، ولكن بما أنّه تكرّر دعوى الإجماع في كلماتهم على جواز التقديم، تُحمل النصوص على الندب والفضل، ومع ذلك لا ينبغي ترك الاحتياط بعدم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لذوي الأعذار التقديم إلى ثلاثة أيّام بلا إشكال، لدلالة الموثّق عليه، وبالنسبة إلى أزيد منها ينبغي مراعاة الاحتياط، كما في غيرهم بالنسبة إلى يوم التروية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لعدم جواز التأخير عن يوم التروية بالأمر بالإحرام فيها في النصوص المتقدّمة، ولكن يتعيّن البناء على جواز التأخير لنصوص مصرّحة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يقطين،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الذي يريد أن يتقدّم فيه الذي ليس له وقت أوّل منه‌؟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w:t>
      </w:r>
    </w:p>
    <w:p>
      <w:pPr>
        <w:pStyle w:val="BookText"/>
        <w:rPr/>
      </w:pPr>
      <w:r>
        <w:rPr>
          <w:rFonts w:ascii="Amiri" w:hAnsi="Amiri" w:eastAsia="Amiri" w:cs="Amiri"/>
          <w:color w:val="111111"/>
          <w:sz w:val="28"/>
          <w:sz w:val="28"/>
          <w:szCs w:val="28"/>
          <w:rtl w:val="true"/>
          <w:lang w:bidi="ar-SA"/>
        </w:rPr>
        <w:t>وعن الذي يريد أن يتخلّف بمكّة عشيّة التروية إلى أيّة ساعة يسعه أن يتخلّف‌؟</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موسع له حتّى يُصبح بمنى</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ومعناه أنّ أوّل وقت الخروج إلى منى، هو زوال الشمس من يوم التروية، وآخره ليلة عرفة، بأن يصبح في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البزنطي، عن بعض أصحابه، عن أبي الحسن عليه السلام في حديثٍ‌</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وموسّع للرّجل أن يخرج إلى منى من وقت الزوال من يوم التروية إلى أنْ يصبح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والإمام يُصلّي بها</w:t>
      </w:r>
    </w:p>
    <w:p>
      <w:pPr>
        <w:pStyle w:val="BookText"/>
        <w:rPr/>
      </w:pPr>
      <w:r>
        <w:rPr>
          <w:rFonts w:ascii="Amiri" w:hAnsi="Amiri" w:eastAsia="Amiri" w:cs="Amiri"/>
          <w:color w:val="111111"/>
          <w:sz w:val="28"/>
          <w:sz w:val="28"/>
          <w:szCs w:val="28"/>
          <w:rtl w:val="true"/>
          <w:lang w:bidi="ar-SA"/>
        </w:rPr>
        <w:t>حيث يعلم أنّه لا يفوته الموقف</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ينبغي التوقّف في جواز التأخير، وأمّا التقديم فيحتاط بتركه إلّا لذوي الأعذار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آداب الإحرام نقل الأقوال في استحباب الإحرام عقيب الصلاة، وبيّنا هناك أنّ الأظهر في حَجّ التمتّع أنّه إنْ قدر على أن يُصلّي أوّل الوقت بمنى، فيُصلّي الظهر هناك، وإلّا ففي مكّة ثمّ يحرم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غير الإمام، والمراد به أمير الحاجّ كما صرّح به غير واحد من الفقهاء</w:t>
      </w:r>
      <w:r>
        <w:rPr>
          <w:rStyle w:val="FootnoteAnchor"/>
          <w:rtl w:val="true"/>
        </w:rPr>
        <w:footnoteReference w:id="922"/>
      </w:r>
      <w:r>
        <w:rPr>
          <w:rFonts w:ascii="Amiri" w:hAnsi="Amiri" w:eastAsia="Amiri" w:cs="Amiri"/>
          <w:color w:val="111111"/>
          <w:sz w:val="28"/>
          <w:sz w:val="28"/>
          <w:szCs w:val="28"/>
          <w:rtl w:val="true"/>
          <w:lang w:bidi="ar-SA"/>
        </w:rPr>
        <w:t>، ويشهد به خبر المؤذن،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إسماعيل بن علي بالنّاس سنة أربعين ومائة، فسقط أبو عبد اللّه عليه السلام عن بغلته، فوقف عليه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فإنّ الإمام لا يقف</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صرَّح غير واحدٍ</w:t>
      </w:r>
      <w:r>
        <w:rPr>
          <w:rStyle w:val="FootnoteAnchor"/>
          <w:rtl w:val="true"/>
        </w:rPr>
        <w:footnoteReference w:id="924"/>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بمنى، ويشهد به صحيح جميل، عن الإمام الصادق عليه السلام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الإمام أن يُصلّي الظهر بمنى، ويبيت بها ويصبح حتّى تطلع الشمس، ثمّ يخرج إلى عرفات</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يبيتُ بها إلى فَجر عَرفة،</w:t>
      </w:r>
    </w:p>
    <w:p>
      <w:pPr>
        <w:pStyle w:val="BookText"/>
        <w:rPr/>
      </w:pPr>
      <w:r>
        <w:rPr>
          <w:rFonts w:ascii="Amiri" w:hAnsi="Amiri" w:eastAsia="Amiri" w:cs="Amiri"/>
          <w:color w:val="111111"/>
          <w:sz w:val="28"/>
          <w:sz w:val="28"/>
          <w:szCs w:val="28"/>
          <w:rtl w:val="true"/>
          <w:lang w:bidi="ar-SA"/>
        </w:rPr>
        <w:t>ونحوه غيره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وظاهرها وإنْ كان لزوم ذلك، إلّاأنّ الظاهر اتّفاق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إلّاالنادر منهم</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استحبابه، فلتُحمل النصوص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المبيت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الأصحاب</w:t>
      </w:r>
      <w:r>
        <w:rPr>
          <w:rStyle w:val="FootnoteAnchor"/>
          <w:rtl w:val="true"/>
        </w:rPr>
        <w:footnoteReference w:id="927"/>
      </w:r>
      <w:r>
        <w:rPr>
          <w:rFonts w:ascii="Amiri" w:hAnsi="Amiri" w:eastAsia="Amiri" w:cs="Amiri"/>
          <w:color w:val="111111"/>
          <w:sz w:val="28"/>
          <w:sz w:val="28"/>
          <w:szCs w:val="28"/>
          <w:rtl w:val="true"/>
          <w:lang w:bidi="ar-SA"/>
        </w:rPr>
        <w:t>استحبابه للإمام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القاضي</w:t>
      </w:r>
      <w:r>
        <w:rPr>
          <w:rStyle w:val="FootnoteAnchor"/>
          <w:rtl w:val="true"/>
        </w:rPr>
        <w:footnoteReference w:id="928"/>
      </w:r>
      <w:r>
        <w:rPr>
          <w:rFonts w:ascii="Amiri" w:hAnsi="Amiri" w:eastAsia="Amiri" w:cs="Amiri"/>
          <w:color w:val="111111"/>
          <w:sz w:val="28"/>
          <w:sz w:val="28"/>
          <w:szCs w:val="28"/>
          <w:rtl w:val="true"/>
          <w:lang w:bidi="ar-SA"/>
        </w:rPr>
        <w:t>والحلبي</w:t>
      </w:r>
      <w:r>
        <w:rPr>
          <w:rStyle w:val="FootnoteAnchor"/>
          <w:rtl w:val="true"/>
        </w:rPr>
        <w:footnoteReference w:id="929"/>
      </w:r>
      <w:r>
        <w:rPr>
          <w:rFonts w:ascii="Amiri" w:hAnsi="Amiri" w:eastAsia="Amiri" w:cs="Amiri"/>
          <w:color w:val="111111"/>
          <w:sz w:val="28"/>
          <w:sz w:val="28"/>
          <w:szCs w:val="28"/>
          <w:rtl w:val="true"/>
          <w:lang w:bidi="ar-SA"/>
        </w:rPr>
        <w:t>وجوبه للإمام، وظاهر المصنّف في هذا الكتاب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يبيتُ بها إلى فجر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رجحان ذلك بالإمام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يشهد لاستحبابه لغير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عمّار، عن مولانا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تُصلّي بها الظهر والعصر والمغرب والعشاء الآخرة والفجر</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محمّد بن مسلم،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هل صَلّي رسول اللّه صلى الله عليه و آله الظهر بمنى يوم التروية‌؟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والغداة بمنى يوم عرفة</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وظاهرهما وإنْ كان لزوم ذلك، إلّاأنّه يُحملان على الاستحباب، للنصوص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المتقدّمة الدالّة على جواز التأخير في الخروج إلى أنْ يعلم أنّه لا يفوته الموقف</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فالنصوص الآمرة بمبيته بها كثيرة، لاحظ صحيح جميل المتقدّم آنفاً، لكن من جهة الإجماع على الاستحباب تُحمل عليه</w:t>
      </w:r>
      <w:r>
        <w:rPr>
          <w:rFonts w:eastAsia="Amiri" w:cs="Amiri" w:ascii="Amiri" w:hAnsi="Amiri"/>
          <w:color w:val="111111"/>
          <w:sz w:val="28"/>
          <w:szCs w:val="28"/>
          <w:rtl w:val="true"/>
          <w:lang w:bidi="ar-SA"/>
        </w:rPr>
        <w:t>.</w:t>
      </w:r>
      <w:bookmarkStart w:id="181" w:name="pg11810_104326"/>
    </w:p>
    <w:p>
      <w:pPr>
        <w:pStyle w:val="BookText"/>
        <w:rPr/>
      </w:pPr>
      <w:bookmarkEnd w:id="181"/>
      <w:r>
        <w:rPr>
          <w:rFonts w:ascii="Amiri" w:hAnsi="Amiri" w:eastAsia="Amiri" w:cs="Amiri"/>
          <w:color w:val="111111"/>
          <w:sz w:val="28"/>
          <w:sz w:val="28"/>
          <w:szCs w:val="28"/>
          <w:rtl w:val="true"/>
          <w:lang w:bidi="ar-SA"/>
        </w:rPr>
        <w:t>ولا يجوزَ وادي محسِّر حتّى تطلع الشمس، وأن يدعو عند نزولها، والخروج منها، وفي الطريق،</w:t>
      </w:r>
    </w:p>
    <w:p>
      <w:pPr>
        <w:pStyle w:val="Heading2"/>
        <w:numPr>
          <w:ilvl w:val="1"/>
          <w:numId w:val="1"/>
        </w:numPr>
        <w:rPr/>
      </w:pPr>
      <w:bookmarkStart w:id="182" w:name="__RefHeading___Toc10745880_73709187"/>
      <w:bookmarkStart w:id="183" w:name="_Toc61"/>
      <w:bookmarkEnd w:id="182"/>
      <w:r>
        <w:rPr>
          <w:rtl w:val="true"/>
        </w:rPr>
        <w:t>بعض آداب الوقوف بعرفات</w:t>
      </w:r>
      <w:bookmarkEnd w:id="1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وادي مُحسِّر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بكسر السين المشدّدة</w:t>
      </w:r>
      <w:r>
        <w:rPr>
          <w:rStyle w:val="FootnoteAnchor"/>
          <w:rtl w:val="true"/>
        </w:rPr>
        <w:footnoteReference w:id="932"/>
      </w:r>
      <w:r>
        <w:rPr>
          <w:rFonts w:ascii="Amiri" w:hAnsi="Amiri" w:eastAsia="Amiri" w:cs="Amiri"/>
          <w:color w:val="111111"/>
          <w:sz w:val="28"/>
          <w:sz w:val="28"/>
          <w:szCs w:val="28"/>
          <w:rtl w:val="true"/>
          <w:lang w:bidi="ar-SA"/>
        </w:rPr>
        <w:t xml:space="preserve">على صيغة اسم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منى إلى جهة عرفة، كما صرّح به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إلّاعن الشيخ</w:t>
      </w:r>
      <w:r>
        <w:rPr>
          <w:rStyle w:val="FootnoteAnchor"/>
          <w:rtl w:val="true"/>
        </w:rPr>
        <w:footnoteReference w:id="933"/>
      </w:r>
      <w:r>
        <w:rPr>
          <w:rFonts w:ascii="Amiri" w:hAnsi="Amiri" w:eastAsia="Amiri" w:cs="Amiri"/>
          <w:color w:val="111111"/>
          <w:sz w:val="28"/>
          <w:sz w:val="28"/>
          <w:szCs w:val="28"/>
          <w:rtl w:val="true"/>
          <w:lang w:bidi="ar-SA"/>
        </w:rPr>
        <w:t>والقاضي</w:t>
      </w:r>
      <w:r>
        <w:rPr>
          <w:rStyle w:val="FootnoteAnchor"/>
          <w:rtl w:val="true"/>
        </w:rPr>
        <w:footnoteReference w:id="934"/>
      </w:r>
      <w:r>
        <w:rPr>
          <w:rFonts w:ascii="Amiri" w:hAnsi="Amiri" w:eastAsia="Amiri" w:cs="Amiri"/>
          <w:color w:val="111111"/>
          <w:sz w:val="28"/>
          <w:sz w:val="28"/>
          <w:szCs w:val="28"/>
          <w:rtl w:val="true"/>
          <w:lang w:bidi="ar-SA"/>
        </w:rPr>
        <w:t>حيث حرّماه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للحكم صحيح هشام، عن مولانا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وادي محسِّر حتّى تطلع الشمس</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 الحرمة، إلّاأنّ تسالم الأصحاب على عدم الحرمة يوجب رفع اليد عن ظهوره،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يدعو عند نزولها، والخروج منها، وفي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تضمّنته النصوص</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معاوية،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انتهيت إلى منى،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هذه منى، وهذه ممّا مَننتَ به علينا من المناسك، فاسألك أن تَمُنَّ عَليَّ بما مننتَ به على </w:t>
      </w:r>
    </w:p>
    <w:p>
      <w:pPr>
        <w:pStyle w:val="BookText"/>
        <w:rPr/>
      </w:pPr>
      <w:r>
        <w:rPr>
          <w:rFonts w:ascii="Amiri" w:hAnsi="Amiri" w:eastAsia="Amiri" w:cs="Amiri"/>
          <w:color w:val="111111"/>
          <w:sz w:val="28"/>
          <w:sz w:val="28"/>
          <w:szCs w:val="28"/>
          <w:rtl w:val="true"/>
          <w:lang w:bidi="ar-SA"/>
        </w:rPr>
        <w:t>وأن يقف مع السّفح</w:t>
      </w:r>
    </w:p>
    <w:p>
      <w:pPr>
        <w:pStyle w:val="BookText"/>
        <w:rPr/>
      </w:pPr>
      <w:r>
        <w:rPr>
          <w:rFonts w:ascii="Amiri" w:hAnsi="Amiri" w:eastAsia="Amiri" w:cs="Amiri"/>
          <w:color w:val="111111"/>
          <w:sz w:val="28"/>
          <w:sz w:val="28"/>
          <w:szCs w:val="28"/>
          <w:rtl w:val="true"/>
          <w:lang w:bidi="ar-SA"/>
        </w:rPr>
        <w:t>أنبيائك، فإنّما أنا عبدك وفي قبضتك</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صحيحه الآخر،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وأنتَ متوجّهٌ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صمدتُ‌، وإيّاك اعتمدتُ‌، ووجهك أردتُ‌، فأسألك أن تبارك لي في رحلتي، وأن تقضي لي حاجتي، وأن تجعلني ممّن تُباهي به اليوم مَنْ هو أفضل منّي، ثمّ تُلبِّي وأنتَ غادٍ إلى عرفات</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توجّهت إلى منى،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إيّاك أرجو، وإيّاك أدعو، فبلّغني أملي، وأصلح لي عملي</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يقف مع السّفح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أسفل الجبل، وأوجبه الحِلّي</w:t>
      </w:r>
      <w:r>
        <w:rPr>
          <w:rStyle w:val="FootnoteAnchor"/>
          <w:rtl w:val="true"/>
        </w:rPr>
        <w:footnoteReference w:id="939"/>
      </w:r>
      <w:r>
        <w:rPr>
          <w:rFonts w:ascii="Amiri" w:hAnsi="Amiri" w:eastAsia="Amiri" w:cs="Amiri"/>
          <w:color w:val="111111"/>
          <w:sz w:val="28"/>
          <w:sz w:val="28"/>
          <w:szCs w:val="28"/>
          <w:rtl w:val="true"/>
          <w:lang w:bidi="ar-SA"/>
        </w:rPr>
        <w:t>ولو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موثّق إسحاق بن عمّار، عن أبي إبراهيم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الوقوف بعرفات فوق الجبل أحبّ إليك أم على الأرض‌؟</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وصحيح مسمع،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عرفات كلّها موقف، وأفضل الموقف سفح الجبل</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84" w:name="pg11810_104328"/>
    </w:p>
    <w:p>
      <w:pPr>
        <w:pStyle w:val="BookText"/>
        <w:rPr/>
      </w:pPr>
      <w:bookmarkEnd w:id="184"/>
      <w:r>
        <w:rPr>
          <w:rFonts w:ascii="Amiri" w:hAnsi="Amiri" w:eastAsia="Amiri" w:cs="Amiri"/>
          <w:color w:val="111111"/>
          <w:sz w:val="28"/>
          <w:sz w:val="28"/>
          <w:szCs w:val="28"/>
          <w:rtl w:val="true"/>
          <w:lang w:bidi="ar-SA"/>
        </w:rPr>
        <w:t>في ميسرة الجبل داعياً</w:t>
      </w:r>
    </w:p>
    <w:p>
      <w:pPr>
        <w:pStyle w:val="BookText"/>
        <w:rPr/>
      </w:pPr>
      <w:r>
        <w:rPr>
          <w:rFonts w:ascii="Amiri" w:hAnsi="Amiri" w:eastAsia="Amiri" w:cs="Amiri"/>
          <w:color w:val="111111"/>
          <w:sz w:val="28"/>
          <w:sz w:val="28"/>
          <w:szCs w:val="28"/>
          <w:rtl w:val="true"/>
          <w:lang w:bidi="ar-SA"/>
        </w:rPr>
        <w:t>وقالوا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ميسرة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ويشهد به صحيح معاوية ابن عمّار،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 في ميسرة الجبل، فإنّ رسول اللّه صلى الله عليه و آله وقف بعرفات في ميسرة الجبل، فلمّا وقف صلى الله عليه و آله جعل النّاس يبتدرون أخفاف ناقته فيقفون إلى جانبه، فنحّاها، ففعلوا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موقف، وأشار بيده إلى الموقف</w:t>
      </w:r>
      <w:r>
        <w:rPr>
          <w:rFonts w:eastAsia="Amiri" w:cs="Amiri" w:ascii="Amiri" w:hAnsi="Amiri"/>
          <w:color w:val="111111"/>
          <w:sz w:val="28"/>
          <w:szCs w:val="28"/>
          <w:rtl w:val="true"/>
          <w:lang w:bidi="ar-SA"/>
        </w:rPr>
        <w:t>»</w:t>
      </w:r>
      <w:r>
        <w:rPr>
          <w:rStyle w:val="FootnoteAnchor"/>
          <w:rtl w:val="true"/>
        </w:rPr>
        <w:footnoteReference w:id="942"/>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2"/>
        <w:numPr>
          <w:ilvl w:val="1"/>
          <w:numId w:val="1"/>
        </w:numPr>
        <w:rPr/>
      </w:pPr>
      <w:bookmarkStart w:id="185" w:name="__RefHeading___Toc10745882_73709187"/>
      <w:bookmarkStart w:id="186" w:name="_Toc62"/>
      <w:bookmarkEnd w:id="185"/>
      <w:r>
        <w:rPr>
          <w:rtl w:val="true"/>
        </w:rPr>
        <w:t>استحباب الدّعاء في عرفات</w:t>
      </w:r>
      <w:bookmarkEnd w:id="186"/>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يكون زمان وقوفه بعرفات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بالدّعاء المتلقّى عن أهل البيت عليهم السلام أو غيره من الأدعية والثناء والذِّكر، بلا خلافٍ في الرجحان بل إجماعاً، والنصوص الدالّة عليه فوق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أنّه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 بعض علمائنا إلى وجوب الدّعاء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وبعضهم إلى وجوب الذِّكر والصلاة على النبيّ صلى الله عليه و آله كالقاضي</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للأوّل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الأمر بالدّعاء في جملةٍ من النصوص كصحيح معاوية، عن </w:t>
      </w:r>
    </w:p>
    <w:p>
      <w:pPr>
        <w:pStyle w:val="BookText"/>
        <w:rPr/>
      </w:pP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تأتي الموقف وعليك السكينة والوقار، فاحمِد اللّه وهلّله ومجِّده واثنِ عليه، وكبّر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واقرأ قل هو اللّه أحد مائة مرّة، وتخيّر لنفسك من الدّعاء ما أحببتَ واجتهد، فإنّه يوم دعاء ومسألة، وتعوّذ باللّه من الشيطان الرجيم، فإنّ الشيطان لن يذهلك في موطن قطّ أحبّ إليه أن يذهلك في ذلك الموضع، وإيّاك أن تشتغل بالنظر إلى النّاس، وأقبل قِبل نفسك، وليكن فيما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بخبر أبي يحيى زكريّا الموصلي، عن العبد الصالح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وقف بالموقف فأتاه نعي أبيه أو نعي بعض ولده قبل أنْ يذكر اللّه تعالى بشيء أو يدعو، فاشتغل بالجَزَع والبكاء عن الدّعاء، ثمّ أفاض النّاس،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عليه شيئاً وقد أساء، فليستغفر اللّه</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أنّ الإساءة والاستغفار إنّما لترك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أسئلة اليهودي عن رسول اللّه صلى الله عليه و آله، وقد ورد فيه قول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ففرض اللّه عزّ وجلّ على أُمّتي الوقوف والتضرّع والدّعاء في أحبّ المواضع إليه، وتكفّل لهم بالجنّة</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الأظهر هو الاستحباب، وعدم الوجوب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لتسالم الأصحاب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 النصوص المتضمّنة للأمر، آمرة بأدعية مخصوصة ليست بواجبة قطعاً، كما هو صريح صحيح معاوية، وأمّا خبر الموصلي فظاهره كون الإساءة والاستغفار للجَزَع والبكاء، ولذا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صبر واحتسب لأفاض من الموقف بحسناتِ أهل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خبر المجالس فقابل لإرادة الندب، سيّما بضميمة ترتّب الثواب، خاصّة بعد عدم كونه في مقام التشريع وكونه في مقام الإخبار عمّا شرع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ولخبر الأزدي، عن أبيه،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وقف بالموقف فأصابته دهشة النّاس، فبقي ينظر إلى النّاس ولا يدعو حتّى أفاض النّاس‌؟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وقوفه</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والمناقشة في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الوجوب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ولذا رجع هو قدس سره عن ذلك،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الإنصاف عدم خلوّ الأوّل عن ظهورٍ في الاجتزاء بالوقوف المجرّد، وأنّه لا يجب غيره</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لما ذهب إليه القاضي بالآية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كونها للوجوب</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آية من الآيات امرٌ بالذِّكر والصلاة على النبيّ صلى الله عليه و آله في عرفات، بل فيها الأمر بالذِّكر عند المشعر الحرام، وعلى بهيمة الأنعام، وفي أيّام معدودات، وقد فُسّرت في الأخبار بالعيد وأيّام التشريق، والذكر فيها بالتكبيرا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قائماً، وأنْ يجمع بين الظهرين بأذان وإقامتين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عقيب الصلوات، وبعد قضاء المناسك، فيُحتمل التكبير المذكور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الأظهر استحبابه</w:t>
      </w:r>
      <w:r>
        <w:rPr>
          <w:rStyle w:val="FootnoteAnchor"/>
          <w:rtl w:val="true"/>
        </w:rPr>
        <w:footnoteReference w:id="949"/>
      </w:r>
      <w:r>
        <w:rPr>
          <w:rFonts w:ascii="Amiri" w:hAnsi="Amiri" w:eastAsia="Amiri" w:cs="Amiri"/>
          <w:color w:val="111111"/>
          <w:sz w:val="28"/>
          <w:sz w:val="28"/>
          <w:szCs w:val="28"/>
          <w:rtl w:val="true"/>
          <w:lang w:bidi="ar-SA"/>
        </w:rPr>
        <w:t xml:space="preserve">، ولكن كما أفاده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9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تأكّد استحباب الدّعاء في هذا اليوم فإنّه شريفٌ كثير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الدعوات المأثورة فيه عن النبيّ صلى الله عليه و آله وأهل البيت عليهم السلام أكثر من أنْ تُحصى‌، وأحسنه الدّعاء المنقول عن سيّدنا ومولانا أبي عبداللّه عليه السلام وولده الإمام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قالوا، ولكن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يجد نصاً فيه بالخصوص، ولذا علّله بأنّه أفضل الأفراد، باعتبار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أحمز وإلى الأدب أقرب</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إنْ كان هذا هو العلّة، فالسجود أفضل للأخبار والاعتبار، والأمر سهلٌ بعد كون الحكم ندبيّاً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يجمع بين الظهرين بأذان وإقامتين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المتقدّمة المتضمّنة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 معاوية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 الظهر والعصر بأذان واحدٍ وإقامتين، فإنّما تُعجّل العصر وتُجمع بينهما لتفرغ نفسك للدّعاء، فإنّه يوم دعاء ومسألة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سقوط الأذان عن الثانية على نحو العزيمة أو الرخصة‌؟ فيه كلام قد مرّ في كتاب الصلاة من هذا الشرح</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87" w:name="pg11810_104332"/>
    </w:p>
    <w:p>
      <w:pPr>
        <w:pStyle w:val="BookText"/>
        <w:rPr/>
      </w:pPr>
      <w:bookmarkEnd w:id="187"/>
      <w:r>
        <w:rPr>
          <w:rFonts w:ascii="Amiri" w:hAnsi="Amiri" w:eastAsia="Amiri" w:cs="Amiri"/>
          <w:color w:val="111111"/>
          <w:sz w:val="28"/>
          <w:sz w:val="28"/>
          <w:szCs w:val="28"/>
          <w:rtl w:val="true"/>
          <w:lang w:bidi="ar-SA"/>
        </w:rPr>
        <w:t>ويكره الوقوف في أعلى الجبل، وقاعداً، وراكباً</w:t>
      </w:r>
      <w:r>
        <w:rPr>
          <w:rFonts w:eastAsia="Amiri" w:cs="Amiri" w:ascii="Amiri" w:hAnsi="Amiri"/>
          <w:color w:val="111111"/>
          <w:sz w:val="28"/>
          <w:szCs w:val="28"/>
          <w:rtl w:val="true"/>
          <w:lang w:bidi="ar-SA"/>
        </w:rPr>
        <w:t>.</w:t>
      </w:r>
    </w:p>
    <w:p>
      <w:pPr>
        <w:pStyle w:val="Heading2"/>
        <w:numPr>
          <w:ilvl w:val="1"/>
          <w:numId w:val="1"/>
        </w:numPr>
        <w:rPr/>
      </w:pPr>
      <w:bookmarkStart w:id="188" w:name="__RefHeading___Toc10745884_73709187"/>
      <w:bookmarkStart w:id="189" w:name="_Toc63"/>
      <w:bookmarkEnd w:id="188"/>
      <w:r>
        <w:rPr>
          <w:rtl w:val="true"/>
        </w:rPr>
        <w:t>مكروهات الوقوف بعرفات</w:t>
      </w:r>
      <w:bookmarkEnd w:id="189"/>
    </w:p>
    <w:p>
      <w:pPr>
        <w:pStyle w:val="BookText"/>
        <w:rPr/>
      </w:pPr>
      <w:r>
        <w:rPr>
          <w:rFonts w:ascii="Amiri" w:hAnsi="Amiri" w:eastAsia="Amiri" w:cs="Amiri"/>
          <w:color w:val="111111"/>
          <w:sz w:val="28"/>
          <w:sz w:val="28"/>
          <w:szCs w:val="28"/>
          <w:rtl w:val="true"/>
          <w:lang w:bidi="ar-SA"/>
        </w:rPr>
        <w:t>يقول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الوقوف في أعلى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ابني البرّاج</w:t>
      </w:r>
      <w:r>
        <w:rPr>
          <w:rStyle w:val="FootnoteAnchor"/>
          <w:rtl w:val="true"/>
        </w:rPr>
        <w:footnoteReference w:id="953"/>
      </w:r>
      <w:r>
        <w:rPr>
          <w:rFonts w:ascii="Amiri" w:hAnsi="Amiri" w:eastAsia="Amiri" w:cs="Amiri"/>
          <w:color w:val="111111"/>
          <w:sz w:val="28"/>
          <w:sz w:val="28"/>
          <w:szCs w:val="28"/>
          <w:rtl w:val="true"/>
          <w:lang w:bidi="ar-SA"/>
        </w:rPr>
        <w:t>وإدريس</w:t>
      </w:r>
      <w:r>
        <w:rPr>
          <w:rStyle w:val="FootnoteAnchor"/>
          <w:rtl w:val="true"/>
        </w:rPr>
        <w:footnoteReference w:id="954"/>
      </w:r>
      <w:r>
        <w:rPr>
          <w:rFonts w:ascii="Amiri" w:hAnsi="Amiri" w:eastAsia="Amiri" w:cs="Amiri"/>
          <w:color w:val="111111"/>
          <w:sz w:val="28"/>
          <w:sz w:val="28"/>
          <w:szCs w:val="28"/>
          <w:rtl w:val="true"/>
          <w:lang w:bidi="ar-SA"/>
        </w:rPr>
        <w:t xml:space="preserve">تحريمه، ويشهد لأفضليّة الوقوف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المراد من كراهة الوقوف الذي هو من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إسحاق المتقدّم، المتضمّن أفضليّة الوقوف على الأرض صريحاً، وصحيح مسمع المتقدّم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للحرمة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ضاقت عرفة كيف يصنعون‌؟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يرتفعون إلى الجبل</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في دلالته عليها منعاً، وعلى فرضها يُحمل على الكراهة، لتسالم الأصحاب، ولموثّق إسحاق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اشتهر أنّه يكره، هو الوقوف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قاعداً وراكباً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عندنا الركوب والقعود مكروهان</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خبر محمّد بن عيسى‌، عن حمّاد بن عيسى‌،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عبداللّه جعفر بن محمّد عليهما السلام بالموقف على بغلةٍ رافعاً يده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مرَّ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المنع عن الركوب وجوابه</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الركوب أفضل، لما رُوي أنّ النبيّ صلى الله عليه و آله وقف 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Style w:val="FootnoteAnchor"/>
          <w:rtl w:val="true"/>
        </w:rPr>
        <w:footnoteReference w:id="958"/>
      </w:r>
      <w:r>
        <w:rPr>
          <w:rFonts w:ascii="Amiri" w:hAnsi="Amiri" w:eastAsia="Amiri" w:cs="Amiri"/>
          <w:color w:val="111111"/>
          <w:sz w:val="28"/>
          <w:sz w:val="28"/>
          <w:szCs w:val="28"/>
          <w:rtl w:val="true"/>
          <w:lang w:bidi="ar-SA"/>
        </w:rPr>
        <w:t>من أنّه يمكن أن فعل ذلك كان بياناً للجواز كما طاف راكباً، ومع ذلك كلّه، الإفتاء بكراهة الركوب أو القعود مطلقاً، مع عدم الدليل سوى الاشتهار بين الفقهاء، مشكلٌ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في المقام مستحبّات اُخرى تتضمّن النصوص جملة منها، أوكلنا بيانها إلى الكتب المفصّلة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90" w:name="pg11810_104334"/>
    </w:p>
    <w:p>
      <w:pPr>
        <w:pStyle w:val="Heading2"/>
        <w:numPr>
          <w:ilvl w:val="1"/>
          <w:numId w:val="1"/>
        </w:numPr>
        <w:rPr/>
      </w:pPr>
      <w:bookmarkStart w:id="191" w:name="__RefHeading___Toc10745886_73709187"/>
      <w:bookmarkStart w:id="192" w:name="_Toc64"/>
      <w:bookmarkEnd w:id="190"/>
      <w:bookmarkEnd w:id="191"/>
      <w:r>
        <w:rPr>
          <w:rtl w:val="true"/>
        </w:rPr>
        <w:t>كفاية الحَجّ الذي وقع على طبق حكم قاضي العامّة</w:t>
      </w:r>
      <w:bookmarkEnd w:id="192"/>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مسألة مهمّة مبتلى بها في هذه الأيّام، وهي أنّه بعدما عرفت من أنّ وقت الوقوف بعرفات هو يوم التاسع من شهر ذي الحجّة، فلو قامت البيّنة عند قاضي العامّة، وحَكم برؤية الهلال على وجهٍ يكون يوم التروية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أو استصحاباً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عرفة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يصحّ للإمامي الوقوف معهم ويجزي، كما عن العلّامة الطباطبائي</w:t>
      </w:r>
      <w:r>
        <w:rPr>
          <w:rStyle w:val="FootnoteAnchor"/>
          <w:rtl w:val="true"/>
        </w:rPr>
        <w:footnoteReference w:id="959"/>
      </w:r>
      <w:r>
        <w:rPr>
          <w:rFonts w:ascii="Amiri" w:hAnsi="Amiri" w:eastAsia="Amiri" w:cs="Amiri"/>
          <w:color w:val="111111"/>
          <w:sz w:val="28"/>
          <w:sz w:val="28"/>
          <w:szCs w:val="28"/>
          <w:rtl w:val="true"/>
          <w:lang w:bidi="ar-SA"/>
        </w:rPr>
        <w:t xml:space="preserve">، ومالَ إليه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Style w:val="FootnoteAnchor"/>
          <w:rtl w:val="true"/>
        </w:rPr>
        <w:footnoteReference w:id="960"/>
      </w:r>
      <w:r>
        <w:rPr>
          <w:rFonts w:ascii="Amiri" w:hAnsi="Amiri" w:eastAsia="Amiri" w:cs="Amiri"/>
          <w:color w:val="111111"/>
          <w:sz w:val="28"/>
          <w:sz w:val="28"/>
          <w:szCs w:val="28"/>
          <w:rtl w:val="true"/>
          <w:lang w:bidi="ar-SA"/>
        </w:rPr>
        <w:t>، وأفتى به جمعٌ من فقهاء العصر وما يقرب من عصرنا</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لا يصحّ كما عن جمع آخرين</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يفصّل بين ما إذا لم يثبت الخلاف فيجزي، وبين ما إذا ثبت فلا يجزي، كما عن جمعٍ من متأخّري المتأخّرين‌؟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للصحّة والإجزاء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التقيّة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هشام، عن ابن أبي عمير،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شيء، إلّافي شُرب النبيذ والمسح على الخُفّين</w:t>
      </w:r>
      <w:r>
        <w:rPr>
          <w:rFonts w:eastAsia="Amiri" w:cs="Amiri" w:ascii="Amiri" w:hAnsi="Amiri"/>
          <w:color w:val="111111"/>
          <w:sz w:val="28"/>
          <w:szCs w:val="28"/>
          <w:rtl w:val="true"/>
          <w:lang w:bidi="ar-SA"/>
        </w:rPr>
        <w:t>»</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تدلّ على إذن الشارع الأقدس في الإتيان بالواجبات على وفق مذهب العامّة، وموافقة للتقيّة، فكما أنّ الإذن في عبادة خاصّة كالصّلاة متكتّفاً، والوضوء مع غَسل الرّجلين، وما 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إجزاء المأتي به عن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بالكلّي كما يسقط بفرده الاختياري كذلك يسقط بفرده الاضطراري، كذلك الإذن بامتثال أوامر العبادات على وجه التقيّة، يستلزم إجزاء ما أتى به على وجه التقيّة عن الأمر، فالأمر المتعلّق بالحَجّ مع الوقوف يوم التاسع بعرفة، يسقط بالحَجّ مع الوقوف يوم الثامن من جهة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جواز التقيّة تكليفاً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عن جمعٍ من المحقّقين</w:t>
      </w:r>
      <w:r>
        <w:rPr>
          <w:rStyle w:val="FootnoteAnchor"/>
          <w:rtl w:val="true"/>
        </w:rPr>
        <w:footnoteReference w:id="964"/>
      </w:r>
      <w:r>
        <w:rPr>
          <w:rFonts w:ascii="Amiri" w:hAnsi="Amiri" w:eastAsia="Amiri" w:cs="Amiri"/>
          <w:color w:val="111111"/>
          <w:sz w:val="28"/>
          <w:sz w:val="28"/>
          <w:szCs w:val="28"/>
          <w:rtl w:val="true"/>
          <w:lang w:bidi="ar-SA"/>
        </w:rPr>
        <w:t>أنّها قد تجب، وآيتان كريمتان من الكتاب المجيد</w:t>
      </w:r>
      <w:r>
        <w:rPr>
          <w:rStyle w:val="FootnoteAnchor"/>
          <w:rtl w:val="true"/>
        </w:rPr>
        <w:footnoteReference w:id="965"/>
      </w:r>
      <w:r>
        <w:rPr>
          <w:rFonts w:ascii="Amiri" w:hAnsi="Amiri" w:eastAsia="Amiri" w:cs="Amiri"/>
          <w:color w:val="111111"/>
          <w:sz w:val="28"/>
          <w:sz w:val="28"/>
          <w:szCs w:val="28"/>
          <w:rtl w:val="true"/>
          <w:lang w:bidi="ar-SA"/>
        </w:rPr>
        <w:t xml:space="preserve">ونصوص مستفيضة شاهدة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إلّاأنّها ربما تحرم أيضاً في 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لزم من التقيّة محو الدِّين وتضعيفة، كالسكوت بوجه سلاطين الجور، المبتدعين في الدِّين والمعاندين للحقّ واليقين، الذين إذا خلا لهم الجوّ بدّلوا أحكام اللّه تعالى‌، وغيّروا سُنّة رسوله صلى الله عليه و آله، بحيث لا يبقى من الإسلام إلّااسمه، ومن القرآن إلّارسمه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وقعت الفتن، بحيث تجلب للمؤمن ذلّة وحقارة وحطّة عن شرافته ومقامه إذا كتمَ الحقّ‌، ولم يُظهره، أو كان في حياة غيره كفاية، فإنّه تحرم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التقيّة حينئذٍ، ويجبُ عليه أن يعرّج على قوله الحقّ حتّى لو استلزم أن يعرِّض نفسه وأمواله للنهب والهلاك، ويستبدل الحياة الفانية الحقيرة في ولاية الظالمين بالحياة الباقية عند اللّه تعالى، فقد صحّ الخبر عن سيّدنا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فوّض إلى المؤمن اُموره كلّها، ولم يفوّض إليه أنْ يكون ذليلاً، أما تسمع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اَلْعِزَّةُ وَ لِرَسُولِهِ وَ لِلْمُؤْمِنِينَ‌</w:t>
      </w:r>
      <w:r>
        <w:rPr>
          <w:rFonts w:eastAsia="Amiri" w:cs="Amiri" w:ascii="Amiri" w:hAnsi="Amiri"/>
          <w:color w:val="111111"/>
          <w:sz w:val="28"/>
          <w:szCs w:val="28"/>
          <w:rtl w:val="true"/>
          <w:lang w:bidi="ar-SA"/>
        </w:rPr>
        <w:t>»</w:t>
      </w:r>
      <w:r>
        <w:rPr>
          <w:rStyle w:val="FootnoteAnchor"/>
          <w:rtl w:val="true"/>
        </w:rPr>
        <w:footnoteReference w:id="966"/>
      </w:r>
      <w:r>
        <w:rPr>
          <w:rFonts w:ascii="Amiri" w:hAnsi="Amiri" w:eastAsia="Amiri" w:cs="Amiri"/>
          <w:color w:val="111111"/>
          <w:sz w:val="28"/>
          <w:sz w:val="28"/>
          <w:szCs w:val="28"/>
          <w:rtl w:val="true"/>
          <w:lang w:bidi="ar-SA"/>
        </w:rPr>
        <w:t>فالمؤمن ينبغي أنْ يكون عزيزاً ولا يكون ذليلاً</w:t>
      </w:r>
      <w:r>
        <w:rPr>
          <w:rStyle w:val="FootnoteAnchor"/>
          <w:rtl w:val="true"/>
        </w:rPr>
        <w:footnoteReference w:id="967"/>
      </w:r>
      <w:r>
        <w:rPr>
          <w:rFonts w:ascii="Amiri" w:hAnsi="Amiri" w:eastAsia="Amiri" w:cs="Amiri"/>
          <w:color w:val="111111"/>
          <w:sz w:val="28"/>
          <w:sz w:val="28"/>
          <w:szCs w:val="28"/>
          <w:rtl w:val="true"/>
          <w:lang w:bidi="ar-SA"/>
        </w:rPr>
        <w:t>، يعزّه اللّه بالايمان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سيّد شاب أهل الجنّة، ورأس اُباة الضيم أبو عبد اللّه الحسين بن علي عليهما السلام يقول في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ترون إلى الحقّ لا يُعمَل به، وإلى الباطل لا يُتناهى عنه، ليرغب المؤمن في لقاء اللّه، فإنّي لا أرى الموت إلّاسعادة، والحياة مع الظالمين إلّا برماً</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لا أعطيهم بيدي إعطاءالذّليل، ولا أفِرُّفرارالعبيد</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الذي قال في خطبته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الدَّعي ابن الدَّعي قد ركز بين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السَّلة والذِّلّة، وهيهات منّا الذلّة، يأبى اللّه لنا ذلك ورسوله والمؤمنون، وحجورٌ طابت وطهرت، وأنوفٌ حميّة، ونفوسٌ أبية، من أن نؤثر طاعة اللِّئام على مصارع الكرام، ألا وإنّي زاحفٌ بهذه الاُسرة على قلّة العدد وخذلان الناصر</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وأفحش من ذلك السكوت عن بيان الحقّ وكتمانه عند تصويب القوانين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المخالفة لقوانين الإسلام، وأحكام القرآن الثابتة بعنوان أنّها من أحكام الإسلام، وأنّه جاء بها رسول اللّه صلى الله عليه و آله، معتذراً بأنّه يمكن أن تتأذى مصادر الاُمور من ذلك، وتكون النتيجة أن يفعلوا أفعالاً تمسّ بكرامتنا، أو تودي إلى إخراجنا من بلادنا كما فعلوا بأمثالنا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خبر يونس بن عبد الرحمن، عن الصادقين عليهما السلام،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 فعلى العالم أن يُظهر علمه، فإنْلم يفعل سُلِب نور الإيمان</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محمّد بن جمهور،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البدع في أُمّتي، فليظهر العالم علمه، فمن لم يفعل فعليه لعنة اللّه</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طلحة بن زيد، عن الإمام جعفر بن محمّد الصادق عليه السلام، عن آبائه،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العالم الكاتم علمه يُبعَث أنتن أهل القيامة ريحاً، تلعنه كلّ دابّةٍ من دواب الأرض الصغار</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المرويّة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القول في هذه الجهة موكولٌ إلى محلّ آخر، ولعلّ اللّه يوفّقنا بعد الخلاص من أيدي الجبابرة لوضع رسالة في ذلك، نُبيِّن فيها موارد جواز التقيّة تفصيلاً، بحيث لا يشتبه الأمر كما اشتبه في هذه الأيّام على كثيرٍ من الأنام</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bookmarkStart w:id="193" w:name="pg11810_104338"/>
    </w:p>
    <w:p>
      <w:pPr>
        <w:pStyle w:val="Heading2"/>
        <w:numPr>
          <w:ilvl w:val="1"/>
          <w:numId w:val="1"/>
        </w:numPr>
        <w:rPr/>
      </w:pPr>
      <w:bookmarkStart w:id="194" w:name="__RefHeading___Toc10745888_73709187"/>
      <w:bookmarkStart w:id="195" w:name="_Toc65"/>
      <w:bookmarkEnd w:id="193"/>
      <w:bookmarkEnd w:id="194"/>
      <w:r>
        <w:rPr>
          <w:rtl w:val="true"/>
        </w:rPr>
        <w:t>بحث حول التقيّة في الوقوف بعرفات</w:t>
      </w:r>
      <w:bookmarkEnd w:id="195"/>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الإجزاء من نصوص التقيّة، وأنّه يجزي الوقوف مع العامّة، تتوقّف على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أدلّة مطلقة تشمل جميع أبواب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دلالة ذلك على أنّ المأتي به على وفق مذهب العامّة بدلٌ عن المأمور به الواقعي، أو على أنّ التكليف بالواقع الذي اقتضت التقيّة تركه يكون ساقطاً، وإلّا فمع انتفاء الأمرين لا مجال للحكم بالإجزاء، لأنّ الجواز التكليفي لا يكفي للإجزاء وسقوط الأمر الواقعي، كذلك الجواز الوضعي الذي غايته كونه مأموراً به، وهذا لا يستلزم سقوط التكليف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شمول نصوص التقيّة للعمل على طبق الموضوع الخارجي الذي اعتقدوا تحقّقه في الخارج، مع عدم تحقّقه في الواقع، كالوقوف بعرفات يوم الثامن إذا اعتقدوا رؤية الهلال في اللّيلة الأخيرة من ذي القعدة، فإنّه لا اختلاف بيننا وبينهم في الحكم الكلّي المجعول، وهو لزوم الوقوف يوم التاسع من ذي الحجّة، وإنّما الاختلاف في الموضوع الخارجي</w:t>
      </w:r>
      <w:r>
        <w:rPr>
          <w:rFonts w:eastAsia="Amiri" w:cs="Amiri" w:ascii="Amiri" w:hAnsi="Amiri"/>
          <w:color w:val="111111"/>
          <w:sz w:val="28"/>
          <w:szCs w:val="28"/>
          <w:rtl w:val="true"/>
          <w:lang w:bidi="ar-SA"/>
        </w:rPr>
        <w:t>.</w:t>
      </w:r>
    </w:p>
    <w:p>
      <w:pPr>
        <w:pStyle w:val="Heading2"/>
        <w:numPr>
          <w:ilvl w:val="1"/>
          <w:numId w:val="1"/>
        </w:numPr>
        <w:rPr/>
      </w:pPr>
      <w:bookmarkStart w:id="196" w:name="__RefHeading___Toc10745890_73709187"/>
      <w:bookmarkStart w:id="197" w:name="_Toc66"/>
      <w:bookmarkEnd w:id="196"/>
      <w:r>
        <w:rPr>
          <w:rtl w:val="true"/>
        </w:rPr>
        <w:t>دليل التقيّة شاملٌ لجميع العبادات</w:t>
      </w:r>
      <w:bookmarkEnd w:id="197"/>
    </w:p>
    <w:p>
      <w:p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فالأخبار التي يستفاد منها الشمول متعدّدة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هشام، عن ابن أبي عمر الأعجمي،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شيء، إلّافي النبيذ والمسح على الخفّين</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يدلّ على ثبوت التقيّة ومشروعيّتها في كلّ شيء ممنوعٍ لولا التقيّة، إلّافي الفعلين المذكورين، فإستثناء المسح على الخُفّين مع كون المنع فيه غيريّاً تشريعيّاً، دليلٌ على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ممّا يشبهه من الممنوعات، لأجل التوصّل بتركها إلى صحّة العمل، ويدلّ على أنّ التقيّة ترفع ذلك المنع الغيري ولازم ذلك الأمر به، وحيث أنّه أمرٌ بعنوان التقيّة والاضطرار منّة على العباد بالحنيفيّة السمحة، فلا محالة يكون بدلاً عن المأمور به الواقعي، فيدلّ على أنّ غَسل الرّجلين الذي يراه العامّة جزء للوضوء، مكان مسحه مأمورٌ به في حال التقيّة، وبدلٌ عن المسح المأمور به الواقعي، فلا محالة يكون مجزياً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معنى هذا الخبر أخبارٌ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مسح الخفّين تقيّة‌؟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أتّقي فيهنّ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المسكر، ومَسح الخفّين، ومتعة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الواجب عليكم أنْ لا تتّقوا فيهنّ أحداً</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معناه ثبوت التقيّة في غير الثلاث من الاُمور الممنوعة شرعاً، ولازمه ما ذكرناه في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يقدح في الاستدلال عدم الخلاف بين الأصحاب في جواز المسح على الخفّين، بناءً منهم على أنّ مقتضى الجمع بين هذه الأخبار، وبين ما دلّ على جوازه، حملها على إرادة نفي الوجوب، أو اختصاص الاستثناء بنفس الإمام عليه السلام، أو غير ذلك من المحامل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عن رجلٍ كان يُصلّي فخرج الإمام وقد صَلّى الرّجل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ركعةً من صلاة فريضة‌؟</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إماماً عَدْلاً فليصلِّ اُخرى وينصرف، ويجعلهما تطوّعاً، وليدخل مع الإمام في صلاته كما هو، وإنْ لم يكن إمام عدل فليبن على صلاته كما هو، ويُصلّي ركعة اُخرى ويجلس قَدَر ما يقول أشهدُ أنْ لا إله إلّااللّه وحده لا شريك له، وأشهدُ أنّ محمّداً عبده ورسوله، ثمّ ليتمّ صلاته معه على ما استطاع، فإنّ التقيّة واسعة، وليس من شيء من التقيّة إلّاوصاحبها مأجورٌ عليها إنْ شاء اللّه تعالى‌</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بإتمام الصلاة على ما استطاع، مع عدم الاضطرار إلى فعل الفريضة في ذلك الوقت، معلّلاً بأنّ التقيّة واسعة، يدلّ على جواز كلّ عملٍ على وجه التقيّة، وأداء الصلاة على جميع وجوه التقيّة، ومنها الصلاة مع عدم السجود على الأرض، وجواز ذلك مستلزمٌ للأمر به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مسعدة بن صدقة، عن أبي عبد اللّه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وتفسير ما يتّقى مثل أنْ يكون قومٌ سوء ظاهر حكمهم وفعلهم على غير حكم الحقّ وفعله، فكلّ شيءٍ يعمل المؤمن بينهم لمكان التقيّة، ممّا لا يؤدّي إلى الفساد في الدِّين، فإنّه جائز</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أنّ المراد بالجواز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بالقياس إلى المنع المتحقّق فيه لولا التقيّة، فيصدق على غَسل الرِّجلين في الوضوء في محلّ التقيّة أنّه جائز، وغير ممنوع عنه بالمنع الثابت فيه لولا التقيّة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98" w:name="pg11810_104341"/>
    </w:p>
    <w:p>
      <w:pPr>
        <w:pStyle w:val="BookText"/>
        <w:rPr/>
      </w:pPr>
      <w:bookmarkEnd w:id="198"/>
      <w:r>
        <w:rPr>
          <w:rFonts w:ascii="Amiri" w:hAnsi="Amiri" w:eastAsia="Amiri" w:cs="Amiri"/>
          <w:color w:val="111111"/>
          <w:sz w:val="28"/>
          <w:sz w:val="28"/>
          <w:szCs w:val="28"/>
          <w:rtl w:val="true"/>
          <w:lang w:bidi="ar-SA"/>
        </w:rPr>
        <w:t>وأمّا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في تقريب دلالة مصحّح هشام على جريان التقيّة في كلّ عبادة، بتقريب دلالته على كون المأتي به تقيّة بدلٌ عن المأمور به الواقعي، فيدلّ على الإجزاء وسقوط الإعادة والقضاء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الأمر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نصوص التقيّة حتّى ما له إطلاقٌ منصرفة إلى ما له دخلٌ في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كغَسل الرجلين ومتعة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هو اعتقاد خطأ في موضوعٍ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 اليوم تاسع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فالنصوص لا تشمله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فرقٌ بين الموضوع الخارجي الصرف، وبين ما يرجع إلى الحكم، والنصوص وإنْ لم تشمل الأوّل، إلّاأنّها تشمل الثاني، والمقام من قبيل الثاني، فإنّه إذا حَكم القاضي بثبوت الهلال من جهة شهادة من لا تُقبل شهادته إذا كان مذهب الحاكم القبول، فترك العمل به قدحٌ في المذهب، فيدخل في أدلّة التقيّة، كما يشهد به نصوص الصوم الآتي بعضها</w:t>
      </w:r>
      <w:r>
        <w:rPr>
          <w:rFonts w:eastAsia="Amiri" w:cs="Amiri" w:ascii="Amiri" w:hAnsi="Amiri"/>
          <w:color w:val="111111"/>
          <w:sz w:val="28"/>
          <w:szCs w:val="28"/>
          <w:rtl w:val="true"/>
          <w:lang w:bidi="ar-SA"/>
        </w:rPr>
        <w:t>.</w:t>
      </w:r>
    </w:p>
    <w:p>
      <w:pPr>
        <w:pStyle w:val="Heading2"/>
        <w:numPr>
          <w:ilvl w:val="1"/>
          <w:numId w:val="1"/>
        </w:numPr>
        <w:rPr/>
      </w:pPr>
      <w:bookmarkStart w:id="199" w:name="__RefHeading___Toc10745892_73709187"/>
      <w:bookmarkStart w:id="200" w:name="_Toc67"/>
      <w:bookmarkEnd w:id="199"/>
      <w:r>
        <w:rPr>
          <w:rtl w:val="true"/>
        </w:rPr>
        <w:t>إعتبار المندوحة</w:t>
      </w:r>
      <w:bookmarkEnd w:id="200"/>
    </w:p>
    <w:p>
      <w:pPr>
        <w:pStyle w:val="BookText"/>
        <w:rPr/>
      </w:pPr>
      <w:r>
        <w:rPr>
          <w:rFonts w:ascii="Amiri" w:hAnsi="Amiri" w:eastAsia="Amiri" w:cs="Amiri"/>
          <w:color w:val="111111"/>
          <w:sz w:val="28"/>
          <w:sz w:val="28"/>
          <w:szCs w:val="28"/>
          <w:rtl w:val="true"/>
          <w:lang w:bidi="ar-SA"/>
        </w:rPr>
        <w:t>ثمّ إنّ تمام الكلام فى استفادة الحكم من هذه النصوص يتوقّف على التعرّض 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يعتبر عدم المندوحة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لا يعتبر، كما عن الشهيدين والمحقّق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98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982"/>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أظهرهما الأوّل في خصوص المقام، وإنْ كان في باب الوضوء والصلاة روايات يمكن استفادة عدم اعتبار عدم المندوحة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لما اخترناه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ضرورة، وصاحبها أعلم بها حين تنزل به</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الفاضلين،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شيء يضطرّ إليه ابن آدم، فقد أحلّه اللّه له</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معناهما روايات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البزنطي، عن إبراهيم بن شيبة،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جعفر الثاني عليه السلام أسأله عن الصلاة خلف مَن يتولّى أمير المؤمنين عليه السلام، وهو يرى المسح على الخُفّين، أو خلف من يحرّم المسح وهو يمسح‌؟</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جامعك وإيّاهم موضعٌ لا تجد بُدّاً من الصلاة معهم، فأذّن لنفسك وأقم</w:t>
      </w:r>
      <w:r>
        <w:rPr>
          <w:rStyle w:val="FootnoteAnchor"/>
          <w:rtl w:val="true"/>
        </w:rPr>
        <w:footnoteReference w:id="9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اعتبار عدم المندوحة؛ أعمّ من التمكّن حين العمل من الإتيان به موافقاً للواقع، مثل أن يمكنه عند إرادة التكفير للتقيّة من الفصل بين يديه، بأن لا يضع بطن إحداهما على ظهر الاُخرى‌، بل يقارب بينهما، ومن تبديل موضوع</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التقيّة بموضوعٍ آخر، كما لو كان في محلٍّ إذا أراد أن يُصلّي فإنّ التقيّة هناك تقتضي أن يُصلّي على خلاف مذهب الحقّ‌، ولكن له أن يخرج من ذلك المكان إلى مكان آخر يتمكّن من أداء الصلاة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المقام قد يتمكّن من الوقوف يوم التاسع، وقد لا يتمكّن من ذلك ما دام مع جماعة خاصّة، ولكن يمكن له ذلك إذا تخلّف عنهم، فيعتبر عدم التمكّن بكلا معنييه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الاستدلال لعدم اعتباره في الفرض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بلزوم الحرج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التقيّة إنّما شُرّعت تسهيلاً للأمر على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ذلك ربما يؤدّي إلى اطّلاعهم على ذلك، ويترتّب عليه مفسده أهمّ كما في رسالة الشيخ الأعظم رحمه الله</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محلّ الكلام ما لو لم يلزم الحَرَج، ولا يترتّب مفسدة أهمّ‌، ومجرّد كون التقيّة إنّما شُرّعت للتسهيل لا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فمن يتمكّن من الوقوف في اليوم التاسع ولو بالاقتصار على ما هو الرّكن خاصّة، من دون أن يترتّب عليه مفسدة شخصيّة أو نوعيّة، دون أن يوجب ذلك خوفاً، لا يجزيه الوقوف معهم، وإلّا فيكون مجزياً، من غير فرقٍ بين ما لو علم بأنّه ليس اليوم هو التاسع أم شكّ في ذلك</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01" w:name="pg11810_104344"/>
    </w:p>
    <w:p>
      <w:pPr>
        <w:pStyle w:val="Heading2"/>
        <w:numPr>
          <w:ilvl w:val="1"/>
          <w:numId w:val="1"/>
        </w:numPr>
        <w:rPr/>
      </w:pPr>
      <w:bookmarkStart w:id="202" w:name="__RefHeading___Toc10745894_73709187"/>
      <w:bookmarkStart w:id="203" w:name="_Toc68"/>
      <w:bookmarkEnd w:id="201"/>
      <w:bookmarkEnd w:id="202"/>
      <w:r>
        <w:rPr>
          <w:rtl w:val="true"/>
        </w:rPr>
        <w:t>حكم ما لو ترك التقيّة ووقف اليوم التاسع</w:t>
      </w:r>
      <w:bookmarkEnd w:id="203"/>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المؤمن التقيَّة ووقف يوم التاسع، ولم يقف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يصحّ حَجّه أم لا؟</w:t>
      </w:r>
    </w:p>
    <w:p>
      <w:pPr>
        <w:pStyle w:val="BookText"/>
        <w:rPr/>
      </w:pPr>
      <w:r>
        <w:rPr>
          <w:rFonts w:ascii="Amiri" w:hAnsi="Amiri" w:eastAsia="Amiri" w:cs="Amiri"/>
          <w:color w:val="111111"/>
          <w:sz w:val="28"/>
          <w:sz w:val="28"/>
          <w:szCs w:val="28"/>
          <w:rtl w:val="true"/>
          <w:lang w:bidi="ar-SA"/>
        </w:rPr>
        <w:t>ام يفصّل بين ما إذا وجبت التقيّة فلا يصحّ‌، وبين ما إذا لم تجب فيصحّ؟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الصحّة مع عدم تعيّن التقيّة، كما في هذه الأزمنة التي يترتّب على ترك التقيّة ضررٌ يجوز تحمّله، لأنّ معنى عدم وجوبها جواز العمل على وفق مذهب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مورد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لزم من تركها قتل نفس محترمة وما 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ظاهر الأمر بالتقيّة لزوماً، كون الوقوف في اليوم الثامن معهم جزءً تعيّينياً للحجّ‌، فيلزم من تركه بطلان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الأمر بالوقوف معهم، مستلزمٌ للنهي عن الوقوف في اليوم التاسع، والنهي عن العبادة يستلزم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الوقوف في اليوم الثامن، كما يكون موافقاً للتقيّة ومأموراً به، كذلك ترك الوقوف في اليوم التاسع، ولازم ذلك وجوب الترك وحرمة الفعل، ولازمه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الأمر بالتقيّة لمصلحةٍ فيها أهمّ من ما في الوقوف في اليوم التاسع، لا يوجبُ سقوط الأمر به حتّى بنحو الترتّب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حقّقناه في محلّه من أنّ الأمر بالشيء لا يقتضي النهي عن ضدّه، مع أنّ الوقوف في اليوم التاسع ليس ضدّاً للوقوف في اليوم الثامن، كما لايخفى‌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ترك الواجب ليس بحرام، اللّهُمَّ إلّاأنْ يُقال إنّه إذا ترتّب ضررٌ يحرم تحمّله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كقتل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الوقوف في اليوم التاسع مثلاً، فلا محالة يكون هو سبباً للحرام فيكون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فإنّ هذا فردٌ نادر جدّاً، والغالب عدم حرمة تحمّل ما يترتّب على ترك التقيّة من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فيجوز ترك التقيّة، والعمل بما يوافق مذهب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يتوهّم أنّ خبر رفاعة، عن رجلٍ‌،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العبّاس بالحيرة،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تقول في الصيام اليوم‌؟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إلى الإمام، إنْ صمتَ صمنا، وإنْ أفطرتَ أفطرنا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عَليَّ بالمائدة، فأكلتُ معه وأنا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من شهر رمضان، فكان إفطارى يوماً وقضائه أيسر عَليَّ من أنْ يُضرب عُنقي ولا يُعبد اللّه</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يدلّ على أنّ العمل الموافق للتقيّة لا يوجبُ سقوط الإعادة والقضاء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إنّما يدلّ على أنّ الآثار الوضعيّة المترتّبة على الفعل المخالف للحقّ‌، تترتّب عليه إن صدر تقيّة، كما تترتّب عليه لو صدر اختياراً، فالإفطار مبطلٌ للصوم وإنْ كان على وجه التقيّة، وهذا غير ما هو محلّ الكلام، وهو أنّ الفعل المخالف للحقّ هل يترتّب عليه آثار الحقّ بمجرّد الإذن فيه أم لا؟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مطلبين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اقتضت التقيّة ترك الواجب، هل يوجبُ ذلك سقوط الواجب إعادةً وقضاءاً،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اقتضت التقيّة الإتيان بفعلٍ مخالف للحقّ‌، هل يكون ذلك الفعل بدلاً عن الواقع، ومسقطاً للإعادة أو القضاء، أم لا؟</w:t>
      </w:r>
    </w:p>
    <w:p>
      <w:pPr>
        <w:pStyle w:val="BookText"/>
        <w:rPr/>
      </w:pPr>
      <w:r>
        <w:rPr>
          <w:rFonts w:ascii="Amiri" w:hAnsi="Amiri" w:eastAsia="Amiri" w:cs="Amiri"/>
          <w:color w:val="111111"/>
          <w:sz w:val="28"/>
          <w:sz w:val="28"/>
          <w:szCs w:val="28"/>
          <w:rtl w:val="true"/>
          <w:lang w:bidi="ar-SA"/>
        </w:rPr>
        <w:t>فمحلّ البحث هو الثاني، ومورد الخبر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أخبار التقيّة تدلّ على إجزاء الوقوف مع العامّة ويصحّ الحَجّ معه، سواءٌ أكان الضرر الذي يخاف ترتّبه على تركه نوعيّاً أو شخصيّاً، وسواءً جاز تحمّله أم لم يجز</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له مندوحة لم يجز، كما أنّ الأظهر جواز ترك التقيّة والعمل بمذهب الحقّ بحسب الغالب، ويكون مجزياً دائماً، من غير فرق في جميع ذلك بين الوقوف يوم الشكّ‌، والوقوف مع اليقين بعدم كونه اليوم التاسع</w:t>
      </w:r>
      <w:r>
        <w:rPr>
          <w:rFonts w:eastAsia="Amiri" w:cs="Amiri" w:ascii="Amiri" w:hAnsi="Amiri"/>
          <w:color w:val="111111"/>
          <w:sz w:val="28"/>
          <w:szCs w:val="28"/>
          <w:rtl w:val="true"/>
          <w:lang w:bidi="ar-SA"/>
        </w:rPr>
        <w:t>.</w:t>
      </w:r>
      <w:bookmarkStart w:id="204" w:name="pg11810_104347"/>
    </w:p>
    <w:p>
      <w:pPr>
        <w:pStyle w:val="Heading2"/>
        <w:numPr>
          <w:ilvl w:val="1"/>
          <w:numId w:val="1"/>
        </w:numPr>
        <w:rPr/>
      </w:pPr>
      <w:bookmarkStart w:id="205" w:name="__RefHeading___Toc10745896_73709187"/>
      <w:bookmarkStart w:id="206" w:name="_Toc69"/>
      <w:bookmarkEnd w:id="204"/>
      <w:bookmarkEnd w:id="205"/>
      <w:r>
        <w:rPr>
          <w:rtl w:val="true"/>
        </w:rPr>
        <w:t>دلالة دليل السيرة</w:t>
      </w:r>
      <w:bookmarkEnd w:id="206"/>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 الدالّة على إجزاء الوقوف بعرفات مع العامّة، هي السيرة المستمرّة المتّصلة إلى زمان المعصومين عليهم السلام الكاشفة عن إمضائهم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المعصومين عليهم السلام وأصحابهم كانوا يحجّون في أيّام الخلفاء وولاة الجور، وكان ثبوت الهلال بحكم الحاكم، والنّاس كانوا مُلجئين بالعمل بما يحكمون به، كما يكشف ذلك روايات الصوم المتقدّم بعضها، ولم ينقل في رواية ولا كتاب تأريخ أنّ أحداً من أتباع مذهب الحقّ خالف النّاس في الوقوف ووقف في اليوم اللّاحق، ويكشف ذلك عن متابعتهم لهم في العمل، كما لم ينقل أنّهم احتاطوا أو أمروا بالاحتياط بالحَجّ في السنة المتأخّرة، ويكشف ذلك كلّه عن كون الوقوف معهم مجزياً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منع العامّة عن ترك الوقوف معهم في اليوم الذي يقفون بعرفات، ولعلّه لم يكن هناك منعٌ وكان كلّ يعمل على طبق عقيدته، لعدم كون هذا الاختلاف اختلافاً في المذهب، لاتّفاق كلتا الطائفتين على أنّ الموقف هو اليوم التاسع، فكلّ من ثبت عنده أنّ اليوم هو اليوم التاسع كان يقف فيه، ومن لم يثبت عنده ذلك كان يقف في اليوم الذي يلي وقوفهم، سواءٌ أكان من العامّة أو الخاصّة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فرق بين الموضوع الخارجي الصرف، وبين ما يرجع إلى الحكم، ويلزم من عدم المتابعة القدح في المذهب، والمقام من قبيل الثاني، ولذا ورد في باب الصوم ما ورد من متابعتهم في الإفطار، ولكن بما أنّه لا إطلاق لهذا الوجه، فاللّازم هو الأخذ بالمتيقّن، وهو ما لو شكّ في أنّ يوم وقوفهم هو اليوم التاسع، </w:t>
      </w:r>
    </w:p>
    <w:p>
      <w:pPr>
        <w:pStyle w:val="BookText"/>
        <w:rPr/>
      </w:pPr>
      <w:r>
        <w:rPr>
          <w:rFonts w:ascii="Amiri" w:hAnsi="Amiri" w:eastAsia="Amiri" w:cs="Amiri"/>
          <w:color w:val="111111"/>
          <w:sz w:val="28"/>
          <w:sz w:val="28"/>
          <w:szCs w:val="28"/>
          <w:rtl w:val="true"/>
          <w:lang w:bidi="ar-SA"/>
        </w:rPr>
        <w:t>وأمّا لو اُحرز كونه اليوم الثامن الذي قلّما يتّفق، فلا ندري هل وقع ذلك في أزمنتهم أم لا؟</w:t>
      </w:r>
    </w:p>
    <w:p>
      <w:pPr>
        <w:pStyle w:val="BookText"/>
        <w:rPr/>
      </w:pPr>
      <w:r>
        <w:rPr>
          <w:rFonts w:ascii="Amiri" w:hAnsi="Amiri" w:eastAsia="Amiri" w:cs="Amiri"/>
          <w:color w:val="111111"/>
          <w:sz w:val="28"/>
          <w:sz w:val="28"/>
          <w:szCs w:val="28"/>
          <w:rtl w:val="true"/>
          <w:lang w:bidi="ar-SA"/>
        </w:rPr>
        <w:t>نعم، وقوع عدم ثبوت كون يوم وقوفهم اليوم التاسع، ممّا لا يقبل الإنكار، فنتيجة هذا الوجه هو الإجزاء في خصوص الوقوف يوم الشكّ كما 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يُجزي العمل على وفق مذهب الحقّ‌، ويجوز ذلك تكليفاً، أم لا؟</w:t>
      </w:r>
    </w:p>
    <w:p>
      <w:pPr>
        <w:pStyle w:val="BookText"/>
        <w:rPr/>
      </w:pPr>
      <w:r>
        <w:rPr>
          <w:rFonts w:ascii="Amiri" w:hAnsi="Amiri" w:eastAsia="Amiri" w:cs="Amiri"/>
          <w:color w:val="111111"/>
          <w:sz w:val="28"/>
          <w:sz w:val="28"/>
          <w:szCs w:val="28"/>
          <w:rtl w:val="true"/>
          <w:lang w:bidi="ar-SA"/>
        </w:rPr>
        <w:t>لا ريب في الإجزاء والجواز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فلإطلاق أدلّة التكاليف الواقعيّة الأوليّة من دون أن يرد عليه 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استدلّ للإجزاء بوجوه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العملي والقولي من العلماء، المستكشف ذلك من أعمال مقلّديهم وما ذكروه في كتب مناسك الحَجّ‌</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لمعلوميّة مدركهم، وهو أحد الوجهين المتقدّمين، لا يكون ذلك وجهاً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الميسور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مقتضاها الاقتصار على صورة التعذّر، وأمّا في صورة المشقّة فلا تكون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تكرّر منّا في هذا الشرح أنّها ليست تامّة، ولا تدلّ على الأمر بباقي الأجزاء غير الجزء المتعذّر، كي يلزم منه الإجزاء</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نفي العُسر والحَرج، ونفي الاضطرار والضرر، فإنّها تقتضي سقوط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جزئيّة الوقوف يوم التاسع في عرفات عن الحَجّ‌، ويلزم منه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يتوقّف على الاضطرار في تمام العمر، إذ الحَجّ واجبٌ موسّع، ووجوبه فوراً غير وجوب أصله، وقد حُقّق في محلّه أنّ أدلّة نفي الحَرج والضرر والاضطرار، إنّما تنفي الأحكام التي تكون حَرَجيّة أو ضرريّة في جميع الوقت المضروب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إنّما ترفع الأحكام، ولا تدلّ على ثبوت الأمر بغير الجزء المتعذّر أو المتعسّر من الأجزاء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 الصوم، المتضمّنة أنّ الفطر هو اليوم الذي يفطر فيه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تقدّم أنّ مسألة التقيّة في ترك الواجب غير ما هو محلّ الكلام، وهو أداء الواجب في ضمن فردٍ آخر غير ما هو مأمور به بالأمر الواقعي الأوّلي، مع أنّه قد مرّ ورود النص بأنّه يقضي الصوم الذي أفطر فيه وفقاً للعامّة، فالعمدة هو ما ذكرناه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وفّقني اللّه سبحانه وتعالى لنشر رسالة حول موضوع التقيّة أخيراً، ولأجل كونها رسالة مهمّة مشتملة على مسائل ومطالب لا يُستغنى عنها، أحببتُ أن أذكرها هنا، فألحقها بهذه الطبعة دون التصرّف فيها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11810_104351"/>
      <w:bookmarkStart w:id="208" w:name="pg11810_104351"/>
      <w:bookmarkEnd w:id="208"/>
    </w:p>
    <w:p>
      <w:pPr>
        <w:pStyle w:val="Heading2"/>
        <w:numPr>
          <w:ilvl w:val="1"/>
          <w:numId w:val="1"/>
        </w:numPr>
        <w:rPr/>
      </w:pPr>
      <w:bookmarkStart w:id="209" w:name="pg11810_104351"/>
      <w:bookmarkStart w:id="210" w:name="__RefHeading___Toc10745898_73709187"/>
      <w:bookmarkStart w:id="211" w:name="_Toc70"/>
      <w:bookmarkEnd w:id="209"/>
      <w:bookmarkEnd w:id="210"/>
      <w:r>
        <w:rPr>
          <w:rtl w:val="true"/>
        </w:rPr>
        <w:t>رسالة في التقيَّة</w:t>
      </w:r>
      <w:bookmarkEnd w:id="21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2" w:name="__RefHeading___Toc10745900_73709187"/>
      <w:bookmarkStart w:id="213" w:name="_Toc71"/>
      <w:bookmarkEnd w:id="212"/>
      <w:r>
        <w:rPr>
          <w:rtl w:val="true"/>
        </w:rPr>
        <w:t>اشارة</w:t>
      </w:r>
      <w:bookmarkEnd w:id="21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11810_104353"/>
      <w:bookmarkStart w:id="215" w:name="pg11810_104353"/>
      <w:bookmarkEnd w:id="215"/>
    </w:p>
    <w:p>
      <w:pPr>
        <w:pStyle w:val="BookText"/>
        <w:rPr/>
      </w:pPr>
      <w:bookmarkStart w:id="216" w:name="pg11810_104353"/>
      <w:bookmarkEnd w:id="216"/>
      <w:r>
        <w:rPr>
          <w:rFonts w:ascii="Amiri" w:hAnsi="Amiri" w:eastAsia="Amiri" w:cs="Amiri"/>
          <w:color w:val="111111"/>
          <w:sz w:val="28"/>
          <w:sz w:val="28"/>
          <w:szCs w:val="28"/>
          <w:rtl w:val="true"/>
          <w:lang w:bidi="ar-SA"/>
        </w:rPr>
        <w:t>الحمد للّه ربّ العالمين، وصلّى اللّه على سيّدنا محمّدٍ وآله الطاهرين، واللّعن على أعدائهم أجميعن إلى يوم الدِّين</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10745902_73709187"/>
      <w:bookmarkStart w:id="218" w:name="_Toc72"/>
      <w:bookmarkEnd w:id="217"/>
      <w:r>
        <w:rPr>
          <w:rtl w:val="true"/>
        </w:rPr>
        <w:t>تقديم</w:t>
      </w:r>
      <w:bookmarkEnd w:id="2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مشروعيّة التقيّة ثابتةٌ بالكتاب</w:t>
      </w:r>
      <w:r>
        <w:rPr>
          <w:rStyle w:val="FootnoteAnchor"/>
          <w:rtl w:val="true"/>
        </w:rPr>
        <w:footnoteReference w:id="9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كَفَرَ بِاللّهِ مِنْ بَعْدِ إِيمانِهِ إِلاّ مَنْ أُكْرِهَ وَ قَلْبُهُ مُطْمَئِنٌّ بِالْإِيمانِ وَ لكِنْ مَنْ شَرَحَ بِالْكُفْرِ صَدْراً فَعَلَيْهِمْ غَضَبٌ مِنَ اَللّهِ وَ لَهُمْ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صرّحوا بجواز التقيّة وإظهار الموالاة حتّى للكفّار، إذا خيف على النفس التلف، أو تلف بعض الأعضاء، أو خيف من ضرر كبير يلحق الإنسان في نفسه، بل هي ممّا أجمع عليه المسلمون؛ قال محمّد بن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ممّا أجمع المسلمون على جوازه، وإن اختلفت تسميتهم لها، فسمّاها بعضهم بالكذب لأجل الضرورة أو المصلحة، وقد عمل بها الصالحون، فهي من دين المتّقين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وعكس القول فيها كذب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تقوية الإيمان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شأن الآية الأُولى يقول الآلوسي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الآية دليلٌ على مشروعيّة التقيّة، وعرّفوها بمحافظة النفس أو العِرض أو المال من شرّ الأعداء، سواءٌ أكان العداء لأجل اختلاف الدِّين أو للأغراض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قوم من باب التقيّة مداراة الكفّار والفَسَقَة والظَلَمة وإلانة الكلام لهم والتبسّم في وجوههم والانبساط معهم وإعطائهم، لكفّ أذاهم وقطع لسانهم وصيانة العرض منهم، ولا يعدّ ذلك من باب الموالاة المنهيّ عنها بل هي سُنّة وأمرٌ 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العربي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تَرْفَعُوا أَصْواتَكُمْ فَوْقَ صَوْتِ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والسُنّة المتواترة من طرق</w:t>
      </w:r>
    </w:p>
    <w:p>
      <w:pPr>
        <w:pStyle w:val="BookText"/>
        <w:rPr/>
      </w:pPr>
      <w:r>
        <w:rPr>
          <w:rFonts w:ascii="Amiri" w:hAnsi="Amiri" w:eastAsia="Amiri" w:cs="Amiri"/>
          <w:color w:val="111111"/>
          <w:sz w:val="28"/>
          <w:sz w:val="28"/>
          <w:szCs w:val="28"/>
          <w:rtl w:val="true"/>
          <w:lang w:bidi="ar-SA"/>
        </w:rPr>
        <w:t>الفريقين</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وقال الآلوسي المفسِّر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الأجوبة العراقيّة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أُصلّي الظهر في البيت بعد صلاة الجمعة، وأنكر في قلبي على من يصلّيها في الجامع جماعة وأنّه ليضيق صدري ولا ينطلق لساني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مفلح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تصحّ إمامة الفاسق مطلقاً وإذا لم تصحّ صلّى معه دفعاً للأذى ويعيد، وقرأ المروزي على أحمد بن حنبل أنّ أنس بن مالك كان يُصلّي المكتوبة في منزله ويُصلّي الجمعة خلف الحَجّاج فلم ينكر ذلك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مناقب أبي حنيفة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حنيفة كان يقول أمام ابن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أفضل من عليّ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مناقبه للبزار في ذيل مناقبه للخوارزمي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المشايخ في زمان بني أُميّة لا يذكرون عليّاً عليه السلام باسمه خوفاً منهم، والعلّامة بينهم إذا رووا عن عليّ أن يقولوا قال الشيخ كذا، وكان الحسن البصري يتّقي في الرواية عن عليّ بن أبي طالب، فيقول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بني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قُدامة في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الحارث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يُصلّي خلف مُرجيء ولا رافضي ولا فاسق إلّاأن يخافهم فيُصلّي ويُعيد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يتعقّب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بغداد للخطيب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13/380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 حنيفة يعمل بالتقيّة خوفاً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اقتضاء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تيميّة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التبصير في الدِّين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للاسفرائيني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للوزير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والنجوم الزاهرة لابن تغربردي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طريق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عمّار بن ياسر المعروفة، وقول النبيّ صلى الله عليه و آله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عادوا فَعُد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مرويّة في مختلف كتب الحديث والتفسير عندهم، راجع 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وبهذه المناسبة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بِاللّهِ مِنْ بَعْدِ إِيمانِهِ إِلاّ مَنْ أُكْرِهَ وَ 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رحمه الله،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ستكون عليكم أئمّة يميتون الصلاة، فإن أدركتموهم فصلّوا الصلاة لوقتها، واجعلوا صلاتكم معهم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من أنّ مسيلمة الكذّاب أُتي برجلين فقال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أنّي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محمّد رسول اللّه صلى الله عليه و آله، فقتله، وقال للآخر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ومحمّد رسول اللّه، فخلّى سبيله، فبلغ ذلك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فمضى على عزمه ويقينه، وأمّا الآخر فأخذ برخصة اللّه فلا تبعةً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راجع محاضرات الأُدباء للراغب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4/408</w:t>
      </w:r>
      <w:r>
        <w:rPr>
          <w:rFonts w:ascii="Amiri" w:hAnsi="Amiri" w:eastAsia="Amiri" w:cs="Amiri"/>
          <w:color w:val="111111"/>
          <w:sz w:val="28"/>
          <w:sz w:val="28"/>
          <w:szCs w:val="28"/>
          <w:rtl w:val="true"/>
          <w:lang w:bidi="ar-SA"/>
        </w:rPr>
        <w:t>، أحكام القرآن للجصّاص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سعد السعود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وتوافقها الفطرة الإنسانيّة السليمة، إذ هي إحدى القوانين السياسيةة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الاجتماعيّة الرائعة، بها تُحفظ وحدة المجتمع الإسلامي الّتي هي منشأ الخير والبركة والسعادة، وبها يُتّقى عن الاختلاف والشقاق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لم يبسط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الأمناء على حلال اللّه وحرامه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فيها من حيث الحكم التكليفي، وإنّما تعرّضوا لموضوع إجزاء العمل الموافق للتقيّة والمخالف للحقّ‌، وعدمه</w:t>
      </w:r>
      <w:r>
        <w:rPr>
          <w:rStyle w:val="FootnoteAnchor"/>
          <w:rtl w:val="true"/>
        </w:rPr>
        <w:footnoteReference w:id="991"/>
      </w:r>
      <w:r>
        <w:rPr>
          <w:rFonts w:ascii="Amiri" w:hAnsi="Amiri" w:eastAsia="Amiri" w:cs="Amiri"/>
          <w:color w:val="111111"/>
          <w:sz w:val="28"/>
          <w:sz w:val="28"/>
          <w:szCs w:val="28"/>
          <w:rtl w:val="true"/>
          <w:lang w:bidi="ar-SA"/>
        </w:rPr>
        <w:t xml:space="preserve">، فنتج من جراء ذلك خفاء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ومراداً وحكماً وملاكاً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كثيرٍ من علماء المسلمين، حتّى نسبوا إلى الشيعة ما هم بَراءٌ منه، وذلك لأنّهم لم يحسنوا الفهم فلم يحسنوا النقد</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نتج من جراء ذلك اشتباه الأمر على جمعٍ من علمائنا فيها أيضاً بحسب المورد، حتّي تخيلوا لزوم التقيّة أو جوازها فى موردٍ، برغم كونها محرّمة فى ذلك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كلّه وجب علينا تنقيح القول في التقيّة فيما يلي، مورداً وحكماً، فنقول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bookmarkStart w:id="219" w:name="pg11810_104356"/>
    </w:p>
    <w:p>
      <w:pPr>
        <w:pStyle w:val="Heading3"/>
        <w:numPr>
          <w:ilvl w:val="2"/>
          <w:numId w:val="1"/>
        </w:numPr>
        <w:rPr/>
      </w:pPr>
      <w:bookmarkStart w:id="220" w:name="__RefHeading___Toc10745904_73709187"/>
      <w:bookmarkStart w:id="221" w:name="_Toc73"/>
      <w:bookmarkEnd w:id="219"/>
      <w:bookmarkEnd w:id="220"/>
      <w:r>
        <w:rPr>
          <w:rtl w:val="true"/>
        </w:rPr>
        <w:t>المراد بالتقيّة</w:t>
      </w:r>
      <w:bookmarkEnd w:id="221"/>
    </w:p>
    <w:p>
      <w:pPr>
        <w:pStyle w:val="BookText"/>
        <w:rPr/>
      </w:pP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لأتّقى يتّقي، والتاء بدلٌ عن الواو كما في التهمة، والمراد بها هنا الإتيان بعملٍ لا يهدمُ حقّاً، ولا يبني باطلاً، مخالف للحقّ‌، أو ترك عملٍ موافق للحقّ‌، أو كتمان المذهب، تحفّظاً عن ضرر الغير على الشخص، أو الإسلام أو التشيّع، أو إعزازاً للدِّين، وإعلاء لكلمة الإسلام والمسلمين، وتقوية لشوكتهم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هذا التعريف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يخاف الإنسان على النفس أو العِرض من إتيان العمل الموافق لمذهب الحقّ‌، أو ترك ما يخالفه، أو إظهار ما يعتقده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يخاف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يكون الخوف مع سبق الإكراه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يكون دون سبق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ربما يترتّب على التقيّة إعلاء كلمة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لا يترتّب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والأخير خارجٌ عن التقيّة، وما قبله معدودٌ من أقسام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فتنقسم التقيّة إلى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التقيّة الخوفيّة، والتقيّة الإكراهيّة، والتقيّة الكتمانيّة، والتقيّة المداراتيّة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أنّ القرآن المتكفّل لهداية البشر في جميع شؤونهم وأطوارهم، </w:t>
      </w:r>
    </w:p>
    <w:p>
      <w:pPr>
        <w:pStyle w:val="BookText"/>
        <w:rPr/>
      </w:pPr>
      <w:r>
        <w:rPr>
          <w:rFonts w:ascii="Amiri" w:hAnsi="Amiri" w:eastAsia="Amiri" w:cs="Amiri"/>
          <w:color w:val="111111"/>
          <w:sz w:val="28"/>
          <w:sz w:val="28"/>
          <w:szCs w:val="28"/>
          <w:rtl w:val="true"/>
          <w:lang w:bidi="ar-SA"/>
        </w:rPr>
        <w:t xml:space="preserve">في مختلف أدوارهم، الضامن لهم نيل السعادة الكبرى في العاجل والآجل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الروايات الواردة عن المعصومين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اعتنى بأمر المجتمع، ودعا النّاس إلى ما فيه سعادة الحياة والعيش الطيّب مجتمعين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فَرَّقُوا دِينَهُمْ وَ كانُوا شِيَعاً لَسْتَ مِنْهُمْ فِي شَيْ‌ءٍ‌</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تَنازَعُوا فَتَفْشَلُوا وَ تَذْهَبَ رِيحُكُمْ‌</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الكثيرة، و الروايات المتواتره، الداعية إلى الإتّحاد والاتّفاق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اهتمام الشارع الأقدس بحفظ النفس من التهلكة حتّى عُدّ من أهمّ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فالعقل السليم يحكم فطريّاً بأنّه عند وقوع التزاحم بين الوظيفة الفرديّة مع شوكة الإسلام وعزّته وقوّته، أو وقوع التزاحم بين حفظ النفس وبين واجبٍ أو محرّمٍ آخر، لا بدَّ من سقوط الوظيفة الفرديّة، وليست التقيّة إلّاذلك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التقيّة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حكمها التكليفي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حكمها الوضعي، من جهة الآثار الوضعيّة المترتّبة على الفعل المخالف للحقّ‌، وأنّها تترتّب على الصادر تقيّة كما تترتّب على الصادر اختياراً، أم أنّ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وقوعها تقيّة يوجب رفع تلكم الآثار؟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جهة أنّ الفعل المخالف للحقّ هل يترتّب عليه آثار الحقّ بمجرّد الإذن فيها من قبل الشارع أم لا؟</w:t>
      </w:r>
      <w:bookmarkStart w:id="222" w:name="pg11810_104359"/>
    </w:p>
    <w:p>
      <w:pPr>
        <w:pStyle w:val="Heading3"/>
        <w:numPr>
          <w:ilvl w:val="2"/>
          <w:numId w:val="1"/>
        </w:numPr>
        <w:rPr/>
      </w:pPr>
      <w:bookmarkStart w:id="223" w:name="__RefHeading___Toc10745906_73709187"/>
      <w:bookmarkStart w:id="224" w:name="_Toc74"/>
      <w:bookmarkEnd w:id="222"/>
      <w:bookmarkEnd w:id="223"/>
      <w:r>
        <w:rPr>
          <w:rtl w:val="true"/>
        </w:rPr>
        <w:t>حكم التقيّة تكليفاً</w:t>
      </w:r>
      <w:bookmarkEnd w:id="224"/>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مشروعيّة التقيّة في الجملة، والكتاب والسُنّة يشهدان بها، وقد اعترف بها المخالفون الذين نالوا من الشيعة في شأن التقيّة،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المنار</w:t>
      </w:r>
      <w:r>
        <w:rPr>
          <w:rFonts w:eastAsia="Amiri" w:cs="Amiri" w:ascii="Amiri" w:hAnsi="Amiri"/>
          <w:color w:val="111111"/>
          <w:sz w:val="28"/>
          <w:szCs w:val="28"/>
          <w:rtl w:val="true"/>
          <w:lang w:bidi="ar-SA"/>
        </w:rPr>
        <w:t>»</w:t>
      </w:r>
      <w:r>
        <w:rPr>
          <w:rStyle w:val="FootnoteAnchor"/>
          <w:rtl w:val="true"/>
        </w:rPr>
        <w:footnoteReference w:id="996"/>
      </w:r>
      <w:r>
        <w:rPr>
          <w:rFonts w:ascii="Amiri" w:hAnsi="Amiri" w:eastAsia="Amiri" w:cs="Amiri"/>
          <w:color w:val="111111"/>
          <w:sz w:val="28"/>
          <w:sz w:val="28"/>
          <w:szCs w:val="28"/>
          <w:rtl w:val="true"/>
          <w:lang w:bidi="ar-SA"/>
        </w:rPr>
        <w:t>بعد التشنيع على الشيعة،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وقصارى ما تدلّ عليه هذه الآية أنّ للمسلم أن يتّقي ما يتّقي من مضرّة الكافرين، وقصارى ما تدلّ عليه آية سورة النحل</w:t>
      </w:r>
      <w:r>
        <w:rPr>
          <w:rStyle w:val="FootnoteAnchor"/>
          <w:rtl w:val="true"/>
        </w:rPr>
        <w:footnoteReference w:id="997"/>
      </w:r>
      <w:r>
        <w:rPr>
          <w:rFonts w:ascii="Amiri" w:hAnsi="Amiri" w:eastAsia="Amiri" w:cs="Amiri"/>
          <w:color w:val="111111"/>
          <w:sz w:val="28"/>
          <w:sz w:val="28"/>
          <w:szCs w:val="28"/>
          <w:rtl w:val="true"/>
          <w:lang w:bidi="ar-SA"/>
        </w:rPr>
        <w:t>ما تقدّم آنفاً، وكل ذلك من باب الرخص لأجل الضرورات لا من اُصول الدِّين المتّبعة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أصحابنا التقيّة إلى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وهو في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 وهو في إظهار كلمة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وهو ما عدا هذين القمسين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الأعظم رحمه الله، تقسيم حكمها إلى الأحكام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لدفع الضرر الواجب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فيه التحرّز عن معارض الضرر، بأن يكون تركه مُفضياً تدريجاً إلى حصول الضرر، كترك المداراة مع العامّة وهجرهم في المعاشرة في بلادهم، فإنّه ينجرّ غالباً إلى حصول المباينة الموجب لتضرّره منهم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التحرّز عن الضرر وتحمّله متساوياً في نظر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كالتقيّة </w:t>
      </w:r>
    </w:p>
    <w:p>
      <w:pPr>
        <w:pStyle w:val="BookText"/>
        <w:rPr/>
      </w:pPr>
      <w:r>
        <w:rPr>
          <w:rFonts w:ascii="Amiri" w:hAnsi="Amiri" w:eastAsia="Amiri" w:cs="Amiri"/>
          <w:color w:val="111111"/>
          <w:sz w:val="28"/>
          <w:sz w:val="28"/>
          <w:szCs w:val="28"/>
          <w:rtl w:val="true"/>
          <w:lang w:bidi="ar-SA"/>
        </w:rPr>
        <w:t xml:space="preserve">في إظهار كلمة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ذكره جمعٌ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تركه وتحمّل الضرر أولى من فعله، كما ذكر ذلك بعضهم في إظهار كلمة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الدّماء</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تقسيمها إلى خمسة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لا يخافُ ضرراً عاجلاً، ويتوهّم ضرراً آجلاً، أو ضرراً سهلاً، أو كان تقيّة في المستحبّ كالترتيب في تسبيح الزهراء صلوات اللّه عليها، وترك بعض فصول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 المستحبّ‌، حيث لا ضرر عاجلاً ولا آجلاً، ويخاف منه الإلتباس على عوامّ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حيث يؤمن الضرر عاجلاً وآجلاً، أو في قتل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 بعض المباحات التي يرجّحها العامّة، ولا يصل بتركها 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صرّح بعض الأكابر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التقيّة حتّى في حال الخوف على النفس رخصة، والإفصاح بالحقّ فضيلة</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وتنقيح القول في المقام بالبحث في كلّ قسمٍ من الأقسام الأربعة للتقيّة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الإكراهيّة والخوفيّة، والكتمانيّة، والمداراتيّة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أدلّة المشروعيّة وبيان ما يستفاد منها، بعد الجمع بينها وبين ما يعارضها ويقيّدها</w:t>
      </w:r>
      <w:r>
        <w:rPr>
          <w:rFonts w:eastAsia="Amiri" w:cs="Amiri" w:ascii="Amiri" w:hAnsi="Amiri"/>
          <w:color w:val="111111"/>
          <w:sz w:val="28"/>
          <w:szCs w:val="28"/>
          <w:rtl w:val="true"/>
          <w:lang w:bidi="ar-SA"/>
        </w:rPr>
        <w:t>.</w:t>
      </w:r>
      <w:bookmarkStart w:id="225" w:name="pg11810_104361"/>
    </w:p>
    <w:p>
      <w:pPr>
        <w:pStyle w:val="Heading3"/>
        <w:numPr>
          <w:ilvl w:val="2"/>
          <w:numId w:val="1"/>
        </w:numPr>
        <w:rPr/>
      </w:pPr>
      <w:bookmarkStart w:id="226" w:name="__RefHeading___Toc10745908_73709187"/>
      <w:bookmarkStart w:id="227" w:name="_Toc75"/>
      <w:bookmarkEnd w:id="225"/>
      <w:bookmarkEnd w:id="226"/>
      <w:r>
        <w:rPr>
          <w:rtl w:val="true"/>
        </w:rPr>
        <w:t>التقيّة الإكراهيّة</w:t>
      </w:r>
      <w:bookmarkEnd w:id="227"/>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التقيّة الإكراهيّة، فيشهد لمشروعيتها في الجملة من الكتاب آيتان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كَفَرَ بِاللّهِ مِنْ بَعْدِ إِيمانِهِ إِلاّ مَنْ أُكْرِهَ وَ قَلْبُهُ مُطْمَئِنٌّ بِالْإِيمانِ وَ لكِنْ مَنْ شَرَحَ بِالْكُفْرِ صَدْراً فَعَلَيْهِمْ غَضَبٌ مِنَ اَللّهِ وَ لَهُمْ عَذابٌ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اِسْتَحَبُّوا اَلْحَياةَ اَلدُّنْيا عَلَى اَلْآخِرَةِ وَ أَنَّ اَللّهَ لا يَهْدِي اَلْقَوْمَ اَلْكافِرِينَ‌</w:t>
      </w:r>
      <w:r>
        <w:rPr>
          <w:rFonts w:eastAsia="Amiri" w:cs="Amiri" w:ascii="Amiri" w:hAnsi="Amiri"/>
          <w:color w:val="111111"/>
          <w:sz w:val="28"/>
          <w:szCs w:val="28"/>
          <w:rtl w:val="true"/>
          <w:lang w:bidi="ar-SA"/>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شيخ الطائفة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الآية في عمّار بن ياسر رحمه الله، أكرهه المشركون بمكّة بأنواع العذاب، وقيل إنّهم غَطّوه في بئر ماء على أن يلفط بالكفر، وكان قلبه مطمئناً بالايمان، فجاز من ذلك، وجاء إلى النبيّ صلى الله عليه و آله جزعاً، فقال له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كان قلبك‌؟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مطمئناً بالإيمان، فأنزل اللّه فيه الآية، وأخبر أنّ الذين يكفرون باللّه بعد أنْ كانوا مصدِّقين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يرتدّوا عن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فعليهم غضبٌ من اللّه، ثمّ استثنى من ذلك من كَفَر بلسانه وكان مطمئن القلب بالايمان في باطنه، فإنّه بخلافه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وجوابه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فَعَلَيْهِمْ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وضمير الجمع في الجزاء عائدٌ إلى اسم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بحسب المعنى كليّاً ذا أفراد، والمراد بالكفر هو التكلّم بكلمة الكفر بقرينة الإستثناء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w:t>
      </w:r>
      <w:r>
        <w:rPr>
          <w:rStyle w:val="FootnoteAnchor"/>
          <w:rtl w:val="true"/>
        </w:rPr>
        <w:footnoteReference w:id="1003"/>
      </w:r>
      <w:r>
        <w:rPr>
          <w:rFonts w:ascii="Amiri" w:hAnsi="Amiri" w:eastAsia="Amiri" w:cs="Amiri"/>
          <w:color w:val="111111"/>
          <w:sz w:val="28"/>
          <w:sz w:val="28"/>
          <w:szCs w:val="28"/>
          <w:rtl w:val="true"/>
          <w:lang w:bidi="ar-SA"/>
        </w:rPr>
        <w:t>استثناءٌ من عموم الشرط، والمراد بالإكراه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الإجبار على كلمة الكفر والتظاهر به، إذ القلب لا يقبل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مَنْ شَرَحَ بِالْكُفْرِ صَدْراً</w:t>
      </w:r>
      <w:r>
        <w:rPr>
          <w:rFonts w:eastAsia="Amiri" w:cs="Amiri" w:ascii="Amiri" w:hAnsi="Amiri"/>
          <w:color w:val="111111"/>
          <w:sz w:val="28"/>
          <w:szCs w:val="28"/>
          <w:rtl w:val="true"/>
          <w:lang w:bidi="ar-SA"/>
        </w:rPr>
        <w:t>»</w:t>
      </w:r>
      <w:r>
        <w:rPr>
          <w:rStyle w:val="FootnoteAnchor"/>
          <w:rtl w:val="true"/>
        </w:rPr>
        <w:footnoteReference w:id="1004"/>
      </w:r>
      <w:r>
        <w:rPr>
          <w:rFonts w:ascii="Amiri" w:hAnsi="Amiri" w:eastAsia="Amiri" w:cs="Amiri"/>
          <w:color w:val="111111"/>
          <w:sz w:val="28"/>
          <w:sz w:val="28"/>
          <w:szCs w:val="28"/>
          <w:rtl w:val="true"/>
          <w:lang w:bidi="ar-SA"/>
        </w:rPr>
        <w:t>استدراكٌ من الاستثناء، فيعود إلى معنى 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بقولي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كَفَرَ</w:t>
      </w:r>
      <w:r>
        <w:rPr>
          <w:rFonts w:eastAsia="Amiri" w:cs="Amiri" w:ascii="Amiri" w:hAnsi="Amiri"/>
          <w:color w:val="111111"/>
          <w:sz w:val="28"/>
          <w:szCs w:val="28"/>
          <w:rtl w:val="true"/>
          <w:lang w:bidi="ar-SA"/>
        </w:rPr>
        <w:t>»</w:t>
      </w:r>
      <w:r>
        <w:rPr>
          <w:rStyle w:val="FootnoteAnchor"/>
          <w:rtl w:val="true"/>
        </w:rPr>
        <w:footnoteReference w:id="1005"/>
      </w:r>
      <w:r>
        <w:rPr>
          <w:rFonts w:ascii="Amiri" w:hAnsi="Amiri" w:eastAsia="Amiri" w:cs="Amiri"/>
          <w:color w:val="111111"/>
          <w:sz w:val="28"/>
          <w:sz w:val="28"/>
          <w:szCs w:val="28"/>
          <w:rtl w:val="true"/>
          <w:lang w:bidi="ar-SA"/>
        </w:rPr>
        <w:t>ما كان من إكراه وقلبه مطمئن بالإيمان، ولكن أريد من شَرَح بالكفر صدراً، وفي مجموع الاستثناء والاستدراك بيان كامل 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تكلّم بكلمة الكفر بعد إيمانه، إمّا أن يكون مكرهاً عليه، أو يكون منشرح الصدر به مبتهجاً بذلك، أو يكون خائضاً مع الخائضين يتلفّظ به لهواً ولعباً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منشرح الصدر به، فعليه غضبٌ من اللّه، وله عذابٌ عطيم، لأنّه اختار الحياة الماديّة الّتي لا غاية لها إلّاالتمتّع الحيواني على الآخرة التي هي حياة دائمة أبديّة، وهي غاية الحياة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مكرهاً عليه، فهو مرخّص فيه، منة على العباد، وإبقاءً على أنفسهم وأعراضهم وأموالهم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تعرّض في الآية لحكم القسم الثالث، لكن تعرّض له في آية اُخرى وهي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لَيَقُولُنَّ إِنَّما كُنّا نَخُوضُ وَ نَلْعَبُ قُلْ أَ بِاللّهِ وَ آياتِهِ وَ رَسُولِهِ كُنْتُمْ تَسْتَهْزِؤُنَ‌</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فالمستفاد من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الترخيص في الكفر باللّه مختصٌّ بمورد الخوف على </w:t>
      </w:r>
    </w:p>
    <w:p>
      <w:pPr>
        <w:pStyle w:val="BookText"/>
        <w:rPr/>
      </w:pPr>
      <w:r>
        <w:rPr>
          <w:rFonts w:ascii="Amiri" w:hAnsi="Amiri" w:eastAsia="Amiri" w:cs="Amiri"/>
          <w:color w:val="111111"/>
          <w:sz w:val="28"/>
          <w:sz w:val="28"/>
          <w:szCs w:val="28"/>
          <w:rtl w:val="true"/>
          <w:lang w:bidi="ar-SA"/>
        </w:rPr>
        <w:t>النفس، وأنّ المكره مخيّر بين حفظ النفس والتكلّم بكلمة الكفر، وبين تعريض النفس للهلاك، وعدم التكلّم بكلمة الكفر، فإذا كان الكفر باللّه مرخّصاً فيه عند الإكراه، فالكفر بالنبيّ صلى الله عليه و آله والأئمّة المعصومين عليهم السلام أو سبّهم أو البراءة منهم أولى بالجواز والرخصة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 إِلاّ أَنْ تَتَّقُوا مِنْهُمْ تُقاةً‌</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الولي، وهو من الولاية، وهي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تدبير أمر الشيء بالمعونة والنصرة، والإتّخاذ يفيد معنى الاصطناع، وهو عبارة عن مكاشفتهم بالأسرار الخاصّة بمصلحة المجتمع الإسلامي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ظرفٌ يفيد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شوبٍ من معنى السفالة،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لابتداء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ابتداء الولاية مكاناً دون المؤمنين، لأنّ مكان المؤمن الأعلى ومكان الكفّار الأدنى‌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الكريمة تنهى عن اتّخاذ الكافرين أولياء، بحيث يؤدّي إلى مطاوعتهم، والتأثّر منهم في شؤون الحياة، وتصرّفهم في ذلك، وأن يأتمر المسلمون بأمرهم وينتهوا بنهيهم، كما تعارف في هذا الزمان في الدول الإسلاميّة من استخدام الكافرين المعاندين للإسلام من دول الضلال كإسرائيل وغيرها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أي ومن يتّخذهم أولياء من دون المؤمنين، وإنّما بدّل بلفظ عام للإشعار بنهاية نفرة المتكلّم منه،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يجتمع الإيمان </w:t>
      </w:r>
    </w:p>
    <w:p>
      <w:pPr>
        <w:pStyle w:val="BookText"/>
        <w:rPr/>
      </w:pPr>
      <w:r>
        <w:rPr>
          <w:rFonts w:ascii="Amiri" w:hAnsi="Amiri" w:eastAsia="Amiri" w:cs="Amiri"/>
          <w:color w:val="111111"/>
          <w:sz w:val="28"/>
          <w:sz w:val="28"/>
          <w:szCs w:val="28"/>
          <w:rtl w:val="true"/>
          <w:lang w:bidi="ar-SA"/>
        </w:rPr>
        <w:t>مع هذا الفعل، فليس فاعله من حزب اللّه في شيء ولا يعدّ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w:t>
      </w:r>
      <w:r>
        <w:rPr>
          <w:rStyle w:val="FootnoteAnchor"/>
          <w:rtl w:val="true"/>
        </w:rPr>
        <w:footnoteReference w:id="1008"/>
      </w:r>
      <w:r>
        <w:rPr>
          <w:rFonts w:ascii="Amiri" w:hAnsi="Amiri" w:eastAsia="Amiri" w:cs="Amiri"/>
          <w:color w:val="111111"/>
          <w:sz w:val="28"/>
          <w:sz w:val="28"/>
          <w:szCs w:val="28"/>
          <w:rtl w:val="true"/>
          <w:lang w:bidi="ar-SA"/>
        </w:rPr>
        <w:t>استثناء من أعمّ الأحوال، أي أنّه يجبُ ترك موالاة الكافرين على المؤمنين في كلّ حال، إلّافي حال التقيّة والخوف من الكفّار، فلكم حينئذٍ أن توالوهم بقدر ما يتّقى به ذلك، وهذه الموالاة صوريّة لأنّها للمؤمنين لا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والاستثناء منقطع؛ لأنّ التقرّب إلى الغير اتّقاء ضرره بإظهار آثار التولّي ظاهراً ليس من التولّي في شيء، وفي الآية دلالة على الرخصة في التقيّة، اتّقاءً للمؤمنين من ضرر الكافرين، وإبقاءً على أنفسهم، وهذه الرخصة موافقة لحكم الفطرة وسيرة العقلاء، وإبقاءً للحقّ والدّين بإبقاء أهله، فيتّحد مفاد الآيتين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طوائف منها أيضاً تشهد لمشروعيّة التقيّة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r>
        <w:rPr>
          <w:rStyle w:val="FootnoteAnchor"/>
          <w:rtl w:val="true"/>
        </w:rPr>
        <w:footnoteReference w:id="1009"/>
      </w:r>
      <w:r>
        <w:rPr>
          <w:rFonts w:ascii="Amiri" w:hAnsi="Amiri" w:eastAsia="Amiri" w:cs="Amiri"/>
          <w:color w:val="111111"/>
          <w:sz w:val="28"/>
          <w:sz w:val="28"/>
          <w:szCs w:val="28"/>
          <w:rtl w:val="true"/>
          <w:lang w:bidi="ar-SA"/>
        </w:rPr>
        <w:t xml:space="preserve">المرويّ بطرق عديدة وبعضها صحيح، فإنّ مفاده أنّ الشارع الأقدس مَنَّ على العباد بالحنيفيّة السمحة، فرفع كلّ حكمٍ من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 نفسها لا تلازم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ضرريّاً، فإذا كان وجوب فعل أو حرمته منشأ للضرر على المكلّف، يكون ذلك مرفوعاً عن الأُمّة، ولا يثبت به إلّاالرخصة دون لزوم التقيّة، ولذلك فإنّ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نافياً للحكم لا مثبتاً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التقيّة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تواتر عن المعصومين عليهم السلام من جعل التقيّة من الدِّين، 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الأعجمي،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عمر، إنّ تسعة أعشار الدِّين في التقيّة، ولا دين لمَن لا تقيّة له</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أبي يعفور،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على دينكم واحجبوه بالتقيّة، فإنّه لا إيمان لمن لا تقيّة له، إنّما أنتم في النّاس كالنحل في الطير، ولو أنّ الطير يعلم ما في أجواف النحل ما بقي منها شيء إلّاأكلته، ولو أنّ النّاس علموا ما في أجوافكم أنّكم تحبّونا أهل البيت، لأكلوكم بألسنتهم، ولنحلوكم في السرّ والعلانية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منكم كان على ولايتنا</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اللّه،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تِرسُ المؤمن، ولا إيمان لمن لا تقيّة له</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الحسن بن زيد بن علي، عن جعفر بن محمّد، عن أبيه، عن آبائه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إيمان لمن لا تقيّة 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تَتَّقُوا مِنْهُمْ تُقاةً‌</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فيمن لا تقيّة له، ولا إيمان لمن لا تقيّة له</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أمير المؤمنين عليه السلام في حديث</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وآمرك أن تستعمل التقيّة في دينك،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اَلْكافِرِينَ أَوْلِياءَ مِنْ دُونِ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ثمّ إيّاك أن تتعرّض للهلاك، وأن تترك التقيّة التي أمرتك بها، فإنّك شائطٌ بدمك ودماء اخوانك، معرّض لزوال نعمتك ونعمتهم، مذلّهم في أيدي أعداء دين اللّه، وقد أمرك اللّه بإعزازهم</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النصوص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بما أنّه في جملة من تلكم الأخبار التعليل لهذا الاهتمام، بأنّ تارك التقيّة شائطٌ بدمه ودماء اخوانه، معرّض لزوال النعمة، الظاهر منها نعمة الولاية، كما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وبأنّ الشيعة بالنسبة إلى سائر المسلمين كالنحل في مقابل الطير، ولو أنّ الطير علم ما في أجواف النحل ما بقي شيء إلّاأكلته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هذه النصوص بأجمعها واردة في التقيّة من العامّة، وفي وقت صدورها كانت الشيعة قليلة جدّاً، ومع ذلك كانوا يحبّون الجهاد، ولو لم يأمرهم الأئمّة عليهم السلام بالتقيّة لثاروا على أهل الضلال، واستئصلوا عن آخرهم في تلكم الفتن، ولأوردوا أهل البيت عليهم السلام موارد الهلكة والاستئصال ولم يبق من الشيعة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الحقّ في ظرف صدور هذه الروايات لم يأخذ نصابه، ولو لم يؤمروا بالتقيّة لما أمكن نشر مبادئ التشيّع الحقّ‌</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كلّه يتعيّن حمل الأخبار على التقيّة في موردٍ يلزم من تركها هدم الدّين، وإذلال المؤمنين واستئصالهم، ومن التقيّة بقاء الدِّين وحفظ المؤمنين من الهلاكة، ومن الضروري لزوم التقيّة في أمثال ذلك، ولم يتوهّم أحدٌ عدم لزومها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فيما إذا لم يترتّب على التقيّة ذلك، ولا على تركها ما ذكر، وهذه النصوص لا تعرُّض</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لها لحكم تلكم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تلك الأخبار التقيّة الكتمانيّة والمداراتيّة، كما سيمرُّ عليك، بل ستعرف تعيُّن حملها على ذينك القسمين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المرويّ بطرق عديدة، فيها الصحيح والحسن والموثّق، المتضمّن لرفع ما استكرهوا عليه، 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حريز بن عبد اللّه،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أُمّتي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والنسيان، وما أُكرهوا عليه، وما لا يعلمون، وما لا يُطيقون، وما اضطرّوا إليه، والحسد، والطيرة، والتفكّر في الوسوسة في الخلق ما لم ينطقوا بشفة</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عمرو بن مروان الخراز،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عن أُمّتي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اضطرّوا إليه، وما نسوا، وما اُكرهوا عليه، وما لم يطيقوا، وذلك في كتاب اللّه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تُؤاخِذْنا إِنْ نَسِينا أَوْ أَخْطَأْنا رَبَّنا وَ لا تَحْمِلْ عَلَيْنا إِصْراً كَما حَمَلْتَهُ عَلَى اَلَّذِينَ مِنْ قَبْلِنا رَبَّنا وَ لا تُحَمِّلْنا ما لا طاقَةَ لَنا بِهِ‌</w:t>
      </w:r>
      <w:r>
        <w:rPr>
          <w:rFonts w:eastAsia="Amiri" w:cs="Amiri" w:ascii="Amiri" w:hAnsi="Amiri"/>
          <w:color w:val="111111"/>
          <w:sz w:val="28"/>
          <w:szCs w:val="28"/>
          <w:rtl w:val="true"/>
          <w:lang w:bidi="ar-SA"/>
        </w:rPr>
        <w:t>»</w:t>
      </w:r>
      <w:r>
        <w:rPr>
          <w:rStyle w:val="FootnoteAnchor"/>
          <w:rtl w:val="true"/>
        </w:rPr>
        <w:footnoteReference w:id="1018"/>
      </w:r>
      <w:r>
        <w:rPr>
          <w:rFonts w:ascii="Amiri" w:hAnsi="Amiri" w:eastAsia="Amiri" w:cs="Amiri"/>
          <w:color w:val="111111"/>
          <w:sz w:val="28"/>
          <w:sz w:val="28"/>
          <w:szCs w:val="28"/>
          <w:rtl w:val="true"/>
          <w:lang w:bidi="ar-SA"/>
        </w:rPr>
        <w:t>، وقول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النصوص تدلّ على أنّه كلّما تعلّق الإكراه بمتعلّق حكمٍ وجوبي أو تحريمي، يرتفع الوجوب والحرمة، فتدلّ على الرخصة في التقيّة في كلّ موردٍ من موارد الإكراه، إلّاأنّ لها مقيّدات ستمرّ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البراءة والسَّب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الكثيرة الواردة في السَّب والبراءة من أمير المؤمنين عليه السلام، وغيرهما من كلمات الكفر، وهي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ماتضمّن أفضليّة البراءة والسَّب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عدمهما، 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اللّه بن عجلان،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الضحّاك قد ظهر بالكوفة، ويوشك أن نُدعى إلى البراءة من عليّ عليه السلام، فكيف نصنع‌؟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فابرأ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تمضوا على ما مضى عليه عمّار بن ياسر، أُخذ بمكّة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ابرأ من رسول اللّه صلى الله عليه و آله فبرأ منه، فأنزل اللّه عزّ وجلّ عُذره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 قَلْبُهُ مُطْمَئِنٌّ بِالْإِيمانِ‌</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الحضرمي، عنه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الرِّقاب أحبّ إليك أم البراءة من عليّ عليه السلام‌؟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الرخصة أحبّ إليَّ‌، أما سمعت قول اللّه عزّ وجلّ في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 قَلْبُهُ مُطْمَئِنٌّ بِالْإِيمانِ‌</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أفضليّة ترك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كخبر يوسف بن عمران الميثمي،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ميثم النهرواني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أمير المؤمنين عليّ بن أبي طالب عليه السلام،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أنتَ يا ميثم إذا دعاك دَعيُّ بني أُميّة عبيد اللّه بن زياد إلى البراءة منّي‌؟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واللّه لا أبرأ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يَقتلك ويَصلبك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أصبر، فذاك في اللّه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ميثم، إذاً تكون معي في درجتي</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أصحاب التواريخ في جماعة من حواري أمير المؤمنين عليه السلام أمثال كميل ابن زياد، ورُشيد الهَجَري، وقنبر وأمثالهم، قد عرضت عليهم البراءة منه عليه السلام، فلم يتبرّءوا منه، فصلبوا وقتلوا وقطعت أيديهم وأرجلهم ولسانهم، ولم يشكّ أحدٌ في علوّ درجاتهم</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كخبر عبد اللّه عطاء،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رجلان من أهل الكوفة فقيل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إبرءا من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فبرأ واحدٌ منهما وأبى الآخر، فخلّي سبيل الذي برأ، وقتل الآخر؟</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برئ فرجلٌ فقيه في دينه، وأمّا الذي لم يبرأ فرجلٌ تعجَّل إلى الجنّة</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 التفصيل بين السَّب والبراءة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كخبر محمّد بن ميمون، عن جعفر بن محمّد، عن أبيه، عن جدّه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ستُدعون إلى سبّي فسبّوني، وتُدعون إلى البراءة منّي فمُدّوا الرقاب فإنّي على الفطرة</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 أخي دعبل، عن الإمام الرضا، عن أبيه، عن آبائه، عن علي بن أبي طالب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ستُعرضون على سبّي، فإنْ خفتم على أنفسكم فسبّوني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وإنّكم ستعرضون على البراءة منّي، فلا تفعلوا، فإنّي على الفطرة</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من الأخبار المستفيضة كما قاله المفيد رحمه الله</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ودلالة جميع الطوائف على مشروعيّة التقيّة واضحة، وإنّما الكلام فيما بين هذه الطوائف من الاختلاف وطريق الجمع بينها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تضمّن أفضليّة العمل بالتقيّة، فمن جهة أنّ هذا الصنف من الرخصة الواردة على طبق حكم الفطرة، إنّما جُعلت للأخذ بها لا الإعراض والرغبة عنها، ولذلك خلق النّاس مفطورين عليها، واللّه تعالى يحبّ أن تؤتى رُخَصه كما يُحبّ أن تؤتى عزائمه، كما في خبر ابن عبّاس عن رسول صلى الله عليه و آله الذي رواه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الكبير</w:t>
      </w:r>
      <w:r>
        <w:rPr>
          <w:rFonts w:eastAsia="Amiri" w:cs="Amiri" w:ascii="Amiri" w:hAnsi="Amiri"/>
          <w:color w:val="111111"/>
          <w:sz w:val="28"/>
          <w:szCs w:val="28"/>
          <w:rtl w:val="true"/>
          <w:lang w:bidi="ar-SA"/>
        </w:rPr>
        <w:t>»</w:t>
      </w:r>
      <w:r>
        <w:rPr>
          <w:rStyle w:val="FootnoteAnchor"/>
          <w:rtl w:val="true"/>
        </w:rPr>
        <w:footnoteReference w:id="1031"/>
      </w:r>
      <w:r>
        <w:rPr>
          <w:rFonts w:ascii="Amiri" w:hAnsi="Amiri" w:eastAsia="Amiri" w:cs="Amiri"/>
          <w:color w:val="111111"/>
          <w:sz w:val="28"/>
          <w:sz w:val="28"/>
          <w:szCs w:val="28"/>
          <w:rtl w:val="true"/>
          <w:lang w:bidi="ar-SA"/>
        </w:rPr>
        <w:t xml:space="preserve">من العامّة، وفي الخبر المرويّ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من طرقنا</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ما دلّ على أفضليّة ترك التقيّة، فإنّما هو لخصوصيّة في تلكم الأشخاص الذين هم مورد تلكم الأخبار، فإنّهم كانوا من المختصّين بالإمام عليه السلام أشدّ اختصاص، معروفين بحبّه، فلو تبرّأوا منه كان ذلك كاشفاً عن خوفهم من الموت، وفرارهم منه، وهو موجبٌ لهوانهم وحطّ منزلتهم وقدرهم، وكان رغبة بأنفسهم عن إعزازه عند الأعداء، وموجباً لجعل أنفسهم سخرية عند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متضمّنة لبيان حكم اللّه عزّ وجلّ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المفصّلة بين السَّب والبراءة، فالظاهر أنّها مطروحة،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صراحة موثّق مسعدة بن صدقة في أنّها مختلقة،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يروون أنّ عليّاً عليه السلام قال على منبر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ستدعون إلى سَبّي فسبّوني، ثمّ تُدعون إلى البراءة منّي فلا تتبرّأوا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ما يكذب النّاس على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ستدعون إلى سَبّي فسبّوني، ثمّ تدعون إلى البراءة منّي، وإنّي لعلى دين محمّد،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تبرؤا منّي، فقال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اختار القتل دون البراءة‌؟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ذلك عليه، وما له إلّاما مضى عليه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بين السَّب والبراءة عمومٌ مطلق، فكلّ سَبٍّ براءة ومتضمّن لها، ولا عكس، فكيف يجوزُ السَّب ولا تجوز البراءة‌؟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كون عليّ عليه السلام أعلى كعباً من رسول اللّه صلى الله عليه و آله، فتجوز البراءة منه صلى الله عليه و آله عند التقيّة والخوف على النفس كما دلّ عليه الكتاب، ولا تجوز البراءة منه عليه السلام، وهذا ما لا يمكن الالتزام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بعض تلكم الأخبار من تعليل عدم جواز البراءة بقوله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على 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كلّ مولودٍ يولد على الفطرة</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قرائن اُخرى تدلّ على أنّها مجعولة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الكتاب والسُنّة يدلّان على مشروعيّة التقيّة في الجملة، وأنّه يجوز ترك الواجب وفعل الحرام إذا دعت التقيّة والضرورة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لا تشرع التقيّة‌؟</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ما قلناه من مشروعيّة التقيّة، لكن ثبت بالأدلّة عدم مشروعيّة التقيّة في موارد نذكرها مع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 الدّماء، فالمشهور بين الأصحاب أنّها حرام، فكلّ ما يستلزم إباحة دم لا يجوز قتله، لا تجوز التقيّة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الحِلّي</w:t>
      </w:r>
      <w:r>
        <w:rPr>
          <w:rStyle w:val="FootnoteAnchor"/>
          <w:rtl w:val="true"/>
        </w:rPr>
        <w:footnoteReference w:id="1035"/>
      </w:r>
      <w:r>
        <w:rPr>
          <w:rFonts w:ascii="Amiri" w:hAnsi="Amiri" w:eastAsia="Amiri" w:cs="Amiri"/>
          <w:color w:val="111111"/>
          <w:sz w:val="28"/>
          <w:sz w:val="28"/>
          <w:szCs w:val="28"/>
          <w:rtl w:val="true"/>
          <w:lang w:bidi="ar-SA"/>
        </w:rPr>
        <w:t>، والعلّامة</w:t>
      </w:r>
      <w:r>
        <w:rPr>
          <w:rStyle w:val="FootnoteAnchor"/>
          <w:rtl w:val="true"/>
        </w:rPr>
        <w:footnoteReference w:id="1036"/>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 عدم شمول الكتاب وأكثر النصوص بل جميعها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مورد الآيتين اتّخاذ الكافر وليّاً، والتكلّم بكلمة الكفر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متضمّنٌ لحكم اجتماعي، فإنّه إنّما يرفع حكماً كان ضرراً على الاُمّة، وأمّا ما يعدّ ضرراً على شخص وتركه ضرراً على آخر، فلا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يكون مرفوعاً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حكمٌ امتناني على الاُمّة، ولا منّة على الاُمّة في رفع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نصوص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أخبار السَّب والبراءة فعدم شمولها لهذا المورد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جميع ذلك، فإنّ هناك جملةً من الأخبار تدلّ على الممنوعيّة المذكورة، 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التقيّة ليحقن بها الدّم، فإذا بلغ الدّم فليس تقيّة</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وخبر الثمالي، عن أبي عبد اللّه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جُعلت التقيّة ليحقن بها الدّم، فإذا بلغت التقيّة الدّم، فلا تقيّة، وأيمُ اللّه، لو دعيتم لتنصرونا لقلتم لا نفعل إنّما نبقى، ولكانت التقيّة أحبّ إليكم من آبائكم واُمّهاتكم، ولو قد قام القائم ما احتاج إلى مسائلتكم عن ذلك، ولأقام في كثير منكم من أهل النفاق حَدّ اللّه</w:t>
      </w:r>
      <w:r>
        <w:rPr>
          <w:rFonts w:eastAsia="Amiri" w:cs="Amiri" w:ascii="Amiri" w:hAnsi="Amiri"/>
          <w:color w:val="111111"/>
          <w:sz w:val="28"/>
          <w:szCs w:val="28"/>
          <w:rtl w:val="true"/>
          <w:lang w:bidi="ar-SA"/>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العمل على طبق التقيّة مؤدّياً إلى الفساد في الدين، فإنّه لا تجوز التقيّة في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التقيّة إنّما شُرِّعت إعلاءاً للحقّ‌، وإعزازاً للإسلام والمسلمين، وحفظاً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لوحدة الكلمة المستلزمة لقوّة الإسلام والمسلمين، فمع استلزامها للفساد في الدين لا تقيّة هناك، فإنّ هذا يدلّ على انصراف أدلّة التقيّة عن مثل المورد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موثّق مسعدة بن صدقة، عن أبي عبد اللّه عليه السلام 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إذا أظهر الإيمان، ثمّ ظهر منه ما يدلّ على نقضه، خرج ممّا وصف، وأظهر وكان له ناقضاً، إلّاأنْ يدّعى أنّه إنّما عمل ذلك تقيّةً‌، ومع ذلك ينظر فيه، فإنْ كان ليس ممّا يمكن أنْ تكون التقيّة في مثله لم يقبل منه ذلك، لأنّ للتقيّة مواضع، مَن أزالها عن مواضعها لم تستقم له، وتفسير ما يتّقي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يكون قوم سوء ظاهر حكمهم وفعلهم على غير حكم الحقّ وفعله، فكلّ شيء يعمل المؤمن بينهم لمكان التقيّة ممّا لا يؤدّي إلى الفساد في الدين فإنّه جائز</w:t>
      </w:r>
      <w:r>
        <w:rPr>
          <w:rFonts w:eastAsia="Amiri" w:cs="Amiri" w:ascii="Amiri" w:hAnsi="Amiri"/>
          <w:color w:val="111111"/>
          <w:sz w:val="28"/>
          <w:szCs w:val="28"/>
          <w:rtl w:val="true"/>
          <w:lang w:bidi="ar-SA"/>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في مقام تحديد التقيّة موضعاً، قيّدها بما لا يؤدّي إلى الفساد في الدين، فمفهومه أنّه إذا أدّت إلى الفساد في الدِّين فلا تجوز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وللفساد في الدِّين 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المحرَّم من قبيل محو نُسخ القرآن الكريم وتفسيره بما ينطبق على المذهب الباطل، وتخريب الكعبة المكرّمة، وقبور المعصومين عليهم السلام،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 العلماء في مقابل حكام الجور المبتدعين في الدِّين، والمعاندين للحقّ‌، الذين إذا خلا لهم الجوّ بدّلوا أحكام اللّه تعالى‌، وغيّروا سُنّة رسول اللّه صلى الله عليه و آله، بحيث لا يبقى من الإسلام إلّااسمه، ومن القرآن إلّارسمه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العمل المحرّم ممّا يرجع ضرره إلى المجتمع الإسلامي</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مصاديق اُخر تظهر ممّا بيّناه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التقيّة بحيث تجلب إلى المؤمن ذلّة وحقارة، وحطّة عن شرافته ومقامه إذا كتمَ الحقّ‌، ولم يظهره، فإنّه تُحرم عليه التقيّة حينئذٍ، ويجبُ عليه أن يعرّج على قول الحقّ حتّى لو استلزم أن يعرّض نفسه وأمواله للنهب والهلاك، ويستبدل الحياة الفانية الحقيرة في ولاية الظالمين بالحياة الباقية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صحّ عن سيّدنا الصادق عليه السلام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فوّض إلى المؤمن اُموره كلّها، ولم يفوّض إليه أنْ يكون ذليلاً، أما تسمع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اَلْعِزَّةُ وَ لِرَسُولِهِ وَ لِلْمُؤْمِنِينَ‌</w:t>
      </w:r>
      <w:r>
        <w:rPr>
          <w:rFonts w:eastAsia="Amiri" w:cs="Amiri" w:ascii="Amiri" w:hAnsi="Amiri"/>
          <w:color w:val="111111"/>
          <w:sz w:val="28"/>
          <w:szCs w:val="28"/>
          <w:rtl w:val="true"/>
          <w:lang w:bidi="ar-SA"/>
        </w:rPr>
        <w:t>»</w:t>
      </w:r>
      <w:r>
        <w:rPr>
          <w:rStyle w:val="FootnoteAnchor"/>
          <w:rtl w:val="true"/>
        </w:rPr>
        <w:footnoteReference w:id="1041"/>
      </w:r>
      <w:r>
        <w:rPr>
          <w:rFonts w:ascii="Amiri" w:hAnsi="Amiri" w:eastAsia="Amiri" w:cs="Amiri"/>
          <w:color w:val="111111"/>
          <w:sz w:val="28"/>
          <w:sz w:val="28"/>
          <w:szCs w:val="28"/>
          <w:rtl w:val="true"/>
          <w:lang w:bidi="ar-SA"/>
        </w:rPr>
        <w:t>فالمؤمن ينبغي أنْ يكون عزيزاً ولا يكون ذليلاً، يعزّه اللّه بالإيمان والإسلام</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وبمضمونه أخبارٌ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سيّد شباب أهل الجنّة، ورأس اُباة الضيم أبو عبد اللّه الحسين عليه السلام يقول في خطبته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إلى الحقّ لا يُعمل به، وإلى الباطل لا يُتناهى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ليرغب المؤمن في لقاء ربّه حقّاً مُحقّاً، فإنّي لا أرى الموت إلّاسعادة، والحياة مع الظالمين إلّابرما</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لا أعطيهم بيدي إعطاء الذليل، ولا أفِرّ فرار العبيد</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الذي يقول فيما كتبه إلى أهل الكوفة، لمّا رأى خذلانهم إيّاه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الدّعي ابن الدّعي قد ركز منّا بين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السَّلة والذلّة، وهيهات منّا الدنيئة،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يأبى اللّه ذلك ورسوله والمؤمنون، وحُجورٌ طابت، واُنوفٌ حميّة، ونفوسٌ أبيّة، أن نُؤثِر طاعة اللِّئام على مصارع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زاحفٌ إليهم بهذه الاُسرة، على كَلَب العدوّ، وكثرة العدد، وخذلة الناصر</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ظهرت البدعة، ومنها ما هو المتعارف في عصرنا الحاضر من تصويب القوانين المخالفة لقوانين الإسلام، وأحكام القرآن المسلَّمة، بعنوان أنّها ممّا جاء بها رسول اللّه صلى الله عليه و آله، فإنّه يجب على العالم أن يُظهِر علمه، وتُحرم التقيّة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خبر يونس بن عبد الرحمن، عن الصادقين عليهما السلام،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 فَعَلى العالم أن يُظهر علمه، فإنْلم يفعل سُلب نور الإيمان</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محمّد بن جمهور، 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 في أُمّتي فليظهر العالم علمه، فمن لم يفعل فعليه لعنة اللّه</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طلحة بن زيد عن العالم الكاتم 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أنتن أهل القيامة ريحاً، تلعنه كلّ دابّةٍ من دواب الأرض الصغار</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المبتدع في الدِّين بحسب الغالب له قوّة وشوكة، وإظهار العلم في مقابله مستلزمٌ لتعريض النفس والعِرض والمال للهلاك، ومع ذلك فقد أوجبه الأئمّة عليهم السلام وأكّدوه، فيعلم أنّه في هذا المقام لا مورد للتقيّة، بل يجب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إظهار العلم، وإنْ أكرهه المبتدع على 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أنّ اعتراض بعض المتحمسين في سبيل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جهل العلماء المعرّضين أنفسهم ومناصبهم في معرض الهلاك، بإظهار علمهم عند تصويب القوانين المخالفة لقوانين الإسلام، بعنوان أنّها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وأنّ أمثال هؤلاء المتحمّسين الجاهلين أضرّ الخلق على الإسلام والمسلمين، بل أبعد عن حقيقته من سائر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إهد هؤلاء المسلمين إلى كتابك وسُنّة نبيّك صلى الله عليه و آله وأهل بيته الطاهرين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العمل بالنسبة إلى شخصٍ خاصٍ سبباً لوهن عقيدة المسلمين، أو وهن العامل وحطّه عن منزلته الرفعيّة، وبالتبع وهن رؤساء الدِّين، وعدم تأثير كلماتهم ومواعظهم، كما لو فرض أنّ المرجع الأعلى للمسلمين اُكره على شرب الخمر في ملأٍ من النّاس، فإنّه لا شكّ أنّه لا يجوز له شربها حتّى وإن استلزم ترك الشرب هلاك نفسه، فإنّه إنّما شُرِّعت التقيّة فيما إذا لم يستلزم الفساد في الدِّين كما مرّ، ومع لزومها ذلك لا تقيّة، وشرب المرجع المُسكر ينافي مقامه السامي، ويوجبُ ضعف عقيدة المسلمين، وإعراضهم عنه وعن غيره من رؤساء المذهب، فقد ورد في صحيح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المسح على الخفّين تقيّة‌؟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أتّقي فيهنّ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المسكر، والمسح على الخفّين، ومتعة الحَجّ‌</w:t>
      </w:r>
      <w:r>
        <w:rPr>
          <w:rFonts w:eastAsia="Amiri" w:cs="Amiri" w:ascii="Amiri" w:hAnsi="Amiri"/>
          <w:color w:val="111111"/>
          <w:sz w:val="28"/>
          <w:szCs w:val="28"/>
          <w:rtl w:val="true"/>
          <w:lang w:bidi="ar-SA"/>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مصاديق هذه الكبرى الكليّة اتّباع العالم الحاكمَ الجائر، وصيرورته معيناً له، فإنّه وإنْ كان ذلك حراماً لكلّ أحدٍ، إلّاأنّه في صورة الإكراه والتقيّة يجوز</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لغير العالم ولا يجوز له، ويدلّ عليه ورود روايات كثيرة في ذمّ العلماء المختلفين إلى أبواب السلاطين، حتّى عدّهم الأخبار المذكورة آفة الدِّين، وتتضمّن الأخبار النهي عن تحمل العلم منهم، والصلاة خلفهم، وتشيّيع جنائزهم، وعياده مرضاهم، وما شاكل</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ويشير الإمام زين العابدين عليه السلام إلى سِرّ ذلك في كتاب موعظته إلى محمّد بن مسلم الزُّهري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أدنى ما اكتسبت، وأخفّ ما احتملت، أن آنستَ وحشة الظالم، وسهّلت له طريق الغَيّ‌، بدنوّك منه حين دنوت، وإجابتك له حين دُعيت، فما أخوفني أنْ تكون تبوء بإثمك غداً مع الخونة، وأن تُسأل عمّا أخذتَ بإعانتك على ظلم الظَلَمة، إنّك أخذتَ ما ليس لك ممّن أعطاك، ودنوتَ ممّن لم يرد على أحد حقّاً ولم تردّ باطلاً حين أدناك، وأجبتَ مَن حادّ اللّه، أوليس بدعائه إيّاك حين دعاك جعلوك قطباً أداروا بك رَحى مظالمهم‌؟ وجسراً يعبرون عليك إلى بلاياهم‌؟ وسُلّماً إلى ضلالتهم‌؟ داعياً إلى غَيّهم، سالكاً سبيلهم، يُدخلون بك الشكّ على العلماء، ويقتادون بك قلوب الجهّال إليهم، فلم يبلغ أخصّ وزرائهم، ولا أقوى أعوانهم إلّا دون ما بلغت من إصلاح فسادهم، واختلاف الخاصّة والعامّة إليهم</w:t>
      </w:r>
      <w:r>
        <w:rPr>
          <w:rFonts w:eastAsia="Amiri" w:cs="Amiri" w:ascii="Amiri" w:hAnsi="Amiri"/>
          <w:color w:val="111111"/>
          <w:sz w:val="28"/>
          <w:szCs w:val="28"/>
          <w:rtl w:val="true"/>
          <w:lang w:bidi="ar-SA"/>
        </w:rPr>
        <w:t>...</w:t>
      </w:r>
      <w:r>
        <w:rPr>
          <w:rStyle w:val="FootnoteAnchor"/>
          <w:rtl w:val="true"/>
        </w:rPr>
        <w:footnoteReference w:id="10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في ذلك الكتاب</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28" w:name="pg11810_104379"/>
    </w:p>
    <w:p>
      <w:pPr>
        <w:pStyle w:val="Heading3"/>
        <w:numPr>
          <w:ilvl w:val="2"/>
          <w:numId w:val="1"/>
        </w:numPr>
        <w:rPr/>
      </w:pPr>
      <w:bookmarkStart w:id="229" w:name="__RefHeading___Toc10745910_73709187"/>
      <w:bookmarkStart w:id="230" w:name="_Toc76"/>
      <w:bookmarkEnd w:id="228"/>
      <w:bookmarkEnd w:id="229"/>
      <w:r>
        <w:rPr>
          <w:rtl w:val="true"/>
        </w:rPr>
        <w:t>التقيّة الصادرة عن الخوف</w:t>
      </w:r>
      <w:bookmarkEnd w:id="230"/>
    </w:p>
    <w:p>
      <w:pPr>
        <w:pStyle w:val="BookText"/>
        <w:rPr/>
      </w:pPr>
      <w:r>
        <w:rPr>
          <w:rFonts w:ascii="Amiri" w:hAnsi="Amiri" w:eastAsia="Amiri" w:cs="Amiri"/>
          <w:color w:val="111111"/>
          <w:sz w:val="28"/>
          <w:sz w:val="28"/>
          <w:szCs w:val="28"/>
          <w:rtl w:val="true"/>
          <w:lang w:bidi="ar-SA"/>
        </w:rPr>
        <w:t>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التقيّة الخوفيّة، فيشهد لمشروعيّتها من الكتاب الآية الثانية من الآيتين المتقدّمتين</w:t>
      </w:r>
      <w:r>
        <w:rPr>
          <w:rStyle w:val="FootnoteAnchor"/>
          <w:rtl w:val="true"/>
        </w:rPr>
        <w:footnoteReference w:id="1052"/>
      </w:r>
      <w:r>
        <w:rPr>
          <w:rFonts w:ascii="Amiri" w:hAnsi="Amiri" w:eastAsia="Amiri" w:cs="Amiri"/>
          <w:color w:val="111111"/>
          <w:sz w:val="28"/>
          <w:sz w:val="28"/>
          <w:szCs w:val="28"/>
          <w:rtl w:val="true"/>
          <w:lang w:bidi="ar-SA"/>
        </w:rPr>
        <w:t xml:space="preserve">في التقيّة الإكراهيّة،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بالتقريب المتقدّم، وأخبار التقيّة المتقدّمة 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كما مرّ في ذلك القسم أنّ للتقيّة حدوداً مبيّنة في الأخبار لابدّ من رعايتها، وأنّ التقيّة المشروعة تجري في عمل لا يهدمُ حقاً ولا يبني باطلاً، ومن شخص لا يكون عمله بالتقيّة موجباً للفساد في الدِّين، وموجباً لضعف عقيدة المسلمين، وإنّما شُرِّعت حفظاً لدماء المسلمين، وإعزازاً للدِّين، وإعلاءً لكلمة الإسلام والمسلمين، فما لا يترتّب عليه هذه الأُمور لا تكون 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ظهوره ممّا قدّمناه في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نصوص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الذي رواه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في حديثٍ‌</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وآمرك أن تستعمل التقيّة في دينك،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 إِلاّ أَنْ تَتَّقُوا مِنْهُمْ تُقاةً‌</w:t>
      </w:r>
      <w:r>
        <w:rPr>
          <w:rFonts w:eastAsia="Amiri" w:cs="Amiri" w:ascii="Amiri" w:hAnsi="Amiri"/>
          <w:color w:val="111111"/>
          <w:sz w:val="28"/>
          <w:szCs w:val="28"/>
          <w:rtl w:val="true"/>
          <w:lang w:bidi="ar-SA"/>
        </w:rPr>
        <w:t xml:space="preserve">» </w:t>
      </w:r>
      <w:r>
        <w:rPr>
          <w:rStyle w:val="FootnoteAnchor"/>
          <w:rtl w:val="true"/>
        </w:rPr>
        <w:footnoteReference w:id="1053"/>
      </w:r>
      <w:r>
        <w:rPr>
          <w:rFonts w:ascii="Amiri" w:hAnsi="Amiri" w:eastAsia="Amiri" w:cs="Amiri"/>
          <w:color w:val="111111"/>
          <w:sz w:val="28"/>
          <w:sz w:val="28"/>
          <w:szCs w:val="28"/>
          <w:rtl w:val="true"/>
          <w:lang w:bidi="ar-SA"/>
        </w:rPr>
        <w:t xml:space="preserve">، وقد أذنتُ لك في تفضيل أعدائنا إنْ ألجأك الخوف إليه، وفي إظهار البراءة إنْ حَمَلك الوجل عليه، وفي ترك الصلوات المكتوبات إنْ خشيت على حُشاشة نفسك الآفات والعاهات، فإنّ تفضيل أعدائنا عند خوفك لا ينفعهم </w:t>
      </w:r>
    </w:p>
    <w:p>
      <w:pPr>
        <w:pStyle w:val="BookText"/>
        <w:rPr/>
      </w:pPr>
      <w:r>
        <w:rPr>
          <w:rFonts w:ascii="Amiri" w:hAnsi="Amiri" w:eastAsia="Amiri" w:cs="Amiri"/>
          <w:color w:val="111111"/>
          <w:sz w:val="28"/>
          <w:sz w:val="28"/>
          <w:szCs w:val="28"/>
          <w:rtl w:val="true"/>
          <w:lang w:bidi="ar-SA"/>
        </w:rPr>
        <w:t>ولا يضرّنا، وأنّ إظهار براءتك منّا عند تقيّتك لا يقدح فينا ولا ينقصنا، ولئن تَبرأ منّا ساعة بلسانك وأنتَ موالٍ لنا بجنانك، لتبقي على نفسك روحها التي بها قوامها، ومالها الذي به قيامها، وجاهها الذي به تَمسّكها، وتصونُ مَنْ عَرف بذلك من أوليائنا واخواننا، فإنّ ذلك أفضل من أن تتعرّض للهلاك، وتنقطع به عن عمل في الدِّين، وصلاح اخوانك المؤمنين، وإيّاك ثمّ إيّاك أن تترك التقيّة التي أمرتُك بها، فإنّك شائطٌ بدمك ودماء اخوانك، معرّض لنعمتك ونعمتهم للزوال، مذلٌّ لهم في أيدي أعداء دين اللّه، وقد أمرك اللّه بإعزازهم، فإنّك إنْ خالفت وصيّتي كان ضررك على اخوانك ونفسك أشدّ من ضرر الناصب لنا الكافر بنا</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علي عليهم السلام مثله</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تفسير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من أفضل أعمال المؤمن، يصون بها نفسه واخوانه عن الفاجرين</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التقيّة يصلح اللّه بها أُمّة، لصاحبها مثل ثواب أعمالهم</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استعمال التقيّة بصيانة الإخوان، فإنْ كان هو يحمي الخائف، فهو من أشرف خصال الكرام</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ونحوها غيرها من النصوص الظاهرة في اختصاص مشروعيّة التقيّة بما ذكرناه وأشرنا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31" w:name="pg11810_104381"/>
    </w:p>
    <w:p>
      <w:pPr>
        <w:pStyle w:val="Heading3"/>
        <w:numPr>
          <w:ilvl w:val="2"/>
          <w:numId w:val="1"/>
        </w:numPr>
        <w:rPr/>
      </w:pPr>
      <w:bookmarkStart w:id="232" w:name="__RefHeading___Toc10745912_73709187"/>
      <w:bookmarkStart w:id="233" w:name="_Toc77"/>
      <w:bookmarkEnd w:id="231"/>
      <w:bookmarkEnd w:id="232"/>
      <w:r>
        <w:rPr>
          <w:rtl w:val="true"/>
        </w:rPr>
        <w:t>الأحكام المستخرجة</w:t>
      </w:r>
      <w:bookmarkEnd w:id="23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ويستنتج ممّا ذكرناه في هذين القسمين أحكام نشير إلى طرفٍ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التقيّة إذا لم يكن ما يتّقى به هادماً لحقّ ولا بانياً لباطل، ولم يكن العامل ممّن يقتدي به النّاس، ولا يؤخذ عمله حجّة، ولم يكن ما يتّقي به من المهمّات الشرعيّة، ولا موجباً لذلّة المؤمن وحقارته، وكان الضرر المترتّب على ترك التقيّة هلاك النفس، أو وهن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التقيّة في إظهار الكفر، إذا لم يكن المُظهِر قدوة للأنام، وكان الضرر المترتّب على تركها هلاك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تستحبّ التقيّة في إظهار كلمة الكفر، ومنه إظهار البراءة من الأئمّة المعصومين عليهم السلام، فيما إذا كان الضرر المترتّب على ترك التقيّة، هو الفساد في الدين أو هلاك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ترك التقيّة فيما إذا كان الشخص قدوة للأنام، أو كانت تقيّته موجبة للوهن في الدِّين، وكان الضرر هو هلاك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التقيّة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الدّماء، فإنّه لا تقيّة فيها، فكلّ ما يستلزم إباحةُ دمِ مَنْ لا يجوز قتله، لا تجوز التقيّة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ادت التقيّة إلى الفساد في الدين، أو إذلال المؤمنين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 يتّقي به من قبيل هدم الحقّ بمحو نُسَخ القرآن وتفسيره بما ينطبق على المذهب الباطل، وتخريب الكعبة المعظّمة وقبور المعصومين عليهم السلام، وما شاكل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الشخص قدوة للأنام، ورئيساً في الدِّين عند قومه، بحيث يلزم من تقيته وهن الدِّين، ورواج الباطل، كشُرب إمام المسلمين المُسكر، ودنو العالم وأتباعه من الحاكم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العمل المُحرّم ممّا يرجع ضرره إلى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التقيّة بحيث تجلبُ إلى المؤمن مذلّة وحقارة وحطّة عن شرافته ومقامه إذا عمل بالتقيّة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ظهرت البدعة في الدِّين، فإنّه يجب على العالم أن يظهر علمه بلغ ما بلغ</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مواردٌ اُخر تُحرَم فيها التقيّة تظهر ممّا بيّناه</w:t>
      </w:r>
      <w:r>
        <w:rPr>
          <w:rFonts w:eastAsia="Amiri" w:cs="Amiri" w:ascii="Amiri" w:hAnsi="Amiri"/>
          <w:color w:val="111111"/>
          <w:sz w:val="28"/>
          <w:szCs w:val="28"/>
          <w:rtl w:val="true"/>
          <w:lang w:bidi="ar-SA"/>
        </w:rPr>
        <w:t>.</w:t>
      </w:r>
      <w:bookmarkStart w:id="234" w:name="pg11810_104383"/>
    </w:p>
    <w:p>
      <w:pPr>
        <w:pStyle w:val="Heading3"/>
        <w:numPr>
          <w:ilvl w:val="2"/>
          <w:numId w:val="1"/>
        </w:numPr>
        <w:rPr/>
      </w:pPr>
      <w:bookmarkStart w:id="235" w:name="__RefHeading___Toc10745914_73709187"/>
      <w:bookmarkStart w:id="236" w:name="_Toc78"/>
      <w:bookmarkEnd w:id="234"/>
      <w:bookmarkEnd w:id="235"/>
      <w:r>
        <w:rPr>
          <w:rtl w:val="true"/>
        </w:rPr>
        <w:t>التقيّة لغرض الكتمان</w:t>
      </w:r>
      <w:bookmarkEnd w:id="236"/>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الكتمانيّة، وهي عبارة عن كتمان المعتَقَد والمذهب، وعدم ترويجه ظاهراً، بل السعي فيه سرّاً، وذلك فيما إذا ترتّب على التظاهر به مفسدة مهمّة كهلاك النفس، وتشتّت الجمع، والمنع من رواجه، وما شاكل، كما كان الأمر كذلك في عصر الأئمّة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التقيّة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تترتّب على التظاهر به مصلحة أهمّ ممّا تترتّب عليه من المفسدة، كما إذا لزم من الكتمان هدم أساس الدِّين والمذهب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المفسدة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يتساويان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وتشخيص هذه الموارد إنّما تكون وظيفة العالم المطّلع على أوضاع الزمان، وقد اُشير إلى ذلك في بعض الأخبار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مسعدة بن صدقة، عن الإمام الصادق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إذا أظهر الإيمان، ثمّ ظهر منه ما يدلّ على نقضه، خَرج ممّا وصف، وأظهر وكان له ناقضاً، إلّاأنْ يدّعي أنّه إنّما عمل ذلك تقيّة، ومع ذلك يُنظر فيه، فإنْ كان ليس ممّا يمكن أنْ تكون التقيّة في مثله لم يُقبل منه ذلك، لأنّ للتقيّة مواضع مَن أزالها عن مواضعها لم تستقم له، وتفسير ما يتّقي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يكون بين قوم سوءٍ ظاهرُ حكمهم وفعلهم على غير حكم الحقّ وفعله، فكلّ شيء يعمل المؤمن بينهم لمكان التقيّة ممّا </w:t>
      </w:r>
    </w:p>
    <w:p>
      <w:pPr>
        <w:pStyle w:val="BookText"/>
        <w:rPr/>
      </w:pPr>
      <w:r>
        <w:rPr>
          <w:rFonts w:ascii="Amiri" w:hAnsi="Amiri" w:eastAsia="Amiri" w:cs="Amiri"/>
          <w:color w:val="111111"/>
          <w:sz w:val="28"/>
          <w:sz w:val="28"/>
          <w:szCs w:val="28"/>
          <w:rtl w:val="true"/>
          <w:lang w:bidi="ar-SA"/>
        </w:rPr>
        <w:t>لا يؤدّي إلى الفساد في الدِّين فإنّه جائزٌ</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محمّد الحسن بن علي العسكري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وتتّقون حيث لا تجب التقيّة، وتتركون التقيّة حيث لابدّ من التقيّة</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ففي الصورة الأُولى تحرم التقيّة، وعمل الأنبياء والأولياء والشهداء أقوى شاهد على ذلك، وسيمرّ عليك أنّ نصوص التقيّة لا تشمل هذه الصورة، وأظنّ أنّ ذلك من الوضوح بمكان لا حاجة معه إلى الاستدلال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مشروعيّة التقيّة بل وجوبها، ويشهد به استقلال العقل بذلك، واقتضاء الفطرة السليمة له، فإنّه إذا اجتمع جماعة قليلون، وشكّلوا جمعيّة لها مرام ومسلك مخصوص، يتوقّف تطبيق وتنفيذ بنود ذلك المرام، على الأخذ بزمام الحكم والسيطرة على البلد وعلى أفراد المملكة، وكانت الحكومة بيد من يخالف ذلك المرام، فلا ريب في حكم العقل بأنّه يتحتّم عليهم كتمان المرام في بداية الأمر، والسعي في ترويجه وتبليغه سرّاً، فإنّه ما لم يأخذ الحقّ الذي يرونه نصابه، أوجب التظاهر به استئصالهم عن آخرهم، واضمحلال الحقّ باضمحلال أهله، وبعد أخذ الحقّ نصابه يتحتّم التظاهر والقيام لإحياء المرام ونشره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ويشير إلى ذلك بعض النصوص الصادرة في ظرفٍ لم يأخذ مذهب التشيّع نصابه، وكانت الحكومة بيد خلفاء الجور المخالفين للمذهب، كقوله عليه السلام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على دينكم واحجبوه بالتقيّة، فإنّه لا إيمان لمَن لا تقيّة له، إنّما أنتم في النّاس كالنحل في الطير، ولو أنّ الطير تعلم ما في أجواف النحل ما بقي منها شيء إلّا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أكلته، ولو أنّ النّاس علموا ما في أجوافكم أنّكم تُحبّونا أهل البيت لأكلوكم بألسنتهم، ولنحلوكم في السِرّ والعلانية</w:t>
      </w:r>
      <w:r>
        <w:rPr>
          <w:rFonts w:eastAsia="Amiri" w:cs="Amiri" w:ascii="Amiri" w:hAnsi="Amiri"/>
          <w:color w:val="111111"/>
          <w:sz w:val="28"/>
          <w:szCs w:val="28"/>
          <w:rtl w:val="true"/>
          <w:lang w:bidi="ar-SA"/>
        </w:rPr>
        <w:t>»</w:t>
      </w:r>
      <w:r>
        <w:rPr>
          <w:rStyle w:val="FootnoteAnchor"/>
          <w:rtl w:val="true"/>
        </w:rPr>
        <w:footnoteReference w:id="1061"/>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بناء العقلاء عليه في تشكيل المجتمع، والاستيلاء على الحكومة، فإنّه إذا لم يكتم المتحزّبون أمرهم في بدو الأمر، ولم يسعوا في ترويجه سرّاً لما بقي من المرام والمسلك وأهله إلّاالاسم، ويدلّ عليه أيضاً جملة من النصوص الصريح طرف منها في مشروعيّة هذه التقيّة بهذا النحو الذي ذكرناه في ظرفٍ لم يأخذ المذهب الحقّ نصابه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الحسن البصري،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عليّاً عليه السلام يوم قتل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التقيّة من دين اللّه، ولا دينَ لمَن لا تقيّة له، واللّه لولا التقيّة ما عُبِد اللّه في الأرض في دولة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دولة إبليس‌؟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ولّي إمامُ هدى فهي دولة الحقّ على إبليس، وإذا ولّي إمام ضلالة فهي دولة إبليس</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والمستفاد من هذا الخبر 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التقيّة في زمان دولة إبليس سببٌ لبقاء عبادة اللّه، وبديهي أنّ هذه الخاصّية مختصّة بهذا القسم من التقيّة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القسم من التقيّة إنّما يكون بالسعي في ترويج المذهب سِرّاً، لا في كتمانه خاصّة، إذ في فرض الكتمان بلا تبليغ ينقرض المذهب بانقراض تلكم الجماعة الخاصّة، وعليه فيعتبر في مثل هذا المقام القيام بترويج المذهب سرّاً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المعلّى بن خُنيس،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معلّى، اكتم أمرنا ولا تُذعه، فإنّه مَنْ كتم أمرنا ولم يذعه أعزّه اللّه به في الدُّنيا، وجعله نوراً بين عينيه في الآخرة، يقوده إلى الجنّة، يا معلّى من أذاع أمرنا ولم يكتمه أذلّه اللّه به في الدُّنيا، ونَزَع النور من بين عينيه في الآخرة، وجعله ظلمة تقوده إلى النّار، يا معلّى إنّ التقيّة من ديني ودين آبائي، ولا دين لمَن لا تقيّة له، يا مُعلّى إنّ اللّه يحبُّ أن يُعبَد في السِرّ كما يحبُّ أن يُعبد في العلانية، يا معلّى إنّ المذيع لأمرنا كالجاحد له</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أمر الإمام عليه السلام أصحابه في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أهل الحقّ فيه قلّة، وكانوا إذا تظاهروا بما هم عليه استئصلوا عن آخرهم في تلك الفتن، ولأوردوا أهل البيت عليهم السلام موارد الهلكة والإستئصال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بكتمان ما هم عليه، وبعد ذلك طبق التقيّة التي هي دينه ودين آبائه على هذا العمل، وفي ذيل الخبر عَبّر عن هذا العمل بالعبادة في السِرّ، فيستفاد من ذلك أنّ التقيّة التي هي دينه ودين آبائه ستر المذهب عن المخالفين، والسعي في رواجه سِرّاً، وأنّه إنّما يجب ذلك من جهة أنّ بقاء الدِّين وأهله ورواجه يتوقّف عليه، وأمّا لو كانت الظروف بنحوٍ لو لم يتظاهر به لما بقي من الدين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ظرف قيام أبي عبد اللّه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حفظ الدِّين وحَرُمت التقيّة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 يظهر اختلاف حالات الأئمّة عليهم السلام والعلماء، ففي بعض الأزمنة لابدّ من التقيّة، وفي بعضها لابدّ من تركها، وهم أعلم بمواضعها، وقد صَحّ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إمامان قاما أو قعدا</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أضف إلى ذلك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ديني ودين 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بنفسها ظاهرة في الاختصاص بهذا القسم،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الجزاء والطاعة والخضوع</w:t>
      </w:r>
      <w:r>
        <w:rPr>
          <w:rStyle w:val="FootnoteAnchor"/>
          <w:rtl w:val="true"/>
        </w:rPr>
        <w:footnoteReference w:id="1065"/>
      </w:r>
      <w:r>
        <w:rPr>
          <w:rFonts w:ascii="Amiri" w:hAnsi="Amiri" w:eastAsia="Amiri" w:cs="Amiri"/>
          <w:color w:val="111111"/>
          <w:sz w:val="28"/>
          <w:sz w:val="28"/>
          <w:szCs w:val="28"/>
          <w:rtl w:val="true"/>
          <w:lang w:bidi="ar-SA"/>
        </w:rPr>
        <w:t>، أي سبب الجزاء، ويطلق على مجموع التكاليف التي يدين بها العباد للّه، قالوا فيكون بمعنى الملّة والشرع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يكلّف اللّه به العباد يُسمّى شرعاً، باعتبار وضعه وبيانه، ويُسمّى ديناً باعتبار الخضوع وطاعة الشارع به، ويُسمّى ملّةً باعتبار جملة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فكون التقيّة ديناً إنّما ينطبق على هذا القسم الذي هو عبادة اللّه والعمل بما جاء به النبيّ سِرّاً، وعدم التظاهر به، ولا معنى لكون الإتيان بالمحرم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حِقناً للدّم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فجميع الروايات الكثيرة المتضمّنة لهذه الجملة، وما يقرب منها، تختصّ بهذا القسم من التقيّة، ولا تشمل القسمين الأولين، وهذا هو الذي وعدنا بيانه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الأزدي،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وصُونوا دينكم بالورع، وقوّوه بالتقيّة</w:t>
      </w:r>
      <w:r>
        <w:rPr>
          <w:rFonts w:eastAsia="Amiri" w:cs="Amiri" w:ascii="Amiri" w:hAnsi="Amiri"/>
          <w:color w:val="111111"/>
          <w:sz w:val="28"/>
          <w:szCs w:val="28"/>
          <w:rtl w:val="true"/>
          <w:lang w:bidi="ar-SA"/>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وبديهي أنّ تقوية الدِّين إنّما تكون بالتقيّة الكتمانيّة مع استمرار النشاط والترويج سِرّاً، لا بالتقيّة الإكراهيّة والخوفيّة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الدلالة على ذلك، خبر عبد اللّه بن أبي يعفور،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تِرس المؤمن</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يخفى أنّ الترس هو الذي يستعمله المقاتل في ساحة الجهاد، فالمراد أنّ التبليغ بمنزلة الجهاد، فإنْ كان سرّاً فهو ترس المبلغ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سليمان بن خالد،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سليمان، إنّكم على دينٍ‌، مَنْ كتمه أعزّه اللّه، ومن أذاعه أذلّه اللّه</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هشام بن سالم،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يُؤْتَوْنَ أَجْرَهُمْ مَرَّتَيْنِ بِما صَبَرُوا</w:t>
      </w:r>
      <w:r>
        <w:rPr>
          <w:rFonts w:eastAsia="Amiri" w:cs="Amiri" w:ascii="Amiri" w:hAnsi="Amiri"/>
          <w:color w:val="111111"/>
          <w:sz w:val="28"/>
          <w:szCs w:val="28"/>
          <w:rtl w:val="true"/>
          <w:lang w:bidi="ar-SA"/>
        </w:rPr>
        <w:t>»</w:t>
      </w:r>
      <w:r>
        <w:rPr>
          <w:rStyle w:val="FootnoteAnchor"/>
          <w:rtl w:val="true"/>
        </w:rPr>
        <w:footnoteReference w:id="106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صبروا على التقيّة،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يَدْرَؤُنَ بِالْحَسَنَةِ اَلسَّيِّئَةَ‌</w:t>
      </w:r>
      <w:r>
        <w:rPr>
          <w:rFonts w:eastAsia="Amiri" w:cs="Amiri" w:ascii="Amiri" w:hAnsi="Amiri"/>
          <w:color w:val="111111"/>
          <w:sz w:val="28"/>
          <w:szCs w:val="28"/>
          <w:rtl w:val="true"/>
          <w:lang w:bidi="ar-SA"/>
        </w:rPr>
        <w:t xml:space="preserve">» </w:t>
      </w:r>
      <w:r>
        <w:rPr>
          <w:rStyle w:val="FootnoteAnchor"/>
          <w:rtl w:val="true"/>
        </w:rPr>
        <w:footnoteReference w:id="10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التقيّة، والسيّئة الإذاعة</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الحسن بن أبي الحسن الديلمي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عن سلمان الفارسي، أنّه ذكر قدوم الجاثليق من الروم ومعه مائة من الأساقفة بعد وفاة رسول اللّه صلى الله عليه و آله إلى المدينة، وسؤالهم أبا بكر أشياء عجز فيها عن الجواب، ثمّ ذكر لقاءهم عليّ عليه السلام وحلّه مشاكلهم، وإسلامهم على يده، وأمره إيّاهم برجوعهم إلى أوطانهم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وعليكم بالتمسّك بحبل اللّه وعروته، وكونوا من حِزب اللّه ورسوله، والزموا عهد اللّه وميثاقه عليكم، فإنّ الإسلام بدأ غريباً وسيعودُ غريباً، وكونوا في أهل ملّتكم كأصحاب الكهف، وإيّاكم أن تفشوا أمركم إلى أهلٍ أو ولدٍ حميم أو قريب، فإنّ دين اللّه عزّ وجلّ الذي أوجب له التقيّة لأوليائه، فيقتلكم قومكم</w:t>
      </w:r>
      <w:r>
        <w:rPr>
          <w:rFonts w:eastAsia="Amiri" w:cs="Amiri" w:ascii="Amiri" w:hAnsi="Amiri"/>
          <w:color w:val="111111"/>
          <w:sz w:val="28"/>
          <w:szCs w:val="28"/>
          <w:rtl w:val="true"/>
          <w:lang w:bidi="ar-SA"/>
        </w:rPr>
        <w:t>»</w:t>
      </w:r>
      <w:r>
        <w:rPr>
          <w:rStyle w:val="FootnoteAnchor"/>
          <w:rtl w:val="true"/>
        </w:rPr>
        <w:footnoteReference w:id="1072"/>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قال أبو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خالطوهم بالبرانية، وخالفوهم بالجوانية إذا كانت الإمرة صبيانيّة</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 الكثيرة الدالّة على ذلك</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ذكرناه يظهر حكم الصورة الثالثة، وهو التخيّير بين التقيّة وتركها، وجواز التقيّة بالمعنى الأعمّ القابل لأفضليّة التقيّة وتركها وتساويهما في الفضل، إذ مع فرض تساوي المصلحتين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كون زيادة أحدهما بمقدارٍ يلزم تحصيلها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تكون مصلحة التقيّة أزيد، واُخرى بالعكس، وثالثة لا مزيّة لإحداهما على الاُخرى‌، وبهذا الاعتبار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ينقسم هذا القسم أيضاً إلى الأقسام الخمسة من الواجب، والحرام، والمستحبّ‌، والمكروه، والمباح</w:t>
      </w:r>
      <w:r>
        <w:rPr>
          <w:rFonts w:eastAsia="Amiri" w:cs="Amiri" w:ascii="Amiri" w:hAnsi="Amiri"/>
          <w:color w:val="111111"/>
          <w:sz w:val="28"/>
          <w:szCs w:val="28"/>
          <w:rtl w:val="true"/>
          <w:lang w:bidi="ar-SA"/>
        </w:rPr>
        <w:t>.</w:t>
      </w:r>
      <w:bookmarkStart w:id="237" w:name="pg11810_104390"/>
    </w:p>
    <w:p>
      <w:pPr>
        <w:pStyle w:val="Heading3"/>
        <w:numPr>
          <w:ilvl w:val="2"/>
          <w:numId w:val="1"/>
        </w:numPr>
        <w:rPr/>
      </w:pPr>
      <w:bookmarkStart w:id="238" w:name="__RefHeading___Toc10745916_73709187"/>
      <w:bookmarkStart w:id="239" w:name="_Toc79"/>
      <w:bookmarkEnd w:id="237"/>
      <w:bookmarkEnd w:id="238"/>
      <w:r>
        <w:rPr>
          <w:rtl w:val="true"/>
        </w:rPr>
        <w:t>التقيَّة المداراتيّة</w:t>
      </w:r>
      <w:bookmarkEnd w:id="239"/>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المداراتيّة، وهي حُسن المعاشرة مع العامّة بالصّلاة في مساجدهم، وعيادة مرضاهم، وحضور جنائزهم، وما شاكل، حفظاً للوحدة الإسلاميّة، وتأييداً للدِّين، وإعلاءً لكلمة الإسلام والمسلمين في مقابل الكفّار والمشركين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لمطلوبيّة هذا القسم من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الداعية إلى الاتّحاد، والنّاهية عن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أَطِيعُوا اَللّهَ وَ رَسُولَهُ وَ لا تَنازَعُوا فَتَفْشَلُوا وَ تَذْهَبَ رِيحُكُمْ‌</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فَرَّقُوا دِينَهُمْ وَ كانُوا شِيَعاً لَسْتَ مِنْهُمْ فِي شَيْ‌ءٍ‌</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الآيات الكثيرة الداعية إلى الاتّحاد والاتّفاق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سيرة الأئمّة المعصومين عليهم السلام، فهذا أمير المؤمنين عليه السلام برغم غصب حقّه وإيذائه بما هو فوق حَدّ التصوّر، حتّى قال في خطبته المعروفة بالشقشقيّة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فَصَبرتُ وفي العين قَذى، وفي الحلق شجى</w:t>
      </w:r>
      <w:r>
        <w:rPr>
          <w:rFonts w:eastAsia="Amiri" w:cs="Amiri" w:ascii="Amiri" w:hAnsi="Amiri"/>
          <w:color w:val="111111"/>
          <w:sz w:val="28"/>
          <w:szCs w:val="28"/>
          <w:rtl w:val="true"/>
          <w:lang w:bidi="ar-SA"/>
        </w:rPr>
        <w:t>»</w:t>
      </w:r>
      <w:r>
        <w:rPr>
          <w:rStyle w:val="FootnoteAnchor"/>
          <w:rtl w:val="true"/>
        </w:rPr>
        <w:footnoteReference w:id="1077"/>
      </w:r>
      <w:r>
        <w:rPr>
          <w:rFonts w:ascii="Amiri" w:hAnsi="Amiri" w:eastAsia="Amiri" w:cs="Amiri"/>
          <w:color w:val="111111"/>
          <w:sz w:val="28"/>
          <w:sz w:val="28"/>
          <w:szCs w:val="28"/>
          <w:rtl w:val="true"/>
          <w:lang w:bidi="ar-SA"/>
        </w:rPr>
        <w:t xml:space="preserve">، كان يحضر عليه السلام جماعة المسلمين، </w:t>
      </w:r>
    </w:p>
    <w:p>
      <w:pPr>
        <w:pStyle w:val="BookText"/>
        <w:rPr/>
      </w:pPr>
      <w:r>
        <w:rPr>
          <w:rFonts w:ascii="Amiri" w:hAnsi="Amiri" w:eastAsia="Amiri" w:cs="Amiri"/>
          <w:color w:val="111111"/>
          <w:sz w:val="28"/>
          <w:sz w:val="28"/>
          <w:szCs w:val="28"/>
          <w:rtl w:val="true"/>
          <w:lang w:bidi="ar-SA"/>
        </w:rPr>
        <w:t>ويعود مرضاهم، ويشيّع جنائزهم، وكان يؤيّدهم عند وقوع الحرب بينهم وبين الكفّار والمشركين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وكثير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الذي رواه هشام الكندي،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أن تعملوا عملاً نعيّر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وَلد السّوء يعيّر والده بعمله، كونوا لمن انقطعتم إليه زيناً، ولا تكونوا علينا شيناً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في عشائرهم، وعودوا مرضاهم، واشهدوا جنائزهم، ولا يسبقونكم إلى شيء من الخير، فأنتم أولى به منهم، واللّه ما عُبد اللّه بشيء أحبّ إليه من الخباء،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الخباء؟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مدرك بن الهزهاز،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جرَّ مودَّة النّاس إلى نفسه، فحدَّثهم بما يعرفون، وتَرك ما ينكرون</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معاوية بن وهب،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ينبغي لنا أن نصنع فيما بيننا وبين قومنا، وبين خلطائنا ممّا ليسوا على أمرنا؟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تنظرون إلى أئمّتكم الذين تقتدون بهم، فتصنعون ما يصنعون، فو اللّه إنّهم ليعودون مرضاهم، ويشهدون جنائزهم، ويقيمون الشهادة لهم وعليهم، ويؤدّون الأمانة إليهم</w:t>
      </w:r>
      <w:r>
        <w:rPr>
          <w:rFonts w:eastAsia="Amiri" w:cs="Amiri" w:ascii="Amiri" w:hAnsi="Amiri"/>
          <w:color w:val="111111"/>
          <w:sz w:val="28"/>
          <w:szCs w:val="28"/>
          <w:rtl w:val="true"/>
          <w:lang w:bidi="ar-SA"/>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الخثعمي،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بالوَرَع والاجتهاد، واشهدوا الجنائز، وعودوا المرضى، واحضروا مع قومكم مساجدكم، وأحبّوا للناس ما تُحبّون لأنفسكم، أما يستحيي الرّجل منكم أن يَعرف جاره حقّه ولا يعرف حقَّ جاره</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غيرها من الأخبار البالغة حَدّ التواتر ممّا يقرب هذا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أشير إلى ذلك،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دعاؤه لأهل الثغور</w:t>
      </w:r>
      <w:r>
        <w:rPr>
          <w:rStyle w:val="FootnoteAnchor"/>
          <w:rtl w:val="true"/>
        </w:rPr>
        <w:footnoteReference w:id="1082"/>
      </w:r>
      <w:r>
        <w:rPr>
          <w:rFonts w:ascii="Amiri" w:hAnsi="Amiri" w:eastAsia="Amiri" w:cs="Amiri"/>
          <w:color w:val="111111"/>
          <w:sz w:val="28"/>
          <w:sz w:val="28"/>
          <w:szCs w:val="28"/>
          <w:rtl w:val="true"/>
          <w:lang w:bidi="ar-SA"/>
        </w:rPr>
        <w:t>، فإنه عليه السلام يدعو في ذلك الدّعاء لأهل الثغور في الدولة الإسلاميّة التي كان الحاكم عليها من بني أُميّة، حفظاً للوحدة وإعلاءً للكلمة، يدعو لهم بأبلغ دعاءٍ مشحون بالحقائق، وهو يبيّن وظيفتهم ووظيفة الحكام معهم من خلال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فالمستفاد من الآيات الشريفة، والسُنّة المتواترة وعمل المعصومين عليهم السلام الاهتمام بالوحدة الإسلاميّة، والحذر من التشتّت والتفرّق، والتجربة القطعيّة أيضاً تدلّنا على ذلك، إذ في كلّ عصر كانت الوحدة الإسلاميّة محفوظة، وكان المسلمون كيدٍ واحدة على من سواهم، آلَ أمر المجتمع إلى الصلاح والعزّة، وذاقوا حلاوة النِعَم المادّية والمعنويّة، وكلّ عصر ظهر الاختلاف والنفاق فيه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كزماننا هذا آلَ أمر المجتمع إلى الفساد، وسيطر عليهم الأجانب واستعمروهم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المؤسف جدّاً أنّ الأجانب والكفّار عرفوا ذلك منذ عهد بعيد، فأخذوا يسعون بشتّى الطرق والوسائل لإيجاد التفرقة بين المسلمين، ولمّا رأوا أنّ هذا الأمر لا يتمّ 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الكتاب الذي يتبعه المسلمون، ويجرون أحكامه وقوانينه، ويتبعون إرشاداته وتعاليمه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فسعوا إلى إبعاده عن الاُمّة، وهذا ما صرّح به جولادستون رئيس وزراء بريطانيا الأسبق، فقد صرّح في مجلس العموم البريطاني،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نفوذ لبريطانيا في الشرق الإسلامي، والقرآن عندهم، يعملون به ويهتدون بهداه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فأخذوا يسعون على إمحاء ما عُلّق في نفوس المسلمين من العلاقة مع القرآن، والعمل بأحكامه والسير على هُداه، وحاولوا إزالة القرآن من بينهم ليخلو لهم الجوّ ويفعلوا ما يشاؤا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رأوا أنّ هذا الأمر لا يتحقّق ما دام العلماء هم القوّة المجرية لقوانين القرآن، والنّاس تابعون لهم، وهم الآمرون والناهون، أخذوا يسعون في تضعيف العلماء والروحانيّين بشتّى الطرق والوسائل، ومن جملتها نصب رجال هم أعداء للدِّين والعلماء مصادر للأمر، وناصروهم جهد طاقتهم، فكانت هذه الطبقة من الرِّجال عند حسن ظنّهم، حتّى آلَ أمر المجتمع إلى ما نرى بالعيان من تسلّط الكفّار والأجانب على البلدان الإسلاميّة، وضعف الإسلام في نفوس المسلمين،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للّه وإنّا إليه راجعون</w:t>
      </w:r>
      <w:r>
        <w:rPr>
          <w:rFonts w:eastAsia="Amiri" w:cs="Amiri" w:ascii="Amiri" w:hAnsi="Amiri"/>
          <w:color w:val="111111"/>
          <w:sz w:val="28"/>
          <w:szCs w:val="28"/>
          <w:rtl w:val="true"/>
          <w:lang w:bidi="ar-SA"/>
        </w:rPr>
        <w:t>.</w:t>
      </w:r>
      <w:bookmarkStart w:id="240" w:name="pg11810_104394"/>
    </w:p>
    <w:p>
      <w:pPr>
        <w:pStyle w:val="Heading3"/>
        <w:numPr>
          <w:ilvl w:val="2"/>
          <w:numId w:val="1"/>
        </w:numPr>
        <w:rPr/>
      </w:pPr>
      <w:bookmarkStart w:id="241" w:name="__RefHeading___Toc10745918_73709187"/>
      <w:bookmarkStart w:id="242" w:name="_Toc80"/>
      <w:bookmarkEnd w:id="240"/>
      <w:bookmarkEnd w:id="241"/>
      <w:r>
        <w:rPr>
          <w:rtl w:val="true"/>
        </w:rPr>
        <w:t>حكم التقيّة وضعاً</w:t>
      </w:r>
      <w:bookmarkEnd w:id="242"/>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حكمها الوضعي، فقد أشبعنا الكلام فيه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أبواب الوضوء، والصلاة، والصوم، والحَجّ‌، وغيرها وإنّما نشير إليه في المقام إشارة عابرة،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التقيّة في الفتوى وبيان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مقام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التقيّة في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اتّقاء المفتي نفسه، كما إذا كان في محضر الإمام عليه السلام مخالفٌ يحذّره الإمام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اتّقائه في نفس المستفتي، كما في قضيّة عليّ بن يقطين الذي أمره الإمام أبو الحسن الكاظم عليه السلام بالوضوء الموافق للعامّة اتّقاءاً على نفسه</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اتّقائه على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والتقيَّة في مقام الامتثال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تكون في الحكم الشرعي، كما في المسح على الخفّين، ومتعة الحَجّ‌، والتكتيف في الصلاة، وما شاكل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تكون في موضوع الحكم الشرعي، مع التوافق في الحكم نفسه، كما إذا </w:t>
      </w:r>
    </w:p>
    <w:p>
      <w:pPr>
        <w:pStyle w:val="BookText"/>
        <w:rPr/>
      </w:pPr>
      <w:r>
        <w:rPr>
          <w:rFonts w:ascii="Amiri" w:hAnsi="Amiri" w:eastAsia="Amiri" w:cs="Amiri"/>
          <w:color w:val="111111"/>
          <w:sz w:val="28"/>
          <w:sz w:val="28"/>
          <w:szCs w:val="28"/>
          <w:rtl w:val="true"/>
          <w:lang w:bidi="ar-SA"/>
        </w:rPr>
        <w:t>وقع الخلاف في خمريّة مائع خارجي وقالوا بأنّه ماءٌ مثلاً مع كونه خمراً عندنا، ولعلّه من هذا القبيل الفقاع، ومن هذا القبيل وقوع الخلاف في العيد ويوم عرفة، حيث أنّه لا خلاف بين المسلمين في وجوب الوقوف يوم عرفة وحرمة صوم يوم العيد، وأيضاً لا خلاف في أنّ أوّل يوم من شهر شوّال هو العيد، ويوم التاسع من ذي الحجّة يوم عرفة، وإنّما الخلاف وقع في تعيّين بداية الشهر من جهة ثبوت الهلال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والتقيَّة 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تكون في ترك الواجب، كترك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تكون بفعلٍ مخالفٍ للحقّ كغَسل الرجلين، والمسح على الخُفّين، وما شاكل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القول في المقام يثبت بالبحث في موارد</w:t>
      </w:r>
      <w:r>
        <w:rPr>
          <w:rFonts w:eastAsia="Amiri" w:cs="Amiri" w:ascii="Amiri" w:hAnsi="Amiri"/>
          <w:color w:val="111111"/>
          <w:sz w:val="28"/>
          <w:szCs w:val="28"/>
          <w:rtl w:val="true"/>
          <w:lang w:bidi="ar-SA"/>
        </w:rPr>
        <w:t>:</w:t>
      </w:r>
      <w:bookmarkStart w:id="243" w:name="pg11810_104396"/>
    </w:p>
    <w:p>
      <w:pPr>
        <w:pStyle w:val="Heading3"/>
        <w:numPr>
          <w:ilvl w:val="2"/>
          <w:numId w:val="1"/>
        </w:numPr>
        <w:rPr/>
      </w:pPr>
      <w:bookmarkStart w:id="244" w:name="__RefHeading___Toc10745920_73709187"/>
      <w:bookmarkStart w:id="245" w:name="_Toc81"/>
      <w:bookmarkEnd w:id="243"/>
      <w:bookmarkEnd w:id="244"/>
      <w:r>
        <w:rPr>
          <w:rtl w:val="true"/>
        </w:rPr>
        <w:t>التقيّة في بيان الحكم</w:t>
      </w:r>
      <w:bookmarkEnd w:id="245"/>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 الفتوى وبيان الحكم، سواءٌ أكان في المفتي، أو المستفتي، أو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أحرز أحد الثلاثة المذكورين كونها على وجه التقيّة فلا إشكال في عدم جواز العمل على طبق الفتوى المذكورة، كما أنّه لو أحرز أنّها على غير التقيّة، وجب العمل على طبقها، وإنْ لم يحرز شيء منهما، وشكّ في ذلك، وجب العمل على طبق الفتوى، لبناء العقلاء على تطابق المراد الجِدّي مع المراد الاستعمالي، وكون الحكم الصادر هو الواقعي وعدم صدوره تقيّة، ولولا ذلك لزم تأسيس فقه جديد، وأخبار الترجيح في الخبرين المتعارضين، الدالّة على جعل مخالفة العامّة من مرجّحات إحدى الحجّتين على الاُخرى بعد فقد جملةٍ من المرجّحات</w:t>
      </w:r>
      <w:r>
        <w:rPr>
          <w:rStyle w:val="FootnoteAnchor"/>
          <w:rtl w:val="true"/>
        </w:rPr>
        <w:footnoteReference w:id="1084"/>
      </w:r>
      <w:r>
        <w:rPr>
          <w:rFonts w:ascii="Amiri" w:hAnsi="Amiri" w:eastAsia="Amiri" w:cs="Amiri"/>
          <w:color w:val="111111"/>
          <w:sz w:val="28"/>
          <w:sz w:val="28"/>
          <w:szCs w:val="28"/>
          <w:rtl w:val="true"/>
          <w:lang w:bidi="ar-SA"/>
        </w:rPr>
        <w:t>، أقوى شاهد على ذلك، هذا كلّه ممّا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إجزاء المأتي به بعد انكشاف الخلاف، وكون الفتوى على طبق التقيّة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عدم الإجزاء، لكون المقام من مصاديق المأتي به بالأمر الظاهري، وقد حُقّق في محلّه أنّه لا يجزي عن الأمر الواقعي بناءً على مذهب التخطئة، ولذا جَعل الشهيد الثاني رحمه الله عدم الإجزاء من ثمرات القول بالتخطئة، وللبحث في هذه المسألة محلّ آخر</w:t>
      </w:r>
      <w:r>
        <w:rPr>
          <w:rFonts w:eastAsia="Amiri" w:cs="Amiri" w:ascii="Amiri" w:hAnsi="Amiri"/>
          <w:color w:val="111111"/>
          <w:sz w:val="28"/>
          <w:szCs w:val="28"/>
          <w:rtl w:val="true"/>
          <w:lang w:bidi="ar-SA"/>
        </w:rPr>
        <w:t>.</w:t>
      </w:r>
      <w:bookmarkStart w:id="246" w:name="pg11810_104397"/>
    </w:p>
    <w:p>
      <w:pPr>
        <w:pStyle w:val="Heading3"/>
        <w:numPr>
          <w:ilvl w:val="2"/>
          <w:numId w:val="1"/>
        </w:numPr>
        <w:rPr/>
      </w:pPr>
      <w:bookmarkStart w:id="247" w:name="__RefHeading___Toc10745922_73709187"/>
      <w:bookmarkStart w:id="248" w:name="_Toc82"/>
      <w:bookmarkEnd w:id="246"/>
      <w:bookmarkEnd w:id="247"/>
      <w:r>
        <w:rPr>
          <w:rtl w:val="true"/>
        </w:rPr>
        <w:t>التقيَّة في ترك الواجب</w:t>
      </w:r>
      <w:bookmarkEnd w:id="248"/>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 ترك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القاعدة فيها وجوب الإعادة والقضاء، إذ الأمر الواقعي لم يمتثل، ولم يأت المكلّف بما جَعَله الشارع الأقدس بدلاً عن المأمور به، لما ستعرف أنّ أدلّة التقيّة إنّما تدلّ على إجزاء الإتيان بفعلٍ مخالف للحقّ‌، وكونه بدلاً عن المأمور به الواقعي، ولا تدلّ على أنّ ترك العمل تقيّة بحكم العمل وبدل عنه، ولا تدلّ أيضاً على سقوط الأمر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مُسقِط للأمر، فيجبُ الإعادة والقضاء في مورد وجوب القضاء على فرض ترك الواجب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فالنصوص المتضمّنة لإفطار الإمام الصادق عليه السلام يوماً من رمضان كان عيداً عند النّاس وقضائه</w:t>
      </w:r>
      <w:r>
        <w:rPr>
          <w:rStyle w:val="FootnoteAnchor"/>
          <w:rtl w:val="true"/>
        </w:rPr>
        <w:footnoteReference w:id="1085"/>
      </w:r>
      <w:r>
        <w:rPr>
          <w:rFonts w:ascii="Amiri" w:hAnsi="Amiri" w:eastAsia="Amiri" w:cs="Amiri"/>
          <w:color w:val="111111"/>
          <w:sz w:val="28"/>
          <w:sz w:val="28"/>
          <w:szCs w:val="28"/>
          <w:rtl w:val="true"/>
          <w:lang w:bidi="ar-SA"/>
        </w:rPr>
        <w:t>، إنّما تكون وفق القاعدة، برغم ضعف سند الرواية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يصوم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ويفطر تقيّة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ذكرناه يتمّ في الأوّل ولا يتمّ في الثاني، فإنّه حينئذٍ يصحّ أن يقال إنّ المأتي به صومٌ ناقص، نظير ما إذا أتى بمفطّر لا يرونه مفطّراً تقيّة، أو أفطر قبل ذهاب الحُمرة المشرقيّة بعد استتار القرص على القول بأنّ المنتهى هو ذهاب الحمرة، فيكون مُجزياً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أنّها ضعيفة سنداً، مع أنّها قابلة للحمل على أفضليّة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فللقول بالإجزاء في المورد الثاني وجهٌ وجيه، وتمام الكلام في محلّه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فالكبرى الكليّة المشار إليها تامّة لا إشكال فيها</w:t>
      </w:r>
      <w:r>
        <w:rPr>
          <w:rFonts w:eastAsia="Amiri" w:cs="Amiri" w:ascii="Amiri" w:hAnsi="Amiri"/>
          <w:color w:val="111111"/>
          <w:sz w:val="28"/>
          <w:szCs w:val="28"/>
          <w:rtl w:val="true"/>
          <w:lang w:bidi="ar-SA"/>
        </w:rPr>
        <w:t>.</w:t>
      </w:r>
      <w:bookmarkStart w:id="249" w:name="pg11810_104399"/>
    </w:p>
    <w:p>
      <w:pPr>
        <w:pStyle w:val="Heading3"/>
        <w:numPr>
          <w:ilvl w:val="2"/>
          <w:numId w:val="1"/>
        </w:numPr>
        <w:rPr/>
      </w:pPr>
      <w:bookmarkStart w:id="250" w:name="__RefHeading___Toc10745924_73709187"/>
      <w:bookmarkStart w:id="251" w:name="_Toc83"/>
      <w:bookmarkEnd w:id="249"/>
      <w:bookmarkEnd w:id="250"/>
      <w:r>
        <w:rPr>
          <w:rtl w:val="true"/>
        </w:rPr>
        <w:t>التقيَّة في الموضوع</w:t>
      </w:r>
      <w:bookmarkEnd w:id="251"/>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 موضوع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نصوص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ما له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منصرفةٌ إلى ما له دخل في المذهب كغَسل الرجلين ومتعة الحَجّ‌، وأمّا ما هو اعتقاد خطأً في موضوع خارجي، ككون اليوم تاسع ذي الحجّة، فالنصوص لا تشمله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موضوع الحكم الشرعي ينقسم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الموضوعات الشرعيّة التي يكون بيانها وظيفة الشارع، كوقت المغرب، وأنّه عند استتار القرص، أو عند ذهاب الحمرة المشرقيّة، ويعبّر عنها بالموضوعات المستنبطة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الموضوعات الخارجيّة المحضة، كالهلال ورؤيته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أيضاً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الطريقة المُثبت له من الاُمور الخارجيّة المحضة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له طريقٌ شرعي، ووقع الخلاف بين المسلمين في طريقيّة بعض الاُمور، كشهادة من لا تُقبل شهادته عندنا، والمقبولة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القسم الأوّل والثالث، فلا ينبغي الإشكال في شمول نصوص التقيّة الدالّة على 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لرجوعهما إلى الحكم، وترك العمل فيهما قدح في المذهب، فيدخلان في أدلّة التقيّة، ومن القسم الثالث حكم الحاكم بثبوت الهلال اعتماداً على شهادة من لا تُقبل شهادته إذا كان المذهب الحاكم القبول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القسم الثاني ففي بادئ النظر وإنْ كان ما أفيد حسناً، ولكنّه بالتدبّر في </w:t>
      </w:r>
    </w:p>
    <w:p>
      <w:pPr>
        <w:pStyle w:val="BookText"/>
        <w:rPr/>
      </w:pPr>
      <w:r>
        <w:rPr>
          <w:rFonts w:ascii="Amiri" w:hAnsi="Amiri" w:eastAsia="Amiri" w:cs="Amiri"/>
          <w:color w:val="111111"/>
          <w:sz w:val="28"/>
          <w:sz w:val="28"/>
          <w:szCs w:val="28"/>
          <w:rtl w:val="true"/>
          <w:lang w:bidi="ar-SA"/>
        </w:rPr>
        <w:t xml:space="preserve">نصوص 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ما ستعرف من عدم اختصاص التقيّة بما يكون عن المخالف في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عموم أدلّة الإجزاء له، ولا أقلّ من الغاء الخصوصيّة عن موارد الأحكام، وتنقيح المناط فيها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فالأظهر أنّ العمل على طبق التقيّة مجزٍ هنا على فرض القول بالإجزاء في الأحكام</w:t>
      </w:r>
      <w:r>
        <w:rPr>
          <w:rFonts w:eastAsia="Amiri" w:cs="Amiri" w:ascii="Amiri" w:hAnsi="Amiri"/>
          <w:color w:val="111111"/>
          <w:sz w:val="28"/>
          <w:szCs w:val="28"/>
          <w:rtl w:val="true"/>
          <w:lang w:bidi="ar-SA"/>
        </w:rPr>
        <w:t>.</w:t>
      </w:r>
      <w:bookmarkStart w:id="252" w:name="pg11810_104401"/>
    </w:p>
    <w:p>
      <w:pPr>
        <w:pStyle w:val="Heading3"/>
        <w:numPr>
          <w:ilvl w:val="2"/>
          <w:numId w:val="1"/>
        </w:numPr>
        <w:rPr/>
      </w:pPr>
      <w:bookmarkStart w:id="253" w:name="__RefHeading___Toc10745926_73709187"/>
      <w:bookmarkStart w:id="254" w:name="_Toc84"/>
      <w:bookmarkEnd w:id="252"/>
      <w:bookmarkEnd w:id="253"/>
      <w:r>
        <w:rPr>
          <w:rtl w:val="true"/>
        </w:rPr>
        <w:t>إجزاء العمل على طبق التقيّة</w:t>
      </w:r>
      <w:bookmarkEnd w:id="254"/>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في العمل بإتيان العمل على خلاف مذهب الحقّ على طبق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الفعل المخالف للحقّ الموافق للتقيّة، هل يترتّب عليه سقوط الإعادة والقضاء كما يترتّب على الحقّ أم لا؟</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الآثار الأُخر، كرفع الوضوء الصادر تقيّة للحدث بالنسبة إلى جميع الصلوات، وإفادة المعاملة الواقعة تقيّةً الآثار المترتّبة على المعاملة الصحيحة، وحصول البينونة بالطلاق على طبق التقيّة، وما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فكونه مسقطاً يتوقّف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مطلق شامل لجميع أبواب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ذلك على أنّ المأتي به على وفق مذهب العامّة بدلٌ عن المأمور به الواقعي، أو على أنّ التكليف بالواقع الذي اقتضت التقيّة تركه يكون ساقطاً، وإلّا فمع انتفاء الأمرين لا يتمّ السقوط، فكما أنّ الجواز التكليفي لا يكفي للإجزاء وسقوط الأمر الواقعي، كذلك الجواز الوضعي الذي غايته كونه مأموراً به، وهذا لا يستلزم سقوط التكليف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الأمران من جملة من الأخبار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 هشام عن أبي عُمر الأعجمي، عن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شيء إلّافي النبيذ، والمسح على الخُفّين</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فإنّه يدلّ على ثبوت التقيّة ومشروعيّتها في كلّ شيء ممنوعٍ‌، لولا التقيّة إلّافي الفعلين المذكورين، فاستثناء المسح على الخُفّين مع كون المنع فيه غيريّاً تشريعيّاً، دليلٌ على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ممّا يشبهه من الممنوعات، لأجل التوصّل بتركها إلى صحّة العمل، ويدلّ على أنّ التقيّة ترفع ذلك المنع الغيري، ولازم ذلك الأمر به، وحيث أنّه أمرٌ بعنوان التقيّة والاضطرار منَّة على العباد بالحنيفة السمحة، فلا محالة يكون بدلاً عن المأمور به الواقعي، فيدلّ على أنّ غَسل الرجلين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يراه العامّة جزءً من الوضوء مكان مسحه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 به في حال التقيّة، وبدل عن المسح المأمور به الواقعي، فلا محالة يكون مجزياً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معنى هذا الخبر أخبار أُخر، كصحيح زرارة،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مسح الخُفّين ومتعة الحَجّ تقيّة‌؟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أتّقي فيهنّ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الواجب عليكم أنْ لا تتّقوا فيهنّ أحداً</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معناه ثبوت التقيّة في غير الثلاث من الأُمور الممنوعة شرعاً، ولازمه ما ذكرناه في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يقدح في الاستدلال عدم الخلاف بين الأصحاب في جواز المسح على الخفّين</w:t>
      </w:r>
      <w:r>
        <w:rPr>
          <w:rStyle w:val="FootnoteAnchor"/>
          <w:rtl w:val="true"/>
        </w:rPr>
        <w:footnoteReference w:id="1088"/>
      </w:r>
      <w:r>
        <w:rPr>
          <w:rFonts w:ascii="Amiri" w:hAnsi="Amiri" w:eastAsia="Amiri" w:cs="Amiri"/>
          <w:color w:val="111111"/>
          <w:sz w:val="28"/>
          <w:sz w:val="28"/>
          <w:szCs w:val="28"/>
          <w:rtl w:val="true"/>
          <w:lang w:bidi="ar-SA"/>
        </w:rPr>
        <w:t>، بناءً منهم على أنّ مقتضى الجمع بين هذه الأخبار وبين ما دلّ على جوازه، حملها على إرادة نفي الوجوب، أو اختصاص الاستثناء بنفس الإمام عليه السلام، أو غير ذلك من المحامل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كان يُصلّي، فخرج الإمام وقد صلّى الرّجل ركعة من صلاةٍ فريضة‌؟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إماماً عدلاً فليصلِّ اُخرى وينصرف، ويجعلهما تطوّعاً، وليدخل مع الإمام في صلاته كما هو، وإنْ لم يكن إمام عدلٍ فليبن على صلاته كما هو، ويُصلّي ركعة اُخرى‌، ويجلس قَدَر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إلّااللّه وحده لا شريك له، وأشهد أنّ محمّداً عبده ورسوله، ثمّ ليتمّ صلاته معه علي ما استطاع، فإنّ التقيّة واسعة، وليس شيءٌ من التقيّة إلّاوصاحبها مأجورٌ عليها إنْ شاء اللّه تعالى‌</w:t>
      </w:r>
      <w:r>
        <w:rPr>
          <w:rFonts w:eastAsia="Amiri" w:cs="Amiri" w:ascii="Amiri" w:hAnsi="Amiri"/>
          <w:color w:val="111111"/>
          <w:sz w:val="28"/>
          <w:szCs w:val="28"/>
          <w:rtl w:val="true"/>
          <w:lang w:bidi="ar-SA"/>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بإتمام الصلاة على ما استطاع مع عدم الاضطرار إلى فعل الفريضة في ذلك الوقت، معلّلاً بأنّ التقيّة واسعة، يدلّ على جواز كلّ عمل على وجه التقيّة، وأداء الصلاة على جميع وجوه التقيّة، ومنها الصلاة مع عدم السجود على الأرض، وجواز ذلك مستلزم للأمر به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مسعدة بن صدقة، عن أبي عبد اللّه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وتفسير ما يتّقي مثل أنْ يكون قوم سوء ظاهر حكمهم وفعلهم على غير حكم الحقّ وفعله، فكلّ شيء يعمل المؤمن بينهم لمكان التقيّة، ممّا لا يؤدّي إلى الفساد في الدِّين، فإنّه جائز</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أنّ المراد بالجواز في كلّ شيء، بالقياس إلى المنع المتحقّق فيه لو لا التقيّة، فيصدق على غَسل الرجلين في الوضوء في محلّ التقيّة أنّه جائز وغير ممنوع عنه بالمنع الثابت لولا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فيستنتج من هذه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بالتقريب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مسقطيّة العمل الموافق للتقيّة للإعادة والقضاء</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55" w:name="pg11810_104404"/>
    </w:p>
    <w:p>
      <w:pPr>
        <w:pStyle w:val="Heading3"/>
        <w:numPr>
          <w:ilvl w:val="2"/>
          <w:numId w:val="1"/>
        </w:numPr>
        <w:rPr/>
      </w:pPr>
      <w:bookmarkStart w:id="256" w:name="__RefHeading___Toc10745928_73709187"/>
      <w:bookmarkStart w:id="257" w:name="_Toc85"/>
      <w:bookmarkEnd w:id="255"/>
      <w:bookmarkEnd w:id="256"/>
      <w:r>
        <w:rPr>
          <w:rtl w:val="true"/>
        </w:rPr>
        <w:t>الوجوه الأُخر للإجزاء ونقدها</w:t>
      </w:r>
      <w:bookmarkEnd w:id="25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استدلّ للإجزاء بوجوه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نفي العُسر والحرج</w:t>
      </w:r>
      <w:r>
        <w:rPr>
          <w:rStyle w:val="FootnoteAnchor"/>
          <w:rtl w:val="true"/>
        </w:rPr>
        <w:footnoteReference w:id="1091"/>
      </w:r>
      <w:r>
        <w:rPr>
          <w:rFonts w:ascii="Amiri" w:hAnsi="Amiri" w:eastAsia="Amiri" w:cs="Amiri"/>
          <w:color w:val="111111"/>
          <w:sz w:val="28"/>
          <w:sz w:val="28"/>
          <w:szCs w:val="28"/>
          <w:rtl w:val="true"/>
          <w:lang w:bidi="ar-SA"/>
        </w:rPr>
        <w:t>، ونفي ما أُكره عليه، والاضطرار</w:t>
      </w:r>
      <w:r>
        <w:rPr>
          <w:rStyle w:val="FootnoteAnchor"/>
          <w:rtl w:val="true"/>
        </w:rPr>
        <w:footnoteReference w:id="1092"/>
      </w:r>
      <w:r>
        <w:rPr>
          <w:rFonts w:ascii="Amiri" w:hAnsi="Amiri" w:eastAsia="Amiri" w:cs="Amiri"/>
          <w:color w:val="111111"/>
          <w:sz w:val="28"/>
          <w:sz w:val="28"/>
          <w:szCs w:val="28"/>
          <w:rtl w:val="true"/>
          <w:lang w:bidi="ar-SA"/>
        </w:rPr>
        <w:t>، وحديث نفي الضرر</w:t>
      </w:r>
      <w:r>
        <w:rPr>
          <w:rStyle w:val="FootnoteAnchor"/>
          <w:rtl w:val="true"/>
        </w:rPr>
        <w:footnoteReference w:id="1093"/>
      </w:r>
      <w:r>
        <w:rPr>
          <w:rFonts w:ascii="Amiri" w:hAnsi="Amiri" w:eastAsia="Amiri" w:cs="Amiri"/>
          <w:color w:val="111111"/>
          <w:sz w:val="28"/>
          <w:sz w:val="28"/>
          <w:szCs w:val="28"/>
          <w:rtl w:val="true"/>
          <w:lang w:bidi="ar-SA"/>
        </w:rPr>
        <w:t>، بدعوى أنّها تقتضي سقوط قيديّة ما تقتضي التقيّة الإخلال به، ويلزم منه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الأدلّة إنّما تكون نافية للحكم ولا تكون مثبتة، والحكم الضمني إنّما يكون رفعه كوضعه تابعاً للحكم المجعول على المركّب منه ومن غيره، فالأدلّة إنّما ترفع الحكم المترتّب على الكلّ‌، ولا تدلّ على ثبوت الحكم على الفاقد لذلك القيد، كي يلزم منه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الأدلّة إنّما ترفع الفساد المترتّب على العمل الناقص، وإذا لم يفسد فلا محالة يكون مُجزياً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الفساد ليس أثراً شرعيّاً كي يرفع بها، بل هو منتزعٌ بحكم العقل من عدم مطابقة المأتي به للمأمور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استدلّ به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094"/>
      </w:r>
      <w:r>
        <w:rPr>
          <w:rFonts w:ascii="Amiri" w:hAnsi="Amiri" w:eastAsia="Amiri" w:cs="Amiri"/>
          <w:color w:val="111111"/>
          <w:sz w:val="28"/>
          <w:sz w:val="28"/>
          <w:szCs w:val="28"/>
          <w:rtl w:val="true"/>
          <w:lang w:bidi="ar-SA"/>
        </w:rPr>
        <w:t xml:space="preserve">لعدم وجوب قضاء الصوم على المُكرِه على تناول المفطّر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للمقام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نصوص وجوب القضاء مختصّة بغير المكره، صرفاً أو انصرافاً، فيقال في </w:t>
      </w:r>
    </w:p>
    <w:p>
      <w:pPr>
        <w:pStyle w:val="BookText"/>
        <w:rPr/>
      </w:pPr>
      <w:r>
        <w:rPr>
          <w:rFonts w:ascii="Amiri" w:hAnsi="Amiri" w:eastAsia="Amiri" w:cs="Amiri"/>
          <w:color w:val="111111"/>
          <w:sz w:val="28"/>
          <w:sz w:val="28"/>
          <w:szCs w:val="28"/>
          <w:rtl w:val="true"/>
          <w:lang w:bidi="ar-SA"/>
        </w:rPr>
        <w:t>المقام إنّها مختصّة بغير ما يؤتي به بعنوان التقيّة صرفاً أو انصرافاً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فالمرجع فيه إلى الأصل والاستصحاب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نظره الشريف إلى قصور أدلّة القضاء عن الشمول للمكرَه، ومراده من الصحّة ذلك، أي عدم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المحقّق الهمداني رحمه الله بيان مراده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أراد بذلك قصور ما دلّ على أنّ الإخلال بما يعتبر في العبادة لولا الإكراه والتقيّة مبطلٌ للعبادة عن شموله للمكرَه، ومن أتى على وجه التقيّة</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مراد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اختصاصه بالقضاء وعدم الشمول للإعادة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التبادر والانصراف في تلكم النصوص، ومع إطلاقها لا وجه للرجوع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مراده ما أفاده المحقّق الهمداني رحمه الله، ورد عليه أنّ دليل ذلك القيد المعتبر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وجوداً أو عدماً، قيداً أو تقيّيداً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له إطلاقٌ شاملٌ لما يصدر عنه في حال الإكراه والتقيّة، كان مقتضى القاعدة هو الصحّة، إذ يشكّ في قيديّة ذلك في حال التقيّة والإكراه، والأصل يقتضي عدمها، فيكون صحيحاً، ولا حاجة إلى ما ذكر من الدليل ولا مورد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له إطلاق، فمقتضاه هو الحكم بالفساد، فإنّ المأتي به غير موافق للمأمور به، فلا مورد للدعوى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استدلّ لها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خصوص صورة طروّ التعذّر أو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رُوي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بشيء فأتوا منه ما استطعتم</w:t>
      </w:r>
      <w:r>
        <w:rPr>
          <w:rFonts w:eastAsia="Amiri" w:cs="Amiri" w:ascii="Amiri" w:hAnsi="Amiri"/>
          <w:color w:val="111111"/>
          <w:sz w:val="28"/>
          <w:szCs w:val="28"/>
          <w:rtl w:val="true"/>
          <w:lang w:bidi="ar-SA"/>
        </w:rPr>
        <w:t>»</w:t>
      </w:r>
      <w:r>
        <w:rPr>
          <w:rStyle w:val="FootnoteAnchor"/>
          <w:rtl w:val="true"/>
        </w:rPr>
        <w:footnoteReference w:id="10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وبالعلوي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روى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1097"/>
      </w:r>
      <w:r>
        <w:rPr>
          <w:rFonts w:ascii="Amiri" w:hAnsi="Amiri" w:eastAsia="Amiri" w:cs="Amiri"/>
          <w:color w:val="111111"/>
          <w:sz w:val="28"/>
          <w:sz w:val="28"/>
          <w:szCs w:val="28"/>
          <w:rtl w:val="true"/>
          <w:lang w:bidi="ar-SA"/>
        </w:rPr>
        <w:t>الأخيرين 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حقّقناه في حاشيتنا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عدم تماميّة الاستصحاب، والروايات مرسلات ضعيفة الإسناد لا يعتمد على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أنّها تدلّ على أنّ الميسور من الأفراد لا يسقط بالمعسور منها، ولا تدلّ على أنّ الميسور من الأجزاء لا يسقط بالمعسور منها، وللكلام في ذلك كلّه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وجوه أخر استدلّوا بها للاجزاء، ولمعلوميّة فسادها أغمضنا عن التعرّض لها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58" w:name="pg11810_104407"/>
    </w:p>
    <w:p>
      <w:pPr>
        <w:pStyle w:val="Heading3"/>
        <w:numPr>
          <w:ilvl w:val="2"/>
          <w:numId w:val="1"/>
        </w:numPr>
        <w:rPr/>
      </w:pPr>
      <w:bookmarkStart w:id="259" w:name="__RefHeading___Toc10745930_73709187"/>
      <w:bookmarkStart w:id="260" w:name="_Toc86"/>
      <w:bookmarkEnd w:id="258"/>
      <w:bookmarkEnd w:id="259"/>
      <w:r>
        <w:rPr>
          <w:rtl w:val="true"/>
        </w:rPr>
        <w:t>ترتّب الآثار الأخر على العمل بالتقيّة</w:t>
      </w:r>
      <w:bookmarkEnd w:id="260"/>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الآثار الاُخر عدا سقوط الإعادة والقضاء، كرفع الحدث بالوضوء تقيّة بالإضافة إلى سائر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عنون الفقهاء هذا البحث تحت عنوان أنّه إذا زال السبب المسوّغ للمسح على الحائل من تقيّةٍ أو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تجبُ إعادة الطهارة للغايات التي أراد إيجادها بعد زوال السبب‌؟</w:t>
      </w:r>
    </w:p>
    <w:p>
      <w:pPr>
        <w:pStyle w:val="BookText"/>
        <w:rPr/>
      </w:pPr>
      <w:r>
        <w:rPr>
          <w:rFonts w:ascii="Amiri" w:hAnsi="Amiri" w:eastAsia="Amiri" w:cs="Amiri"/>
          <w:color w:val="111111"/>
          <w:sz w:val="28"/>
          <w:sz w:val="28"/>
          <w:szCs w:val="28"/>
          <w:rtl w:val="true"/>
          <w:lang w:bidi="ar-SA"/>
        </w:rPr>
        <w:t>أم لا تجبُ إلّاللمُحدِث‌؟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1098"/>
      </w:r>
      <w:r>
        <w:rPr>
          <w:rFonts w:ascii="Amiri" w:hAnsi="Amiri" w:eastAsia="Amiri" w:cs="Amiri"/>
          <w:color w:val="111111"/>
          <w:sz w:val="28"/>
          <w:sz w:val="28"/>
          <w:szCs w:val="28"/>
          <w:rtl w:val="true"/>
          <w:lang w:bidi="ar-SA"/>
        </w:rPr>
        <w:t xml:space="preserve">، والمحقّق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w:t>
      </w:r>
      <w:r>
        <w:rPr>
          <w:rStyle w:val="FootnoteAnchor"/>
          <w:rtl w:val="true"/>
        </w:rPr>
        <w:footnoteReference w:id="1099"/>
      </w:r>
      <w:r>
        <w:rPr>
          <w:rFonts w:ascii="Amiri" w:hAnsi="Amiri" w:eastAsia="Amiri" w:cs="Amiri"/>
          <w:color w:val="111111"/>
          <w:sz w:val="28"/>
          <w:sz w:val="28"/>
          <w:szCs w:val="28"/>
          <w:rtl w:val="true"/>
          <w:lang w:bidi="ar-SA"/>
        </w:rPr>
        <w:t xml:space="preserve">، والعلّامة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10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w:t>
      </w:r>
      <w:r>
        <w:rPr>
          <w:rStyle w:val="FootnoteAnchor"/>
          <w:rtl w:val="true"/>
        </w:rPr>
        <w:footnoteReference w:id="1101"/>
      </w:r>
      <w:r>
        <w:rPr>
          <w:rFonts w:ascii="Amiri" w:hAnsi="Amiri" w:eastAsia="Amiri" w:cs="Amiri"/>
          <w:color w:val="111111"/>
          <w:sz w:val="28"/>
          <w:sz w:val="28"/>
          <w:szCs w:val="28"/>
          <w:rtl w:val="true"/>
          <w:lang w:bidi="ar-SA"/>
        </w:rPr>
        <w:t xml:space="preserve">، وابنه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Style w:val="FootnoteAnchor"/>
          <w:rtl w:val="true"/>
        </w:rPr>
        <w:footnoteReference w:id="1102"/>
      </w:r>
      <w:r>
        <w:rPr>
          <w:rFonts w:ascii="Amiri" w:hAnsi="Amiri" w:eastAsia="Amiri" w:cs="Amiri"/>
          <w:color w:val="111111"/>
          <w:sz w:val="28"/>
          <w:sz w:val="28"/>
          <w:szCs w:val="28"/>
          <w:rtl w:val="true"/>
          <w:lang w:bidi="ar-SA"/>
        </w:rPr>
        <w:t>اختيار الأوّل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Style w:val="FootnoteAnchor"/>
          <w:rtl w:val="true"/>
        </w:rPr>
        <w:footnoteReference w:id="1103"/>
      </w:r>
      <w:r>
        <w:rPr>
          <w:rFonts w:ascii="Amiri" w:hAnsi="Amiri" w:eastAsia="Amiri" w:cs="Amiri"/>
          <w:color w:val="111111"/>
          <w:sz w:val="28"/>
          <w:sz w:val="28"/>
          <w:szCs w:val="28"/>
          <w:rtl w:val="true"/>
          <w:lang w:bidi="ar-SA"/>
        </w:rPr>
        <w:t xml:space="preserve">، والشهيدفي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w:t>
      </w:r>
      <w:r>
        <w:rPr>
          <w:rStyle w:val="FootnoteAnchor"/>
          <w:rtl w:val="true"/>
        </w:rPr>
        <w:footnoteReference w:id="110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Style w:val="FootnoteAnchor"/>
          <w:rtl w:val="true"/>
        </w:rPr>
        <w:footnoteReference w:id="1105"/>
      </w:r>
      <w:r>
        <w:rPr>
          <w:rFonts w:ascii="Amiri" w:hAnsi="Amiri" w:eastAsia="Amiri" w:cs="Amiri"/>
          <w:color w:val="111111"/>
          <w:sz w:val="28"/>
          <w:sz w:val="28"/>
          <w:szCs w:val="28"/>
          <w:rtl w:val="true"/>
          <w:lang w:bidi="ar-SA"/>
        </w:rPr>
        <w:t xml:space="preserve">، والمحقّق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Style w:val="FootnoteAnchor"/>
          <w:rtl w:val="true"/>
        </w:rPr>
        <w:footnoteReference w:id="1106"/>
      </w:r>
      <w:r>
        <w:rPr>
          <w:rFonts w:ascii="Amiri" w:hAnsi="Amiri" w:eastAsia="Amiri" w:cs="Amiri"/>
          <w:color w:val="111111"/>
          <w:sz w:val="28"/>
          <w:sz w:val="28"/>
          <w:szCs w:val="28"/>
          <w:rtl w:val="true"/>
          <w:lang w:bidi="ar-SA"/>
        </w:rPr>
        <w:t xml:space="preserve">، وسيّد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107"/>
      </w:r>
      <w:r>
        <w:rPr>
          <w:rFonts w:ascii="Amiri" w:hAnsi="Amiri" w:eastAsia="Amiri" w:cs="Amiri"/>
          <w:color w:val="111111"/>
          <w:sz w:val="28"/>
          <w:sz w:val="28"/>
          <w:szCs w:val="28"/>
          <w:rtl w:val="true"/>
          <w:lang w:bidi="ar-SA"/>
        </w:rPr>
        <w:t>، وجماعة آخرين</w:t>
      </w:r>
      <w:r>
        <w:rPr>
          <w:rStyle w:val="FootnoteAnchor"/>
          <w:rtl w:val="true"/>
        </w:rPr>
        <w:footnoteReference w:id="1108"/>
      </w:r>
      <w:r>
        <w:rPr>
          <w:rFonts w:ascii="Amiri" w:hAnsi="Amiri" w:eastAsia="Amiri" w:cs="Amiri"/>
          <w:color w:val="111111"/>
          <w:sz w:val="28"/>
          <w:sz w:val="28"/>
          <w:szCs w:val="28"/>
          <w:rtl w:val="true"/>
          <w:lang w:bidi="ar-SA"/>
        </w:rPr>
        <w:t>اختيار الثاني، بل نُسب إلى المشهور</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واستدلّ للثاني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وضوءٌ مأمور به، والأمر يقتضي الإجزاء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وباستصحاب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دلّ على أنّ الوضوء لا ينقضه إلّاالحَدَث</w:t>
      </w:r>
      <w:r>
        <w:rPr>
          <w:rStyle w:val="FootnoteAnchor"/>
          <w:rtl w:val="true"/>
        </w:rPr>
        <w:footnoteReference w:id="1111"/>
      </w:r>
      <w:r>
        <w:rPr>
          <w:rFonts w:ascii="Amiri" w:hAnsi="Amiri" w:eastAsia="Amiri" w:cs="Amiri"/>
          <w:color w:val="111111"/>
          <w:sz w:val="28"/>
          <w:sz w:val="28"/>
          <w:szCs w:val="28"/>
          <w:rtl w:val="true"/>
          <w:lang w:bidi="ar-SA"/>
        </w:rPr>
        <w:t>وارتفاع الضرورة ليس بحدثٍ‌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وبأنّه حيثُ ينوي بوضوئه رفع الحدث، يجبُ حصول الطهارة به،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إمرءٍ ما نوى</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وبأنّ مقتضى جواز البدار هو التخيّير بين الإتيان بالوضوء الناقص في أوّل الوقت، وبين الإتيان بالوضوء التامّ في آخره، وإيجاب الاستيناف عليه متنافٍ مع التخيّير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إجزاء الإتيان بالمأمور به الاضطراري، إنّما هو بمعنى مسقطيّته للإعادة والقضاء بالنسبة إلى الأمر الاختياري، وأمّا بلحاظ ترتّب الآثار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كرفع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تابعٌ لمقدار دلالة دليل الاضطراري، فإنْ دلّ على الرافعيّة ما دام الاضطرار باقياً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منه عدم ترتّب الأثر بعد رفع العذر، وإنْ دلّ على الرافعيّة المطلقة، لزم منه ترتّب الأثر بعده، وهذا غير مربوط بالإجزاء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جريان الاستصحاب في الأحكام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في هذا الشرح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الموضوع في الاستصحاب مردّدٌ بين إباحة الصلاة المدخول بها حال الضرورة، أو كلّ صلاة، والأوّل لا ينفع، والثاني مشكوك الحدوث</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الوضوء وإنْ دلّ الدليل على أنّه لا ينتقض إلّابالحَدَث، إلّا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الكلام في المقام ليس في انتقاض الوضوء، بل إنّما هو في قابليّة الوضوء الناقص واستعداده للبقاء مع زوال العذر، مع أنّ ذلك الدليل لا إطلاق له من هذه الجهة، كي يتمسّك به، لعدم انتقاض الناقص أيضاً إلّابالحَدَث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رفعه الحَدَث يمكن أنْ يكون رفعاً ما دام بقاء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في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يلازم ذلك عدم محدثيّته بعد زوال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الذي ينافي جواز البدار واقعاً هو لزوم الاستيناف للصلاة التي أتي بها مع ذلك الوضوء، وأمّا لزوم استينافه للصلاة التي يأتي بها بعد ذلك، فلا ينافي مع جواز البدار، ومحلّ الكلام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أن يستدلّ له بإطلاق ما دلّ على جواز المسح على الحائل مثلاً، المقتضي لجواز الإكتفاء به في مقام الامتثال، ولو كان الاضطرار مرتفعاً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مقتضي إطلاق دليله كونه فرداً من طبيعة الوضوء في حال العذر، كما أنّ الوضوء التامّ فردٌ منها في حال الاختيار، وعليه فيترتّب على كلّ منهما جميع ما يترتّب على تلك الطبيعة من غير فرقٍ بينهما، فكما أنّ من توضّأ في حال الاختيار يترتّب عليوضوئه جميع مايتوقّف على الوضوء حتّى في حال الاضطرار، كذلك يترتّب على وضوء المضطرّ جميع تلكم الاُمور حتّى بعد زوال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ذكرناه يظهر ردّ ما استدلّ به لوجوب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الوضوء في حال الضرورة والتقيّة مشروط بهما، فيزول أثره بزوالهما، كما عن الشيخ رحمه الله</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Style w:val="FootnoteAnchor"/>
          <w:rtl w:val="true"/>
        </w:rPr>
        <w:footnoteReference w:id="1114"/>
      </w:r>
      <w:r>
        <w:rPr>
          <w:rFonts w:ascii="Amiri" w:hAnsi="Amiri" w:eastAsia="Amiri" w:cs="Amiri"/>
          <w:color w:val="111111"/>
          <w:sz w:val="28"/>
          <w:sz w:val="28"/>
          <w:szCs w:val="28"/>
          <w:rtl w:val="true"/>
          <w:lang w:bidi="ar-SA"/>
        </w:rPr>
        <w:t>من أنّ دليل الوضوء في المقام لا إطلاق له، بل هو مخصوص بحالة معيّنة أو زمان مخصوص، فعند زوال تلك الحالة وتجدّد حالة اُخرى مغايرة لها يحتاج في إجراء الحكم في الحالة الاُخرى إلى دليل، وليس فليس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آية الوضوء</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يرد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بتقدير الطهارة بقدر الضرورة عدم جواز الوضوء كذلك بعد زوال الضرورة، فهو حقٌّ لكنّه غير ما هو محلّ الكلام، وإنْ اُريد عدم إباحتها، فهو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وجود دليل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دليل مشروعيّة الناقص تقيّيد دليل وجوب التامّ وهو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يظهر أنّ ما أفاده بعض المحقّقين رحمه الله في المقام، بأنّ‌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من الأخبار الواردة في أنّ كلّ ما يعمل للتقيّة فهو جائز، وأنّ كلّ شيء يضطرّ إليه فهو جائز، يدلّ على ترتيب الآثار مطلقاً، بناء على أنّ معنى الجواز والمنع في كلّ شيء بحسبه، فكما أنّ الجواز والمنع في الأفعال المستقلّة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النبيذ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الإثم والعدم، وفي الاُمور الداخلة في العبادات فعلاً أو تركاً يراد به الإذن والمنع من جهة تحقّق الامتثال بتلك العبادات، فكذلك الكلام في المعاملات، بمعنى عدم البأس، وثبوته من جهة ترتّب الآثار المقصودة من تلك المعاملة، كما في قول الشارع تجوز المعاملة الفلانية أو لا تجوز</w:t>
      </w:r>
      <w:r>
        <w:rPr>
          <w:rFonts w:eastAsia="Amiri" w:cs="Amiri" w:ascii="Amiri" w:hAnsi="Amiri"/>
          <w:color w:val="111111"/>
          <w:sz w:val="28"/>
          <w:szCs w:val="28"/>
          <w:rtl w:val="true"/>
          <w:lang w:bidi="ar-SA"/>
        </w:rPr>
        <w:t>)</w:t>
      </w:r>
      <w:r>
        <w:rPr>
          <w:rStyle w:val="FootnoteAnchor"/>
          <w:rtl w:val="true"/>
        </w:rPr>
        <w:footnoteReference w:id="1116"/>
      </w:r>
      <w:r>
        <w:rPr>
          <w:rFonts w:ascii="Amiri" w:hAnsi="Amiri" w:eastAsia="Amiri" w:cs="Amiri"/>
          <w:color w:val="111111"/>
          <w:sz w:val="28"/>
          <w:sz w:val="28"/>
          <w:szCs w:val="28"/>
          <w:rtl w:val="true"/>
          <w:lang w:bidi="ar-SA"/>
        </w:rPr>
        <w:t>،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عليه شيءٌ ظاهر ولا خفيّ‌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أفاده الشيخ الأعظم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توهمٌ مدفوعٌ بما لا يخفى على المتأمّل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تامّ‌</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261" w:name="pg11810_104411"/>
    </w:p>
    <w:p>
      <w:pPr>
        <w:pStyle w:val="Heading3"/>
        <w:numPr>
          <w:ilvl w:val="2"/>
          <w:numId w:val="1"/>
        </w:numPr>
        <w:rPr/>
      </w:pPr>
      <w:bookmarkStart w:id="262" w:name="__RefHeading___Toc10745932_73709187"/>
      <w:bookmarkStart w:id="263" w:name="_Toc87"/>
      <w:bookmarkEnd w:id="261"/>
      <w:bookmarkEnd w:id="262"/>
      <w:r>
        <w:rPr>
          <w:rtl w:val="true"/>
        </w:rPr>
        <w:t>اعتبار المندوحة</w:t>
      </w:r>
      <w:bookmarkEnd w:id="263"/>
    </w:p>
    <w:p>
      <w:pPr>
        <w:pStyle w:val="BookText"/>
        <w:rPr/>
      </w:pPr>
      <w:r>
        <w:rPr>
          <w:rFonts w:ascii="Amiri" w:hAnsi="Amiri" w:eastAsia="Amiri" w:cs="Amiri"/>
          <w:color w:val="111111"/>
          <w:sz w:val="28"/>
          <w:sz w:val="28"/>
          <w:szCs w:val="28"/>
          <w:rtl w:val="true"/>
          <w:lang w:bidi="ar-SA"/>
        </w:rPr>
        <w:t>بقي التنبيه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صحّة الأعمال التي يؤتى بها 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المندوحة كما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r>
        <w:rPr>
          <w:rStyle w:val="FootnoteAnchor"/>
          <w:rtl w:val="true"/>
        </w:rPr>
        <w:footnoteReference w:id="1118"/>
      </w:r>
      <w:r>
        <w:rPr>
          <w:rFonts w:ascii="Amiri" w:hAnsi="Amiri" w:eastAsia="Amiri" w:cs="Amiri"/>
          <w:color w:val="111111"/>
          <w:sz w:val="28"/>
          <w:sz w:val="28"/>
          <w:szCs w:val="28"/>
          <w:rtl w:val="true"/>
          <w:lang w:bidi="ar-SA"/>
        </w:rPr>
        <w:t>، والمحقّق</w:t>
      </w:r>
      <w:r>
        <w:rPr>
          <w:rStyle w:val="FootnoteAnchor"/>
          <w:rtl w:val="true"/>
        </w:rPr>
        <w:footnoteReference w:id="1119"/>
      </w:r>
      <w:r>
        <w:rPr>
          <w:rFonts w:ascii="Amiri" w:hAnsi="Amiri" w:eastAsia="Amiri" w:cs="Amiri"/>
          <w:color w:val="111111"/>
          <w:sz w:val="28"/>
          <w:sz w:val="28"/>
          <w:szCs w:val="28"/>
          <w:rtl w:val="true"/>
          <w:lang w:bidi="ar-SA"/>
        </w:rPr>
        <w:t>، والعلّامة</w:t>
      </w:r>
      <w:r>
        <w:rPr>
          <w:rStyle w:val="FootnoteAnchor"/>
          <w:rtl w:val="true"/>
        </w:rPr>
        <w:footnoteReference w:id="1120"/>
      </w:r>
      <w:r>
        <w:rPr>
          <w:rFonts w:ascii="Amiri" w:hAnsi="Amiri" w:eastAsia="Amiri" w:cs="Amiri"/>
          <w:color w:val="111111"/>
          <w:sz w:val="28"/>
          <w:sz w:val="28"/>
          <w:szCs w:val="28"/>
          <w:rtl w:val="true"/>
          <w:lang w:bidi="ar-SA"/>
        </w:rPr>
        <w:t xml:space="preserve">،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المدارك</w:t>
      </w:r>
      <w:r>
        <w:rPr>
          <w:rFonts w:eastAsia="Amiri" w:cs="Amiri" w:ascii="Amiri" w:hAnsi="Amiri"/>
          <w:color w:val="111111"/>
          <w:sz w:val="28"/>
          <w:szCs w:val="28"/>
          <w:rtl w:val="true"/>
          <w:lang w:bidi="ar-SA"/>
        </w:rPr>
        <w:t>»</w:t>
      </w:r>
      <w:r>
        <w:rPr>
          <w:rStyle w:val="FootnoteAnchor"/>
          <w:rtl w:val="true"/>
        </w:rPr>
        <w:footnoteReference w:id="1121"/>
      </w:r>
      <w:r>
        <w:rPr>
          <w:rFonts w:ascii="Amiri" w:hAnsi="Amiri" w:eastAsia="Amiri" w:cs="Amiri"/>
          <w:color w:val="111111"/>
          <w:sz w:val="28"/>
          <w:sz w:val="28"/>
          <w:szCs w:val="28"/>
          <w:rtl w:val="true"/>
          <w:lang w:bidi="ar-SA"/>
        </w:rPr>
        <w:t>، وبعض متأخّري المتأخّرين</w:t>
      </w:r>
      <w:r>
        <w:rPr>
          <w:rStyle w:val="FootnoteAnchor"/>
          <w:rtl w:val="true"/>
        </w:rPr>
        <w:footnoteReference w:id="1122"/>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لا يعتبر ذلك، كما عن الشهيدين، والمحقّق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Style w:val="FootnoteAnchor"/>
          <w:rtl w:val="true"/>
        </w:rPr>
        <w:footnoteReference w:id="112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w:t>
      </w:r>
      <w:r>
        <w:rPr>
          <w:rFonts w:eastAsia="IRNazanin" w:cs="IRNazanin"/>
          <w:color w:val="111111"/>
          <w:sz w:val="28"/>
          <w:szCs w:val="28"/>
          <w:rtl w:val="true"/>
          <w:lang w:bidi="fa-IR"/>
        </w:rPr>
        <w:t>»</w:t>
      </w:r>
      <w:r>
        <w:rPr>
          <w:rStyle w:val="FootnoteAnchor"/>
          <w:rtl w:val="true"/>
        </w:rPr>
        <w:footnoteReference w:id="1124"/>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r>
        <w:rPr>
          <w:rStyle w:val="FootnoteAnchor"/>
          <w:rtl w:val="true"/>
        </w:rPr>
        <w:footnoteReference w:id="1125"/>
      </w:r>
      <w:r>
        <w:rPr>
          <w:rFonts w:ascii="IRNazanin" w:hAnsi="IRNazanin" w:eastAsia="IRNazanin"/>
          <w:color w:val="111111"/>
          <w:sz w:val="28"/>
          <w:sz w:val="28"/>
          <w:szCs w:val="28"/>
          <w:rtl w:val="true"/>
          <w:lang w:bidi="fa-IR"/>
        </w:rPr>
        <w:t>، بل نسب إلى المشهور</w:t>
      </w:r>
      <w:r>
        <w:rPr>
          <w:rStyle w:val="FootnoteAnchor"/>
          <w:rtl w:val="true"/>
        </w:rPr>
        <w:footnoteReference w:id="1126"/>
      </w:r>
      <w:r>
        <w:rPr>
          <w:rFonts w:ascii="Amiri" w:hAnsi="Amiri" w:eastAsia="Amiri" w:cs="Amiri"/>
          <w:color w:val="111111"/>
          <w:sz w:val="28"/>
          <w:sz w:val="28"/>
          <w:szCs w:val="28"/>
          <w:rtl w:val="true"/>
          <w:lang w:bidi="ar-SA"/>
        </w:rPr>
        <w:t>في الوضوء مع المسح على الحائل‌؟</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يفصّل بين ما ورد فيه الإذن بالخصوص كالصلاة متكتّفاً، أو الوضوء مع المسح على الخُفّين وما شاكل، فلا يعتبر عدم المندوحة، وبين ما كان الدليل عليه هو عمومات التقيّة، فيعتبر عدم المندوحة، كما عن المحقّق الثاني في بعض كتبه</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يفصّل بين المندوحة العَرَضيّة و الطوليّة، فيعتبر عدم الأوّل دون الثاني‌؟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ونخبة القول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ورد فيه إذنٌ خاص لابدَّ من الرجوع إلى دليل ذلك الإذن، فإنْ اقتضى اعتبار عدم المندوحة، وجب الالتزام به، وكذلك إنْ اقتضى عدم اعتباره، وقد ذكرنا في الجزء الأوّل من هذا الكتاب</w:t>
      </w:r>
      <w:r>
        <w:rPr>
          <w:rStyle w:val="FootnoteAnchor"/>
          <w:rtl w:val="true"/>
        </w:rPr>
        <w:footnoteReference w:id="1128"/>
      </w:r>
      <w:r>
        <w:rPr>
          <w:rFonts w:ascii="Amiri" w:hAnsi="Amiri" w:eastAsia="Amiri" w:cs="Amiri"/>
          <w:color w:val="111111"/>
          <w:sz w:val="28"/>
          <w:sz w:val="28"/>
          <w:szCs w:val="28"/>
          <w:rtl w:val="true"/>
          <w:lang w:bidi="ar-SA"/>
        </w:rPr>
        <w:t>في مبحث المسح على الخُفّين أنّ مقتضى النصوص الخاصّة كخبر أبي الورد</w:t>
      </w:r>
      <w:r>
        <w:rPr>
          <w:rStyle w:val="FootnoteAnchor"/>
          <w:rtl w:val="true"/>
        </w:rPr>
        <w:footnoteReference w:id="1129"/>
      </w:r>
      <w:r>
        <w:rPr>
          <w:rFonts w:ascii="Amiri" w:hAnsi="Amiri" w:eastAsia="Amiri" w:cs="Amiri"/>
          <w:color w:val="111111"/>
          <w:sz w:val="28"/>
          <w:sz w:val="28"/>
          <w:szCs w:val="28"/>
          <w:rtl w:val="true"/>
          <w:lang w:bidi="ar-SA"/>
        </w:rPr>
        <w:t>عدم اعتباره، وكذلك في مسألة ردّ الشعر حيث يدلّ خبر صفوان</w:t>
      </w:r>
      <w:r>
        <w:rPr>
          <w:rStyle w:val="FootnoteAnchor"/>
          <w:rtl w:val="true"/>
        </w:rPr>
        <w:footnoteReference w:id="1130"/>
      </w:r>
      <w:r>
        <w:rPr>
          <w:rFonts w:ascii="Amiri" w:hAnsi="Amiri" w:eastAsia="Amiri" w:cs="Amiri"/>
          <w:color w:val="111111"/>
          <w:sz w:val="28"/>
          <w:sz w:val="28"/>
          <w:szCs w:val="28"/>
          <w:rtl w:val="true"/>
          <w:lang w:bidi="ar-SA"/>
        </w:rPr>
        <w:t>على عدم اعتباره، وهكذا في الصلاة خلف المخالفين، التي ورد فيها أخبار كثيرة آمرة بالصلاة معهم تقيّة</w:t>
      </w:r>
      <w:r>
        <w:rPr>
          <w:rStyle w:val="FootnoteAnchor"/>
          <w:rtl w:val="true"/>
        </w:rPr>
        <w:footnoteReference w:id="1131"/>
      </w:r>
      <w:r>
        <w:rPr>
          <w:rFonts w:ascii="Amiri" w:hAnsi="Amiri" w:eastAsia="Amiri" w:cs="Amiri"/>
          <w:color w:val="111111"/>
          <w:sz w:val="28"/>
          <w:sz w:val="28"/>
          <w:szCs w:val="28"/>
          <w:rtl w:val="true"/>
          <w:lang w:bidi="ar-SA"/>
        </w:rPr>
        <w:t>، فإنّ حمل تلكم النصوص الكثيرة على ما إذا لم يكن هناك مندوحة في تمام الوقت بالنسبة إلى جميع الأمكنة،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لم يرد فيه إذنٌ خاص ونصٌ بالخصوص، بل كان الدليل عليه هو عمومات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كالوضوء بالنبيذ، والصّلاة إلى غير القبلة، والوضوء مع الإخلال بالموالاة، والوقوف بعرفات يوم الثامن الذي يراه القوم يوم التاسع، وما 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اعتبار عدم المندوحة، ويشهد به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عن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ضرورةٍ وصاحبها أعلم بها حين تنزل به</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الفاضلين،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شيء يضطرّ إليه ابن آدم، فقد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أحلّه اللّه له</w:t>
      </w:r>
      <w:r>
        <w:rPr>
          <w:rFonts w:eastAsia="Amiri" w:cs="Amiri" w:ascii="Amiri" w:hAnsi="Amiri"/>
          <w:color w:val="111111"/>
          <w:sz w:val="28"/>
          <w:szCs w:val="28"/>
          <w:rtl w:val="true"/>
          <w:lang w:bidi="ar-SA"/>
        </w:rPr>
        <w:t>»</w:t>
      </w:r>
      <w:r>
        <w:rPr>
          <w:rStyle w:val="FootnoteAnchor"/>
          <w:rtl w:val="true"/>
        </w:rPr>
        <w:footnoteReference w:id="1133"/>
      </w:r>
      <w:r>
        <w:rPr>
          <w:rFonts w:ascii="Amiri" w:hAnsi="Amiri" w:eastAsia="Amiri" w:cs="Amiri"/>
          <w:color w:val="111111"/>
          <w:sz w:val="28"/>
          <w:sz w:val="28"/>
          <w:szCs w:val="28"/>
          <w:rtl w:val="true"/>
          <w:lang w:bidi="ar-SA"/>
        </w:rPr>
        <w:t>وفي معناهما روايات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البزنطي، عن إبراهيم بن شيبة،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جعفر الثاني عليه السلام أسأله عن الصلاة خلف من يتولّى أمير المؤمنين عليه السلام وهو يرى المسح على الخُفّين، أو خلف من يُحرّم المسح وهو يمسح‌؟</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جامعك وإيّاهم موضعٌ لا تجد بُدّأ من الصلاة معهم فأذّن لنفسك وأقم</w:t>
      </w:r>
      <w:r>
        <w:rPr>
          <w:rFonts w:eastAsia="Amiri" w:cs="Amiri" w:ascii="Amiri" w:hAnsi="Amiri"/>
          <w:color w:val="111111"/>
          <w:sz w:val="28"/>
          <w:szCs w:val="28"/>
          <w:rtl w:val="true"/>
          <w:lang w:bidi="ar-SA"/>
        </w:rPr>
        <w:t>»</w:t>
      </w:r>
      <w:r>
        <w:rPr>
          <w:rStyle w:val="FootnoteAnchor"/>
          <w:rtl w:val="true"/>
        </w:rPr>
        <w:footnoteReference w:id="1134"/>
      </w:r>
      <w:r>
        <w:rPr>
          <w:rFonts w:ascii="Amiri" w:hAnsi="Amiri" w:eastAsia="Amiri" w:cs="Amiri"/>
          <w:color w:val="111111"/>
          <w:sz w:val="28"/>
          <w:sz w:val="28"/>
          <w:szCs w:val="28"/>
          <w:rtl w:val="true"/>
          <w:lang w:bidi="ar-SA"/>
        </w:rPr>
        <w:t>الحديث، 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النصوص يقيّد إطلاق ما يدلّ على عدم الاعتبار لو كان هناك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المندوحة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بالتمكّن من إتيان المأمور به الاختياري في جزءٍ من الوقت ولو في 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بالتمكّن منه مع تغيّير المكان، كما إذا كان في المسجد وكان الصلاة فيه مستلزماً للتكتّف، ولكن له أن يدخل بيته ويغلق الباب على نفسه ويُصلّي من غير تكتّف</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بالتمكّن من إيجاد الفعل الصحيح الواقعي حين امتثاله، كما إذا تمكّن في حال الوضوء من تلبيس الأمر عليهم بصبّ الماء من الكفّ إلى المرفق المعبّر عنه في الأخبار بردّ الشعر، لكن ينوي غَسل اليد عند رجوع الماء من المرفق، أو تمكّن عند إرادة التكفير من الفصل بين يديه وعدم وضع بطن إحداهما على ظهر الاُخرى‌، بل يقرّب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ذهب الشيخ الأعظم الأنصاري رحمه الله إلى اعتبار عدم المندوحة بالنحوين الأخيرين دون الأوّل</w:t>
      </w:r>
      <w:r>
        <w:rPr>
          <w:rStyle w:val="FootnoteAnchor"/>
          <w:rtl w:val="true"/>
        </w:rPr>
        <w:footnoteReference w:id="1135"/>
      </w:r>
      <w:r>
        <w:rPr>
          <w:rFonts w:ascii="Amiri" w:hAnsi="Amiri" w:eastAsia="Amiri" w:cs="Amiri"/>
          <w:color w:val="111111"/>
          <w:sz w:val="28"/>
          <w:sz w:val="28"/>
          <w:szCs w:val="28"/>
          <w:rtl w:val="true"/>
          <w:lang w:bidi="ar-SA"/>
        </w:rPr>
        <w:t>، واستند في اعتباره بالنحوين إلى العمومات الدالّة على أنّ التقيّة في كلّ شيء يضطرّ إليه ابن آدم، فإنّ ظاهرها حصر التقيّة في حال الاضطرار، ولا يصدق الاضطرار مع التمكّن من تبديل موضوع التقيّة، وفي عدم اعتباره بالنحو الأوّل استند إلى أنّ الأخبار بين ظاهر وصريح في خلافه، وإلى لزوم الحَرَج العظيم من اعتباره، وإلى أنّ التقيّة إنّما شُرِّعت تسهيلاً للأمر على الشيعة، وإلى أنّ ذلك ربما يؤدّي إلى اطّلاعهم على ذلك ويترتّب عليه مفسدة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عدم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الظاهرة أو الصريحة فيه، إنّما هي في الموارد الخاصّة، وظهور خبر أو صراحته في ذلك من عمومات التقيّة غير ثابت، وعلى فرض الظهور يقدم عليه ما استدلّ به للاعتبار، ومحلّ الكلام ما لو لم يلزم الحرج ولا ترتُّب مفسدة أهمّ‌، ومجرّد كون التقيّة إنّما شُرِّعت للتسهيل لا يقتضي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فالأظهر اعتبار عدم المندوحة مطلقاً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عن المحقّق رحمه الله</w:t>
      </w:r>
      <w:r>
        <w:rPr>
          <w:rStyle w:val="FootnoteAnchor"/>
          <w:rtl w:val="true"/>
        </w:rPr>
        <w:footnoteReference w:id="1136"/>
      </w:r>
      <w:r>
        <w:rPr>
          <w:rFonts w:ascii="Amiri" w:hAnsi="Amiri" w:eastAsia="Amiri" w:cs="Amiri"/>
          <w:color w:val="111111"/>
          <w:sz w:val="28"/>
          <w:sz w:val="28"/>
          <w:szCs w:val="28"/>
          <w:rtl w:val="true"/>
          <w:lang w:bidi="ar-SA"/>
        </w:rPr>
        <w:t>في بعض فوائده من التفصيل بين ما إذا كان المأمور به في التقيّة بطريق الخصوص فيصحّ وإنْ كان ثمّة مندوحة، أو بطريق العموم فلا يجزي إلّامع عدم المندوحة، هو الصحيح، وإنْ كان ما استدلّ به الشيخ الأعظم رحمه الله له بظاهره غير تامّ‌، لكنّه قابل لتوجيهه بنحو ينطبق على ما حقّقناه، فلا يرد عليه إيراد الشيخ رحمه الله من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أراد من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لم يرد فيه نص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الإذن في امتثال العمل على وجه التقيّة، أنّه لا دليل حينئذٍ على مشروعيّة الدخول في العمل المفروض، امتثالاً للأوامر المطلقة المتعلّقة بالعمل الواقعي، إذ الأمر بالتقيّة لا يستلزم الإذن في امتثال تلك الأوامر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به عدم النصّ الدالّ على الإذن في هذه العبادة بالخصوص، وإنْ كان هناك نصٌّ عام دالٌّ على الإذن في امتثال أوامر مطلق العبادات على وجه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النص كما يكفي للدخول في العبادة امتثالاً للأمر المتعلّق بها، كذلك يوجبُ موافقته الإجزاء، وعدم وجوب الإعادة في الزمان الثاني إذا ارتفعت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كون متعلّق التقيّة مأذوناً فيه بالخصوص أو بالعموم لا نفهم له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عدم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أنّ الفرق بينهما ظهور النص الخاص، بل صراحته في عدم اعتبار المندوحة، وظهور النص العام في اعتبار عدم المندوحة في أطراف ما ذكرناه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ما ورد فيه إذنٌ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باعتبار عدم المندوحة بالمعنى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بعيداً، ولكن للكلام فيه محلٌّ آخر، قد أشبعناه في الأجزاء السابقة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w:t>
      </w:r>
      <w:bookmarkStart w:id="264" w:name="pg11810_104416"/>
    </w:p>
    <w:p>
      <w:pPr>
        <w:pStyle w:val="Heading3"/>
        <w:numPr>
          <w:ilvl w:val="2"/>
          <w:numId w:val="1"/>
        </w:numPr>
        <w:rPr/>
      </w:pPr>
      <w:bookmarkStart w:id="265" w:name="__RefHeading___Toc10745934_73709187"/>
      <w:bookmarkStart w:id="266" w:name="_Toc88"/>
      <w:bookmarkEnd w:id="264"/>
      <w:bookmarkEnd w:id="265"/>
      <w:r>
        <w:rPr>
          <w:rtl w:val="true"/>
        </w:rPr>
        <w:t>حكم العبادة مع ترك التقيّة</w:t>
      </w:r>
      <w:bookmarkEnd w:id="266"/>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خالف التقيّة وأتى بالعبادة على طبق المذهب الحقّ‌، كما لو توضّأ مع المسح على البشرة، أو صلّى بلا تكتّف، أو وقف بعرفات يوم التاسع، ولم يقف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يصحّ عمله أم لا؟</w:t>
      </w:r>
    </w:p>
    <w:p>
      <w:pPr>
        <w:pStyle w:val="BookText"/>
        <w:rPr/>
      </w:pPr>
      <w:r>
        <w:rPr>
          <w:rFonts w:ascii="Amiri" w:hAnsi="Amiri" w:eastAsia="Amiri" w:cs="Amiri"/>
          <w:color w:val="111111"/>
          <w:sz w:val="28"/>
          <w:sz w:val="28"/>
          <w:szCs w:val="28"/>
          <w:rtl w:val="true"/>
          <w:lang w:bidi="ar-SA"/>
        </w:rPr>
        <w:t>أم يفصّل بين ما إذا وجبت التقيّة فلا يصحّ‌، وبين ما إذا لم تجب فيصحّ؟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الصحّة مع عدم تعيّن التقيّة، لأنّ معنى عدم الوجوب جواز العمل على وفق مذهب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مورد وجوبها، فأقوال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العمل، ومنشأه أحد اُمور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أوامر التقيّة من قبيل أوامر الأبدال الاضطراريّة دالّة على جزئيّة ما يؤتي به تقيّةً وشرطيّته، وكونه بدلاً عن المأمور به الاختياري، فيكون المسح على الخُفّين قيداً للوضوء في حال التقيّة، فالإخلال به إخلالٌ بالواجب، فيكون باطلاً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كون الأمر بالعمل على طبق التقيّة مستلزماً للنهي عن ضدّه، وهو العمل الموافق لمذهب الحقّ‌، والنهي عن العبادة يستلزم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كون ترك العمل بالحقّ لكونه موافقاً للتقيّة واجباً، وهو يلازم حرمة الفعل، والحرمة تستلزم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الأمر بالتقيّة لما فيها مصلحة أهمّ ممّا في العمل بالحقّ‌، لا يوجبُ سقوط الأمر به حتّى بنحو الترتّب، فما يأتي به يكون مأموراً به بنحو </w:t>
      </w:r>
    </w:p>
    <w:p>
      <w:pPr>
        <w:pStyle w:val="BookText"/>
        <w:rPr/>
      </w:pPr>
      <w:r>
        <w:rPr>
          <w:rFonts w:ascii="Amiri" w:hAnsi="Amiri" w:eastAsia="Amiri" w:cs="Amiri"/>
          <w:color w:val="111111"/>
          <w:sz w:val="28"/>
          <w:sz w:val="28"/>
          <w:szCs w:val="28"/>
          <w:rtl w:val="true"/>
          <w:lang w:bidi="ar-SA"/>
        </w:rPr>
        <w:t>الترتّب، فيكون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الأمر بالشيء لا يقتضي النهي عن ضدّه، مع أنّ العمل بالتقيّة ليس ضدّاً للعمل بالحقّ‌، لإمكان اجتماعهما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إليهما أنّ الاقتضاء على القول به إنّما هو في المأمور به المضيّق، والواجب للتقيّة في المقام من قبيل الواجب الموسّع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ترك الواجب لا يكون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ترتّب على العمل بالحقّ ضررٌ يحرم تحمّله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كقتل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يحرم لكونه سبباً للحرام، ولكنّه فردٌ نادرٌ، والغالب عدم حرمة تحمّل ما يترتّب على ترك التقيّة من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العمل، ومنشأها ما ذكرناه آنفاً، وقد استدلّ له بما في رسالة الشيخ الأعظم رحمه الله بأنّ تعلّق الأمر بالتقيّة لا يكون من جهة تقيّد الأمر بذلك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أمراً ضمنيّاً وإرشاداً إلى القيديّة، بل هو من حيث نفس الفعل الخارجي، وهو أمرٌ استقلالي، ويوجبُ وجوب العمل بالتقيّة في ضمن المأمور به، فالمأمور به في حال التقيّة ليس هو الوضوء المشتمل على غَسل الرجلين مثلاً، بل نفس غسل الرجلين الواقع في الوضوء، فمخالفة الأمر بالتقيّة إنّما توجب الإثم لا بطلان الوضوء، فيكون من قبيل النظر إلى الأجنبيّة في أثناء الصلاة</w:t>
      </w:r>
      <w:r>
        <w:rPr>
          <w:rFonts w:eastAsia="Amiri" w:cs="Amiri" w:ascii="Amiri" w:hAnsi="Amiri"/>
          <w:color w:val="111111"/>
          <w:sz w:val="28"/>
          <w:szCs w:val="28"/>
          <w:rtl w:val="true"/>
          <w:lang w:bidi="ar-SA"/>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تمّ فلابدّ من تقيّيده بما إذا لم يلزم من ذلك ما يوجبُ بمقتضى القواعد البطلان، كما ستعرف عند توجيه القول الثالث</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ما تقدّم في توجيه دلالة نصوص التقيّة على الإجزاء من أنّها تدلّ على بدليّة المأتي به تقيّةً عن المأمور به الاختياري، ومضافاً إلى أنّ لازم ذلك</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صحّة الوضوء مع ترك المسح على البشرة وعلى الخُفّين وغَسل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بالمسح على البشرة ينحلّ إلى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بالمسح، وأمرٌ بالمباشرة، أو أمرٌ بإيصال الماء، وأمرٌ بالمسح، فإذا تعذّر الثاني لم يسقط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رسالة الشيخ</w:t>
      </w:r>
      <w:r>
        <w:rPr>
          <w:rStyle w:val="FootnoteAnchor"/>
          <w:rtl w:val="true"/>
        </w:rPr>
        <w:footnoteReference w:id="1138"/>
      </w:r>
      <w:r>
        <w:rPr>
          <w:rFonts w:ascii="Amiri" w:hAnsi="Amiri" w:eastAsia="Amiri" w:cs="Amiri"/>
          <w:color w:val="111111"/>
          <w:sz w:val="28"/>
          <w:sz w:val="28"/>
          <w:szCs w:val="28"/>
          <w:rtl w:val="true"/>
          <w:lang w:bidi="ar-SA"/>
        </w:rPr>
        <w:t>من الغرائب، فإنّه لا يفهم العرف من الأمر بالمسح على البشرة ذلك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تمّ المثال، لا يتمّ في الحَجّ مع ترك الوقوف في اليوم الثامن والتاسع،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ما إذا لزم من ترك التقيّة الإتيان بما يحرم عليه في تلك الحال، مع كون المحرّم متّحداً مع المأمور به، كما في السجود على التربة الحسينيّة، مع اقتضاء التقيّة تركه، فالبطلان، فإنّ السجود في المثال يقع منهيّاً عنه، فيفسد، وتفسد بتبعه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ما لو لم يلزم ذلك، بل كان ترك التقيّة بترك ما كان يجبُ عليه في حال التقيّة، كترك التكتيف في الصلاة في ما يجب عليه التكتّف تقيّةً‌، فالصحّة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هذا القول الشيخ الأعظم رحمه الله</w:t>
      </w:r>
      <w:r>
        <w:rPr>
          <w:rStyle w:val="FootnoteAnchor"/>
          <w:rtl w:val="true"/>
        </w:rPr>
        <w:footnoteReference w:id="1139"/>
      </w:r>
      <w:r>
        <w:rPr>
          <w:rFonts w:ascii="Amiri" w:hAnsi="Amiri" w:eastAsia="Amiri" w:cs="Amiri"/>
          <w:color w:val="111111"/>
          <w:sz w:val="28"/>
          <w:sz w:val="28"/>
          <w:szCs w:val="28"/>
          <w:rtl w:val="true"/>
          <w:lang w:bidi="ar-SA"/>
        </w:rPr>
        <w:t>، واستدلّ للصحّة في الفرض الثاني بما ذكرناه في توجيه القول الثاني، وللبطلان في الفرض الأوّل بما أشرنا إليه من أنّ السجود مثلاً يصير منهيّاً، فيلزم اجتماع الأمر والنهي، فيقدّم جانب النهي، فيفسد السجود، وبفساده يفسد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الوجهان الأولان اللّذان أوردناهما على دليل القول الثاني</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صحّة العمل، إلّافيما إذا كان العمل بنفسه سبباً للحرام، وقد عرفتَ أنّه فرضٌ نادر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67" w:name="pg11810_104419"/>
    </w:p>
    <w:p>
      <w:pPr>
        <w:pStyle w:val="Heading3"/>
        <w:numPr>
          <w:ilvl w:val="2"/>
          <w:numId w:val="1"/>
        </w:numPr>
        <w:rPr/>
      </w:pPr>
      <w:bookmarkStart w:id="268" w:name="__RefHeading___Toc10745936_73709187"/>
      <w:bookmarkStart w:id="269" w:name="_Toc89"/>
      <w:bookmarkEnd w:id="267"/>
      <w:bookmarkEnd w:id="268"/>
      <w:r>
        <w:rPr>
          <w:rtl w:val="true"/>
        </w:rPr>
        <w:t>التقيّة عن غير المخالف</w:t>
      </w:r>
      <w:bookmarkEnd w:id="269"/>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يتوهّم أنّه يشترط في إجزاء العمل على طبق التقيّة، أن تكون التقيّة من مذهب المخالفين، لأنّه هو المتيقّن من الأدلّة الواردة في الإذن في العبادات على وجه التقيّة، لأنّ المتبادر هو التقيّة من مذهب المخالفين، فلا يجري في التقيّة عن الكفّار أو ظلمة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بالمتيقّن إنّما هو مع فرض عدم الإطلاق للأدلة، وحيث أنّ التقيّة في لسان الأئمّة المعصومين عليهم السلام لا تختصّ بالتقيّة من مذهب المخالفين، بل صريح جملةٍ من الأخبار استعمالها في غيرها كما يظهر لمن راجعها، بل التقيّة استعملت في الكتاب العزيز في غيرها كما مرّ، يثبت شمول أدلّة التقيّة حتّى عن غير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مسعدة بن صدقة،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ما يُتّقى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قومُ سوءٍ ظاهر حكمهم وفعلهم على غير حكم الحقّ وفعله، فكلّ شيء يعمله المؤمن بينهم لمكان التقيّة ممّا لا يؤدّي إلى الفساد في الدِّين، فهو جائز</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كالصريح في العموم، فلا محالة تكون أدلّة الإجزاء مطلقة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 من نصوصها كموثّق سماعة</w:t>
      </w:r>
      <w:r>
        <w:rPr>
          <w:rStyle w:val="FootnoteAnchor"/>
          <w:rtl w:val="true"/>
        </w:rPr>
        <w:footnoteReference w:id="1141"/>
      </w:r>
      <w:r>
        <w:rPr>
          <w:rFonts w:ascii="Amiri" w:hAnsi="Amiri" w:eastAsia="Amiri" w:cs="Amiri"/>
          <w:color w:val="111111"/>
          <w:sz w:val="28"/>
          <w:sz w:val="28"/>
          <w:szCs w:val="28"/>
          <w:rtl w:val="true"/>
          <w:lang w:bidi="ar-SA"/>
        </w:rPr>
        <w:t xml:space="preserve">وإنْ كان مختصّاً، إلّاأنّه عُلّل فيه الحكم بما هو ظاهر في العموم، فإذن لا إشكال في العموم وعدم الاختصاص، وقد </w:t>
      </w:r>
    </w:p>
    <w:p>
      <w:pPr>
        <w:pStyle w:val="BookText"/>
        <w:rPr/>
      </w:pPr>
      <w:r>
        <w:rPr>
          <w:rFonts w:ascii="Amiri" w:hAnsi="Amiri" w:eastAsia="Amiri" w:cs="Amiri"/>
          <w:color w:val="111111"/>
          <w:sz w:val="28"/>
          <w:sz w:val="28"/>
          <w:szCs w:val="28"/>
          <w:rtl w:val="true"/>
          <w:lang w:bidi="ar-SA"/>
        </w:rPr>
        <w:t>مرّ عند بيان الحكم التكليفي للتقيّة ما يظهر منه حكم المقام، فراجع</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تمام الكلام فيمايتعلّق بالتقيَّة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الفراغ منه عصر يوم الجمعة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والحمد للّه أوّلاً وآخراً، وظاهراً وباطناً، وصلّى اللّه على محمّدٍ وعلى آله الطيبين الطاهرين الهدُاة المعصومين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bookmarkStart w:id="270" w:name="pg11810_104421"/>
    </w:p>
    <w:p>
      <w:pPr>
        <w:pStyle w:val="Heading2"/>
        <w:numPr>
          <w:ilvl w:val="1"/>
          <w:numId w:val="1"/>
        </w:numPr>
        <w:rPr/>
      </w:pPr>
      <w:bookmarkStart w:id="271" w:name="__RefHeading___Toc10745938_73709187"/>
      <w:bookmarkStart w:id="272" w:name="_Toc90"/>
      <w:bookmarkEnd w:id="270"/>
      <w:bookmarkEnd w:id="271"/>
      <w:r>
        <w:rPr>
          <w:rtl w:val="true"/>
        </w:rPr>
        <w:t>فهرس الموضوعات</w:t>
      </w:r>
      <w:bookmarkEnd w:id="272"/>
    </w:p>
    <w:p>
      <w:pPr>
        <w:pStyle w:val="BookText"/>
        <w:rPr/>
      </w:pPr>
      <w:r>
        <w:rPr>
          <w:rFonts w:ascii="IRNazanin" w:hAnsi="IRNazanin" w:eastAsia="IRNazanin"/>
          <w:color w:val="111111"/>
          <w:sz w:val="28"/>
          <w:sz w:val="28"/>
          <w:szCs w:val="28"/>
          <w:rtl w:val="true"/>
          <w:lang w:bidi="fa-IR"/>
        </w:rPr>
        <w:t>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اعتبار الطهارة في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حكم طواف المُحدِث بالحَدَث الأكبر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إزالة النجاسة من شرائط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اعتبار سَتر العورة في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اعتبار إباحة السّاتر في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يعتبر الختان في الطواف للرجل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واجبات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اعتبارُ جَعل البيت على اليسار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اعتبار إدخال حِجْر إسماعيل في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يعتبر أنْ يكون الطواف بين المقام والبيت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وجوب ركعتي الطواف خلف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محلّ إيقاع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حكم نسيان ركعتي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حكم ترك صلاة الطواف عمداً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وجوب المبادرة إلى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مقدّمات الطواف المستحبّة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استحباب 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استلام 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استحباب الدّعاء في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استحباب التزام المُستجار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استحباب استلام الأركان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مقدار الطواف المستحبّ‌</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كراهة الكلام أثناء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الطواف ركن يبطل الحَجّ بتركه عمداً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عدم بطلان الحَجّ بترك الطواف نسياناً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وجوب الاستنابة في الطواف لو تعذّر العود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ما به يتحقّق الترك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وجوب إعادة السعي مع قضاء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وجوب الكفّارة على من واقع أهله قبل قضاء الفائت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حكم نسيان طواف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حكم الشكّ في عدد الطواف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القِران بين الطوافين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حكم الزيادة على الطواف عمداً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حكم الزيادة سهواً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وجوب الإتيان بصلاة الطواف الواجب قبل السعي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حكم من نقص من طوافه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عدم جواز تقديم الطواف والسّعي على الوقوف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السعي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بيان المراد من الصَّفا والمروة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كيفيّة السعي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مستحبّات السّعي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السعي ركنٌ للحَجّ‌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الزّيادة على السّبع متعمّداً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حكم الزيادة في السعي سهواً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الشكّ في عدد الأسواط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حكم قطع السعي في وقت الفريضة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حكم الإحلال بظنّ الإتمام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التقصير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أفعال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الوقوف بعرفات ركن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كيفيّة الوقوف بعرفات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وجوب الوقوف من أوّل الزوال</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فروع الوقوف بعرفات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وقت الوقوف الإضطراري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حكم من أفاض من عرفات قبل الغروب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لا يُجزي الوقوف بحدود 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وقت الخروج من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بعض آداب الوقوف بعرفات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استحباب الدّعاء في عرفات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مكروهات الوقوف بعرفات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كفاية الحَجّ الذي وقع على طبق حكم قاضي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بحث حول التقيّة في الوقوف بعرفات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دليل التقيّة شاملٌ لجميع العبادات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إعتبار المندوحة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ما لو ترك التقيّة ووقف اليوم التاسع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دلالة دليل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المراد بالتقيّة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حكم التقيّة تكليفاً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التقيّة الإكراهيّة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التقيّة الصادرة عن الخوف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الأحكام المستخرجة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التقيّة لغرض الكتمان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التقيَّة المداراتيّة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حكم التقيّة وضعاً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التقيّة في بيان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التقيَّة في ترك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التقيَّة في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إجزاء العمل على طبق 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الوجوه الأُخر للإجزاء ونقدها</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ترتّب الآثار الأخر على العمل بالتقيّة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اعتبار المندوحة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حكم العبادة مع ترك التقيّة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التقيّة عن غير المخالف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17992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17995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18001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17997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17999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17993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17994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الفشاركيّة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له صاحب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19/271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والمكروهة أربعة أشياء كالطواف في ثوب نجس وإذا أصاب بدنه نجاسة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هنا يظهر رجحان ما ذهب إليه ابن الجُنيد وابن حمزة، إلّاأنّ الأولى اجتناب ما لم يعف عنه في الصلاة، والأحوط اجتناب الجميع كما ذكره ابن إدريس</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قال بعدما نقل الكراهة عن ابن الجُنيد وابن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ولعلّه أقرب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سنن البيقي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الجامع الصغير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هامش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18061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18060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18059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19/273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العفو عمّا يعفى عنه في الصلاة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الينابيع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هامش كشف اللّثام ونسبه إليه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قال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وانظر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الطواف، والمدارك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8/119</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2/982</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8/119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18062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18063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18064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ستر العورة في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رقم </w:t>
      </w:r>
      <w:r>
        <w:rPr>
          <w:rFonts w:eastAsia="IRNazanin" w:cs="IRNazanin"/>
          <w:b w:val="false"/>
          <w:bCs w:val="false"/>
          <w:i w:val="false"/>
          <w:iCs w:val="false"/>
          <w:color w:val="333333"/>
          <w:sz w:val="20"/>
          <w:szCs w:val="20"/>
        </w:rPr>
        <w:t>18062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الصلاة في الثوب المغصوب</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19/274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17726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17725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17727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19/274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كالفاضل الهندي في كشفه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5/412</w:t>
      </w:r>
      <w:r>
        <w:rPr>
          <w:rFonts w:ascii="IRNazanin" w:hAnsi="IRNazanin" w:eastAsia="IRNazanin"/>
          <w:b w:val="false"/>
          <w:b w:val="false"/>
          <w:bCs w:val="false"/>
          <w:i w:val="false"/>
          <w:i w:val="false"/>
          <w:iCs w:val="false"/>
          <w:color w:val="333333"/>
          <w:sz w:val="20"/>
          <w:sz w:val="20"/>
          <w:szCs w:val="20"/>
          <w:rtl w:val="true"/>
        </w:rPr>
        <w:t>، ورياض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ظاهر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8/118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6/526</w:t>
      </w:r>
      <w:r>
        <w:rPr>
          <w:rFonts w:ascii="IRNazanin" w:hAnsi="IRNazanin" w:eastAsia="IRNazanin"/>
          <w:b w:val="false"/>
          <w:b w:val="false"/>
          <w:bCs w:val="false"/>
          <w:i w:val="false"/>
          <w:i w:val="false"/>
          <w:iCs w:val="false"/>
          <w:color w:val="333333"/>
          <w:sz w:val="20"/>
          <w:sz w:val="20"/>
          <w:szCs w:val="20"/>
          <w:rtl w:val="true"/>
        </w:rPr>
        <w:t>، 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16/109</w:t>
      </w:r>
      <w:r>
        <w:rPr>
          <w:rFonts w:ascii="IRNazanin" w:hAnsi="IRNazanin" w:eastAsia="IRNazanin"/>
          <w:b w:val="false"/>
          <w:b w:val="false"/>
          <w:bCs w:val="false"/>
          <w:i w:val="false"/>
          <w:i w:val="false"/>
          <w:iCs w:val="false"/>
          <w:color w:val="333333"/>
          <w:sz w:val="20"/>
          <w:sz w:val="20"/>
          <w:szCs w:val="20"/>
          <w:rtl w:val="true"/>
        </w:rPr>
        <w:t>، ورياض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6/536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19/287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17940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17909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17853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أغلب كتبه، انظر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6/533</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والظاهر الاكتفاء في تحقّق البدأة بالحَجَر بما يصدق عليه ذلك عرفاً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8/126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18298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19/291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2/690</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6/526</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8/128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5/130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17909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8/128</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5/416</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19/292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19/292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6/534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19/292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17940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17939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17941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المشهور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17928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6/536</w:t>
      </w:r>
      <w:r>
        <w:rPr>
          <w:rFonts w:ascii="IRNazanin" w:hAnsi="IRNazanin" w:eastAsia="IRNazanin"/>
          <w:b w:val="false"/>
          <w:b w:val="false"/>
          <w:bCs w:val="false"/>
          <w:i w:val="false"/>
          <w:i w:val="false"/>
          <w:iCs w:val="false"/>
          <w:color w:val="333333"/>
          <w:sz w:val="20"/>
          <w:sz w:val="20"/>
          <w:szCs w:val="20"/>
          <w:rtl w:val="true"/>
        </w:rPr>
        <w:t xml:space="preserve">، وفي هامشه عن مفاتيح الشرائع كتاب الحَجّ مسألة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 عندنا أن يكون الطواف بين البيت والمقام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17920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17921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8/131</w:t>
      </w:r>
      <w:r>
        <w:rPr>
          <w:rFonts w:ascii="IRNazanin" w:hAnsi="IRNazanin" w:eastAsia="IRNazanin"/>
          <w:b w:val="false"/>
          <w:b w:val="false"/>
          <w:bCs w:val="false"/>
          <w:i w:val="false"/>
          <w:i w:val="false"/>
          <w:iCs w:val="false"/>
          <w:color w:val="333333"/>
          <w:sz w:val="20"/>
          <w:sz w:val="20"/>
          <w:szCs w:val="20"/>
          <w:rtl w:val="true"/>
        </w:rPr>
        <w:t xml:space="preserve">، 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19/298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إلى الأصحاب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19/298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وللشافعي فيه 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مثل ما قلناه، والآخر أنّهما غير واجبتين، وهو أصحّ القولين عندهم، وبه قال به قومٌ من أصحابنا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18147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18145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المقام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فقه الرضا عليه السلام لابن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لكنّه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والمقنع لولده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ائتِ مقام إبراهيم عليه السلام فصلِّ ركعتين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مقام إبراهيم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ابن بابويه بعدم جوازهما إلّاخلف المقام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هامش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12/137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الذخيرة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الصدوق في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ونسبه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والد الصدوق</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18127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18134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18129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18144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6/529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6/543</w:t>
      </w:r>
      <w:r>
        <w:rPr>
          <w:rFonts w:ascii="IRNazanin" w:hAnsi="IRNazanin" w:eastAsia="IRNazanin"/>
          <w:b w:val="false"/>
          <w:b w:val="false"/>
          <w:bCs w:val="false"/>
          <w:i w:val="false"/>
          <w:i w:val="false"/>
          <w:iCs w:val="false"/>
          <w:color w:val="333333"/>
          <w:sz w:val="20"/>
          <w:sz w:val="20"/>
          <w:szCs w:val="20"/>
          <w:rtl w:val="true"/>
        </w:rPr>
        <w:t>، ومستند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12/156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18119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18119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17803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18122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الشهيد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والفاضل الهندى فى كشف اللّثام مع دعواه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12/143</w:t>
      </w:r>
      <w:r>
        <w:rPr>
          <w:rFonts w:ascii="IRNazanin" w:hAnsi="IRNazanin" w:eastAsia="IRNazanin"/>
          <w:b w:val="false"/>
          <w:b w:val="false"/>
          <w:bCs w:val="false"/>
          <w:i w:val="false"/>
          <w:i w:val="false"/>
          <w:iCs w:val="false"/>
          <w:color w:val="333333"/>
          <w:sz w:val="20"/>
          <w:sz w:val="20"/>
          <w:szCs w:val="20"/>
          <w:rtl w:val="true"/>
        </w:rPr>
        <w:t xml:space="preserve">، بل ادّعى عليه الإجماع في كشف اللّثام ج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19/303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18127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18127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18129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18134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18140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18131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18124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18123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18135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18136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18132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المحقّق 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12/147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كالفاضل 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12/147</w:t>
      </w:r>
      <w:r>
        <w:rPr>
          <w:rFonts w:ascii="IRNazanin" w:hAnsi="IRNazanin" w:eastAsia="IRNazanin"/>
          <w:b w:val="false"/>
          <w:b w:val="false"/>
          <w:bCs w:val="false"/>
          <w:i w:val="false"/>
          <w:i w:val="false"/>
          <w:iCs w:val="false"/>
          <w:color w:val="333333"/>
          <w:sz w:val="20"/>
          <w:sz w:val="20"/>
          <w:szCs w:val="20"/>
          <w:rtl w:val="true"/>
        </w:rPr>
        <w:t>، والسيّد العاملي في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8/153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8/136</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12/149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18125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12/151</w:t>
      </w:r>
      <w:r>
        <w:rPr>
          <w:rFonts w:ascii="IRNazanin" w:hAnsi="IRNazanin" w:eastAsia="IRNazanin"/>
          <w:b w:val="false"/>
          <w:b w:val="false"/>
          <w:bCs w:val="false"/>
          <w:i w:val="false"/>
          <w:i w:val="false"/>
          <w:iCs w:val="false"/>
          <w:color w:val="333333"/>
          <w:sz w:val="20"/>
          <w:sz w:val="20"/>
          <w:szCs w:val="20"/>
          <w:rtl w:val="true"/>
        </w:rPr>
        <w:t>، والسيّد الطباطبائي في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6/547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8/137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6/547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16/147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الشيخ الصدوق في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والمفيد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وسلّار في 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وحكى الشهرة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المختلف</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16/134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19/301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18145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17796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18151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18152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18155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18154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16/152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كراهة النوافل في خمسة أوقات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19/325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هامش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17557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17558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هامش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2/688</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17560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17559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17552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17563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17572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8/119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والمحقّق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وحكاه في الذخيرة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المصنّف وجماعة من الأصحاب،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كالشهيد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وابن فهد في الرسائل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17562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17567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17556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17555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إجماعاً كما عن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8/106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17831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17832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17853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17854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17858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17855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هامش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لابن البرّاج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8/106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17809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17888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17918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19/346</w:t>
      </w:r>
      <w:r>
        <w:rPr>
          <w:rFonts w:ascii="IRNazanin" w:hAnsi="IRNazanin" w:eastAsia="IRNazanin"/>
          <w:b w:val="false"/>
          <w:b w:val="false"/>
          <w:bCs w:val="false"/>
          <w:i w:val="false"/>
          <w:i w:val="false"/>
          <w:iCs w:val="false"/>
          <w:color w:val="333333"/>
          <w:sz w:val="20"/>
          <w:sz w:val="20"/>
          <w:szCs w:val="20"/>
          <w:rtl w:val="true"/>
        </w:rPr>
        <w:t>، راجع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وحكاه عن الأزهري أيضاً،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17851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17850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17852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سلّار الديلمي في 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17863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17857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13/324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8/102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18167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19117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17906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17826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17876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17909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17912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17917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13/344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الحِلّي في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والفاضل الآبي في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وابن العلّامة في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المصنّف في 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1/584</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8/106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17919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والمشهور استحباب لثم الحَجَر واستلام الرّكن اليماني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وممّن قال به الشيخ المفيد في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والشيخ الصدوق في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والحلبي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والديلمي في 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والطوسي في 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المرتضى في 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وممّا إنفردت به الإماميّة القول بأنّ من السُنّة المؤكّدة إستلام الرّكن اليماني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حكى الإجماع 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17886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من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13/337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19/360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17886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17908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18166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17898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17887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19/361</w:t>
      </w:r>
      <w:r>
        <w:rPr>
          <w:rFonts w:ascii="IRNazanin" w:hAnsi="IRNazanin" w:eastAsia="IRNazanin"/>
          <w:b w:val="false"/>
          <w:b w:val="false"/>
          <w:bCs w:val="false"/>
          <w:i w:val="false"/>
          <w:i w:val="false"/>
          <w:iCs w:val="false"/>
          <w:color w:val="333333"/>
          <w:sz w:val="20"/>
          <w:sz w:val="20"/>
          <w:szCs w:val="20"/>
          <w:rtl w:val="true"/>
        </w:rPr>
        <w:t>، ومستند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17812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19/361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المحقّق النراقي إلى المشهور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17813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18071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18070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إشارة السبق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المختصر النافع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غنية النزوع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19/370</w:t>
      </w:r>
      <w:r>
        <w:rPr>
          <w:rFonts w:ascii="IRNazanin" w:hAnsi="IRNazanin" w:eastAsia="IRNazanin"/>
          <w:b w:val="false"/>
          <w:b w:val="false"/>
          <w:bCs w:val="false"/>
          <w:i w:val="false"/>
          <w:i w:val="false"/>
          <w:iCs w:val="false"/>
          <w:color w:val="333333"/>
          <w:sz w:val="20"/>
          <w:sz w:val="20"/>
          <w:szCs w:val="20"/>
          <w:rtl w:val="true"/>
        </w:rPr>
        <w:t>، والحدائق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18073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18074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كالتذكرة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2/699</w:t>
      </w:r>
      <w:r>
        <w:rPr>
          <w:rFonts w:ascii="IRNazanin" w:hAnsi="IRNazanin" w:eastAsia="IRNazanin"/>
          <w:b w:val="false"/>
          <w:b w:val="false"/>
          <w:bCs w:val="false"/>
          <w:i w:val="false"/>
          <w:i w:val="false"/>
          <w:iCs w:val="false"/>
          <w:color w:val="333333"/>
          <w:sz w:val="20"/>
          <w:sz w:val="20"/>
          <w:szCs w:val="20"/>
          <w:rtl w:val="true"/>
        </w:rPr>
        <w:t>، وجامع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وحكاه السيّدالعاملي عن الأكثر في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8/174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16/161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إشارة السبق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الرسائل العشر لابن فهد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كالحلبي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والشيخ في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19223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الوداع ح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18081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18076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في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5/476</w:t>
      </w:r>
      <w:r>
        <w:rPr>
          <w:rFonts w:ascii="IRNazanin" w:hAnsi="IRNazanin" w:eastAsia="IRNazanin"/>
          <w:b w:val="false"/>
          <w:b w:val="false"/>
          <w:bCs w:val="false"/>
          <w:i w:val="false"/>
          <w:i w:val="false"/>
          <w:iCs w:val="false"/>
          <w:color w:val="333333"/>
          <w:sz w:val="20"/>
          <w:sz w:val="20"/>
          <w:szCs w:val="20"/>
          <w:rtl w:val="true"/>
        </w:rPr>
        <w:t>، وفي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12/126</w:t>
      </w:r>
      <w:r>
        <w:rPr>
          <w:rFonts w:ascii="IRNazanin" w:hAnsi="IRNazanin" w:eastAsia="IRNazanin"/>
          <w:b w:val="false"/>
          <w:b w:val="false"/>
          <w:bCs w:val="false"/>
          <w:i w:val="false"/>
          <w:i w:val="false"/>
          <w:iCs w:val="false"/>
          <w:color w:val="333333"/>
          <w:sz w:val="20"/>
          <w:sz w:val="20"/>
          <w:szCs w:val="20"/>
          <w:rtl w:val="true"/>
        </w:rPr>
        <w:t>، عدم الخلاف في جوازالإستنابة مع العذر أو التعسّر، والرياض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وحكى الإجماع عن الغنية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الأكثر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12/126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في 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1/587</w:t>
      </w:r>
      <w:r>
        <w:rPr>
          <w:rFonts w:ascii="IRNazanin" w:hAnsi="IRNazanin" w:eastAsia="IRNazanin"/>
          <w:b w:val="false"/>
          <w:b w:val="false"/>
          <w:bCs w:val="false"/>
          <w:i w:val="false"/>
          <w:i w:val="false"/>
          <w:iCs w:val="false"/>
          <w:color w:val="333333"/>
          <w:sz w:val="20"/>
          <w:sz w:val="20"/>
          <w:szCs w:val="20"/>
          <w:rtl w:val="true"/>
        </w:rPr>
        <w:t>، والطباطبائي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والمحقّق 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والسرائر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الشهيد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والأشهر جواز الاستنابة للقادر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8/176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النراقي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12/126</w:t>
      </w:r>
      <w:r>
        <w:rPr>
          <w:rFonts w:ascii="IRNazanin" w:hAnsi="IRNazanin" w:eastAsia="IRNazanin"/>
          <w:b w:val="false"/>
          <w:b w:val="false"/>
          <w:bCs w:val="false"/>
          <w:i w:val="false"/>
          <w:i w:val="false"/>
          <w:iCs w:val="false"/>
          <w:color w:val="333333"/>
          <w:sz w:val="20"/>
          <w:sz w:val="20"/>
          <w:szCs w:val="20"/>
          <w:rtl w:val="true"/>
        </w:rPr>
        <w:t>، ونقل الإجماع عليه عن الغنية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18077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19/378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5/477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والتحرير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1/587</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8/117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له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والمدارك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8/177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19/376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19/376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18094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18093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نفى الكفّارة عن الناسي</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8/117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ومسالك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السيّد العاملي في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8/183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17387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17388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8/183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12/129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17358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17356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نسبه الفاضل الهندي في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كلّ من الوسيلة والجامع للشرائع والنافع والتحرير والتذكرة والإرشاد والتلخيص وغيرها، ونسبها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الأكثر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18083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18086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18079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18077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2789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18084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17792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5/439</w:t>
      </w:r>
      <w:r>
        <w:rPr>
          <w:rFonts w:ascii="IRNazanin" w:hAnsi="IRNazanin" w:eastAsia="IRNazanin"/>
          <w:b w:val="false"/>
          <w:b w:val="false"/>
          <w:bCs w:val="false"/>
          <w:i w:val="false"/>
          <w:i w:val="false"/>
          <w:iCs w:val="false"/>
          <w:color w:val="333333"/>
          <w:sz w:val="20"/>
          <w:sz w:val="20"/>
          <w:szCs w:val="20"/>
          <w:rtl w:val="true"/>
        </w:rPr>
        <w:t>، بل عن النراقي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 عليه،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طبعت هذه الرسالة منفردة عن موسوعات المؤلّف في قم المقدّسة أكثر من مرّة تعميماً للفائدة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17951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17953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19/378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في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 والجامع للشرائع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8/179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كما في هامش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12/117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17949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17949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17950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18104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17952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عنهما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17946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19/379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17974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17975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17976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 الدمشقيّة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17955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17947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وفاقاً للصدوق والشيخ والقاضي والحِلّي والفاضلين، بل هو المشهور، كما في المدارك والذخيرة والمفاتيح وشرحه، بل عن الغنية الإجماع عليه، اُنظر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12/117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19/383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11203</w:t>
      </w:r>
      <w:r>
        <w:rPr>
          <w:rFonts w:ascii="IRNazanin" w:hAnsi="IRNazanin" w:eastAsia="IRNazanin"/>
          <w:b w:val="false"/>
          <w:b w:val="false"/>
          <w:bCs w:val="false"/>
          <w:i w:val="false"/>
          <w:i w:val="false"/>
          <w:iCs w:val="false"/>
          <w:color w:val="333333"/>
          <w:sz w:val="20"/>
          <w:sz w:val="20"/>
          <w:szCs w:val="20"/>
          <w:rtl w:val="true"/>
        </w:rPr>
        <w:t>، عوالي اللئالئ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17954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 كتاب الحَجّ‌، في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كما في هامش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6/548</w:t>
      </w:r>
      <w:r>
        <w:rPr>
          <w:rFonts w:ascii="IRNazanin" w:hAnsi="IRNazanin" w:eastAsia="IRNazanin"/>
          <w:b w:val="false"/>
          <w:b w:val="false"/>
          <w:bCs w:val="false"/>
          <w:i w:val="false"/>
          <w:i w:val="false"/>
          <w:iCs w:val="false"/>
          <w:color w:val="333333"/>
          <w:sz w:val="20"/>
          <w:sz w:val="20"/>
          <w:szCs w:val="20"/>
          <w:rtl w:val="true"/>
        </w:rPr>
        <w:t xml:space="preserve">، ونسبه في كشف اللّثام إلى الأكثر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8/140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17983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17979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17982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17977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17980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هامش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17990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كراهة القِران بين الْأسابيع في الواجب وجوازه في الندب وفي التقيَّة ثمَّ يُصلّي لكلِّ أُسبوعٍ ركعتين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17977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2/700</w:t>
      </w:r>
      <w:r>
        <w:rPr>
          <w:rFonts w:ascii="IRNazanin" w:hAnsi="IRNazanin" w:eastAsia="IRNazanin"/>
          <w:b w:val="false"/>
          <w:b w:val="false"/>
          <w:bCs w:val="false"/>
          <w:i w:val="false"/>
          <w:i w:val="false"/>
          <w:iCs w:val="false"/>
          <w:color w:val="333333"/>
          <w:sz w:val="20"/>
          <w:sz w:val="20"/>
          <w:szCs w:val="20"/>
          <w:rtl w:val="true"/>
        </w:rPr>
        <w:t>، 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المختصر النافع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17990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17963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أجود التقريرات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السيّد الخوئي قدس سره في أجود التقريرات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1/588</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زاد على طواف الفريضة ولو خطوة عمداً بطل الطواف كما هو المشهور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وحكاه عن الشرائع والوسيلة والإقتصاد والجمل والعقود والمهذّب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هو المشهور بين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اختاره المصنّف من تحريم الزيادة على السبع في الطواف الواجب هو المعروف من مذهب الأصحاب</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صاحب المدارك إلى عدم الدليل على زيادة ما دون الشوط،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8/139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17967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17960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8/139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17968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17965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17964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17969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6/553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19/384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17961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8/119</w:t>
      </w:r>
      <w:r>
        <w:rPr>
          <w:rFonts w:ascii="IRNazanin" w:hAnsi="IRNazanin" w:eastAsia="IRNazanin"/>
          <w:b w:val="false"/>
          <w:b w:val="false"/>
          <w:bCs w:val="false"/>
          <w:i w:val="false"/>
          <w:i w:val="false"/>
          <w:iCs w:val="false"/>
          <w:color w:val="333333"/>
          <w:sz w:val="20"/>
          <w:sz w:val="20"/>
          <w:szCs w:val="20"/>
          <w:rtl w:val="true"/>
        </w:rPr>
        <w:t>، 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الرسائل العشر لابن فهد الحِلّي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17969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17966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17965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17957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العلّامة الحِلّي في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ونسبه إلى المشهور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16/211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17972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16/211</w:t>
      </w:r>
      <w:r>
        <w:rPr>
          <w:rFonts w:ascii="IRNazanin" w:hAnsi="IRNazanin" w:eastAsia="IRNazanin"/>
          <w:b w:val="false"/>
          <w:b w:val="false"/>
          <w:bCs w:val="false"/>
          <w:i w:val="false"/>
          <w:i w:val="false"/>
          <w:iCs w:val="false"/>
          <w:color w:val="333333"/>
          <w:sz w:val="20"/>
          <w:sz w:val="20"/>
          <w:szCs w:val="20"/>
          <w:rtl w:val="true"/>
        </w:rPr>
        <w:t>، ونسبه إلى مشهور الأصحاب، 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6/559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8/171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5/426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في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والشهيد الثاني في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المحقّق الحِلّي في المختصر النافع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2801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17970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الطوسي في الرسائل العشر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والحلبي في إشارة السبق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والعلّامة في 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الجامع للشرائع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والقائل صاحب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6/565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الهندي في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5/430</w:t>
      </w:r>
      <w:r>
        <w:rPr>
          <w:rFonts w:ascii="IRNazanin" w:hAnsi="IRNazanin" w:eastAsia="IRNazanin"/>
          <w:b w:val="false"/>
          <w:b w:val="false"/>
          <w:bCs w:val="false"/>
          <w:i w:val="false"/>
          <w:i w:val="false"/>
          <w:iCs w:val="false"/>
          <w:color w:val="333333"/>
          <w:sz w:val="20"/>
          <w:sz w:val="20"/>
          <w:szCs w:val="20"/>
          <w:rtl w:val="true"/>
        </w:rPr>
        <w:t>، صاحب المدارك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8/175</w:t>
      </w:r>
      <w:r>
        <w:rPr>
          <w:rFonts w:ascii="IRNazanin" w:hAnsi="IRNazanin" w:eastAsia="IRNazanin"/>
          <w:b w:val="false"/>
          <w:b w:val="false"/>
          <w:bCs w:val="false"/>
          <w:i w:val="false"/>
          <w:i w:val="false"/>
          <w:iCs w:val="false"/>
          <w:color w:val="333333"/>
          <w:sz w:val="20"/>
          <w:sz w:val="20"/>
          <w:szCs w:val="20"/>
          <w:rtl w:val="true"/>
        </w:rPr>
        <w:t>، المحدِّث البحراني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18009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18013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18011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18012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18015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18203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18014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17942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17938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17939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18005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ومنهم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8/149</w:t>
      </w:r>
      <w:r>
        <w:rPr>
          <w:rFonts w:ascii="IRNazanin" w:hAnsi="IRNazanin" w:eastAsia="IRNazanin"/>
          <w:b w:val="false"/>
          <w:b w:val="false"/>
          <w:bCs w:val="false"/>
          <w:i w:val="false"/>
          <w:i w:val="false"/>
          <w:iCs w:val="false"/>
          <w:color w:val="333333"/>
          <w:sz w:val="20"/>
          <w:sz w:val="20"/>
          <w:szCs w:val="20"/>
          <w:rtl w:val="true"/>
        </w:rPr>
        <w:t xml:space="preserve">، 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18095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الأذهان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8/149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العلّامة في 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1/587</w:t>
      </w:r>
      <w:r>
        <w:rPr>
          <w:rFonts w:ascii="IRNazanin" w:hAnsi="IRNazanin" w:eastAsia="IRNazanin"/>
          <w:b w:val="false"/>
          <w:b w:val="false"/>
          <w:bCs w:val="false"/>
          <w:i w:val="false"/>
          <w:i w:val="false"/>
          <w:iCs w:val="false"/>
          <w:color w:val="333333"/>
          <w:sz w:val="20"/>
          <w:sz w:val="20"/>
          <w:szCs w:val="20"/>
          <w:rtl w:val="true"/>
        </w:rPr>
        <w:t xml:space="preserve">، الشيخ في النهاية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وهذاالحكم مقطوعٌ به في كلام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اختار الاسئناف مطلقاً وجعله أولى‌</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18199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8/155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الشيعة بمصباح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2/698</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8/115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كالحلبي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2/698</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8/115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18020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18022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6/570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19/337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18009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18012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19/339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ظهر لك ممّا ذكرناه أنّ المدار في إتمام الطواف واسئنافه مع القطع لعذرٍ، مجاوزة النصف وعدمه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النهاية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الجامع للشرائع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2/698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8/418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18006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8/149</w:t>
      </w:r>
      <w:r>
        <w:rPr>
          <w:rFonts w:ascii="IRNazanin" w:hAnsi="IRNazanin" w:eastAsia="IRNazanin"/>
          <w:b w:val="false"/>
          <w:b w:val="false"/>
          <w:bCs w:val="false"/>
          <w:i w:val="false"/>
          <w:i w:val="false"/>
          <w:iCs w:val="false"/>
          <w:color w:val="333333"/>
          <w:sz w:val="20"/>
          <w:sz w:val="20"/>
          <w:szCs w:val="20"/>
          <w:rtl w:val="true"/>
        </w:rPr>
        <w:t xml:space="preserve">، 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16/224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11203</w:t>
      </w:r>
      <w:r>
        <w:rPr>
          <w:rFonts w:ascii="IRNazanin" w:hAnsi="IRNazanin" w:eastAsia="IRNazanin"/>
          <w:b w:val="false"/>
          <w:b w:val="false"/>
          <w:bCs w:val="false"/>
          <w:i w:val="false"/>
          <w:i w:val="false"/>
          <w:iCs w:val="false"/>
          <w:color w:val="333333"/>
          <w:sz w:val="20"/>
          <w:sz w:val="20"/>
          <w:szCs w:val="20"/>
          <w:rtl w:val="true"/>
        </w:rPr>
        <w:t>، عوالي اللئالئ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في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والفاضل الآبي في كشف الرموز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والعلّامة في 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والطباطبائي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14/319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الإقتصاد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والمحقّق الحِلّي في الرسائل التسع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والعلّامة 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والجامع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8/420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18215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18215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18217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عملت المستحاضة بوظيفتها كانت بحكم الطاهرة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العلّامة في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2/858</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الأخير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المستحاضة تطوف بالبيت وتفعل ما تفعله الطاهرة من الصلاة فيه والسعي وغيره إذا فعلت ما تفعله المستحاضة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وعبارات العلّامة مشابهة لها في القطع بالحكم من دون ذكر خلاف، ممّا يوحي بالإجماع، وقال الشيخ في الإقتصاد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وحكم المستحاضة حكم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ويصحّ منها الصوم والصلاة ويحل لزوجها وطؤها إذا فعلت ما تفعله المستحاضة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يسظهر من منطوق كلمات بعضهم ذلك، قال أبو المجد الحلبي في إشارة السبق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ومتى ما فعلت ما يجب عليها من ذلك كان حكمها حكم الطاهرة وإلّا فلا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غير أنّ الشيخ قال في الإقتصاد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وحكم المستحاضة حكم الطاهرة ولا يحرم عليها شيء ممّا يحرم على الحائض، ويصحّ منها الصوم والصلاة ويحلّ لزوجها وطؤها إذا فعلت ما تفعله المستحاضة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السيّد الحكيم في مستمسك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إذ حمله على الكراهية المغلظة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11203</w:t>
      </w:r>
      <w:r>
        <w:rPr>
          <w:rFonts w:ascii="IRNazanin" w:hAnsi="IRNazanin" w:eastAsia="IRNazanin"/>
          <w:b w:val="false"/>
          <w:b w:val="false"/>
          <w:bCs w:val="false"/>
          <w:i w:val="false"/>
          <w:i w:val="false"/>
          <w:iCs w:val="false"/>
          <w:color w:val="333333"/>
          <w:sz w:val="20"/>
          <w:sz w:val="20"/>
          <w:szCs w:val="20"/>
          <w:rtl w:val="true"/>
        </w:rPr>
        <w:t>، عوالي اللئالئ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8/136</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19/422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12/165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18270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18273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14658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18274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14647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3/292</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14/464</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19/602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5/314</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15/275</w:t>
      </w:r>
      <w:r>
        <w:rPr>
          <w:rFonts w:ascii="IRNazanin" w:hAnsi="IRNazanin" w:eastAsia="IRNazanin"/>
          <w:b w:val="false"/>
          <w:b w:val="false"/>
          <w:bCs w:val="false"/>
          <w:i w:val="false"/>
          <w:i w:val="false"/>
          <w:iCs w:val="false"/>
          <w:color w:val="333333"/>
          <w:sz w:val="20"/>
          <w:sz w:val="20"/>
          <w:szCs w:val="20"/>
          <w:rtl w:val="true"/>
        </w:rPr>
        <w:t xml:space="preserve">، مختار الصحاح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حكاه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19/422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روي أنّ المسعى اختصر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جواهر الفقه لابن البرّاج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الوسيلة لابن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والتحرير للعلّامة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1/594</w:t>
      </w:r>
      <w:r>
        <w:rPr>
          <w:rFonts w:ascii="IRNazanin" w:hAnsi="IRNazanin" w:eastAsia="IRNazanin"/>
          <w:b w:val="false"/>
          <w:b w:val="false"/>
          <w:bCs w:val="false"/>
          <w:i w:val="false"/>
          <w:i w:val="false"/>
          <w:iCs w:val="false"/>
          <w:color w:val="333333"/>
          <w:sz w:val="20"/>
          <w:sz w:val="20"/>
          <w:szCs w:val="20"/>
          <w:rtl w:val="true"/>
        </w:rPr>
        <w:t>، كفاية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18294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18299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2/704</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وجود لكثيرٍ من هذه المعالم المذكورة في هذه الأيّام، فقد اُزيلت جميعها وهُدِّمت وتبدّلت إلى ساحات كبيرة حول المسجد الحرام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جواهر الفقه لابن البرّاج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وادّعى عليه الإجماع كلّ من العلّامة في التذكرة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8/133</w:t>
      </w:r>
      <w:r>
        <w:rPr>
          <w:rFonts w:ascii="IRNazanin" w:hAnsi="IRNazanin" w:eastAsia="IRNazanin"/>
          <w:b w:val="false"/>
          <w:b w:val="false"/>
          <w:bCs w:val="false"/>
          <w:i w:val="false"/>
          <w:i w:val="false"/>
          <w:iCs w:val="false"/>
          <w:color w:val="333333"/>
          <w:sz w:val="20"/>
          <w:sz w:val="20"/>
          <w:szCs w:val="20"/>
          <w:rtl w:val="true"/>
        </w:rPr>
        <w:t xml:space="preserve">، والمنتهى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2/705</w:t>
      </w:r>
      <w:r>
        <w:rPr>
          <w:rFonts w:ascii="IRNazanin" w:hAnsi="IRNazanin" w:eastAsia="IRNazanin"/>
          <w:b w:val="false"/>
          <w:b w:val="false"/>
          <w:bCs w:val="false"/>
          <w:i w:val="false"/>
          <w:i w:val="false"/>
          <w:iCs w:val="false"/>
          <w:color w:val="333333"/>
          <w:sz w:val="20"/>
          <w:sz w:val="20"/>
          <w:szCs w:val="20"/>
          <w:rtl w:val="true"/>
        </w:rPr>
        <w:t xml:space="preserve">، وحكاه في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16/267</w:t>
      </w:r>
      <w:r>
        <w:rPr>
          <w:rFonts w:ascii="IRNazanin" w:hAnsi="IRNazanin" w:eastAsia="IRNazanin"/>
          <w:b w:val="false"/>
          <w:b w:val="false"/>
          <w:bCs w:val="false"/>
          <w:i w:val="false"/>
          <w:i w:val="false"/>
          <w:iCs w:val="false"/>
          <w:color w:val="333333"/>
          <w:sz w:val="20"/>
          <w:sz w:val="20"/>
          <w:szCs w:val="20"/>
          <w:rtl w:val="true"/>
        </w:rPr>
        <w:t>، والرياض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18255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18275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19/410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18287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18291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18285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18288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19/411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حاكياً عدم الخلاف عن التذكرة والمنتهى‌</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18238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18241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18244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18245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12/162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العاملي في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8/205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الإشارة إلى أنّ جميع هذه المعالم قد اُزيلت من أطراف الصفا والمروة والمسجد الحرام، ولم يبق منها شيء سوى الاسطوانتين المذكورتين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19/424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18255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18258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18268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xml:space="preserve">، مفردات غريب القرآن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فالسعي ملأ الفروج أزيد من الهرولة التي هي عرفاً بين العدو والمشي</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5/467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رجحانه فبالإجماع المحقَّق والمحكيّ مستفيضاً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فلايستحبّ للنساء بلا خلاف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8/136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18310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18300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كالمراسم العلويّة لسلّار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وابن سعيد في 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والصدوق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2/536</w:t>
      </w:r>
      <w:r>
        <w:rPr>
          <w:rFonts w:ascii="IRNazanin" w:hAnsi="IRNazanin" w:eastAsia="IRNazanin"/>
          <w:b w:val="false"/>
          <w:b w:val="false"/>
          <w:bCs w:val="false"/>
          <w:i w:val="false"/>
          <w:i w:val="false"/>
          <w:iCs w:val="false"/>
          <w:color w:val="333333"/>
          <w:sz w:val="20"/>
          <w:sz w:val="20"/>
          <w:szCs w:val="20"/>
          <w:rtl w:val="true"/>
        </w:rPr>
        <w:t>، والمقنع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2/537</w:t>
      </w:r>
      <w:r>
        <w:rPr>
          <w:rFonts w:ascii="IRNazanin" w:hAnsi="IRNazanin" w:eastAsia="IRNazanin"/>
          <w:b w:val="false"/>
          <w:b w:val="false"/>
          <w:bCs w:val="false"/>
          <w:i w:val="false"/>
          <w:i w:val="false"/>
          <w:iCs w:val="false"/>
          <w:color w:val="333333"/>
          <w:sz w:val="20"/>
          <w:sz w:val="20"/>
          <w:szCs w:val="20"/>
          <w:rtl w:val="true"/>
        </w:rPr>
        <w:t>، والمبسوط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والوسيلة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والجامع للشرائع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18269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18294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19/429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18262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18264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 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18227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ادّعاه في السيّد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 بل ادّعى عليه الإجماع في الغنية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18265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18267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18266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19/430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19/430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المشهور كما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12/177</w:t>
      </w:r>
      <w:r>
        <w:rPr>
          <w:rFonts w:ascii="IRNazanin" w:hAnsi="IRNazanin" w:eastAsia="IRNazanin"/>
          <w:b w:val="false"/>
          <w:b w:val="false"/>
          <w:bCs w:val="false"/>
          <w:i w:val="false"/>
          <w:i w:val="false"/>
          <w:iCs w:val="false"/>
          <w:color w:val="333333"/>
          <w:sz w:val="20"/>
          <w:sz w:val="20"/>
          <w:szCs w:val="20"/>
          <w:rtl w:val="true"/>
        </w:rPr>
        <w:t>، بل لا خلاف ظاهر فيه كما صرّح به في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7/100</w:t>
      </w:r>
      <w:r>
        <w:rPr>
          <w:rFonts w:ascii="IRNazanin" w:hAnsi="IRNazanin" w:eastAsia="IRNazanin"/>
          <w:b w:val="false"/>
          <w:b w:val="false"/>
          <w:bCs w:val="false"/>
          <w:i w:val="false"/>
          <w:i w:val="false"/>
          <w:iCs w:val="false"/>
          <w:color w:val="333333"/>
          <w:sz w:val="20"/>
          <w:sz w:val="20"/>
          <w:szCs w:val="20"/>
          <w:rtl w:val="true"/>
        </w:rPr>
        <w:t>، بل هو مقطوعٌ به في كلام الأصحاب كما في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8/213</w:t>
      </w:r>
      <w:r>
        <w:rPr>
          <w:rFonts w:ascii="IRNazanin" w:hAnsi="IRNazanin" w:eastAsia="IRNazanin"/>
          <w:b w:val="false"/>
          <w:b w:val="false"/>
          <w:bCs w:val="false"/>
          <w:i w:val="false"/>
          <w:i w:val="false"/>
          <w:iCs w:val="false"/>
          <w:color w:val="333333"/>
          <w:sz w:val="20"/>
          <w:sz w:val="20"/>
          <w:szCs w:val="20"/>
          <w:rtl w:val="true"/>
        </w:rPr>
        <w:t xml:space="preserve">، والذخيرة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18277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18276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عنون هذه الطائفة من الروايات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طاف ثمانية أشواط عامداً فعليه إعادة السعي</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12/177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19/437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خلافٍ بل الإجماع بقسميه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وحكاه النراقي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وعليه الإجماع في كلام بعضهم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12/179</w:t>
      </w:r>
      <w:r>
        <w:rPr>
          <w:rFonts w:ascii="IRNazanin" w:hAnsi="IRNazanin" w:eastAsia="IRNazanin"/>
          <w:b w:val="false"/>
          <w:b w:val="false"/>
          <w:bCs w:val="false"/>
          <w:i w:val="false"/>
          <w:i w:val="false"/>
          <w:iCs w:val="false"/>
          <w:color w:val="333333"/>
          <w:sz w:val="20"/>
          <w:sz w:val="20"/>
          <w:szCs w:val="20"/>
          <w:rtl w:val="true"/>
        </w:rPr>
        <w:t>، وقوّاه، والرياض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نسب التخيّير إلى أكثر الأصحاب، راجع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والحدائق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16/280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16/282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18280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18281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17968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والقواعد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وحكاه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النافع ومحكي الإقتصاد والوسيلة والجامع للشرائع والمهذّب وغيرها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19/239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18283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19/443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18301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18302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18303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18304</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نعلم فيه خلافاً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وادّعى عليها الإجماع</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7/109</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19/444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18199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18200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4/170</w:t>
      </w:r>
      <w:r>
        <w:rPr>
          <w:rFonts w:ascii="IRNazanin" w:hAnsi="IRNazanin" w:eastAsia="IRNazanin"/>
          <w:b w:val="false"/>
          <w:b w:val="false"/>
          <w:bCs w:val="false"/>
          <w:i w:val="false"/>
          <w:i w:val="false"/>
          <w:iCs w:val="false"/>
          <w:color w:val="333333"/>
          <w:sz w:val="20"/>
          <w:sz w:val="20"/>
          <w:szCs w:val="20"/>
          <w:rtl w:val="true"/>
        </w:rPr>
        <w:t xml:space="preserve">، وتذكرة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كسلّار الديلمي في المراسم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وابن سعيد في الجامع للشرائع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والبحراني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16/284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18283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18284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والسبزواري في تذكرة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12/184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12/190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18317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18318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18319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18321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18323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18324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18325</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12/191</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1/580</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16/299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18327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16/300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البحراني في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16/301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8/461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لابن البرّاج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12/193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18330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18328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12/197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12/195</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كفايته من الشعر أو الظفر إلى المشهور المحقّق النراقي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12/197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مابعدها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والعلّامة في 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عليه الحِلّي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المحقّق النراقي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12/198</w:t>
      </w:r>
      <w:r>
        <w:rPr>
          <w:rFonts w:ascii="IRNazanin" w:hAnsi="IRNazanin" w:eastAsia="IRNazanin"/>
          <w:b w:val="false"/>
          <w:b w:val="false"/>
          <w:bCs w:val="false"/>
          <w:i w:val="false"/>
          <w:i w:val="false"/>
          <w:iCs w:val="false"/>
          <w:color w:val="333333"/>
          <w:sz w:val="20"/>
          <w:sz w:val="20"/>
          <w:szCs w:val="20"/>
          <w:rtl w:val="true"/>
        </w:rPr>
        <w:t xml:space="preserve">، والسبزواري في الذخيرة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ووفاقاً للشيخ الصدوق فيما حكاه عنه في الذخيرة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1/649</w:t>
      </w:r>
      <w:r>
        <w:rPr>
          <w:rFonts w:ascii="IRNazanin" w:hAnsi="IRNazanin" w:eastAsia="IRNazanin"/>
          <w:b w:val="false"/>
          <w:b w:val="false"/>
          <w:bCs w:val="false"/>
          <w:i w:val="false"/>
          <w:i w:val="false"/>
          <w:iCs w:val="false"/>
          <w:color w:val="333333"/>
          <w:sz w:val="20"/>
          <w:sz w:val="20"/>
          <w:szCs w:val="20"/>
          <w:rtl w:val="true"/>
        </w:rPr>
        <w:t>، والطوسي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والقاضي 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والإرشاد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به الديلمى فى 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وابن إدريس فى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580/1</w:t>
      </w:r>
      <w:r>
        <w:rPr>
          <w:rFonts w:ascii="IRNazanin" w:hAnsi="IRNazanin" w:eastAsia="IRNazanin"/>
          <w:b w:val="false"/>
          <w:b w:val="false"/>
          <w:bCs w:val="false"/>
          <w:i w:val="false"/>
          <w:i w:val="false"/>
          <w:iCs w:val="false"/>
          <w:color w:val="333333"/>
          <w:sz w:val="20"/>
          <w:sz w:val="20"/>
          <w:szCs w:val="20"/>
          <w:rtl w:val="true"/>
        </w:rPr>
        <w:t>، والعلّامة فى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أكثر الأصحاب في قبال الشيخ في الخلاف وابن أبي عقيل حيث ذهبا إلى أنّه متى ساق الهَدي معه فإنّه لا يحلّ حتّى يبلغ الهَدْي محلّه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18340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الذخيرة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لاخلاف في هذا الحكم عند الأصحاب</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14/330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المبسوط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المهذّب لابن البرّاج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السرائر للحِلّي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النراقي في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11388</w:t>
      </w:r>
      <w:r>
        <w:rPr>
          <w:rFonts w:ascii="IRNazanin" w:hAnsi="IRNazanin" w:eastAsia="IRNazanin"/>
          <w:b w:val="false"/>
          <w:b w:val="false"/>
          <w:bCs w:val="false"/>
          <w:i w:val="false"/>
          <w:i w:val="false"/>
          <w:iCs w:val="false"/>
          <w:color w:val="333333"/>
          <w:sz w:val="20"/>
          <w:sz w:val="20"/>
          <w:szCs w:val="20"/>
          <w:rtl w:val="true"/>
        </w:rPr>
        <w:t>، 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11388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18417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القواعد الوقوف الاختياري بعرفة ركنٌ‌، ومقتضاه عدم الإجتزاء بالإضطراري مع تركه عمداً وهو كذلك، بل هو صريح المصنّف، بل قيل يعطيه النهاية والمبسوط والمهذّب والسرائر والنافع لإطلاق الأدلّة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وكذلك في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 من النهاية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1/588</w:t>
      </w:r>
      <w:r>
        <w:rPr>
          <w:rFonts w:ascii="IRNazanin" w:hAnsi="IRNazanin" w:eastAsia="IRNazanin"/>
          <w:b w:val="false"/>
          <w:b w:val="false"/>
          <w:bCs w:val="false"/>
          <w:i w:val="false"/>
          <w:i w:val="false"/>
          <w:iCs w:val="false"/>
          <w:color w:val="333333"/>
          <w:sz w:val="20"/>
          <w:sz w:val="20"/>
          <w:szCs w:val="20"/>
          <w:rtl w:val="true"/>
        </w:rPr>
        <w:t xml:space="preserve">، المختصر النافع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تبصرة المتعلّمين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18421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18458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وحكى عليها الإجماع</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7/393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8/171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ويجب الكون بعرفة إلى غروب الشمس من يوم عرفة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والنهاية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والحِلّي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1/587</w:t>
      </w:r>
      <w:r>
        <w:rPr>
          <w:rFonts w:ascii="IRNazanin" w:hAnsi="IRNazanin" w:eastAsia="IRNazanin"/>
          <w:b w:val="false"/>
          <w:b w:val="false"/>
          <w:bCs w:val="false"/>
          <w:i w:val="false"/>
          <w:i w:val="false"/>
          <w:iCs w:val="false"/>
          <w:color w:val="333333"/>
          <w:sz w:val="20"/>
          <w:sz w:val="20"/>
          <w:szCs w:val="20"/>
          <w:rtl w:val="true"/>
        </w:rPr>
        <w:t xml:space="preserve">، والديلمي في المراسم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والعلّامة في المنتهى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16/377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14647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18372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18394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18382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14678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14667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6/364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إتّفاقاً كما عن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وعليه اتّفاق الأصحاب كما في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16/380</w:t>
      </w:r>
      <w:r>
        <w:rPr>
          <w:rFonts w:ascii="IRNazanin" w:hAnsi="IRNazanin" w:eastAsia="IRNazanin"/>
          <w:b w:val="false"/>
          <w:b w:val="false"/>
          <w:bCs w:val="false"/>
          <w:i w:val="false"/>
          <w:i w:val="false"/>
          <w:iCs w:val="false"/>
          <w:color w:val="333333"/>
          <w:sz w:val="20"/>
          <w:sz w:val="20"/>
          <w:szCs w:val="20"/>
          <w:rtl w:val="true"/>
        </w:rPr>
        <w:t>، وإجماعاً كما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12/216</w:t>
      </w:r>
      <w:r>
        <w:rPr>
          <w:rFonts w:ascii="IRNazanin" w:hAnsi="IRNazanin" w:eastAsia="IRNazanin"/>
          <w:b w:val="false"/>
          <w:b w:val="false"/>
          <w:bCs w:val="false"/>
          <w:i w:val="false"/>
          <w:i w:val="false"/>
          <w:iCs w:val="false"/>
          <w:color w:val="333333"/>
          <w:sz w:val="20"/>
          <w:sz w:val="20"/>
          <w:szCs w:val="20"/>
          <w:rtl w:val="true"/>
        </w:rPr>
        <w:t xml:space="preserve">، وعدم الخلاف كما في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18434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18435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18436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18391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7/402</w:t>
      </w:r>
      <w:r>
        <w:rPr>
          <w:rFonts w:ascii="IRNazanin" w:hAnsi="IRNazanin" w:eastAsia="IRNazanin"/>
          <w:b w:val="false"/>
          <w:b w:val="false"/>
          <w:bCs w:val="false"/>
          <w:i w:val="false"/>
          <w:i w:val="false"/>
          <w:iCs w:val="false"/>
          <w:color w:val="333333"/>
          <w:sz w:val="20"/>
          <w:sz w:val="20"/>
          <w:szCs w:val="20"/>
          <w:rtl w:val="true"/>
        </w:rPr>
        <w:t xml:space="preserve">، 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18525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18524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18527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18526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12/227</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كالمحقّق النراقي في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12/228</w:t>
      </w:r>
      <w:r>
        <w:rPr>
          <w:rFonts w:ascii="IRNazanin" w:hAnsi="IRNazanin" w:eastAsia="IRNazanin"/>
          <w:b w:val="false"/>
          <w:b w:val="false"/>
          <w:bCs w:val="false"/>
          <w:i w:val="false"/>
          <w:i w:val="false"/>
          <w:iCs w:val="false"/>
          <w:color w:val="333333"/>
          <w:sz w:val="20"/>
          <w:sz w:val="20"/>
          <w:szCs w:val="20"/>
          <w:rtl w:val="true"/>
        </w:rPr>
        <w:t>، ورياض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6/372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7/404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المبسوط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التبصرة للعلّامة الحِلّي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قواعد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مستندالشيعة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المختلف عن 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8/232</w:t>
      </w:r>
      <w:r>
        <w:rPr>
          <w:rFonts w:ascii="IRNazanin" w:hAnsi="IRNazanin" w:eastAsia="IRNazanin"/>
          <w:b w:val="false"/>
          <w:b w:val="false"/>
          <w:bCs w:val="false"/>
          <w:i w:val="false"/>
          <w:i w:val="false"/>
          <w:iCs w:val="false"/>
          <w:color w:val="333333"/>
          <w:sz w:val="20"/>
          <w:sz w:val="20"/>
          <w:szCs w:val="20"/>
          <w:rtl w:val="true"/>
        </w:rPr>
        <w:t>، وحكاه عنهما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4/245</w:t>
      </w:r>
      <w:r>
        <w:rPr>
          <w:rFonts w:ascii="IRNazanin" w:hAnsi="IRNazanin" w:eastAsia="IRNazanin"/>
          <w:b w:val="false"/>
          <w:b w:val="false"/>
          <w:bCs w:val="false"/>
          <w:i w:val="false"/>
          <w:i w:val="false"/>
          <w:iCs w:val="false"/>
          <w:color w:val="333333"/>
          <w:sz w:val="20"/>
          <w:sz w:val="20"/>
          <w:szCs w:val="20"/>
          <w:rtl w:val="true"/>
        </w:rPr>
        <w:t>، وراجع الفقيه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18439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18437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18438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للشرايع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راجع 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5/152</w:t>
      </w:r>
      <w:r>
        <w:rPr>
          <w:rFonts w:ascii="IRNazanin" w:hAnsi="IRNazanin" w:eastAsia="IRNazanin"/>
          <w:b w:val="false"/>
          <w:b w:val="false"/>
          <w:bCs w:val="false"/>
          <w:i w:val="false"/>
          <w:i w:val="false"/>
          <w:iCs w:val="false"/>
          <w:color w:val="333333"/>
          <w:sz w:val="20"/>
          <w:sz w:val="20"/>
          <w:szCs w:val="20"/>
          <w:rtl w:val="true"/>
        </w:rPr>
        <w:t>، إرواء الغليل للألباني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الوسيلة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التذكرة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وحكاه عن نزهة الناظر أيضاً</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8/174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بفتح النون، وكسر الميم، وفتح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الجبل الذي عليه أنصاب الحرم عن يمينك إذا خرجت من المأزمين تريد الموقف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الثاء وكسر الواو وتشديد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عرفة، كذا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سوق كان على فرسخ من عرفة بناحية كبكب، كما في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راجع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وادي بحذاء عرفة</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موضع بعرفة من ناحية الشام</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18376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18381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18383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18384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فقه الرضا لابن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المقنع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المقنعة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الإنتصارللمرتضى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المراسم للديلمي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والعلّامة في التذكرة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8/159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5/175</w:t>
      </w:r>
      <w:r>
        <w:rPr>
          <w:rFonts w:ascii="IRNazanin" w:hAnsi="IRNazanin" w:eastAsia="IRNazanin"/>
          <w:b w:val="false"/>
          <w:b w:val="false"/>
          <w:bCs w:val="false"/>
          <w:i w:val="false"/>
          <w:i w:val="false"/>
          <w:iCs w:val="false"/>
          <w:color w:val="333333"/>
          <w:sz w:val="20"/>
          <w:sz w:val="20"/>
          <w:szCs w:val="20"/>
          <w:rtl w:val="true"/>
        </w:rPr>
        <w:t xml:space="preserve">، الرسائل العشر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18348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18351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18350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18352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12/204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18349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5/175</w:t>
      </w:r>
      <w:r>
        <w:rPr>
          <w:rFonts w:ascii="IRNazanin" w:hAnsi="IRNazanin" w:eastAsia="IRNazanin"/>
          <w:b w:val="false"/>
          <w:b w:val="false"/>
          <w:bCs w:val="false"/>
          <w:i w:val="false"/>
          <w:i w:val="false"/>
          <w:iCs w:val="false"/>
          <w:color w:val="333333"/>
          <w:sz w:val="20"/>
          <w:sz w:val="20"/>
          <w:szCs w:val="20"/>
          <w:rtl w:val="true"/>
        </w:rPr>
        <w:t>،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18362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الشيخ في الإقتصاد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الحِلّي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1/586</w:t>
      </w:r>
      <w:r>
        <w:rPr>
          <w:rFonts w:ascii="IRNazanin" w:hAnsi="IRNazanin" w:eastAsia="IRNazanin"/>
          <w:b w:val="false"/>
          <w:b w:val="false"/>
          <w:bCs w:val="false"/>
          <w:i w:val="false"/>
          <w:i w:val="false"/>
          <w:iCs w:val="false"/>
          <w:color w:val="333333"/>
          <w:sz w:val="20"/>
          <w:sz w:val="20"/>
          <w:szCs w:val="20"/>
          <w:rtl w:val="true"/>
        </w:rPr>
        <w:t xml:space="preserve">، العلّامة في التذكرة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8/163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18361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كالحِلّي 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 العلّامة في التذكرة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8/165</w:t>
      </w:r>
      <w:r>
        <w:rPr>
          <w:rFonts w:ascii="IRNazanin" w:hAnsi="IRNazanin" w:eastAsia="IRNazanin"/>
          <w:b w:val="false"/>
          <w:b w:val="false"/>
          <w:bCs w:val="false"/>
          <w:i w:val="false"/>
          <w:i w:val="false"/>
          <w:iCs w:val="false"/>
          <w:color w:val="333333"/>
          <w:sz w:val="20"/>
          <w:sz w:val="20"/>
          <w:szCs w:val="20"/>
          <w:rtl w:val="true"/>
        </w:rPr>
        <w:t>، ونقل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الشهرة، وكذلك الفاضل الهندي في كشف اللّثام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18360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18359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 معترض الطريق بين جمع ومنى، وهو إلى منى أقرب، وهو حَدٌّ من حدودها، سُمّي بذلك لما قيل أنّ فيه أبرهة أعيى وكلَّ فيه فتحسّر أصحابه بفعله، وأوقعهم في الحسرات</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18370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18365</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18371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18364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18380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18388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18387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18394</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18401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18415</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18400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18389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8/169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الرواية وكلام صاحب كشف اللّثام قبل صفحات</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الحكاية عنه في 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كلمة التقوى للشيخ محمّد أمين زين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أحكام الحَجّ من تحرير الوسيلة للفاضل اللنكراني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مسالك الفهام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21394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الصلاة للشيخ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صلاة الجماعة للأصفهاني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تَتَّقُوا مِنْهُمْ تُقاةً‌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أُكْرِهَ وَ قَلْبُهُ مُطْمَئِنٌّ بِالْإِيمانِ‌</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21233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مثيرالأحزان لابن نما الحِلّي، المتوفّى سنة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مقتل الحسين عليه السلام 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21546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21538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21539</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النفثات الصادرة من صدر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صدرت في أيّام النظام الطاغوتي الذي كان جاثماً على صدر الشعب الإيراني</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21394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21396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11207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21397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21392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21393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10912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التقيّة للشيخ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13035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رسائل المحقّق الكركي، الرسالة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التقيّة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يَتَّخِذِ اَلْمُؤْمِنُونَ اَلْكافِرِينَ أَوْلِياءَ مِنْ دُونِ اَلْمُؤْمِنِينَ وَ مَنْ يَفْعَلْ ذلِكَ فَلَيْسَ مِنَ اَللّهِ فِي شَيْ‌ءٍ إِلاّ أَنْ تَتَّقُوا مِنْهُمْ تُقاةً وَ يُحَذِّرُكُمُ اَللّهُ نَفْسَهُ وَ إِلَى اَللّهِ اَلْمَصِيرُ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جوّز الشافعي ونظراؤه الائتمام في الجماعة خلف الفاسق ومن لا يؤتمن على حبّة من مال، وأصله أنّ الولاة الذين يصلّون بالناس جماعة لما فسدت أديانهم، ولم يمكن ترك الصلاة معهم، ولا يستطاع إزالتهم صلّى معهم وراءهم، ومن النّاس من إذا صلّى معهم تقيّة أعادها ومنهم من يكتفي بها، وأنا أقول بوجوب إعادتها سرّاً ولكن لا ينبغي ترك الصلاة معهم</w:t>
      </w:r>
      <w:r>
        <w:rPr>
          <w:rFonts w:eastAsia="IRNazanin" w:cs="IRNazanin"/>
          <w:b w:val="false"/>
          <w:bCs w:val="false"/>
          <w:i w:val="false"/>
          <w:iCs w:val="false"/>
          <w:color w:val="333333"/>
          <w:sz w:val="20"/>
          <w:szCs w:val="20"/>
          <w:rtl w:val="true"/>
        </w:rPr>
        <w:t>)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مشرق الشمسين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 كتاب الطهارة للشيخ الأنصاري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مستمسك العروة الوثقى للسيّد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أجوبة مسائل جار اللّه للسيّد عبد الحسين شرف الدين الموسوي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هامش الحدائق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مَنْ أُكْرِهَ وَ قَلْبُهُ مُطْمَئِنٌّ بِالْإِيمانِ‌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التقيّة للشيخ الأنصاري قدس سره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كتاب الطهارة للشيخ الأنصاري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الشيخ الطوسي قدس سره في 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23073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21358</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21363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21362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21387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21385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21432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21401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21434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21433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21428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كشف الغمّة لابن أبي الفتح الأربلي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21425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21429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21430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المحكم والمتشابه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21441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21423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20130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ذلك ليس فيه تقيّة عند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8/109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21445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21446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21397</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21233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مناقب آل أبي طالب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21546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21538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21539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32102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21432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21411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21412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21416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21397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21363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14031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21379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5/2118</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13/169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22292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21362</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21447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21356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14044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21404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معاني الأخبار للصدوق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إرشاد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الأمالي للشيخ الطوسي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نهج البلاغة، الخطبة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المعروفة بالشقشقية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21403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21405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15497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15498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الكاملة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الصراط المستقيم لعلي بن يونس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الخرائج والجرائح لقطب الدِّين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عيون المعجزات لحسن عبدالوهاب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 في القرن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ح </w:t>
      </w:r>
      <w:r>
        <w:rPr>
          <w:rFonts w:eastAsia="IRNazanin" w:cs="IRNazanin"/>
          <w:b w:val="false"/>
          <w:bCs w:val="false"/>
          <w:i w:val="false"/>
          <w:iCs w:val="false"/>
          <w:color w:val="333333"/>
          <w:sz w:val="20"/>
          <w:szCs w:val="20"/>
        </w:rPr>
        <w:t>33334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13035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21394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21396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المسح على الخفّين عند التقيّة والضرورة إجماعاً</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11027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21397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15/20769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23073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6/669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4/326</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8/142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لكنّه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زال السبب ففي الإعادة من غير حَدَث إشكال</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ابن سعيد في الجامع للشرايع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والشهيد الثاني في 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غير أنّه احتمل الأوّل، ويحتمله لزوال المشروط بزوال شرطه، والجواهري في الرسائل الفقهيّة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المحقّق البحراني إلى ظاهر المشهور، اُنظر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مختلف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انظر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قرّره الشيخ الأعظم في كتاب الطهارة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وربما يتوهّم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توهّم مدفوع بما لا يخفى على المتأمّل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يصرّح بذلك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إلّاأنّه يمكن استظهاره من أكثر من مورد كالمسألة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إشارة إلى الوحيد البهباني، قال السيّد العاملي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وعليه الاُستاذ الآغا سمعته منه في جواب سائل سأله عن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2/448</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 للشهيد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أعلم في ذلك خلافاً بين الأصحاب</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مستدرك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9551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21392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21393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10912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التقيّة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21397</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11027</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image" Target="media/image2.jpeg"/><Relationship Id="rId335" Type="http://schemas.openxmlformats.org/officeDocument/2006/relationships/image" Target="media/image2.jpeg"/><Relationship Id="rId336" Type="http://schemas.openxmlformats.org/officeDocument/2006/relationships/footer" Target="footer329.xml"/><Relationship Id="rId337" Type="http://schemas.openxmlformats.org/officeDocument/2006/relationships/footnotes" Target="footnotes.xml"/><Relationship Id="rId338" Type="http://schemas.openxmlformats.org/officeDocument/2006/relationships/numbering" Target="numbering.xml"/><Relationship Id="rId339" Type="http://schemas.openxmlformats.org/officeDocument/2006/relationships/fontTable" Target="fontTable.xml"/><Relationship Id="rId340" Type="http://schemas.openxmlformats.org/officeDocument/2006/relationships/settings" Target="settings.xml"/><Relationship Id="rId3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334</Pages>
  <Words>62466</Words>
  <Characters>278257</Characters>
  <CharactersWithSpaces>337996</CharactersWithSpaces>
  <Paragraphs>4201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2026-08-22T08:03:44Z</dcterms:created>
  <dc:creator>ghaemiyeh.com</dc:creator>
  <dc:description/>
  <dc:language>en-US</dc:language>
  <cp:lastModifiedBy/>
  <dcterms:modified xsi:type="dcterms:W3CDTF">2026-08-22T11:33:58Z</dcterms:modified>
  <cp:revision>1</cp:revision>
  <dc:subject/>
  <dc:title>فقه الصادق علیه السلام جلد 17</dc:title>
</cp:coreProperties>
</file>

<file path=docProps/custom.xml><?xml version="1.0" encoding="utf-8"?>
<Properties xmlns="http://schemas.openxmlformats.org/officeDocument/2006/custom-properties" xmlns:vt="http://schemas.openxmlformats.org/officeDocument/2006/docPropsVTypes"/>
</file>